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jc w:val="center"/>
      </w:pPr>
      <w:r>
        <w:rPr>
          <w:rFonts w:ascii="Arial" w:cs="Arial" w:eastAsia="Arial" w:hAnsi="Arial"/>
          <w:b/>
          <w:bCs/>
          <w:color w:val="1976D2"/>
          <w:sz w:val="96"/>
          <w:szCs w:val="96"/>
        </w:rPr>
        <w:t xml:space="preserve">SGC</w:t>
      </w:r>
    </w:p>
    <w:p>
      <w:pPr>
        <w:pBdr>
          <w:bottom w:val="single" w:color="1976D2" w:sz="6" w:space="6"/>
        </w:pBdr>
        <w:spacing w:before="0" w:after="0"/>
        <w:jc w:val="center"/>
      </w:pPr>
      <w:r>
        <w:rPr>
          <w:rFonts w:ascii="Arial" w:cs="Arial" w:eastAsia="Arial" w:hAnsi="Arial"/>
          <w:b/>
          <w:bCs/>
          <w:color w:val="1E293B"/>
          <w:sz w:val="38"/>
          <w:szCs w:val="38"/>
        </w:rPr>
        <w:t xml:space="preserve">Système de Gestion Commerciale</w:t>
      </w:r>
    </w:p>
    <w:p>
      <w:pPr>
        <w:spacing w:before="0" w:after="100"/>
      </w:pPr>
      <w:r>
        <w:t xml:space="preserve"/>
      </w:r>
    </w:p>
    <w:p>
      <w:pPr>
        <w:spacing w:before="0" w:after="0"/>
        <w:jc w:val="center"/>
      </w:pPr>
      <w:r>
        <w:rPr>
          <w:rFonts w:ascii="Arial" w:cs="Arial" w:eastAsia="Arial" w:hAnsi="Arial"/>
          <w:i/>
          <w:iCs/>
          <w:color w:val="64748B"/>
          <w:sz w:val="28"/>
          <w:szCs w:val="28"/>
        </w:rPr>
        <w:t xml:space="preserve">Guide de Maintenance et Évolutions Futures</w:t>
      </w:r>
    </w:p>
    <w:p>
      <w:pPr>
        <w:spacing w:before="0" w:after="300"/>
      </w:pPr>
      <w:r>
        <w:t xml:space="preserve"/>
      </w:r>
    </w:p>
    <w:tbl>
      <w:tblPr>
        <w:tblW w:type="dxa" w:w="6000"/>
        <w:jc w:val="center"/>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pPr>
              <w:spacing w:before="0" w:after="0"/>
            </w:pPr>
            <w:r>
              <w:rPr>
                <w:rFonts w:ascii="Arial" w:cs="Arial" w:eastAsia="Arial" w:hAnsi="Arial"/>
                <w:b/>
                <w:bCs/>
                <w:color w:val="1E293B"/>
                <w:sz w:val="21"/>
                <w:szCs w:val="21"/>
              </w:rPr>
              <w:t xml:space="preserve">Cible</w:t>
            </w:r>
          </w:p>
        </w:tc>
        <w:tc>
          <w:tcPr>
            <w:tcW w:type="dxa" w:w="360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before="0" w:after="0"/>
            </w:pPr>
            <w:r>
              <w:rPr>
                <w:rFonts w:ascii="Arial" w:cs="Arial" w:eastAsia="Arial" w:hAnsi="Arial"/>
                <w:color w:val="1E293B"/>
                <w:sz w:val="21"/>
                <w:szCs w:val="21"/>
              </w:rPr>
              <w:t xml:space="preserve">Responsables IT, Équipe de maintenance</w:t>
            </w:r>
          </w:p>
        </w:tc>
      </w:tr>
      <w:tr>
        <w:tc>
          <w:tcPr>
            <w:tcW w:type="dxa" w:w="240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pPr>
              <w:spacing w:before="0" w:after="0"/>
            </w:pPr>
            <w:r>
              <w:rPr>
                <w:rFonts w:ascii="Arial" w:cs="Arial" w:eastAsia="Arial" w:hAnsi="Arial"/>
                <w:b/>
                <w:bCs/>
                <w:color w:val="1E293B"/>
                <w:sz w:val="21"/>
                <w:szCs w:val="21"/>
              </w:rPr>
              <w:t xml:space="preserve">Version</w:t>
            </w:r>
          </w:p>
        </w:tc>
        <w:tc>
          <w:tcPr>
            <w:tcW w:type="dxa" w:w="360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before="0" w:after="0"/>
            </w:pPr>
            <w:r>
              <w:rPr>
                <w:rFonts w:ascii="Arial" w:cs="Arial" w:eastAsia="Arial" w:hAnsi="Arial"/>
                <w:color w:val="1E293B"/>
                <w:sz w:val="21"/>
                <w:szCs w:val="21"/>
              </w:rPr>
              <w:t xml:space="preserve">1.0.0</w:t>
            </w:r>
          </w:p>
        </w:tc>
      </w:tr>
      <w:tr>
        <w:tc>
          <w:tcPr>
            <w:tcW w:type="dxa" w:w="240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pPr>
              <w:spacing w:before="0" w:after="0"/>
            </w:pPr>
            <w:r>
              <w:rPr>
                <w:rFonts w:ascii="Arial" w:cs="Arial" w:eastAsia="Arial" w:hAnsi="Arial"/>
                <w:b/>
                <w:bCs/>
                <w:color w:val="1E293B"/>
                <w:sz w:val="21"/>
                <w:szCs w:val="21"/>
              </w:rPr>
              <w:t xml:space="preserve">Stack</w:t>
            </w:r>
          </w:p>
        </w:tc>
        <w:tc>
          <w:tcPr>
            <w:tcW w:type="dxa" w:w="360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before="0" w:after="0"/>
            </w:pPr>
            <w:r>
              <w:rPr>
                <w:rFonts w:ascii="Arial" w:cs="Arial" w:eastAsia="Arial" w:hAnsi="Arial"/>
                <w:color w:val="1E293B"/>
                <w:sz w:val="21"/>
                <w:szCs w:val="21"/>
              </w:rPr>
              <w:t xml:space="preserve">Python 3.10 · PyQt6 · MySQL 8</w:t>
            </w:r>
          </w:p>
        </w:tc>
      </w:tr>
      <w:tr>
        <w:tc>
          <w:tcPr>
            <w:tcW w:type="dxa" w:w="2400"/>
            <w:tcBorders>
              <w:top w:val="none" w:color="FFFFFF" w:sz="0"/>
              <w:left w:val="none" w:color="FFFFFF" w:sz="0"/>
              <w:bottom w:val="none" w:color="FFFFFF" w:sz="0"/>
              <w:right w:val="none" w:color="FFFFFF" w:sz="0"/>
            </w:tcBorders>
            <w:shd w:fill="F8FAFC" w:val="clear"/>
            <w:tcMar>
              <w:top w:type="dxa" w:w="80"/>
              <w:left w:type="dxa" w:w="160"/>
              <w:bottom w:type="dxa" w:w="80"/>
              <w:right w:type="dxa" w:w="160"/>
            </w:tcMar>
          </w:tcPr>
          <w:p>
            <w:pPr>
              <w:spacing w:before="0" w:after="0"/>
            </w:pPr>
            <w:r>
              <w:rPr>
                <w:rFonts w:ascii="Arial" w:cs="Arial" w:eastAsia="Arial" w:hAnsi="Arial"/>
                <w:b/>
                <w:bCs/>
                <w:color w:val="1E293B"/>
                <w:sz w:val="21"/>
                <w:szCs w:val="21"/>
              </w:rPr>
              <w:t xml:space="preserve">Date</w:t>
            </w:r>
          </w:p>
        </w:tc>
        <w:tc>
          <w:tcPr>
            <w:tcW w:type="dxa" w:w="3600"/>
            <w:tcBorders>
              <w:top w:val="none" w:color="FFFFFF" w:sz="0"/>
              <w:left w:val="none" w:color="FFFFFF" w:sz="0"/>
              <w:bottom w:val="none" w:color="FFFFFF" w:sz="0"/>
              <w:right w:val="none" w:color="FFFFFF" w:sz="0"/>
            </w:tcBorders>
            <w:tcMar>
              <w:top w:type="dxa" w:w="80"/>
              <w:left w:type="dxa" w:w="160"/>
              <w:bottom w:type="dxa" w:w="80"/>
              <w:right w:type="dxa" w:w="160"/>
            </w:tcMar>
          </w:tcPr>
          <w:p>
            <w:pPr>
              <w:spacing w:before="0" w:after="0"/>
            </w:pPr>
            <w:r>
              <w:rPr>
                <w:rFonts w:ascii="Arial" w:cs="Arial" w:eastAsia="Arial" w:hAnsi="Arial"/>
                <w:color w:val="1E293B"/>
                <w:sz w:val="21"/>
                <w:szCs w:val="21"/>
              </w:rPr>
              <w:t xml:space="preserve">27/02/2026</w:t>
            </w:r>
          </w:p>
        </w:tc>
      </w:tr>
    </w:tbl>
    <w:p>
      <w:r>
        <w:br w:type="page"/>
      </w:r>
    </w:p>
    <w:p>
      <w:pPr>
        <w:pStyle w:val="Heading1"/>
        <w:pBdr>
          <w:bottom w:val="single" w:color="1976D2" w:sz="8" w:space="4"/>
        </w:pBdr>
        <w:spacing w:before="500" w:after="200"/>
      </w:pPr>
      <w:r>
        <w:rPr>
          <w:rFonts w:ascii="Arial" w:cs="Arial" w:eastAsia="Arial" w:hAnsi="Arial"/>
          <w:b/>
          <w:bCs/>
          <w:color w:val="1E293B"/>
          <w:sz w:val="32"/>
          <w:szCs w:val="32"/>
        </w:rPr>
        <w:t xml:space="preserve">Guide de Maintenance et Évolutions Futures</w:t>
      </w:r>
    </w:p>
    <w:p>
      <w:pPr>
        <w:spacing w:before="60" w:after="120"/>
      </w:pPr>
      <w:r>
        <w:rPr>
          <w:rFonts w:ascii="Arial" w:cs="Arial" w:eastAsia="Arial" w:hAnsi="Arial"/>
          <w:b/>
          <w:bCs/>
          <w:color w:val="1E293B"/>
          <w:sz w:val="22"/>
          <w:szCs w:val="22"/>
        </w:rPr>
        <w:t xml:space="preserve">Cible : </w:t>
      </w:r>
      <w:r>
        <w:rPr>
          <w:rFonts w:ascii="Arial" w:cs="Arial" w:eastAsia="Arial" w:hAnsi="Arial"/>
          <w:color w:val="1E293B"/>
          <w:sz w:val="22"/>
          <w:szCs w:val="22"/>
        </w:rPr>
        <w:t xml:space="preserve">Responsables IT, Équipe de maintenance.   </w:t>
      </w:r>
      <w:r>
        <w:rPr>
          <w:rFonts w:ascii="Arial" w:cs="Arial" w:eastAsia="Arial" w:hAnsi="Arial"/>
          <w:b/>
          <w:bCs/>
          <w:color w:val="1E293B"/>
          <w:sz w:val="22"/>
          <w:szCs w:val="22"/>
        </w:rPr>
        <w:t xml:space="preserve">Objectif : </w:t>
      </w:r>
      <w:r>
        <w:rPr>
          <w:rFonts w:ascii="Arial" w:cs="Arial" w:eastAsia="Arial" w:hAnsi="Arial"/>
          <w:color w:val="1E293B"/>
          <w:sz w:val="22"/>
          <w:szCs w:val="22"/>
        </w:rPr>
        <w:t xml:space="preserve">Assurer la pérennité et l'évolutivité du système.</w:t>
      </w:r>
    </w:p>
    <w:p>
      <w:pPr>
        <w:spacing w:before="0" w:after="100"/>
      </w:pPr>
      <w:r>
        <w:t xml:space="preserve"/>
      </w:r>
    </w:p>
    <w:p>
      <w:pPr>
        <w:pStyle w:val="Heading2"/>
        <w:spacing w:before="340" w:after="140"/>
      </w:pPr>
      <w:r>
        <w:rPr>
          <w:rFonts w:ascii="Arial" w:cs="Arial" w:eastAsia="Arial" w:hAnsi="Arial"/>
          <w:b/>
          <w:bCs/>
          <w:color w:val="1976D2"/>
          <w:sz w:val="26"/>
          <w:szCs w:val="26"/>
        </w:rPr>
        <w:t xml:space="preserve">I. Maintenance Corrective (Gestion des erreurs)</w:t>
      </w:r>
    </w:p>
    <w:p>
      <w:pPr>
        <w:pStyle w:val="Heading3"/>
        <w:spacing w:before="220" w:after="100"/>
      </w:pPr>
      <w:r>
        <w:rPr>
          <w:rFonts w:ascii="Arial" w:cs="Arial" w:eastAsia="Arial" w:hAnsi="Arial"/>
          <w:b/>
          <w:bCs/>
          <w:color w:val="1E293B"/>
          <w:sz w:val="23"/>
          <w:szCs w:val="23"/>
        </w:rPr>
        <w:t xml:space="preserve">A. Logs Applicatifs</w:t>
      </w:r>
    </w:p>
    <w:p>
      <w:pPr>
        <w:spacing w:before="60" w:after="120"/>
      </w:pPr>
      <w:r>
        <w:rPr>
          <w:rFonts w:ascii="Arial" w:cs="Arial" w:eastAsia="Arial" w:hAnsi="Arial"/>
          <w:b w:val="false"/>
          <w:bCs w:val="false"/>
          <w:i w:val="false"/>
          <w:iCs w:val="false"/>
          <w:color w:val="1E293B"/>
          <w:sz w:val="22"/>
          <w:szCs w:val="22"/>
        </w:rPr>
        <w:t xml:space="preserve">Le système utilise le module logging de Python. Chaque couche de l'application (contrôleurs, modèles, connexion BDD) journalise ses événements avec des niveaux de sévérité distincts.</w:t>
      </w:r>
    </w:p>
    <w:p>
      <w:pPr>
        <w:spacing w:before="0" w:after="100"/>
      </w:pPr>
      <w:r>
        <w:t xml:space="preserve"/>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1400"/>
        <w:gridCol w:w="3200"/>
        <w:gridCol w:w="4426"/>
      </w:tblGrid>
      <w:tr>
        <w:tc>
          <w:tcPr>
            <w:tcW w:type="dxa" w:w="1400"/>
            <w:tcBorders>
              <w:top w:val="none" w:color="FFFFFF" w:sz="0"/>
              <w:left w:val="none" w:color="FFFFFF" w:sz="0"/>
              <w:bottom w:val="none" w:color="FFFFFF" w:sz="0"/>
              <w:right w:val="none" w:color="FFFFFF" w:sz="0"/>
            </w:tcBorders>
            <w:shd w:fill="1E293B"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Niveau</w:t>
            </w:r>
          </w:p>
        </w:tc>
        <w:tc>
          <w:tcPr>
            <w:tcW w:type="dxa" w:w="3200"/>
            <w:tcBorders>
              <w:top w:val="none" w:color="FFFFFF" w:sz="0"/>
              <w:left w:val="none" w:color="FFFFFF" w:sz="0"/>
              <w:bottom w:val="none" w:color="FFFFFF" w:sz="0"/>
              <w:right w:val="none" w:color="FFFFFF" w:sz="0"/>
            </w:tcBorders>
            <w:shd w:fill="1E293B"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Quand l'utiliser</w:t>
            </w:r>
          </w:p>
        </w:tc>
        <w:tc>
          <w:tcPr>
            <w:tcW w:type="dxa" w:w="4426"/>
            <w:tcBorders>
              <w:top w:val="none" w:color="FFFFFF" w:sz="0"/>
              <w:left w:val="none" w:color="FFFFFF" w:sz="0"/>
              <w:bottom w:val="none" w:color="FFFFFF" w:sz="0"/>
              <w:right w:val="none" w:color="FFFFFF" w:sz="0"/>
            </w:tcBorders>
            <w:shd w:fill="1E293B"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Exemple dans le projet</w:t>
            </w:r>
          </w:p>
        </w:tc>
      </w:tr>
      <w:tr>
        <w:tc>
          <w:tcPr>
            <w:tcW w:type="dxa" w:w="14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bCs/>
                <w:color w:val="1976D2"/>
                <w:sz w:val="20"/>
                <w:szCs w:val="20"/>
              </w:rPr>
              <w:t xml:space="preserve">DEBUG</w:t>
            </w:r>
          </w:p>
        </w:tc>
        <w:tc>
          <w:tcPr>
            <w:tcW w:type="dxa" w:w="32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Informations de traçage fin (développement)</w:t>
            </w:r>
          </w:p>
        </w:tc>
        <w:tc>
          <w:tcPr>
            <w:tcW w:type="dxa" w:w="44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Entrée dans une méthode, valeurs intermédiaires</w:t>
            </w:r>
          </w:p>
        </w:tc>
      </w:tr>
      <w:tr>
        <w:tc>
          <w:tcPr>
            <w:tcW w:type="dxa" w:w="140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before="0" w:after="0"/>
            </w:pPr>
            <w:r>
              <w:rPr>
                <w:rFonts w:ascii="Arial" w:cs="Arial" w:eastAsia="Arial" w:hAnsi="Arial"/>
                <w:b/>
                <w:bCs/>
                <w:color w:val="1976D2"/>
                <w:sz w:val="20"/>
                <w:szCs w:val="20"/>
              </w:rPr>
              <w:t xml:space="preserve">INFO</w:t>
            </w:r>
          </w:p>
        </w:tc>
        <w:tc>
          <w:tcPr>
            <w:tcW w:type="dxa" w:w="320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Événements normaux importants</w:t>
            </w:r>
          </w:p>
        </w:tc>
        <w:tc>
          <w:tcPr>
            <w:tcW w:type="dxa" w:w="442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"Vente créée : ID=42, total=150.00, statut=payee"</w:t>
            </w:r>
          </w:p>
        </w:tc>
      </w:tr>
      <w:tr>
        <w:tc>
          <w:tcPr>
            <w:tcW w:type="dxa" w:w="14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bCs/>
                <w:color w:val="1976D2"/>
                <w:sz w:val="20"/>
                <w:szCs w:val="20"/>
              </w:rPr>
              <w:t xml:space="preserve">WARNING</w:t>
            </w:r>
          </w:p>
        </w:tc>
        <w:tc>
          <w:tcPr>
            <w:tcW w:type="dxa" w:w="32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Anomalie non bloquante</w:t>
            </w:r>
          </w:p>
        </w:tc>
        <w:tc>
          <w:tcPr>
            <w:tcW w:type="dxa" w:w="44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"Connexion échouée — utilisateur inconnu : admin2"</w:t>
            </w:r>
          </w:p>
        </w:tc>
      </w:tr>
      <w:tr>
        <w:tc>
          <w:tcPr>
            <w:tcW w:type="dxa" w:w="140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before="0" w:after="0"/>
            </w:pPr>
            <w:r>
              <w:rPr>
                <w:rFonts w:ascii="Arial" w:cs="Arial" w:eastAsia="Arial" w:hAnsi="Arial"/>
                <w:b/>
                <w:bCs/>
                <w:color w:val="1976D2"/>
                <w:sz w:val="20"/>
                <w:szCs w:val="20"/>
              </w:rPr>
              <w:t xml:space="preserve">ERROR</w:t>
            </w:r>
          </w:p>
        </w:tc>
        <w:tc>
          <w:tcPr>
            <w:tcW w:type="dxa" w:w="320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Erreur récupérée, opération échouée</w:t>
            </w:r>
          </w:p>
        </w:tc>
        <w:tc>
          <w:tcPr>
            <w:tcW w:type="dxa" w:w="442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"Erreur création produit : Duplicate entry..."</w:t>
            </w:r>
          </w:p>
        </w:tc>
      </w:tr>
      <w:tr>
        <w:tc>
          <w:tcPr>
            <w:tcW w:type="dxa" w:w="14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bCs/>
                <w:color w:val="1976D2"/>
                <w:sz w:val="20"/>
                <w:szCs w:val="20"/>
              </w:rPr>
              <w:t xml:space="preserve">CRITICAL</w:t>
            </w:r>
          </w:p>
        </w:tc>
        <w:tc>
          <w:tcPr>
            <w:tcW w:type="dxa" w:w="32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Erreur fatale, arrêt probable de l'application</w:t>
            </w:r>
          </w:p>
        </w:tc>
        <w:tc>
          <w:tcPr>
            <w:tcW w:type="dxa" w:w="44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Connexion MySQL impossible au démarrage</w:t>
            </w:r>
          </w:p>
        </w:tc>
      </w:tr>
    </w:tbl>
    <w:p>
      <w:pPr>
        <w:spacing w:before="0" w:after="100"/>
      </w:pPr>
      <w:r>
        <w:t xml:space="preserve"/>
      </w:r>
    </w:p>
    <w:p>
      <w:pPr>
        <w:spacing w:before="60" w:after="120"/>
      </w:pPr>
      <w:r>
        <w:rPr>
          <w:rFonts w:ascii="Arial" w:cs="Arial" w:eastAsia="Arial" w:hAnsi="Arial"/>
          <w:b w:val="false"/>
          <w:bCs w:val="false"/>
          <w:i w:val="false"/>
          <w:iCs w:val="false"/>
          <w:color w:val="1E293B"/>
          <w:sz w:val="22"/>
          <w:szCs w:val="22"/>
        </w:rPr>
        <w:t xml:space="preserve">En cas de crash ou de comportement anormal, la première action est de consulter les logs. Les messages ERROR et CRITICAL indiquent précisément le fichier, la méthode et l'exception levée.</w:t>
      </w:r>
    </w:p>
    <w:p>
      <w:pPr>
        <w:spacing w:before="0" w:after="100"/>
      </w:pPr>
      <w:r>
        <w:t xml:space="preserve"/>
      </w:r>
    </w:p>
    <w:tbl>
      <w:tblPr>
        <w:tblW w:type="dxa" w:w="9026"/>
        <w:tblBorders>
          <w:top w:val="single" w:color="CBD5E1" w:sz="1"/>
          <w:left w:val="single" w:color="1976D2" w:sz="16"/>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Exemple de message loggué par sale_controller.py lors d'une erreur</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ERROR    controllers.sale_controller — Erreur création vente :</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(1452, 'Cannot add or update a child row:</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a foreign key constraint fails (ventes, CONSTRAINT</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ventes_ibfk_1 FOREIGN KEY (client_id) REFERENCES clients (id))')</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Lecture : la vente a échoué car le client_id fourni n'existe pas en BDD.</w:t>
            </w:r>
          </w:p>
        </w:tc>
      </w:tr>
    </w:tbl>
    <w:p>
      <w:pPr>
        <w:spacing w:before="0" w:after="100"/>
      </w:pPr>
      <w:r>
        <w:t xml:space="preserve"/>
      </w:r>
    </w:p>
    <w:p>
      <w:pPr>
        <w:pStyle w:val="Heading3"/>
        <w:spacing w:before="220" w:after="100"/>
      </w:pPr>
      <w:r>
        <w:rPr>
          <w:rFonts w:ascii="Arial" w:cs="Arial" w:eastAsia="Arial" w:hAnsi="Arial"/>
          <w:b/>
          <w:bCs/>
          <w:color w:val="1E293B"/>
          <w:sz w:val="23"/>
          <w:szCs w:val="23"/>
        </w:rPr>
        <w:t xml:space="preserve">B. Problèmes de Base de Données</w:t>
      </w:r>
    </w:p>
    <w:p>
      <w:pPr>
        <w:spacing w:before="60" w:after="120"/>
      </w:pPr>
      <w:r>
        <w:rPr>
          <w:rFonts w:ascii="Arial" w:cs="Arial" w:eastAsia="Arial" w:hAnsi="Arial"/>
          <w:b w:val="false"/>
          <w:bCs w:val="false"/>
          <w:i w:val="false"/>
          <w:iCs w:val="false"/>
          <w:color w:val="1E293B"/>
          <w:sz w:val="22"/>
          <w:szCs w:val="22"/>
        </w:rPr>
        <w:t xml:space="preserve">Les erreurs BDD les plus fréquentes et leurs causes probables :</w:t>
      </w:r>
    </w:p>
    <w:p>
      <w:pPr>
        <w:spacing w:before="0" w:after="100"/>
      </w:pPr>
      <w:r>
        <w:t xml:space="preserve"/>
      </w:r>
    </w:p>
    <w:p>
      <w:pPr>
        <w:pStyle w:val="ListParagraph"/>
        <w:numPr>
          <w:ilvl w:val="0"/>
          <w:numId w:val="2"/>
        </w:numPr>
        <w:spacing w:before="50" w:after="50"/>
      </w:pPr>
      <w:r>
        <w:rPr>
          <w:rFonts w:ascii="Arial" w:cs="Arial" w:eastAsia="Arial" w:hAnsi="Arial"/>
          <w:b/>
          <w:bCs/>
          <w:color w:val="1E293B"/>
          <w:sz w:val="22"/>
          <w:szCs w:val="22"/>
        </w:rPr>
        <w:t xml:space="preserve">Incohérence de stock : </w:t>
      </w:r>
      <w:r>
        <w:rPr>
          <w:rFonts w:ascii="Arial" w:cs="Arial" w:eastAsia="Arial" w:hAnsi="Arial"/>
          <w:color w:val="1E293B"/>
          <w:sz w:val="22"/>
          <w:szCs w:val="22"/>
        </w:rPr>
        <w:t xml:space="preserve">Si le stock d'un produit ne correspond pas à l'historique des ventes, vérifier que la mise à jour se fait bien dans </w:t>
      </w:r>
      <w:r>
        <w:rPr>
          <w:rFonts w:ascii="Courier New" w:cs="Courier New" w:eastAsia="Courier New" w:hAnsi="Courier New"/>
          <w:color w:val="1976D2"/>
          <w:sz w:val="20"/>
          <w:szCs w:val="20"/>
          <w:shd w:fill="F1F5F9" w:val="clear"/>
        </w:rPr>
        <w:t xml:space="preserve"> SaleModel.create() </w:t>
      </w:r>
      <w:r>
        <w:rPr>
          <w:rFonts w:ascii="Arial" w:cs="Arial" w:eastAsia="Arial" w:hAnsi="Arial"/>
          <w:color w:val="1E293B"/>
          <w:sz w:val="22"/>
          <w:szCs w:val="22"/>
        </w:rPr>
        <w:t xml:space="preserve"> (la décrémentation y est explicite, ligne par ligne).</w:t>
      </w:r>
    </w:p>
    <w:p>
      <w:pPr>
        <w:pStyle w:val="ListParagraph"/>
        <w:numPr>
          <w:ilvl w:val="0"/>
          <w:numId w:val="2"/>
        </w:numPr>
        <w:spacing w:before="50" w:after="50"/>
      </w:pPr>
      <w:r>
        <w:rPr>
          <w:rFonts w:ascii="Arial" w:cs="Arial" w:eastAsia="Arial" w:hAnsi="Arial"/>
          <w:b/>
          <w:bCs/>
          <w:color w:val="1E293B"/>
          <w:sz w:val="22"/>
          <w:szCs w:val="22"/>
        </w:rPr>
        <w:t xml:space="preserve">Erreur "Unknown column" : </w:t>
      </w:r>
      <w:r>
        <w:rPr>
          <w:rFonts w:ascii="Arial" w:cs="Arial" w:eastAsia="Arial" w:hAnsi="Arial"/>
          <w:color w:val="1E293B"/>
          <w:sz w:val="22"/>
          <w:szCs w:val="22"/>
        </w:rPr>
        <w:t xml:space="preserve">La structure de la BDD sur le poste client ne correspond plus au code. Relancer </w:t>
      </w:r>
      <w:r>
        <w:rPr>
          <w:rFonts w:ascii="Courier New" w:cs="Courier New" w:eastAsia="Courier New" w:hAnsi="Courier New"/>
          <w:color w:val="1976D2"/>
          <w:sz w:val="20"/>
          <w:szCs w:val="20"/>
          <w:shd w:fill="F1F5F9" w:val="clear"/>
        </w:rPr>
        <w:t xml:space="preserve"> schema.sql </w:t>
      </w:r>
      <w:r>
        <w:rPr>
          <w:rFonts w:ascii="Arial" w:cs="Arial" w:eastAsia="Arial" w:hAnsi="Arial"/>
          <w:color w:val="1E293B"/>
          <w:sz w:val="22"/>
          <w:szCs w:val="22"/>
        </w:rPr>
        <w:t xml:space="preserve"> après toute mise à jour (voir section IV Versioning).</w:t>
      </w:r>
    </w:p>
    <w:p>
      <w:pPr>
        <w:pStyle w:val="ListParagraph"/>
        <w:numPr>
          <w:ilvl w:val="0"/>
          <w:numId w:val="2"/>
        </w:numPr>
        <w:spacing w:before="50" w:after="50"/>
      </w:pPr>
      <w:r>
        <w:rPr>
          <w:rFonts w:ascii="Arial" w:cs="Arial" w:eastAsia="Arial" w:hAnsi="Arial"/>
          <w:b/>
          <w:bCs/>
          <w:color w:val="1E293B"/>
          <w:sz w:val="22"/>
          <w:szCs w:val="22"/>
        </w:rPr>
        <w:t xml:space="preserve">Erreur "Duplicate entry" : </w:t>
      </w:r>
      <w:r>
        <w:rPr>
          <w:rFonts w:ascii="Arial" w:cs="Arial" w:eastAsia="Arial" w:hAnsi="Arial"/>
          <w:color w:val="1E293B"/>
          <w:sz w:val="22"/>
          <w:szCs w:val="22"/>
        </w:rPr>
        <w:t xml:space="preserve">Violation d'une contrainte UNIQUE (username, numero_facture, nom de catégorie). Vérifier la logique de détection de doublon dans le contrôleur correspondant.</w:t>
      </w:r>
    </w:p>
    <w:p>
      <w:pPr>
        <w:pStyle w:val="ListParagraph"/>
        <w:numPr>
          <w:ilvl w:val="0"/>
          <w:numId w:val="2"/>
        </w:numPr>
        <w:spacing w:before="50" w:after="50"/>
      </w:pPr>
      <w:r>
        <w:rPr>
          <w:rFonts w:ascii="Arial" w:cs="Arial" w:eastAsia="Arial" w:hAnsi="Arial"/>
          <w:b/>
          <w:bCs/>
          <w:color w:val="1E293B"/>
          <w:sz w:val="22"/>
          <w:szCs w:val="22"/>
        </w:rPr>
        <w:t xml:space="preserve">Contrainte de clé étrangère : </w:t>
      </w:r>
      <w:r>
        <w:rPr>
          <w:rFonts w:ascii="Arial" w:cs="Arial" w:eastAsia="Arial" w:hAnsi="Arial"/>
          <w:color w:val="1E293B"/>
          <w:sz w:val="22"/>
          <w:szCs w:val="22"/>
        </w:rPr>
        <w:t xml:space="preserve">Tentative de suppression d'un enregistrement référencé ailleurs (ex: supprimer un client avec des ventes). Les contrôleurs lèvent une </w:t>
      </w:r>
      <w:r>
        <w:rPr>
          <w:rFonts w:ascii="Courier New" w:cs="Courier New" w:eastAsia="Courier New" w:hAnsi="Courier New"/>
          <w:color w:val="1976D2"/>
          <w:sz w:val="20"/>
          <w:szCs w:val="20"/>
          <w:shd w:fill="F1F5F9" w:val="clear"/>
        </w:rPr>
        <w:t xml:space="preserve"> ValueError </w:t>
      </w:r>
      <w:r>
        <w:rPr>
          <w:rFonts w:ascii="Arial" w:cs="Arial" w:eastAsia="Arial" w:hAnsi="Arial"/>
          <w:color w:val="1E293B"/>
          <w:sz w:val="22"/>
          <w:szCs w:val="22"/>
        </w:rPr>
        <w:t xml:space="preserve"> explicite pour prévenir ce cas.</w:t>
      </w:r>
    </w:p>
    <w:p>
      <w:pPr>
        <w:spacing w:before="0" w:after="100"/>
      </w:pPr>
      <w:r>
        <w:t xml:space="preserve"/>
      </w:r>
    </w:p>
    <w:p>
      <w:pPr>
        <w:pStyle w:val="Heading3"/>
        <w:spacing w:before="220" w:after="100"/>
      </w:pPr>
      <w:r>
        <w:rPr>
          <w:rFonts w:ascii="Arial" w:cs="Arial" w:eastAsia="Arial" w:hAnsi="Arial"/>
          <w:b/>
          <w:bCs/>
          <w:color w:val="1E293B"/>
          <w:sz w:val="23"/>
          <w:szCs w:val="23"/>
        </w:rPr>
        <w:t xml:space="preserve">C. Échec de démarrage de l'application</w:t>
      </w:r>
    </w:p>
    <w:p>
      <w:pPr>
        <w:spacing w:before="60" w:after="120"/>
      </w:pPr>
      <w:r>
        <w:rPr>
          <w:rFonts w:ascii="Arial" w:cs="Arial" w:eastAsia="Arial" w:hAnsi="Arial"/>
          <w:b w:val="false"/>
          <w:bCs w:val="false"/>
          <w:i w:val="false"/>
          <w:iCs w:val="false"/>
          <w:color w:val="1E293B"/>
          <w:sz w:val="22"/>
          <w:szCs w:val="22"/>
        </w:rPr>
        <w:t xml:space="preserve">Si l'application affiche "Impossible de se connecter à la base de données" au lancement, suivre cette procédure dans l'ordre :</w:t>
      </w:r>
    </w:p>
    <w:p>
      <w:pPr>
        <w:spacing w:before="0" w:after="100"/>
      </w:pPr>
      <w:r>
        <w:t xml:space="preserve"/>
      </w:r>
    </w:p>
    <w:p>
      <w:pPr>
        <w:pStyle w:val="ListParagraph"/>
        <w:numPr>
          <w:ilvl w:val="0"/>
          <w:numId w:val="3"/>
        </w:numPr>
        <w:spacing w:before="60" w:after="60"/>
      </w:pPr>
      <w:r>
        <w:rPr>
          <w:rFonts w:ascii="Arial" w:cs="Arial" w:eastAsia="Arial" w:hAnsi="Arial"/>
          <w:color w:val="1E293B"/>
          <w:sz w:val="22"/>
          <w:szCs w:val="22"/>
        </w:rPr>
        <w:t xml:space="preserve">Vérifier que le service MySQL est bien démarré </w:t>
      </w:r>
      <w:r>
        <w:rPr>
          <w:rFonts w:ascii="Arial" w:cs="Arial" w:eastAsia="Arial" w:hAnsi="Arial"/>
          <w:color w:val="64748B"/>
          <w:sz w:val="22"/>
          <w:szCs w:val="22"/>
        </w:rPr>
        <w:t xml:space="preserve">(services.msc sous Windows, ou </w:t>
      </w:r>
      <w:r>
        <w:rPr>
          <w:rFonts w:ascii="Courier New" w:cs="Courier New" w:eastAsia="Courier New" w:hAnsi="Courier New"/>
          <w:color w:val="1976D2"/>
          <w:sz w:val="20"/>
          <w:szCs w:val="20"/>
          <w:shd w:fill="F1F5F9" w:val="clear"/>
        </w:rPr>
        <w:t xml:space="preserve"> sudo systemctl status mysql </w:t>
      </w:r>
      <w:r>
        <w:rPr>
          <w:rFonts w:ascii="Arial" w:cs="Arial" w:eastAsia="Arial" w:hAnsi="Arial"/>
          <w:color w:val="64748B"/>
          <w:sz w:val="22"/>
          <w:szCs w:val="22"/>
        </w:rPr>
        <w:t xml:space="preserve"> sous Linux).</w:t>
      </w:r>
    </w:p>
    <w:p>
      <w:pPr>
        <w:pStyle w:val="ListParagraph"/>
        <w:numPr>
          <w:ilvl w:val="0"/>
          <w:numId w:val="3"/>
        </w:numPr>
        <w:spacing w:before="60" w:after="60"/>
      </w:pPr>
      <w:r>
        <w:rPr>
          <w:rFonts w:ascii="Arial" w:cs="Arial" w:eastAsia="Arial" w:hAnsi="Arial"/>
          <w:color w:val="1E293B"/>
          <w:sz w:val="22"/>
          <w:szCs w:val="22"/>
        </w:rPr>
        <w:t xml:space="preserve">Ouvrir le fichier </w:t>
      </w:r>
      <w:r>
        <w:rPr>
          <w:rFonts w:ascii="Courier New" w:cs="Courier New" w:eastAsia="Courier New" w:hAnsi="Courier New"/>
          <w:color w:val="1976D2"/>
          <w:sz w:val="20"/>
          <w:szCs w:val="20"/>
          <w:shd w:fill="F1F5F9" w:val="clear"/>
        </w:rPr>
        <w:t xml:space="preserve"> .env </w:t>
      </w:r>
      <w:r>
        <w:rPr>
          <w:rFonts w:ascii="Arial" w:cs="Arial" w:eastAsia="Arial" w:hAnsi="Arial"/>
          <w:color w:val="1E293B"/>
          <w:sz w:val="22"/>
          <w:szCs w:val="22"/>
        </w:rPr>
        <w:t xml:space="preserve"> et vérifier les valeurs de </w:t>
      </w:r>
      <w:r>
        <w:rPr>
          <w:rFonts w:ascii="Courier New" w:cs="Courier New" w:eastAsia="Courier New" w:hAnsi="Courier New"/>
          <w:color w:val="1976D2"/>
          <w:sz w:val="20"/>
          <w:szCs w:val="20"/>
          <w:shd w:fill="F1F5F9" w:val="clear"/>
        </w:rPr>
        <w:t xml:space="preserve"> DB_HOST </w:t>
      </w:r>
      <w:r>
        <w:rPr>
          <w:rFonts w:ascii="Arial" w:cs="Arial" w:eastAsia="Arial" w:hAnsi="Arial"/>
          <w:color w:val="1E293B"/>
          <w:sz w:val="22"/>
          <w:szCs w:val="22"/>
        </w:rPr>
        <w:t xml:space="preserve">,</w:t>
      </w:r>
      <w:r>
        <w:rPr>
          <w:rFonts w:ascii="Courier New" w:cs="Courier New" w:eastAsia="Courier New" w:hAnsi="Courier New"/>
          <w:color w:val="1976D2"/>
          <w:sz w:val="20"/>
          <w:szCs w:val="20"/>
          <w:shd w:fill="F1F5F9" w:val="clear"/>
        </w:rPr>
        <w:t xml:space="preserve"> DB_USER </w:t>
      </w:r>
      <w:r>
        <w:rPr>
          <w:rFonts w:ascii="Arial" w:cs="Arial" w:eastAsia="Arial" w:hAnsi="Arial"/>
          <w:color w:val="1E293B"/>
          <w:sz w:val="22"/>
          <w:szCs w:val="22"/>
        </w:rPr>
        <w:t xml:space="preserve"> et </w:t>
      </w:r>
      <w:r>
        <w:rPr>
          <w:rFonts w:ascii="Courier New" w:cs="Courier New" w:eastAsia="Courier New" w:hAnsi="Courier New"/>
          <w:color w:val="1976D2"/>
          <w:sz w:val="20"/>
          <w:szCs w:val="20"/>
          <w:shd w:fill="F1F5F9" w:val="clear"/>
        </w:rPr>
        <w:t xml:space="preserve"> DB_PASSWORD </w:t>
      </w:r>
      <w:r>
        <w:rPr>
          <w:rFonts w:ascii="Arial" w:cs="Arial" w:eastAsia="Arial" w:hAnsi="Arial"/>
          <w:color w:val="1E293B"/>
          <w:sz w:val="22"/>
          <w:szCs w:val="22"/>
        </w:rPr>
        <w:t xml:space="preserve">.</w:t>
      </w:r>
    </w:p>
    <w:p>
      <w:pPr>
        <w:pStyle w:val="ListParagraph"/>
        <w:numPr>
          <w:ilvl w:val="0"/>
          <w:numId w:val="3"/>
        </w:numPr>
        <w:spacing w:before="60" w:after="60"/>
      </w:pPr>
      <w:r>
        <w:rPr>
          <w:rFonts w:ascii="Arial" w:cs="Arial" w:eastAsia="Arial" w:hAnsi="Arial"/>
          <w:color w:val="1E293B"/>
          <w:sz w:val="22"/>
          <w:szCs w:val="22"/>
        </w:rPr>
        <w:t xml:space="preserve">Tester la connexion manuellement : </w:t>
      </w:r>
      <w:r>
        <w:rPr>
          <w:rFonts w:ascii="Courier New" w:cs="Courier New" w:eastAsia="Courier New" w:hAnsi="Courier New"/>
          <w:color w:val="1976D2"/>
          <w:sz w:val="20"/>
          <w:szCs w:val="20"/>
          <w:shd w:fill="F1F5F9" w:val="clear"/>
        </w:rPr>
        <w:t xml:space="preserve"> mysql -u root -p -h localhost </w:t>
      </w:r>
      <w:r>
        <w:rPr>
          <w:rFonts w:ascii="Arial" w:cs="Arial" w:eastAsia="Arial" w:hAnsi="Arial"/>
          <w:color w:val="1E293B"/>
          <w:sz w:val="22"/>
          <w:szCs w:val="22"/>
        </w:rPr>
        <w:t xml:space="preserve">.</w:t>
      </w:r>
    </w:p>
    <w:p>
      <w:pPr>
        <w:pStyle w:val="ListParagraph"/>
        <w:numPr>
          <w:ilvl w:val="0"/>
          <w:numId w:val="3"/>
        </w:numPr>
        <w:spacing w:before="60" w:after="60"/>
      </w:pPr>
      <w:r>
        <w:rPr>
          <w:rFonts w:ascii="Arial" w:cs="Arial" w:eastAsia="Arial" w:hAnsi="Arial"/>
          <w:color w:val="1E293B"/>
          <w:sz w:val="22"/>
          <w:szCs w:val="22"/>
        </w:rPr>
        <w:t xml:space="preserve">Vérifier que la base gestion_commerciale existe bien : si non, relancer schema.sql.</w:t>
      </w:r>
    </w:p>
    <w:p>
      <w:pPr>
        <w:spacing w:before="0" w:after="100"/>
      </w:pPr>
      <w:r>
        <w:t xml:space="preserve"/>
      </w:r>
    </w:p>
    <w:tbl>
      <w:tblPr>
        <w:tblW w:type="dxa" w:w="9026"/>
        <w:tblBorders>
          <w:top w:val="single" w:color="D97706" w:sz="1"/>
          <w:left w:val="single" w:color="D97706" w:sz="20"/>
          <w:bottom w:val="single" w:color="D97706" w:sz="1"/>
          <w:right w:val="single" w:color="D97706"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7ED" w:val="clear"/>
            <w:tcMar>
              <w:top w:type="dxa" w:w="130"/>
              <w:left w:type="dxa" w:w="220"/>
              <w:bottom w:type="dxa" w:w="130"/>
              <w:right w:type="dxa" w:w="220"/>
            </w:tcMar>
          </w:tcPr>
          <w:p>
            <w:pPr>
              <w:spacing w:before="0" w:after="0"/>
            </w:pPr>
            <w:r>
              <w:rPr>
                <w:rFonts w:ascii="Arial" w:cs="Arial" w:eastAsia="Arial" w:hAnsi="Arial"/>
                <w:b/>
                <w:bCs/>
                <w:color w:val="1E293B"/>
                <w:sz w:val="21"/>
                <w:szCs w:val="21"/>
              </w:rPr>
              <w:t xml:space="preserve">⚠️  Règle importante :  </w:t>
            </w:r>
            <w:r>
              <w:rPr>
                <w:rFonts w:ascii="Arial" w:cs="Arial" w:eastAsia="Arial" w:hAnsi="Arial"/>
                <w:color w:val="1E293B"/>
                <w:sz w:val="21"/>
                <w:szCs w:val="21"/>
              </w:rPr>
              <w:t xml:space="preserve">Le fichier .env ne doit jamais être versionné (Git). Il doit figurer dans .gitignore. Chaque poste d'installation doit avoir son propre .env configuré localement.</w:t>
            </w:r>
          </w:p>
        </w:tc>
      </w:tr>
    </w:tbl>
    <w:p>
      <w:r>
        <w:br w:type="page"/>
      </w:r>
    </w:p>
    <w:p>
      <w:pPr>
        <w:pStyle w:val="Heading2"/>
        <w:spacing w:before="340" w:after="140"/>
      </w:pPr>
      <w:r>
        <w:rPr>
          <w:rFonts w:ascii="Arial" w:cs="Arial" w:eastAsia="Arial" w:hAnsi="Arial"/>
          <w:b/>
          <w:bCs/>
          <w:color w:val="1976D2"/>
          <w:sz w:val="26"/>
          <w:szCs w:val="26"/>
        </w:rPr>
        <w:t xml:space="preserve">II. Maintenance Préventive</w:t>
      </w:r>
    </w:p>
    <w:p>
      <w:pPr>
        <w:pStyle w:val="Heading3"/>
        <w:spacing w:before="220" w:after="100"/>
      </w:pPr>
      <w:r>
        <w:rPr>
          <w:rFonts w:ascii="Arial" w:cs="Arial" w:eastAsia="Arial" w:hAnsi="Arial"/>
          <w:b/>
          <w:bCs/>
          <w:color w:val="1E293B"/>
          <w:sz w:val="23"/>
          <w:szCs w:val="23"/>
        </w:rPr>
        <w:t xml:space="preserve">A. Sauvegardes (Backups)</w:t>
      </w:r>
    </w:p>
    <w:p>
      <w:pPr>
        <w:spacing w:before="60" w:after="120"/>
      </w:pPr>
      <w:r>
        <w:rPr>
          <w:rFonts w:ascii="Arial" w:cs="Arial" w:eastAsia="Arial" w:hAnsi="Arial"/>
          <w:b w:val="false"/>
          <w:bCs w:val="false"/>
          <w:i w:val="false"/>
          <w:iCs w:val="false"/>
          <w:color w:val="1E293B"/>
          <w:sz w:val="22"/>
          <w:szCs w:val="22"/>
        </w:rPr>
        <w:t xml:space="preserve">Une politique de sauvegarde régulière est indispensable pour garantir la récupération des données en cas de panne matérielle ou d'erreur humaine.</w:t>
      </w:r>
    </w:p>
    <w:p>
      <w:pPr>
        <w:spacing w:before="0" w:after="100"/>
      </w:pPr>
      <w:r>
        <w:t xml:space="preserve"/>
      </w:r>
    </w:p>
    <w:p>
      <w:pPr>
        <w:pStyle w:val="ListParagraph"/>
        <w:numPr>
          <w:ilvl w:val="0"/>
          <w:numId w:val="2"/>
        </w:numPr>
        <w:spacing w:before="50" w:after="50"/>
      </w:pPr>
      <w:r>
        <w:rPr>
          <w:rFonts w:ascii="Arial" w:cs="Arial" w:eastAsia="Arial" w:hAnsi="Arial"/>
          <w:b/>
          <w:bCs/>
          <w:color w:val="1E293B"/>
          <w:sz w:val="22"/>
          <w:szCs w:val="22"/>
        </w:rPr>
        <w:t xml:space="preserve">Fréquence recommandée : </w:t>
      </w:r>
      <w:r>
        <w:rPr>
          <w:rFonts w:ascii="Arial" w:cs="Arial" w:eastAsia="Arial" w:hAnsi="Arial"/>
          <w:color w:val="1E293B"/>
          <w:sz w:val="22"/>
          <w:szCs w:val="22"/>
        </w:rPr>
        <w:t xml:space="preserve">sauvegarde complète chaque soir (ex : 23h00), en dehors des heures d'utilisation.</w:t>
      </w:r>
    </w:p>
    <w:p>
      <w:pPr>
        <w:pStyle w:val="ListParagraph"/>
        <w:numPr>
          <w:ilvl w:val="0"/>
          <w:numId w:val="2"/>
        </w:numPr>
        <w:spacing w:before="50" w:after="50"/>
      </w:pPr>
      <w:r>
        <w:rPr>
          <w:rFonts w:ascii="Arial" w:cs="Arial" w:eastAsia="Arial" w:hAnsi="Arial"/>
          <w:b/>
          <w:bCs/>
          <w:color w:val="1E293B"/>
          <w:sz w:val="22"/>
          <w:szCs w:val="22"/>
        </w:rPr>
        <w:t xml:space="preserve">Outil : </w:t>
      </w:r>
      <w:r>
        <w:rPr>
          <w:rFonts w:ascii="Courier New" w:cs="Courier New" w:eastAsia="Courier New" w:hAnsi="Courier New"/>
          <w:color w:val="1976D2"/>
          <w:sz w:val="20"/>
          <w:szCs w:val="20"/>
          <w:shd w:fill="F1F5F9" w:val="clear"/>
        </w:rPr>
        <w:t xml:space="preserve"> mysqldump </w:t>
      </w:r>
      <w:r>
        <w:rPr>
          <w:rFonts w:ascii="Arial" w:cs="Arial" w:eastAsia="Arial" w:hAnsi="Arial"/>
          <w:color w:val="1E293B"/>
          <w:sz w:val="22"/>
          <w:szCs w:val="22"/>
        </w:rPr>
        <w:t xml:space="preserve">, inclus nativement avec MySQL.</w:t>
      </w:r>
    </w:p>
    <w:p>
      <w:pPr>
        <w:pStyle w:val="ListParagraph"/>
        <w:numPr>
          <w:ilvl w:val="0"/>
          <w:numId w:val="2"/>
        </w:numPr>
        <w:spacing w:before="50" w:after="50"/>
      </w:pPr>
      <w:r>
        <w:rPr>
          <w:rFonts w:ascii="Arial" w:cs="Arial" w:eastAsia="Arial" w:hAnsi="Arial"/>
          <w:b/>
          <w:bCs/>
          <w:color w:val="1E293B"/>
          <w:sz w:val="22"/>
          <w:szCs w:val="22"/>
        </w:rPr>
        <w:t xml:space="preserve">Rétention : </w:t>
      </w:r>
      <w:r>
        <w:rPr>
          <w:rFonts w:ascii="Arial" w:cs="Arial" w:eastAsia="Arial" w:hAnsi="Arial"/>
          <w:color w:val="1E293B"/>
          <w:sz w:val="22"/>
          <w:szCs w:val="22"/>
        </w:rPr>
        <w:t xml:space="preserve">conserver les 30 derniers jours sur le serveur local, et exporter mensuellement vers un support externe (NAS, cloud).</w:t>
      </w:r>
    </w:p>
    <w:p>
      <w:pPr>
        <w:spacing w:before="0" w:after="100"/>
      </w:pPr>
      <w:r>
        <w:t xml:space="preserve"/>
      </w:r>
    </w:p>
    <w:tbl>
      <w:tblPr>
        <w:tblW w:type="dxa" w:w="9026"/>
        <w:tblBorders>
          <w:top w:val="single" w:color="CBD5E1" w:sz="1"/>
          <w:left w:val="single" w:color="1976D2" w:sz="16"/>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Commande de sauvegarde complète (Linux / macOS)</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mysqldump -u root -p gestion_commerciale &gt; backup_$(date +%Y%m%d).sql</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Restauration à partir d'une sauvegarde</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mysql -u root -p gestion_commerciale &lt; backup_20260115.sql</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Planification automatique (Linux — crontab)</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Exécution chaque soir à 23h00</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0 23 * * * mysqldump -u root -pMOTDEPASSE gestion_commerciale &gt; /backups/sgc_$(date +\%Y\%m\%d).sql</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Windows — Planificateur de tâches (PowerShell)</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mysqldump -u root -p gestion_commerciale | Out-File "C:\backups\sgc_$(Get-Date -f yyyyMMdd).sql"</w:t>
            </w:r>
          </w:p>
        </w:tc>
      </w:tr>
    </w:tbl>
    <w:p>
      <w:pPr>
        <w:spacing w:before="0" w:after="100"/>
      </w:pPr>
      <w:r>
        <w:t xml:space="preserve"/>
      </w:r>
    </w:p>
    <w:p>
      <w:pPr>
        <w:pStyle w:val="Heading3"/>
        <w:spacing w:before="220" w:after="100"/>
      </w:pPr>
      <w:r>
        <w:rPr>
          <w:rFonts w:ascii="Arial" w:cs="Arial" w:eastAsia="Arial" w:hAnsi="Arial"/>
          <w:b/>
          <w:bCs/>
          <w:color w:val="1E293B"/>
          <w:sz w:val="23"/>
          <w:szCs w:val="23"/>
        </w:rPr>
        <w:t xml:space="preserve">B. Nettoyage et optimisation</w:t>
      </w:r>
    </w:p>
    <w:p>
      <w:pPr>
        <w:pStyle w:val="ListParagraph"/>
        <w:numPr>
          <w:ilvl w:val="0"/>
          <w:numId w:val="2"/>
        </w:numPr>
        <w:spacing w:before="50" w:after="50"/>
      </w:pPr>
      <w:r>
        <w:rPr>
          <w:rFonts w:ascii="Arial" w:cs="Arial" w:eastAsia="Arial" w:hAnsi="Arial"/>
          <w:b/>
          <w:bCs/>
          <w:color w:val="1E293B"/>
          <w:sz w:val="22"/>
          <w:szCs w:val="22"/>
        </w:rPr>
        <w:t xml:space="preserve">Purge des fichiers PDF : </w:t>
      </w:r>
      <w:r>
        <w:rPr>
          <w:rFonts w:ascii="Arial" w:cs="Arial" w:eastAsia="Arial" w:hAnsi="Arial"/>
          <w:color w:val="1E293B"/>
          <w:sz w:val="22"/>
          <w:szCs w:val="22"/>
        </w:rPr>
        <w:t xml:space="preserve">le dossier </w:t>
      </w:r>
      <w:r>
        <w:rPr>
          <w:rFonts w:ascii="Courier New" w:cs="Courier New" w:eastAsia="Courier New" w:hAnsi="Courier New"/>
          <w:color w:val="1976D2"/>
          <w:sz w:val="20"/>
          <w:szCs w:val="20"/>
          <w:shd w:fill="F1F5F9" w:val="clear"/>
        </w:rPr>
        <w:t xml:space="preserve"> factures/ </w:t>
      </w:r>
      <w:r>
        <w:rPr>
          <w:rFonts w:ascii="Arial" w:cs="Arial" w:eastAsia="Arial" w:hAnsi="Arial"/>
          <w:color w:val="1E293B"/>
          <w:sz w:val="22"/>
          <w:szCs w:val="22"/>
        </w:rPr>
        <w:t xml:space="preserve"> accumule les PDF générés. Prévoir une purge annuelle des factures de plus de 5 ans (selon obligations légales locales).</w:t>
      </w:r>
    </w:p>
    <w:p>
      <w:pPr>
        <w:pStyle w:val="ListParagraph"/>
        <w:numPr>
          <w:ilvl w:val="0"/>
          <w:numId w:val="2"/>
        </w:numPr>
        <w:spacing w:before="50" w:after="50"/>
      </w:pPr>
      <w:r>
        <w:rPr>
          <w:rFonts w:ascii="Arial" w:cs="Arial" w:eastAsia="Arial" w:hAnsi="Arial"/>
          <w:b/>
          <w:bCs/>
          <w:color w:val="1E293B"/>
          <w:sz w:val="22"/>
          <w:szCs w:val="22"/>
        </w:rPr>
        <w:t xml:space="preserve">Purge des logs : </w:t>
      </w:r>
      <w:r>
        <w:rPr>
          <w:rFonts w:ascii="Arial" w:cs="Arial" w:eastAsia="Arial" w:hAnsi="Arial"/>
          <w:color w:val="1E293B"/>
          <w:sz w:val="22"/>
          <w:szCs w:val="22"/>
        </w:rPr>
        <w:t xml:space="preserve">archiver ou supprimer les fichiers logs de plus de 12 mois pour éviter la saturation du disque.</w:t>
      </w:r>
    </w:p>
    <w:p>
      <w:pPr>
        <w:pStyle w:val="ListParagraph"/>
        <w:numPr>
          <w:ilvl w:val="0"/>
          <w:numId w:val="2"/>
        </w:numPr>
        <w:spacing w:before="50" w:after="50"/>
      </w:pPr>
      <w:r>
        <w:rPr>
          <w:rFonts w:ascii="Arial" w:cs="Arial" w:eastAsia="Arial" w:hAnsi="Arial"/>
          <w:b/>
          <w:bCs/>
          <w:color w:val="1E293B"/>
          <w:sz w:val="22"/>
          <w:szCs w:val="22"/>
        </w:rPr>
        <w:t xml:space="preserve">Optimisation MySQL : </w:t>
      </w:r>
      <w:r>
        <w:rPr>
          <w:rFonts w:ascii="Arial" w:cs="Arial" w:eastAsia="Arial" w:hAnsi="Arial"/>
          <w:color w:val="1E293B"/>
          <w:sz w:val="22"/>
          <w:szCs w:val="22"/>
        </w:rPr>
        <w:t xml:space="preserve">exécuter </w:t>
      </w:r>
      <w:r>
        <w:rPr>
          <w:rFonts w:ascii="Courier New" w:cs="Courier New" w:eastAsia="Courier New" w:hAnsi="Courier New"/>
          <w:color w:val="1976D2"/>
          <w:sz w:val="20"/>
          <w:szCs w:val="20"/>
          <w:shd w:fill="F1F5F9" w:val="clear"/>
        </w:rPr>
        <w:t xml:space="preserve"> OPTIMIZE TABLE ventes, ventes_details, mouvements_stock </w:t>
      </w:r>
      <w:r>
        <w:rPr>
          <w:rFonts w:ascii="Arial" w:cs="Arial" w:eastAsia="Arial" w:hAnsi="Arial"/>
          <w:color w:val="1E293B"/>
          <w:sz w:val="22"/>
          <w:szCs w:val="22"/>
        </w:rPr>
        <w:t xml:space="preserve"> une fois par trimestre pour défragmenter les tables les plus actives.</w:t>
      </w:r>
    </w:p>
    <w:p>
      <w:pPr>
        <w:pStyle w:val="ListParagraph"/>
        <w:numPr>
          <w:ilvl w:val="0"/>
          <w:numId w:val="2"/>
        </w:numPr>
        <w:spacing w:before="50" w:after="50"/>
      </w:pPr>
      <w:r>
        <w:rPr>
          <w:rFonts w:ascii="Arial" w:cs="Arial" w:eastAsia="Arial" w:hAnsi="Arial"/>
          <w:b/>
          <w:bCs/>
          <w:color w:val="1E293B"/>
          <w:sz w:val="22"/>
          <w:szCs w:val="22"/>
        </w:rPr>
        <w:t xml:space="preserve">Archivage des ventes : </w:t>
      </w:r>
      <w:r>
        <w:rPr>
          <w:rFonts w:ascii="Arial" w:cs="Arial" w:eastAsia="Arial" w:hAnsi="Arial"/>
          <w:color w:val="1E293B"/>
          <w:sz w:val="22"/>
          <w:szCs w:val="22"/>
        </w:rPr>
        <w:t xml:space="preserve">au-delà de 3 ans, déplacer les ventes annulées ou soldées vers des tables d'archive pour maintenir les performances des requêtes du tableau de bord.</w:t>
      </w:r>
    </w:p>
    <w:p>
      <w:pPr>
        <w:spacing w:before="0" w:after="100"/>
      </w:pPr>
      <w:r>
        <w:t xml:space="preserve"/>
      </w:r>
    </w:p>
    <w:p>
      <w:pPr>
        <w:pStyle w:val="Heading3"/>
        <w:spacing w:before="220" w:after="100"/>
      </w:pPr>
      <w:r>
        <w:rPr>
          <w:rFonts w:ascii="Arial" w:cs="Arial" w:eastAsia="Arial" w:hAnsi="Arial"/>
          <w:b/>
          <w:bCs/>
          <w:color w:val="1E293B"/>
          <w:sz w:val="23"/>
          <w:szCs w:val="23"/>
        </w:rPr>
        <w:t xml:space="preserve">C. Mise à jour de l'application</w:t>
      </w:r>
    </w:p>
    <w:p>
      <w:pPr>
        <w:pStyle w:val="ListParagraph"/>
        <w:numPr>
          <w:ilvl w:val="0"/>
          <w:numId w:val="2"/>
        </w:numPr>
        <w:spacing w:before="50" w:after="50"/>
      </w:pPr>
      <w:r>
        <w:rPr>
          <w:rFonts w:ascii="Arial" w:cs="Arial" w:eastAsia="Arial" w:hAnsi="Arial"/>
          <w:b/>
          <w:bCs/>
          <w:color w:val="1E293B"/>
          <w:sz w:val="22"/>
          <w:szCs w:val="22"/>
        </w:rPr>
        <w:t xml:space="preserve">Dépendances Python : </w:t>
      </w:r>
      <w:r>
        <w:rPr>
          <w:rFonts w:ascii="Arial" w:cs="Arial" w:eastAsia="Arial" w:hAnsi="Arial"/>
          <w:color w:val="1E293B"/>
          <w:sz w:val="22"/>
          <w:szCs w:val="22"/>
        </w:rPr>
        <w:t xml:space="preserve">vérifier trimestriellement les mises à jour critiques de sécurité avec </w:t>
      </w:r>
      <w:r>
        <w:rPr>
          <w:rFonts w:ascii="Courier New" w:cs="Courier New" w:eastAsia="Courier New" w:hAnsi="Courier New"/>
          <w:color w:val="1976D2"/>
          <w:sz w:val="20"/>
          <w:szCs w:val="20"/>
          <w:shd w:fill="F1F5F9" w:val="clear"/>
        </w:rPr>
        <w:t xml:space="preserve"> pip list --outdated </w:t>
      </w:r>
      <w:r>
        <w:rPr>
          <w:rFonts w:ascii="Arial" w:cs="Arial" w:eastAsia="Arial" w:hAnsi="Arial"/>
          <w:color w:val="1E293B"/>
          <w:sz w:val="22"/>
          <w:szCs w:val="22"/>
        </w:rPr>
        <w:t xml:space="preserve">. Mettre à jour en priorité bcrypt et pymysql.</w:t>
      </w:r>
    </w:p>
    <w:p>
      <w:pPr>
        <w:pStyle w:val="ListParagraph"/>
        <w:numPr>
          <w:ilvl w:val="0"/>
          <w:numId w:val="2"/>
        </w:numPr>
        <w:spacing w:before="50" w:after="50"/>
      </w:pPr>
      <w:r>
        <w:rPr>
          <w:rFonts w:ascii="Arial" w:cs="Arial" w:eastAsia="Arial" w:hAnsi="Arial"/>
          <w:b/>
          <w:bCs/>
          <w:color w:val="1E293B"/>
          <w:sz w:val="22"/>
          <w:szCs w:val="22"/>
        </w:rPr>
        <w:t xml:space="preserve">Tests avant déploiement : </w:t>
      </w:r>
      <w:r>
        <w:rPr>
          <w:rFonts w:ascii="Arial" w:cs="Arial" w:eastAsia="Arial" w:hAnsi="Arial"/>
          <w:color w:val="1E293B"/>
          <w:sz w:val="22"/>
          <w:szCs w:val="22"/>
        </w:rPr>
        <w:t xml:space="preserve">toujours tester sur un poste de recette avec une copie de la base de production avant de déployer une mise à jour sur tous les postes.</w:t>
      </w:r>
    </w:p>
    <w:p>
      <w:r>
        <w:br w:type="page"/>
      </w:r>
    </w:p>
    <w:p>
      <w:pPr>
        <w:pStyle w:val="Heading2"/>
        <w:spacing w:before="340" w:after="140"/>
      </w:pPr>
      <w:r>
        <w:rPr>
          <w:rFonts w:ascii="Arial" w:cs="Arial" w:eastAsia="Arial" w:hAnsi="Arial"/>
          <w:b/>
          <w:bCs/>
          <w:color w:val="1976D2"/>
          <w:sz w:val="26"/>
          <w:szCs w:val="26"/>
        </w:rPr>
        <w:t xml:space="preserve">III. Versioning de la Base de Données</w:t>
      </w:r>
    </w:p>
    <w:p>
      <w:pPr>
        <w:spacing w:before="60" w:after="120"/>
      </w:pPr>
      <w:r>
        <w:rPr>
          <w:rFonts w:ascii="Arial" w:cs="Arial" w:eastAsia="Arial" w:hAnsi="Arial"/>
          <w:b w:val="false"/>
          <w:bCs w:val="false"/>
          <w:i w:val="false"/>
          <w:iCs w:val="false"/>
          <w:color w:val="1E293B"/>
          <w:sz w:val="22"/>
          <w:szCs w:val="22"/>
        </w:rPr>
        <w:t xml:space="preserve">Toute modification de la structure de la base (ajout d'une colonne, nouvelle table, modification d'un index) doit suivre une procédure stricte. Une BDD non synchronisée entre le code et le serveur provoque des erreurs du type "Unknown column 'X' in 'field list'" qui bloquent l'application sur les postes non mis à jour.</w:t>
      </w:r>
    </w:p>
    <w:p>
      <w:pPr>
        <w:spacing w:before="0" w:after="100"/>
      </w:pPr>
      <w:r>
        <w:t xml:space="preserve"/>
      </w:r>
    </w:p>
    <w:p>
      <w:pPr>
        <w:pStyle w:val="Heading3"/>
        <w:spacing w:before="220" w:after="100"/>
      </w:pPr>
      <w:r>
        <w:rPr>
          <w:rFonts w:ascii="Arial" w:cs="Arial" w:eastAsia="Arial" w:hAnsi="Arial"/>
          <w:b/>
          <w:bCs/>
          <w:color w:val="1E293B"/>
          <w:sz w:val="23"/>
          <w:szCs w:val="23"/>
        </w:rPr>
        <w:t xml:space="preserve">A. Principe des scripts de migration</w:t>
      </w:r>
    </w:p>
    <w:p>
      <w:pPr>
        <w:spacing w:before="60" w:after="120"/>
      </w:pPr>
      <w:r>
        <w:rPr>
          <w:rFonts w:ascii="Arial" w:cs="Arial" w:eastAsia="Arial" w:hAnsi="Arial"/>
          <w:b w:val="false"/>
          <w:bCs w:val="false"/>
          <w:i w:val="false"/>
          <w:iCs w:val="false"/>
          <w:color w:val="1E293B"/>
          <w:sz w:val="22"/>
          <w:szCs w:val="22"/>
        </w:rPr>
        <w:t xml:space="preserve">Plutôt que de modifier schema.sql directement, chaque évolution de la BDD doit faire l'objet d'un script de migration numéroté et daté :</w:t>
      </w:r>
    </w:p>
    <w:p>
      <w:pPr>
        <w:spacing w:before="0" w:after="100"/>
      </w:pPr>
      <w:r>
        <w:t xml:space="preserve"/>
      </w:r>
    </w:p>
    <w:tbl>
      <w:tblPr>
        <w:tblW w:type="dxa" w:w="9026"/>
        <w:tblBorders>
          <w:top w:val="single" w:color="CBD5E1" w:sz="1"/>
          <w:left w:val="single" w:color="1976D2" w:sz="16"/>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database/</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schema.sql             # Structure initiale complète (v1.0.0)</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migrations/</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 v1.1.0_add_remise.sql</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 v1.2.0_add_promotions.sql</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 v1.3.0_add_code_barre.sql</w:t>
            </w:r>
          </w:p>
        </w:tc>
      </w:tr>
    </w:tbl>
    <w:p>
      <w:pPr>
        <w:spacing w:before="0" w:after="100"/>
      </w:pPr>
      <w:r>
        <w:t xml:space="preserve"/>
      </w:r>
    </w:p>
    <w:p>
      <w:pPr>
        <w:spacing w:before="60" w:after="120"/>
      </w:pPr>
      <w:r>
        <w:rPr>
          <w:rFonts w:ascii="Arial" w:cs="Arial" w:eastAsia="Arial" w:hAnsi="Arial"/>
          <w:b w:val="false"/>
          <w:bCs w:val="false"/>
          <w:i w:val="false"/>
          <w:iCs w:val="false"/>
          <w:color w:val="1E293B"/>
          <w:sz w:val="22"/>
          <w:szCs w:val="22"/>
        </w:rPr>
        <w:t xml:space="preserve">Chaque script de migration ne contient que les instructions ALTER TABLE ou CREATE TABLE nécessaires à la mise à jour, et jamais la structure complète. Exemple :</w:t>
      </w:r>
    </w:p>
    <w:p>
      <w:pPr>
        <w:spacing w:before="0" w:after="100"/>
      </w:pPr>
      <w:r>
        <w:t xml:space="preserve"/>
      </w:r>
    </w:p>
    <w:tbl>
      <w:tblPr>
        <w:tblW w:type="dxa" w:w="9026"/>
        <w:tblBorders>
          <w:top w:val="single" w:color="CBD5E1" w:sz="1"/>
          <w:left w:val="single" w:color="1976D2" w:sz="16"/>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migrations/v1.1.0_add_remise.sql</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Description : Ajout du champ remise sur les lignes de vente</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Version     : 1.1.0</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Date        : 2026-03-01</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ALTER TABLE ventes_details</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ADD COLUMN remise DECIMAL(5,2) NOT NULL DEFAULT 0.00</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AFTER prix_unitaire;</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Mettre à jour la colonne générée sous_total pour inclure la remise</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ALTER TABLE ventes_details</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MODIFY COLUMN sous_total DECIMAL(12,2)</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GENERATED ALWAYS AS (quantite * prix_unitaire * (1 - remise/100)) STORED;</w:t>
            </w:r>
          </w:p>
        </w:tc>
      </w:tr>
    </w:tbl>
    <w:p>
      <w:pPr>
        <w:spacing w:before="0" w:after="100"/>
      </w:pPr>
      <w:r>
        <w:t xml:space="preserve"/>
      </w:r>
    </w:p>
    <w:p>
      <w:pPr>
        <w:pStyle w:val="Heading3"/>
        <w:spacing w:before="220" w:after="100"/>
      </w:pPr>
      <w:r>
        <w:rPr>
          <w:rFonts w:ascii="Arial" w:cs="Arial" w:eastAsia="Arial" w:hAnsi="Arial"/>
          <w:b/>
          <w:bCs/>
          <w:color w:val="1E293B"/>
          <w:sz w:val="23"/>
          <w:szCs w:val="23"/>
        </w:rPr>
        <w:t xml:space="preserve">B. Procédure de déploiement d'une mise à jour</w:t>
      </w:r>
    </w:p>
    <w:p>
      <w:pPr>
        <w:pStyle w:val="ListParagraph"/>
        <w:numPr>
          <w:ilvl w:val="0"/>
          <w:numId w:val="3"/>
        </w:numPr>
        <w:spacing w:before="60" w:after="60"/>
      </w:pPr>
      <w:r>
        <w:rPr>
          <w:rFonts w:ascii="Arial" w:cs="Arial" w:eastAsia="Arial" w:hAnsi="Arial"/>
          <w:color w:val="1E293B"/>
          <w:sz w:val="22"/>
          <w:szCs w:val="22"/>
        </w:rPr>
        <w:t xml:space="preserve">Sauvegarder la base de données (mysqldump) avant toute intervention.</w:t>
      </w:r>
    </w:p>
    <w:p>
      <w:pPr>
        <w:pStyle w:val="ListParagraph"/>
        <w:numPr>
          <w:ilvl w:val="0"/>
          <w:numId w:val="3"/>
        </w:numPr>
        <w:spacing w:before="60" w:after="60"/>
      </w:pPr>
      <w:r>
        <w:rPr>
          <w:rFonts w:ascii="Arial" w:cs="Arial" w:eastAsia="Arial" w:hAnsi="Arial"/>
          <w:color w:val="1E293B"/>
          <w:sz w:val="22"/>
          <w:szCs w:val="22"/>
        </w:rPr>
        <w:t xml:space="preserve">Appliquer le script de migration sur le serveur MySQL : </w:t>
      </w:r>
      <w:r>
        <w:rPr>
          <w:rFonts w:ascii="Courier New" w:cs="Courier New" w:eastAsia="Courier New" w:hAnsi="Courier New"/>
          <w:color w:val="1976D2"/>
          <w:sz w:val="20"/>
          <w:szCs w:val="20"/>
          <w:shd w:fill="F1F5F9" w:val="clear"/>
        </w:rPr>
        <w:t xml:space="preserve"> mysql -u root -p gestion_commerciale &lt; v1.1.0_add_remise.sql </w:t>
      </w:r>
      <w:r>
        <w:rPr>
          <w:rFonts w:ascii="Arial" w:cs="Arial" w:eastAsia="Arial" w:hAnsi="Arial"/>
          <w:color w:val="1E293B"/>
          <w:sz w:val="22"/>
          <w:szCs w:val="22"/>
        </w:rPr>
        <w:t xml:space="preserve">.</w:t>
      </w:r>
    </w:p>
    <w:p>
      <w:pPr>
        <w:pStyle w:val="ListParagraph"/>
        <w:numPr>
          <w:ilvl w:val="0"/>
          <w:numId w:val="3"/>
        </w:numPr>
        <w:spacing w:before="60" w:after="60"/>
      </w:pPr>
      <w:r>
        <w:rPr>
          <w:rFonts w:ascii="Arial" w:cs="Arial" w:eastAsia="Arial" w:hAnsi="Arial"/>
          <w:color w:val="1E293B"/>
          <w:sz w:val="22"/>
          <w:szCs w:val="22"/>
        </w:rPr>
        <w:t xml:space="preserve">Mettre à jour le code source (contrôleurs, modèles) sur tous les postes clients.</w:t>
      </w:r>
    </w:p>
    <w:p>
      <w:pPr>
        <w:pStyle w:val="ListParagraph"/>
        <w:numPr>
          <w:ilvl w:val="0"/>
          <w:numId w:val="3"/>
        </w:numPr>
        <w:spacing w:before="60" w:after="60"/>
      </w:pPr>
      <w:r>
        <w:rPr>
          <w:rFonts w:ascii="Arial" w:cs="Arial" w:eastAsia="Arial" w:hAnsi="Arial"/>
          <w:color w:val="1E293B"/>
          <w:sz w:val="22"/>
          <w:szCs w:val="22"/>
        </w:rPr>
        <w:t xml:space="preserve">Tester l'application sur un poste de recette avant déploiement général.</w:t>
      </w:r>
    </w:p>
    <w:p>
      <w:pPr>
        <w:pStyle w:val="ListParagraph"/>
        <w:numPr>
          <w:ilvl w:val="0"/>
          <w:numId w:val="3"/>
        </w:numPr>
        <w:spacing w:before="60" w:after="60"/>
      </w:pPr>
      <w:r>
        <w:rPr>
          <w:rFonts w:ascii="Arial" w:cs="Arial" w:eastAsia="Arial" w:hAnsi="Arial"/>
          <w:color w:val="1E293B"/>
          <w:sz w:val="22"/>
          <w:szCs w:val="22"/>
        </w:rPr>
        <w:t xml:space="preserve">Documenter la version déployée dans un fichier CHANGELOG.md.</w:t>
      </w:r>
    </w:p>
    <w:p>
      <w:pPr>
        <w:spacing w:before="0" w:after="100"/>
      </w:pPr>
      <w:r>
        <w:t xml:space="preserve"/>
      </w:r>
    </w:p>
    <w:tbl>
      <w:tblPr>
        <w:tblW w:type="dxa" w:w="9026"/>
        <w:tblBorders>
          <w:top w:val="single" w:color="1976D2" w:sz="1"/>
          <w:left w:val="single" w:color="1976D2" w:sz="20"/>
          <w:bottom w:val="single" w:color="1976D2" w:sz="1"/>
          <w:right w:val="single" w:color="1976D2"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30"/>
              <w:left w:type="dxa" w:w="220"/>
              <w:bottom w:type="dxa" w:w="130"/>
              <w:right w:type="dxa" w:w="220"/>
            </w:tcMar>
          </w:tcPr>
          <w:p>
            <w:pPr>
              <w:spacing w:before="0" w:after="0"/>
            </w:pPr>
            <w:r>
              <w:rPr>
                <w:rFonts w:ascii="Arial" w:cs="Arial" w:eastAsia="Arial" w:hAnsi="Arial"/>
                <w:b/>
                <w:bCs/>
                <w:color w:val="1E293B"/>
                <w:sz w:val="21"/>
                <w:szCs w:val="21"/>
              </w:rPr>
              <w:t xml:space="preserve">💡  Conseil d'expert :  </w:t>
            </w:r>
            <w:r>
              <w:rPr>
                <w:rFonts w:ascii="Arial" w:cs="Arial" w:eastAsia="Arial" w:hAnsi="Arial"/>
                <w:color w:val="1E293B"/>
                <w:sz w:val="21"/>
                <w:szCs w:val="21"/>
              </w:rPr>
              <w:t xml:space="preserve">Si plusieurs postes tournent en parallèle (multi-utilisateurs), planifier la mise à jour en dehors des heures de travail. Une BDD migrée avec du code ancien sur un autre poste provoquera des erreurs "Unknown column" immédiatement.</w:t>
            </w:r>
          </w:p>
        </w:tc>
      </w:tr>
    </w:tbl>
    <w:p>
      <w:r>
        <w:br w:type="page"/>
      </w:r>
    </w:p>
    <w:p>
      <w:pPr>
        <w:pStyle w:val="Heading2"/>
        <w:spacing w:before="340" w:after="140"/>
      </w:pPr>
      <w:r>
        <w:rPr>
          <w:rFonts w:ascii="Arial" w:cs="Arial" w:eastAsia="Arial" w:hAnsi="Arial"/>
          <w:b/>
          <w:bCs/>
          <w:color w:val="1976D2"/>
          <w:sz w:val="26"/>
          <w:szCs w:val="26"/>
        </w:rPr>
        <w:t xml:space="preserve">IV. Évolutions Futures (Roadmap Technique)</w:t>
      </w:r>
    </w:p>
    <w:p>
      <w:pPr>
        <w:spacing w:before="60" w:after="120"/>
      </w:pPr>
      <w:r>
        <w:rPr>
          <w:rFonts w:ascii="Arial" w:cs="Arial" w:eastAsia="Arial" w:hAnsi="Arial"/>
          <w:b w:val="false"/>
          <w:bCs w:val="false"/>
          <w:i w:val="false"/>
          <w:iCs w:val="false"/>
          <w:color w:val="1E293B"/>
          <w:sz w:val="22"/>
          <w:szCs w:val="22"/>
        </w:rPr>
        <w:t xml:space="preserve">Pour augmenter la valeur métier de l'application, les évolutions suivantes sont recommandées, classées par priorité d'implémentation :</w:t>
      </w:r>
    </w:p>
    <w:p>
      <w:pPr>
        <w:spacing w:before="0" w:after="100"/>
      </w:pPr>
      <w:r>
        <w:t xml:space="preserve"/>
      </w:r>
    </w:p>
    <w:p>
      <w:pPr>
        <w:pStyle w:val="Heading3"/>
        <w:spacing w:before="220" w:after="100"/>
      </w:pPr>
      <w:r>
        <w:rPr>
          <w:rFonts w:ascii="Arial" w:cs="Arial" w:eastAsia="Arial" w:hAnsi="Arial"/>
          <w:b/>
          <w:bCs/>
          <w:color w:val="1E293B"/>
          <w:sz w:val="23"/>
          <w:szCs w:val="23"/>
        </w:rPr>
        <w:t xml:space="preserve">1. Module Code-Barres</w:t>
      </w:r>
    </w:p>
    <w:p>
      <w:pPr>
        <w:pStyle w:val="ListParagraph"/>
        <w:numPr>
          <w:ilvl w:val="0"/>
          <w:numId w:val="2"/>
        </w:numPr>
        <w:spacing w:before="50" w:after="50"/>
      </w:pPr>
      <w:r>
        <w:rPr>
          <w:rFonts w:ascii="Arial" w:cs="Arial" w:eastAsia="Arial" w:hAnsi="Arial"/>
          <w:b/>
          <w:bCs/>
          <w:color w:val="1E293B"/>
          <w:sz w:val="22"/>
          <w:szCs w:val="22"/>
        </w:rPr>
        <w:t xml:space="preserve">Objectif : </w:t>
      </w:r>
      <w:r>
        <w:rPr>
          <w:rFonts w:ascii="Arial" w:cs="Arial" w:eastAsia="Arial" w:hAnsi="Arial"/>
          <w:color w:val="1E293B"/>
          <w:sz w:val="22"/>
          <w:szCs w:val="22"/>
        </w:rPr>
        <w:t xml:space="preserve">permettre l'ajout de produits au panier via une douchette laser, sans saisie clavier.</w:t>
      </w:r>
    </w:p>
    <w:p>
      <w:pPr>
        <w:pStyle w:val="ListParagraph"/>
        <w:numPr>
          <w:ilvl w:val="0"/>
          <w:numId w:val="2"/>
        </w:numPr>
        <w:spacing w:before="50" w:after="50"/>
      </w:pPr>
      <w:r>
        <w:rPr>
          <w:rFonts w:ascii="Arial" w:cs="Arial" w:eastAsia="Arial" w:hAnsi="Arial"/>
          <w:b/>
          <w:bCs/>
          <w:color w:val="1E293B"/>
          <w:sz w:val="22"/>
          <w:szCs w:val="22"/>
        </w:rPr>
        <w:t xml:space="preserve">Implémentation : </w:t>
      </w:r>
      <w:r>
        <w:rPr>
          <w:rFonts w:ascii="Arial" w:cs="Arial" w:eastAsia="Arial" w:hAnsi="Arial"/>
          <w:color w:val="1E293B"/>
          <w:sz w:val="22"/>
          <w:szCs w:val="22"/>
        </w:rPr>
        <w:t xml:space="preserve">les douchettes USB émettent les codes comme des frappes clavier. Il suffit d'ajouter un écouteur d'événement </w:t>
      </w:r>
      <w:r>
        <w:rPr>
          <w:rFonts w:ascii="Courier New" w:cs="Courier New" w:eastAsia="Courier New" w:hAnsi="Courier New"/>
          <w:color w:val="1976D2"/>
          <w:sz w:val="20"/>
          <w:szCs w:val="20"/>
          <w:shd w:fill="F1F5F9" w:val="clear"/>
        </w:rPr>
        <w:t xml:space="preserve"> keyPressEvent </w:t>
      </w:r>
      <w:r>
        <w:rPr>
          <w:rFonts w:ascii="Arial" w:cs="Arial" w:eastAsia="Arial" w:hAnsi="Arial"/>
          <w:color w:val="1E293B"/>
          <w:sz w:val="22"/>
          <w:szCs w:val="22"/>
        </w:rPr>
        <w:t xml:space="preserve"> sur le champ "Recherche Produit" dans la vue de vente.</w:t>
      </w:r>
    </w:p>
    <w:p>
      <w:pPr>
        <w:pStyle w:val="ListParagraph"/>
        <w:numPr>
          <w:ilvl w:val="0"/>
          <w:numId w:val="2"/>
        </w:numPr>
        <w:spacing w:before="50" w:after="50"/>
      </w:pPr>
      <w:r>
        <w:rPr>
          <w:rFonts w:ascii="Arial" w:cs="Arial" w:eastAsia="Arial" w:hAnsi="Arial"/>
          <w:b/>
          <w:bCs/>
          <w:color w:val="1E293B"/>
          <w:sz w:val="22"/>
          <w:szCs w:val="22"/>
        </w:rPr>
        <w:t xml:space="preserve">Modification BDD : </w:t>
      </w:r>
      <w:r>
        <w:rPr>
          <w:rFonts w:ascii="Arial" w:cs="Arial" w:eastAsia="Arial" w:hAnsi="Arial"/>
          <w:color w:val="1E293B"/>
          <w:sz w:val="22"/>
          <w:szCs w:val="22"/>
        </w:rPr>
        <w:t xml:space="preserve">ajouter une colonne </w:t>
      </w:r>
      <w:r>
        <w:rPr>
          <w:rFonts w:ascii="Courier New" w:cs="Courier New" w:eastAsia="Courier New" w:hAnsi="Courier New"/>
          <w:color w:val="1976D2"/>
          <w:sz w:val="20"/>
          <w:szCs w:val="20"/>
          <w:shd w:fill="F1F5F9" w:val="clear"/>
        </w:rPr>
        <w:t xml:space="preserve"> code_barre VARCHAR(50) </w:t>
      </w:r>
      <w:r>
        <w:rPr>
          <w:rFonts w:ascii="Arial" w:cs="Arial" w:eastAsia="Arial" w:hAnsi="Arial"/>
          <w:color w:val="1E293B"/>
          <w:sz w:val="22"/>
          <w:szCs w:val="22"/>
        </w:rPr>
        <w:t xml:space="preserve"> dans la table </w:t>
      </w:r>
      <w:r>
        <w:rPr>
          <w:rFonts w:ascii="Courier New" w:cs="Courier New" w:eastAsia="Courier New" w:hAnsi="Courier New"/>
          <w:color w:val="1976D2"/>
          <w:sz w:val="20"/>
          <w:szCs w:val="20"/>
          <w:shd w:fill="F1F5F9" w:val="clear"/>
        </w:rPr>
        <w:t xml:space="preserve"> produits </w:t>
      </w:r>
      <w:r>
        <w:rPr>
          <w:rFonts w:ascii="Arial" w:cs="Arial" w:eastAsia="Arial" w:hAnsi="Arial"/>
          <w:color w:val="1E293B"/>
          <w:sz w:val="22"/>
          <w:szCs w:val="22"/>
        </w:rPr>
        <w:t xml:space="preserve"> et un index UNIQUE dessus.</w:t>
      </w:r>
    </w:p>
    <w:p>
      <w:pPr>
        <w:spacing w:before="0" w:after="100"/>
      </w:pPr>
      <w:r>
        <w:t xml:space="preserve"/>
      </w:r>
    </w:p>
    <w:tbl>
      <w:tblPr>
        <w:tblW w:type="dxa" w:w="9026"/>
        <w:tblBorders>
          <w:top w:val="single" w:color="CBD5E1" w:sz="1"/>
          <w:left w:val="single" w:color="1976D2" w:sz="16"/>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Exemple d'écouteur dans sales_view.py</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def keyPressEvent(self, event):</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if self.search_field.hasFocus() and event.key() == Qt.Key.Key_Return:</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code = self.search_field.text().strip()</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produit = ProductController.get_by_barcode(code)</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if produit:</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self._add_to_cart(produit)</w:t>
            </w:r>
          </w:p>
        </w:tc>
      </w:tr>
    </w:tbl>
    <w:p>
      <w:pPr>
        <w:spacing w:before="0" w:after="100"/>
      </w:pPr>
      <w:r>
        <w:t xml:space="preserve"/>
      </w:r>
    </w:p>
    <w:p>
      <w:pPr>
        <w:pStyle w:val="Heading3"/>
        <w:spacing w:before="220" w:after="100"/>
      </w:pPr>
      <w:r>
        <w:rPr>
          <w:rFonts w:ascii="Arial" w:cs="Arial" w:eastAsia="Arial" w:hAnsi="Arial"/>
          <w:b/>
          <w:bCs/>
          <w:color w:val="1E293B"/>
          <w:sz w:val="23"/>
          <w:szCs w:val="23"/>
        </w:rPr>
        <w:t xml:space="preserve">2. API REST (accès distant / mobile)</w:t>
      </w:r>
    </w:p>
    <w:p>
      <w:pPr>
        <w:pStyle w:val="ListParagraph"/>
        <w:numPr>
          <w:ilvl w:val="0"/>
          <w:numId w:val="2"/>
        </w:numPr>
        <w:spacing w:before="50" w:after="50"/>
      </w:pPr>
      <w:r>
        <w:rPr>
          <w:rFonts w:ascii="Arial" w:cs="Arial" w:eastAsia="Arial" w:hAnsi="Arial"/>
          <w:b/>
          <w:bCs/>
          <w:color w:val="1E293B"/>
          <w:sz w:val="22"/>
          <w:szCs w:val="22"/>
        </w:rPr>
        <w:t xml:space="preserve">Objectif : </w:t>
      </w:r>
      <w:r>
        <w:rPr>
          <w:rFonts w:ascii="Arial" w:cs="Arial" w:eastAsia="Arial" w:hAnsi="Arial"/>
          <w:color w:val="1E293B"/>
          <w:sz w:val="22"/>
          <w:szCs w:val="22"/>
        </w:rPr>
        <w:t xml:space="preserve">permettre à une future application mobile (ou web) de consulter les stocks et les ventes à distance.</w:t>
      </w:r>
    </w:p>
    <w:p>
      <w:pPr>
        <w:pStyle w:val="ListParagraph"/>
        <w:numPr>
          <w:ilvl w:val="0"/>
          <w:numId w:val="2"/>
        </w:numPr>
        <w:spacing w:before="50" w:after="50"/>
      </w:pPr>
      <w:r>
        <w:rPr>
          <w:rFonts w:ascii="Arial" w:cs="Arial" w:eastAsia="Arial" w:hAnsi="Arial"/>
          <w:b/>
          <w:bCs/>
          <w:color w:val="1E293B"/>
          <w:sz w:val="22"/>
          <w:szCs w:val="22"/>
        </w:rPr>
        <w:t xml:space="preserve">Implémentation : </w:t>
      </w:r>
      <w:r>
        <w:rPr>
          <w:rFonts w:ascii="Arial" w:cs="Arial" w:eastAsia="Arial" w:hAnsi="Arial"/>
          <w:color w:val="1E293B"/>
          <w:sz w:val="22"/>
          <w:szCs w:val="22"/>
        </w:rPr>
        <w:t xml:space="preserve">développer une couche API avec FastAPI ou Flask. Les contrôleurs existants peuvent être réutilisés tels quels — seule la couche de présentation change.</w:t>
      </w:r>
    </w:p>
    <w:p>
      <w:pPr>
        <w:pStyle w:val="ListParagraph"/>
        <w:numPr>
          <w:ilvl w:val="0"/>
          <w:numId w:val="2"/>
        </w:numPr>
        <w:spacing w:before="50" w:after="50"/>
      </w:pPr>
      <w:r>
        <w:rPr>
          <w:rFonts w:ascii="Arial" w:cs="Arial" w:eastAsia="Arial" w:hAnsi="Arial"/>
          <w:b/>
          <w:bCs/>
          <w:color w:val="1E293B"/>
          <w:sz w:val="22"/>
          <w:szCs w:val="22"/>
        </w:rPr>
        <w:t xml:space="preserve">Sécurité : </w:t>
      </w:r>
      <w:r>
        <w:rPr>
          <w:rFonts w:ascii="Arial" w:cs="Arial" w:eastAsia="Arial" w:hAnsi="Arial"/>
          <w:color w:val="1E293B"/>
          <w:sz w:val="22"/>
          <w:szCs w:val="22"/>
        </w:rPr>
        <w:t xml:space="preserve">protéger les endpoints avec JWT (JSON Web Token), en réutilisant la logique de </w:t>
      </w:r>
      <w:r>
        <w:rPr>
          <w:rFonts w:ascii="Courier New" w:cs="Courier New" w:eastAsia="Courier New" w:hAnsi="Courier New"/>
          <w:color w:val="1976D2"/>
          <w:sz w:val="20"/>
          <w:szCs w:val="20"/>
          <w:shd w:fill="F1F5F9" w:val="clear"/>
        </w:rPr>
        <w:t xml:space="preserve"> SessionManager </w:t>
      </w:r>
      <w:r>
        <w:rPr>
          <w:rFonts w:ascii="Arial" w:cs="Arial" w:eastAsia="Arial" w:hAnsi="Arial"/>
          <w:color w:val="1E293B"/>
          <w:sz w:val="22"/>
          <w:szCs w:val="22"/>
        </w:rPr>
        <w:t xml:space="preserve"> comme base.</w:t>
      </w:r>
    </w:p>
    <w:p>
      <w:pPr>
        <w:spacing w:before="0" w:after="100"/>
      </w:pPr>
      <w:r>
        <w:t xml:space="preserve"/>
      </w:r>
    </w:p>
    <w:tbl>
      <w:tblPr>
        <w:tblW w:type="dxa" w:w="9026"/>
        <w:tblBorders>
          <w:top w:val="single" w:color="CBD5E1" w:sz="1"/>
          <w:left w:val="single" w:color="1976D2" w:sz="16"/>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Exemple de endpoint FastAPI réutilisant le contrôleur existant</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from fastapi import FastAPI, Depends</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from controllers.product_controller import ProductController</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app = FastAPI()</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@app.get("/api/produits")</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def list_produits(search: str = None):</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return ProductController.get_all(search=search)</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@app.get("/api/stock/alertes")</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def stock_alertes():</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return ProductController.get_low_stock()</w:t>
            </w:r>
          </w:p>
        </w:tc>
      </w:tr>
    </w:tbl>
    <w:p>
      <w:pPr>
        <w:spacing w:before="0" w:after="100"/>
      </w:pPr>
      <w:r>
        <w:t xml:space="preserve"/>
      </w:r>
    </w:p>
    <w:p>
      <w:pPr>
        <w:pStyle w:val="Heading3"/>
        <w:spacing w:before="220" w:after="100"/>
      </w:pPr>
      <w:r>
        <w:rPr>
          <w:rFonts w:ascii="Arial" w:cs="Arial" w:eastAsia="Arial" w:hAnsi="Arial"/>
          <w:b/>
          <w:bCs/>
          <w:color w:val="1E293B"/>
          <w:sz w:val="23"/>
          <w:szCs w:val="23"/>
        </w:rPr>
        <w:t xml:space="preserve">3. Hébergement Cloud (déploiement multi-sites)</w:t>
      </w:r>
    </w:p>
    <w:p>
      <w:pPr>
        <w:pStyle w:val="ListParagraph"/>
        <w:numPr>
          <w:ilvl w:val="0"/>
          <w:numId w:val="2"/>
        </w:numPr>
        <w:spacing w:before="50" w:after="50"/>
      </w:pPr>
      <w:r>
        <w:rPr>
          <w:rFonts w:ascii="Arial" w:cs="Arial" w:eastAsia="Arial" w:hAnsi="Arial"/>
          <w:b/>
          <w:bCs/>
          <w:color w:val="1E293B"/>
          <w:sz w:val="22"/>
          <w:szCs w:val="22"/>
        </w:rPr>
        <w:t xml:space="preserve">Objectif : </w:t>
      </w:r>
      <w:r>
        <w:rPr>
          <w:rFonts w:ascii="Arial" w:cs="Arial" w:eastAsia="Arial" w:hAnsi="Arial"/>
          <w:color w:val="1E293B"/>
          <w:sz w:val="22"/>
          <w:szCs w:val="22"/>
        </w:rPr>
        <w:t xml:space="preserve">permettre l'utilisation de l'application depuis plusieurs sites géographiques sur une base de données partagée.</w:t>
      </w:r>
    </w:p>
    <w:p>
      <w:pPr>
        <w:pStyle w:val="ListParagraph"/>
        <w:numPr>
          <w:ilvl w:val="0"/>
          <w:numId w:val="2"/>
        </w:numPr>
        <w:spacing w:before="50" w:after="50"/>
      </w:pPr>
      <w:r>
        <w:rPr>
          <w:rFonts w:ascii="Arial" w:cs="Arial" w:eastAsia="Arial" w:hAnsi="Arial"/>
          <w:b/>
          <w:bCs/>
          <w:color w:val="1E293B"/>
          <w:sz w:val="22"/>
          <w:szCs w:val="22"/>
        </w:rPr>
        <w:t xml:space="preserve">Migration : </w:t>
      </w:r>
      <w:r>
        <w:rPr>
          <w:rFonts w:ascii="Arial" w:cs="Arial" w:eastAsia="Arial" w:hAnsi="Arial"/>
          <w:color w:val="1E293B"/>
          <w:sz w:val="22"/>
          <w:szCs w:val="22"/>
        </w:rPr>
        <w:t xml:space="preserve">déplacer la base MySQL vers une instance cloud managée (Amazon RDS, Azure Database for MySQL, ou PlanetScale).</w:t>
      </w:r>
    </w:p>
    <w:p>
      <w:pPr>
        <w:pStyle w:val="ListParagraph"/>
        <w:numPr>
          <w:ilvl w:val="0"/>
          <w:numId w:val="2"/>
        </w:numPr>
        <w:spacing w:before="50" w:after="50"/>
      </w:pPr>
      <w:r>
        <w:rPr>
          <w:rFonts w:ascii="Arial" w:cs="Arial" w:eastAsia="Arial" w:hAnsi="Arial"/>
          <w:b/>
          <w:bCs/>
          <w:color w:val="1E293B"/>
          <w:sz w:val="22"/>
          <w:szCs w:val="22"/>
        </w:rPr>
        <w:t xml:space="preserve">Modification code : </w:t>
      </w:r>
      <w:r>
        <w:rPr>
          <w:rFonts w:ascii="Arial" w:cs="Arial" w:eastAsia="Arial" w:hAnsi="Arial"/>
          <w:color w:val="1E293B"/>
          <w:sz w:val="22"/>
          <w:szCs w:val="22"/>
        </w:rPr>
        <w:t xml:space="preserve">uniquement le fichier </w:t>
      </w:r>
      <w:r>
        <w:rPr>
          <w:rFonts w:ascii="Courier New" w:cs="Courier New" w:eastAsia="Courier New" w:hAnsi="Courier New"/>
          <w:color w:val="1976D2"/>
          <w:sz w:val="20"/>
          <w:szCs w:val="20"/>
          <w:shd w:fill="F1F5F9" w:val="clear"/>
        </w:rPr>
        <w:t xml:space="preserve"> .env </w:t>
      </w:r>
      <w:r>
        <w:rPr>
          <w:rFonts w:ascii="Arial" w:cs="Arial" w:eastAsia="Arial" w:hAnsi="Arial"/>
          <w:color w:val="1E293B"/>
          <w:sz w:val="22"/>
          <w:szCs w:val="22"/>
        </w:rPr>
        <w:t xml:space="preserve"> sur chaque poste client. Le reste du code reste identique grâce à la séparation des préoccupations.</w:t>
      </w:r>
    </w:p>
    <w:p>
      <w:pPr>
        <w:pStyle w:val="ListParagraph"/>
        <w:numPr>
          <w:ilvl w:val="0"/>
          <w:numId w:val="2"/>
        </w:numPr>
        <w:spacing w:before="50" w:after="50"/>
      </w:pPr>
      <w:r>
        <w:rPr>
          <w:rFonts w:ascii="Arial" w:cs="Arial" w:eastAsia="Arial" w:hAnsi="Arial"/>
          <w:b/>
          <w:bCs/>
          <w:color w:val="1E293B"/>
          <w:sz w:val="22"/>
          <w:szCs w:val="22"/>
        </w:rPr>
        <w:t xml:space="preserve">Point d'attention : </w:t>
      </w:r>
      <w:r>
        <w:rPr>
          <w:rFonts w:ascii="Arial" w:cs="Arial" w:eastAsia="Arial" w:hAnsi="Arial"/>
          <w:color w:val="1E293B"/>
          <w:sz w:val="22"/>
          <w:szCs w:val="22"/>
        </w:rPr>
        <w:t xml:space="preserve">activer SSL/TLS pour chiffrer la connexion entre les postes clients et la BDD distante. PyMySQL le supporte via le paramètre </w:t>
      </w:r>
      <w:r>
        <w:rPr>
          <w:rFonts w:ascii="Courier New" w:cs="Courier New" w:eastAsia="Courier New" w:hAnsi="Courier New"/>
          <w:color w:val="1976D2"/>
          <w:sz w:val="20"/>
          <w:szCs w:val="20"/>
          <w:shd w:fill="F1F5F9" w:val="clear"/>
        </w:rPr>
        <w:t xml:space="preserve"> ssl </w:t>
      </w:r>
      <w:r>
        <w:rPr>
          <w:rFonts w:ascii="Arial" w:cs="Arial" w:eastAsia="Arial" w:hAnsi="Arial"/>
          <w:color w:val="1E293B"/>
          <w:sz w:val="22"/>
          <w:szCs w:val="22"/>
        </w:rPr>
        <w:t xml:space="preserve"> dans la configuration.</w:t>
      </w:r>
    </w:p>
    <w:p>
      <w:pPr>
        <w:spacing w:before="0" w:after="100"/>
      </w:pPr>
      <w:r>
        <w:t xml:space="preserve"/>
      </w:r>
    </w:p>
    <w:p>
      <w:pPr>
        <w:pStyle w:val="Heading3"/>
        <w:spacing w:before="220" w:after="100"/>
      </w:pPr>
      <w:r>
        <w:rPr>
          <w:rFonts w:ascii="Arial" w:cs="Arial" w:eastAsia="Arial" w:hAnsi="Arial"/>
          <w:b/>
          <w:bCs/>
          <w:color w:val="1E293B"/>
          <w:sz w:val="23"/>
          <w:szCs w:val="23"/>
        </w:rPr>
        <w:t xml:space="preserve">4. Moteur de Remises</w:t>
      </w:r>
    </w:p>
    <w:p>
      <w:pPr>
        <w:pStyle w:val="ListParagraph"/>
        <w:numPr>
          <w:ilvl w:val="0"/>
          <w:numId w:val="2"/>
        </w:numPr>
        <w:spacing w:before="50" w:after="50"/>
      </w:pPr>
      <w:r>
        <w:rPr>
          <w:rFonts w:ascii="Arial" w:cs="Arial" w:eastAsia="Arial" w:hAnsi="Arial"/>
          <w:b/>
          <w:bCs/>
          <w:color w:val="1E293B"/>
          <w:sz w:val="22"/>
          <w:szCs w:val="22"/>
        </w:rPr>
        <w:t xml:space="preserve">Objectif : </w:t>
      </w:r>
      <w:r>
        <w:rPr>
          <w:rFonts w:ascii="Arial" w:cs="Arial" w:eastAsia="Arial" w:hAnsi="Arial"/>
          <w:color w:val="1E293B"/>
          <w:sz w:val="22"/>
          <w:szCs w:val="22"/>
        </w:rPr>
        <w:t xml:space="preserve">gérer des promotions temporaires automatisées (ex : -20% sur une catégorie du 1er au 15 du mois).</w:t>
      </w:r>
    </w:p>
    <w:p>
      <w:pPr>
        <w:pStyle w:val="ListParagraph"/>
        <w:numPr>
          <w:ilvl w:val="0"/>
          <w:numId w:val="2"/>
        </w:numPr>
        <w:spacing w:before="50" w:after="50"/>
      </w:pPr>
      <w:r>
        <w:rPr>
          <w:rFonts w:ascii="Arial" w:cs="Arial" w:eastAsia="Arial" w:hAnsi="Arial"/>
          <w:b/>
          <w:bCs/>
          <w:color w:val="1E293B"/>
          <w:sz w:val="22"/>
          <w:szCs w:val="22"/>
        </w:rPr>
        <w:t xml:space="preserve">Modification BDD : </w:t>
      </w:r>
      <w:r>
        <w:rPr>
          <w:rFonts w:ascii="Arial" w:cs="Arial" w:eastAsia="Arial" w:hAnsi="Arial"/>
          <w:color w:val="1E293B"/>
          <w:sz w:val="22"/>
          <w:szCs w:val="22"/>
        </w:rPr>
        <w:t xml:space="preserve">créer une table </w:t>
      </w:r>
      <w:r>
        <w:rPr>
          <w:rFonts w:ascii="Courier New" w:cs="Courier New" w:eastAsia="Courier New" w:hAnsi="Courier New"/>
          <w:color w:val="1976D2"/>
          <w:sz w:val="20"/>
          <w:szCs w:val="20"/>
          <w:shd w:fill="F1F5F9" w:val="clear"/>
        </w:rPr>
        <w:t xml:space="preserve"> promotions </w:t>
      </w:r>
      <w:r>
        <w:rPr>
          <w:rFonts w:ascii="Arial" w:cs="Arial" w:eastAsia="Arial" w:hAnsi="Arial"/>
          <w:color w:val="1E293B"/>
          <w:sz w:val="22"/>
          <w:szCs w:val="22"/>
        </w:rPr>
        <w:t xml:space="preserve"> (produit_id, categorie_id, taux_remise, date_debut, date_fin).</w:t>
      </w:r>
    </w:p>
    <w:p>
      <w:pPr>
        <w:pStyle w:val="ListParagraph"/>
        <w:numPr>
          <w:ilvl w:val="0"/>
          <w:numId w:val="2"/>
        </w:numPr>
        <w:spacing w:before="50" w:after="50"/>
      </w:pPr>
      <w:r>
        <w:rPr>
          <w:rFonts w:ascii="Arial" w:cs="Arial" w:eastAsia="Arial" w:hAnsi="Arial"/>
          <w:b/>
          <w:bCs/>
          <w:color w:val="1E293B"/>
          <w:sz w:val="22"/>
          <w:szCs w:val="22"/>
        </w:rPr>
        <w:t xml:space="preserve">Modification contrôleur : </w:t>
      </w:r>
      <w:r>
        <w:rPr>
          <w:rFonts w:ascii="Arial" w:cs="Arial" w:eastAsia="Arial" w:hAnsi="Arial"/>
          <w:color w:val="1E293B"/>
          <w:sz w:val="22"/>
          <w:szCs w:val="22"/>
        </w:rPr>
        <w:t xml:space="preserve">dans </w:t>
      </w:r>
      <w:r>
        <w:rPr>
          <w:rFonts w:ascii="Courier New" w:cs="Courier New" w:eastAsia="Courier New" w:hAnsi="Courier New"/>
          <w:color w:val="1976D2"/>
          <w:sz w:val="20"/>
          <w:szCs w:val="20"/>
          <w:shd w:fill="F1F5F9" w:val="clear"/>
        </w:rPr>
        <w:t xml:space="preserve"> SaleController.create() </w:t>
      </w:r>
      <w:r>
        <w:rPr>
          <w:rFonts w:ascii="Arial" w:cs="Arial" w:eastAsia="Arial" w:hAnsi="Arial"/>
          <w:color w:val="1E293B"/>
          <w:sz w:val="22"/>
          <w:szCs w:val="22"/>
        </w:rPr>
        <w:t xml:space="preserve">, après la vérification de stock, interroger la table promotions pour appliquer automatiquement le bon taux sur chaque ligne du panier.</w:t>
      </w:r>
    </w:p>
    <w:p>
      <w:pPr>
        <w:spacing w:before="0" w:after="100"/>
      </w:pPr>
      <w:r>
        <w:t xml:space="preserve"/>
      </w:r>
    </w:p>
    <w:tbl>
      <w:tblPr>
        <w:tblW w:type="dxa" w:w="9026"/>
        <w:tblBorders>
          <w:top w:val="single" w:color="CBD5E1" w:sz="1"/>
          <w:left w:val="single" w:color="1976D2" w:sz="16"/>
          <w:bottom w:val="single" w:color="CBD5E1" w:sz="1"/>
          <w:right w:val="single" w:color="CBD5E1"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Nouvelle table à créer via un script de migration</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CREATE TABLE promotions (</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id           INT AUTO_INCREMENT PRIMARY KEY,</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produit_id   INT  NULL,          -- NULL = s'applique à toute la catégorie</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categorie_id INT  NULL,</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taux_remise  DECIMAL(5,2) NOT NULL,  -- Ex : 20.00 pour 20%</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date_debut   DATE NOT NULL,</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date_fin     DATE NOT NULL,</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FOREIGN KEY (produit_id)   REFERENCES produits(id)   ON DELETE CASCADE,</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FOREIGN KEY (categorie_id) REFERENCES categories(id) ON DELETE CASCADE</w:t>
            </w:r>
          </w:p>
        </w:tc>
      </w:tr>
      <w:tr>
        <w:tc>
          <w:tcPr>
            <w:tcW w:type="dxa" w:w="9026"/>
            <w:tcBorders>
              <w:top w:val="none" w:color="FFFFFF" w:sz="0"/>
              <w:left w:val="none" w:color="FFFFFF" w:sz="0"/>
              <w:bottom w:val="none" w:color="FFFFFF" w:sz="0"/>
              <w:right w:val="none" w:color="FFFFFF" w:sz="0"/>
            </w:tcBorders>
            <w:shd w:fill="F1F5F9" w:val="clear"/>
            <w:tcMar>
              <w:top w:type="dxa" w:w="16"/>
              <w:left w:type="dxa" w:w="240"/>
              <w:bottom w:type="dxa" w:w="16"/>
              <w:right w:type="dxa" w:w="240"/>
            </w:tcMar>
          </w:tcPr>
          <w:p>
            <w:pPr>
              <w:spacing w:before="0" w:after="0"/>
            </w:pPr>
            <w:r>
              <w:rPr>
                <w:rFonts w:ascii="Courier New" w:cs="Courier New" w:eastAsia="Courier New" w:hAnsi="Courier New"/>
                <w:color w:val="1e3a5f"/>
                <w:sz w:val="19"/>
                <w:szCs w:val="19"/>
              </w:rPr>
              <w:t xml:space="preserve">) ENGINE=InnoDB;</w:t>
            </w:r>
          </w:p>
        </w:tc>
      </w:tr>
    </w:tbl>
    <w:p>
      <w:pPr>
        <w:spacing w:before="0" w:after="100"/>
      </w:pPr>
      <w:r>
        <w:t xml:space="preserve"/>
      </w:r>
    </w:p>
    <w:tbl>
      <w:tblPr>
        <w:tblW w:type="dxa" w:w="9026"/>
        <w:tblBorders>
          <w:top w:val="single" w:color="1976D2" w:sz="1"/>
          <w:left w:val="single" w:color="1976D2" w:sz="20"/>
          <w:bottom w:val="single" w:color="1976D2" w:sz="1"/>
          <w:right w:val="single" w:color="1976D2" w:sz="1"/>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BEAFE" w:val="clear"/>
            <w:tcMar>
              <w:top w:type="dxa" w:w="130"/>
              <w:left w:type="dxa" w:w="220"/>
              <w:bottom w:type="dxa" w:w="130"/>
              <w:right w:type="dxa" w:w="220"/>
            </w:tcMar>
          </w:tcPr>
          <w:p>
            <w:pPr>
              <w:spacing w:before="0" w:after="0"/>
            </w:pPr>
            <w:r>
              <w:rPr>
                <w:rFonts w:ascii="Arial" w:cs="Arial" w:eastAsia="Arial" w:hAnsi="Arial"/>
                <w:b/>
                <w:bCs/>
                <w:color w:val="1E293B"/>
                <w:sz w:val="21"/>
                <w:szCs w:val="21"/>
              </w:rPr>
              <w:t xml:space="preserve">💡  Conseil d'expert :  </w:t>
            </w:r>
            <w:r>
              <w:rPr>
                <w:rFonts w:ascii="Arial" w:cs="Arial" w:eastAsia="Arial" w:hAnsi="Arial"/>
                <w:color w:val="1E293B"/>
                <w:sz w:val="21"/>
                <w:szCs w:val="21"/>
              </w:rPr>
              <w:t xml:space="preserve">Avant d'implémenter les remises, ajouter une colonne remise DECIMAL(5,2) DEFAULT 0 dans ventes_details via un script de migration. Cela permet de conserver l'historique du taux appliqué au moment de la vente, même si la promotion est supprimée plus tard.</w:t>
            </w:r>
          </w:p>
        </w:tc>
      </w:tr>
    </w:tbl>
    <w:p>
      <w:pPr>
        <w:spacing w:before="0" w:after="100"/>
      </w:pPr>
      <w:r>
        <w:t xml:space="preserve"/>
      </w:r>
    </w:p>
    <w:p>
      <w:pPr>
        <w:pStyle w:val="Heading2"/>
        <w:spacing w:before="340" w:after="140"/>
      </w:pPr>
      <w:r>
        <w:rPr>
          <w:rFonts w:ascii="Arial" w:cs="Arial" w:eastAsia="Arial" w:hAnsi="Arial"/>
          <w:b/>
          <w:bCs/>
          <w:color w:val="1976D2"/>
          <w:sz w:val="26"/>
          <w:szCs w:val="26"/>
        </w:rPr>
        <w:t xml:space="preserve">V. Récapitulatif de la Roadmap</w:t>
      </w:r>
    </w:p>
    <w:p>
      <w:pPr>
        <w:spacing w:before="0" w:after="100"/>
      </w:pPr>
      <w:r>
        <w:t xml:space="preserve"/>
      </w:r>
    </w:p>
    <w:tbl>
      <w:tblPr>
        <w:tblW w:type="dxa" w:w="9026"/>
        <w:tblBorders>
          <w:top w:val="single" w:color="E2E8F0" w:sz="1"/>
          <w:left w:val="single" w:color="E2E8F0" w:sz="1"/>
          <w:bottom w:val="single" w:color="E2E8F0" w:sz="1"/>
          <w:right w:val="single" w:color="E2E8F0" w:sz="1"/>
          <w:insideH w:val="single" w:color="auto" w:sz="4"/>
          <w:insideV w:val="single" w:color="auto" w:sz="4"/>
        </w:tblBorders>
      </w:tblPr>
      <w:tblGrid>
        <w:gridCol w:w="2400"/>
        <w:gridCol w:w="1400"/>
        <w:gridCol w:w="1400"/>
        <w:gridCol w:w="3826"/>
      </w:tblGrid>
      <w:tr>
        <w:tc>
          <w:tcPr>
            <w:tcW w:type="dxa" w:w="2400"/>
            <w:tcBorders>
              <w:top w:val="none" w:color="FFFFFF" w:sz="0"/>
              <w:left w:val="none" w:color="FFFFFF" w:sz="0"/>
              <w:bottom w:val="none" w:color="FFFFFF" w:sz="0"/>
              <w:right w:val="none" w:color="FFFFFF" w:sz="0"/>
            </w:tcBorders>
            <w:shd w:fill="1E293B"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Évolution</w:t>
            </w:r>
          </w:p>
        </w:tc>
        <w:tc>
          <w:tcPr>
            <w:tcW w:type="dxa" w:w="1400"/>
            <w:tcBorders>
              <w:top w:val="none" w:color="FFFFFF" w:sz="0"/>
              <w:left w:val="none" w:color="FFFFFF" w:sz="0"/>
              <w:bottom w:val="none" w:color="FFFFFF" w:sz="0"/>
              <w:right w:val="none" w:color="FFFFFF" w:sz="0"/>
            </w:tcBorders>
            <w:shd w:fill="1E293B"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Complexité</w:t>
            </w:r>
          </w:p>
        </w:tc>
        <w:tc>
          <w:tcPr>
            <w:tcW w:type="dxa" w:w="1400"/>
            <w:tcBorders>
              <w:top w:val="none" w:color="FFFFFF" w:sz="0"/>
              <w:left w:val="none" w:color="FFFFFF" w:sz="0"/>
              <w:bottom w:val="none" w:color="FFFFFF" w:sz="0"/>
              <w:right w:val="none" w:color="FFFFFF" w:sz="0"/>
            </w:tcBorders>
            <w:shd w:fill="1E293B"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Impact métier</w:t>
            </w:r>
          </w:p>
        </w:tc>
        <w:tc>
          <w:tcPr>
            <w:tcW w:type="dxa" w:w="3826"/>
            <w:tcBorders>
              <w:top w:val="none" w:color="FFFFFF" w:sz="0"/>
              <w:left w:val="none" w:color="FFFFFF" w:sz="0"/>
              <w:bottom w:val="none" w:color="FFFFFF" w:sz="0"/>
              <w:right w:val="none" w:color="FFFFFF" w:sz="0"/>
            </w:tcBorders>
            <w:shd w:fill="1E293B" w:val="clear"/>
            <w:tcMar>
              <w:top w:type="dxa" w:w="80"/>
              <w:left w:type="dxa" w:w="140"/>
              <w:bottom w:type="dxa" w:w="80"/>
              <w:right w:type="dxa" w:w="140"/>
            </w:tcMar>
          </w:tcPr>
          <w:p>
            <w:pPr>
              <w:spacing w:before="0" w:after="0"/>
            </w:pPr>
            <w:r>
              <w:rPr>
                <w:rFonts w:ascii="Arial" w:cs="Arial" w:eastAsia="Arial" w:hAnsi="Arial"/>
                <w:b/>
                <w:bCs/>
                <w:color w:val="FFFFFF"/>
                <w:sz w:val="20"/>
                <w:szCs w:val="20"/>
              </w:rPr>
              <w:t xml:space="preserve">Modifications requises</w:t>
            </w:r>
          </w:p>
        </w:tc>
      </w:tr>
      <w:tr>
        <w:tc>
          <w:tcPr>
            <w:tcW w:type="dxa" w:w="24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bCs/>
                <w:color w:val="1976D2"/>
                <w:sz w:val="20"/>
                <w:szCs w:val="20"/>
              </w:rPr>
              <w:t xml:space="preserve">Code-Barres</w:t>
            </w:r>
          </w:p>
        </w:tc>
        <w:tc>
          <w:tcPr>
            <w:tcW w:type="dxa" w:w="14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Faible</w:t>
            </w:r>
          </w:p>
        </w:tc>
        <w:tc>
          <w:tcPr>
            <w:tcW w:type="dxa" w:w="14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Élevé</w:t>
            </w:r>
          </w:p>
        </w:tc>
        <w:tc>
          <w:tcPr>
            <w:tcW w:type="dxa" w:w="38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Vue vente + colonne code_barre dans produits</w:t>
            </w:r>
          </w:p>
        </w:tc>
      </w:tr>
      <w:tr>
        <w:tc>
          <w:tcPr>
            <w:tcW w:type="dxa" w:w="240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before="0" w:after="0"/>
            </w:pPr>
            <w:r>
              <w:rPr>
                <w:rFonts w:ascii="Arial" w:cs="Arial" w:eastAsia="Arial" w:hAnsi="Arial"/>
                <w:b/>
                <w:bCs/>
                <w:color w:val="1976D2"/>
                <w:sz w:val="20"/>
                <w:szCs w:val="20"/>
              </w:rPr>
              <w:t xml:space="preserve">API REST</w:t>
            </w:r>
          </w:p>
        </w:tc>
        <w:tc>
          <w:tcPr>
            <w:tcW w:type="dxa" w:w="140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Moyenne</w:t>
            </w:r>
          </w:p>
        </w:tc>
        <w:tc>
          <w:tcPr>
            <w:tcW w:type="dxa" w:w="140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Élevé</w:t>
            </w:r>
          </w:p>
        </w:tc>
        <w:tc>
          <w:tcPr>
            <w:tcW w:type="dxa" w:w="382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Nouvelle couche FastAPI/Flask (contrôleurs réutilisés)</w:t>
            </w:r>
          </w:p>
        </w:tc>
      </w:tr>
      <w:tr>
        <w:tc>
          <w:tcPr>
            <w:tcW w:type="dxa" w:w="24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bCs/>
                <w:color w:val="1976D2"/>
                <w:sz w:val="20"/>
                <w:szCs w:val="20"/>
              </w:rPr>
              <w:t xml:space="preserve">Hébergement Cloud</w:t>
            </w:r>
          </w:p>
        </w:tc>
        <w:tc>
          <w:tcPr>
            <w:tcW w:type="dxa" w:w="14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Moyenne</w:t>
            </w:r>
          </w:p>
        </w:tc>
        <w:tc>
          <w:tcPr>
            <w:tcW w:type="dxa" w:w="140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Élevé</w:t>
            </w:r>
          </w:p>
        </w:tc>
        <w:tc>
          <w:tcPr>
            <w:tcW w:type="dxa" w:w="38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Uniquement le fichier .env sur chaque poste</w:t>
            </w:r>
          </w:p>
        </w:tc>
      </w:tr>
      <w:tr>
        <w:tc>
          <w:tcPr>
            <w:tcW w:type="dxa" w:w="240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before="0" w:after="0"/>
            </w:pPr>
            <w:r>
              <w:rPr>
                <w:rFonts w:ascii="Arial" w:cs="Arial" w:eastAsia="Arial" w:hAnsi="Arial"/>
                <w:b/>
                <w:bCs/>
                <w:color w:val="1976D2"/>
                <w:sz w:val="20"/>
                <w:szCs w:val="20"/>
              </w:rPr>
              <w:t xml:space="preserve">Moteur de Remises</w:t>
            </w:r>
          </w:p>
        </w:tc>
        <w:tc>
          <w:tcPr>
            <w:tcW w:type="dxa" w:w="140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Moyenne</w:t>
            </w:r>
          </w:p>
        </w:tc>
        <w:tc>
          <w:tcPr>
            <w:tcW w:type="dxa" w:w="140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Moyen</w:t>
            </w:r>
          </w:p>
        </w:tc>
        <w:tc>
          <w:tcPr>
            <w:tcW w:type="dxa" w:w="382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before="0" w:after="0"/>
            </w:pPr>
            <w:r>
              <w:rPr>
                <w:rFonts w:ascii="Arial" w:cs="Arial" w:eastAsia="Arial" w:hAnsi="Arial"/>
                <w:b w:val="false"/>
                <w:bCs w:val="false"/>
                <w:color w:val="1E293B"/>
                <w:sz w:val="20"/>
                <w:szCs w:val="20"/>
              </w:rPr>
              <w:t xml:space="preserve">Table promotions + logique dans SaleController</w:t>
            </w:r>
          </w:p>
        </w:tc>
      </w:tr>
    </w:tbl>
    <w:p>
      <w:pPr>
        <w:spacing w:before="0" w:after="200"/>
      </w:pPr>
      <w:r>
        <w:t xml:space="preserve"/>
      </w:r>
    </w:p>
    <w:p>
      <w:pPr>
        <w:pBdr>
          <w:top w:val="single" w:color="E2E8F0" w:sz="4"/>
        </w:pBdr>
        <w:spacing w:before="400" w:after="0"/>
        <w:jc w:val="center"/>
      </w:pPr>
      <w:r>
        <w:rPr>
          <w:rFonts w:ascii="Arial" w:cs="Arial" w:eastAsia="Arial" w:hAnsi="Arial"/>
          <w:i/>
          <w:iCs/>
          <w:color w:val="64748B"/>
          <w:sz w:val="18"/>
          <w:szCs w:val="18"/>
        </w:rPr>
        <w:t xml:space="preserve">Guide de Maintenance SGC  ·  v1.0.0  ·  Rédigé le 27/02/2026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80" w:after="0"/>
    </w:pPr>
    <w:r>
      <w:rPr>
        <w:rFonts w:ascii="Arial" w:cs="Arial" w:eastAsia="Arial" w:hAnsi="Arial"/>
        <w:color w:val="64748B"/>
        <w:sz w:val="18"/>
        <w:szCs w:val="18"/>
      </w:rPr>
      <w:t xml:space="preserve">Système de Gestion Commerciale — PyQt6 + MySQL</w:t>
    </w:r>
    <w:r>
      <w:rPr>
        <w:rFonts w:ascii="Arial" w:cs="Arial" w:eastAsia="Arial" w:hAnsi="Arial"/>
        <w:i/>
        <w:iCs/>
        <w:color w:val="64748B"/>
        <w:sz w:val="18"/>
        <w:szCs w:val="18"/>
      </w:rPr>
      <w:t xml:space="preserve">	Projet Python  ·  Groupe 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976D2" w:sz="4" w:space="4"/>
      </w:pBdr>
      <w:spacing w:before="0" w:after="80"/>
    </w:pPr>
    <w:r>
      <w:rPr>
        <w:rFonts w:ascii="Arial" w:cs="Arial" w:eastAsia="Arial" w:hAnsi="Arial"/>
        <w:color w:val="64748B"/>
        <w:sz w:val="18"/>
        <w:szCs w:val="18"/>
      </w:rPr>
      <w:t xml:space="preserve">SGC — Guide de Maintenance et Évolutions Futures</w:t>
    </w:r>
    <w:r>
      <w:rPr>
        <w:rFonts w:ascii="Arial" w:cs="Arial" w:eastAsia="Arial" w:hAnsi="Arial"/>
        <w:color w:val="1976D2"/>
        <w:sz w:val="18"/>
        <w:szCs w:val="18"/>
      </w:rPr>
      <w:t xml:space="preserve">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Arial" w:cs="Arial" w:eastAsia="Arial" w:hAnsi="Arial"/>
      <w:b/>
      <w:bCs/>
      <w:color w:val="1E293B"/>
      <w:sz w:val="32"/>
      <w:szCs w:val="32"/>
    </w:rPr>
  </w:style>
  <w:style w:type="paragraph" w:styleId="Heading2">
    <w:name w:val="Heading 2"/>
    <w:basedOn w:val="Normal"/>
    <w:next w:val="Normal"/>
    <w:qFormat/>
    <w:pPr>
      <w:spacing w:before="340" w:after="140"/>
      <w:outlineLvl w:val="1"/>
    </w:pPr>
    <w:rPr>
      <w:rFonts w:ascii="Arial" w:cs="Arial" w:eastAsia="Arial" w:hAnsi="Arial"/>
      <w:b/>
      <w:bCs/>
      <w:color w:val="1976D2"/>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E29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2026-02-27T13:38:22.930Z</dcterms:created>
  <dcterms:modified xsi:type="dcterms:W3CDTF">2026-02-27T13:38:22.930Z</dcterms:modified>
</cp:coreProperties>
</file>

<file path=docProps/custom.xml><?xml version="1.0" encoding="utf-8"?>
<Properties xmlns="http://schemas.openxmlformats.org/officeDocument/2006/custom-properties" xmlns:vt="http://schemas.openxmlformats.org/officeDocument/2006/docPropsVTypes"/>
</file>