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libri" w:cs="Calibri" w:eastAsia="Calibri" w:hAnsi="Calibri"/>
          <w:b/>
          <w:bCs/>
          <w:color w:val="0F1B33"/>
          <w:sz w:val="52"/>
          <w:szCs w:val="52"/>
        </w:rPr>
        <w:t xml:space="preserve">STARTUP VALIDATION REPORT</w:t>
      </w:r>
    </w:p>
    <w:p>
      <w:pPr>
        <w:pBdr>
          <w:top w:val="single" w:color="C9A227" w:sz="8" w:space="10"/>
        </w:pBdr>
        <w:spacing w:after="100" w:before="200"/>
        <w:jc w:val="center"/>
      </w:pPr>
      <w:r>
        <w:rPr>
          <w:rFonts w:ascii="Calibri" w:cs="Calibri" w:eastAsia="Calibri" w:hAnsi="Calibri"/>
          <w:b/>
          <w:bCs/>
          <w:color w:val="C9A227"/>
          <w:sz w:val="36"/>
          <w:szCs w:val="36"/>
        </w:rPr>
        <w:t xml:space="preserve">DocuMind AI</w:t>
      </w:r>
    </w:p>
    <w:p>
      <w:pPr>
        <w:spacing w:after="1400"/>
        <w:jc w:val="center"/>
      </w:pPr>
      <w:r>
        <w:rPr>
          <w:rFonts w:ascii="Calibri" w:cs="Calibri" w:eastAsia="Calibri" w:hAnsi="Calibri"/>
          <w:i/>
          <w:iCs/>
          <w:color w:val="5B6572"/>
          <w:sz w:val="24"/>
          <w:szCs w:val="24"/>
        </w:rPr>
        <w:t xml:space="preserve">AI-Powered Internal Documentation &amp; Knowledge Assistant for Enterprises</w:t>
      </w:r>
    </w:p>
    <w:p>
      <w:pPr>
        <w:spacing w:after="60"/>
        <w:jc w:val="center"/>
      </w:pPr>
      <w:r>
        <w:rPr>
          <w:rFonts w:ascii="Calibri" w:cs="Calibri" w:eastAsia="Calibri" w:hAnsi="Calibri"/>
          <w:color w:val="2A2E33"/>
          <w:sz w:val="20"/>
          <w:szCs w:val="20"/>
        </w:rPr>
        <w:t xml:space="preserve">Prepared for: Founder / Side Project Evaluation</w:t>
      </w:r>
    </w:p>
    <w:p>
      <w:pPr>
        <w:spacing w:after="60"/>
        <w:jc w:val="center"/>
      </w:pPr>
      <w:r>
        <w:rPr>
          <w:rFonts w:ascii="Calibri" w:cs="Calibri" w:eastAsia="Calibri" w:hAnsi="Calibri"/>
          <w:color w:val="2A2E33"/>
          <w:sz w:val="20"/>
          <w:szCs w:val="20"/>
        </w:rPr>
        <w:t xml:space="preserve">Market Focus: India | Segment: IT, BFSI, Manufacturing, Healthcare, EdTech, Consulting, Startups</w:t>
      </w:r>
    </w:p>
    <w:p>
      <w:pPr>
        <w:spacing w:after="60"/>
        <w:jc w:val="center"/>
      </w:pPr>
      <w:r>
        <w:rPr>
          <w:rFonts w:ascii="Calibri" w:cs="Calibri" w:eastAsia="Calibri" w:hAnsi="Calibri"/>
          <w:color w:val="2A2E33"/>
          <w:sz w:val="20"/>
          <w:szCs w:val="20"/>
        </w:rPr>
        <w:t xml:space="preserve">Report Date: August 8, 2026</w:t>
      </w:r>
    </w:p>
    <w:p>
      <w:pPr>
        <w:spacing w:before="1800"/>
        <w:jc w:val="center"/>
      </w:pPr>
      <w:r>
        <w:rPr>
          <w:rFonts w:ascii="Calibri" w:cs="Calibri" w:eastAsia="Calibri" w:hAnsi="Calibri"/>
          <w:color w:val="5B6572"/>
          <w:sz w:val="18"/>
          <w:szCs w:val="18"/>
        </w:rPr>
        <w:t xml:space="preserve">Prepared by: AI Startup Advisory Desk</w:t>
      </w:r>
    </w:p>
    <w:p>
      <w:pPr>
        <w:spacing w:before="60"/>
        <w:jc w:val="center"/>
      </w:pPr>
      <w:r>
        <w:rPr>
          <w:rFonts w:ascii="Calibri" w:cs="Calibri" w:eastAsia="Calibri" w:hAnsi="Calibri"/>
          <w:i/>
          <w:iCs/>
          <w:color w:val="5B6572"/>
          <w:sz w:val="16"/>
          <w:szCs w:val="16"/>
        </w:rPr>
        <w:t xml:space="preserve">Confidential — For Internal Founder Use Only</w:t>
      </w:r>
    </w:p>
    <w:p>
      <w:r>
        <w:br w:type="page"/>
      </w:r>
    </w:p>
    <w:p>
      <w:pPr>
        <w:pStyle w:val="Heading1"/>
        <w:pBdr>
          <w:bottom w:val="single" w:color="C9A227" w:sz="12" w:space="4"/>
        </w:pBdr>
        <w:spacing w:after="200" w:before="480"/>
      </w:pPr>
      <w:r>
        <w:rPr>
          <w:rFonts w:ascii="Calibri" w:cs="Calibri" w:eastAsia="Calibri" w:hAnsi="Calibri"/>
          <w:b/>
          <w:bCs/>
          <w:color w:val="0F1B33"/>
          <w:sz w:val="30"/>
          <w:szCs w:val="30"/>
        </w:rPr>
        <w:t xml:space="preserve">EXECUTIVE SUMMARY</w:t>
      </w:r>
    </w:p>
    <w:p>
      <w:pPr>
        <w:spacing w:after="160" w:line="276"/>
      </w:pPr>
      <w:r>
        <w:rPr>
          <w:rFonts w:ascii="Calibri" w:cs="Calibri" w:eastAsia="Calibri" w:hAnsi="Calibri"/>
          <w:color w:val="2A2E33"/>
          <w:sz w:val="21"/>
          <w:szCs w:val="21"/>
        </w:rPr>
        <w:t xml:space="preserve">DocuMind AI proposes an AI-powered internal documentation assistant that lets employees search and query company SOPs, policies, technical guides, HR documents, and manuals using natural language, rather than manually digging through folders and file shares. The founder has personally experienced this problem in the workplace, giving strong first-hand insight into the pain point.</w:t>
      </w:r>
    </w:p>
    <w:p>
      <w:pPr>
        <w:spacing w:after="160" w:line="276"/>
      </w:pPr>
      <w:r>
        <w:rPr>
          <w:rFonts w:ascii="Calibri" w:cs="Calibri" w:eastAsia="Calibri" w:hAnsi="Calibri"/>
          <w:color w:val="2A2E33"/>
          <w:sz w:val="21"/>
          <w:szCs w:val="21"/>
        </w:rPr>
        <w:t xml:space="preserve">The underlying market is large and growing quickly. Global knowledge management software is estimated at roughly $15.9B in 2026, expanding at 13.8%–18.5% CAGR depending on the report, and Asia-Pacific — driven substantially by India — is the fastest-growing region at over 21% CAGR. This is a validated, well-funded category (Glean, Guru, Microsoft Copilot, Notion AI, Onyx and others are active), which is both an opportunity (real budget exists) and a risk (competition is well-capitalized).</w:t>
      </w:r>
    </w:p>
    <w:p>
      <w:pPr>
        <w:spacing w:after="160" w:line="276"/>
      </w:pPr>
      <w:r>
        <w:rPr>
          <w:rFonts w:ascii="Calibri" w:cs="Calibri" w:eastAsia="Calibri" w:hAnsi="Calibri"/>
          <w:color w:val="2A2E33"/>
          <w:sz w:val="21"/>
          <w:szCs w:val="21"/>
        </w:rPr>
        <w:t xml:space="preserve">However, this idea currently sits at Day Zero: no customer discovery calls, no waitlist, and no MVP. The Founder-Market Fit is promising on the problem-understanding axis but unproven on execution and distribution. The immediate priority is not building — it's talking to 15-20 target buyers in the next 30 days to test willingness to pay and urgency.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7"/>
        <w:gridCol w:w="3117"/>
      </w:tblGrid>
      <w:tr>
        <w:tc>
          <w:tcPr>
            <w:tcW w:type="dxa" w:w="3116"/>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Overall Viability</w:t>
            </w:r>
          </w:p>
        </w:tc>
        <w:tc>
          <w:tcPr>
            <w:tcW w:type="dxa" w:w="3117"/>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Market Attractiveness</w:t>
            </w:r>
          </w:p>
        </w:tc>
        <w:tc>
          <w:tcPr>
            <w:tcW w:type="dxa" w:w="3117"/>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Execution Readiness</w:t>
            </w:r>
          </w:p>
        </w:tc>
      </w:tr>
      <w:tr>
        <w:tc>
          <w:tcPr>
            <w:tcW w:type="dxa" w:w="3116"/>
            <w:tcMar>
              <w:top w:type="dxa" w:w="100"/>
              <w:left w:type="dxa" w:w="120"/>
              <w:bottom w:type="dxa" w:w="100"/>
              <w:right w:type="dxa" w:w="120"/>
            </w:tcMar>
            <w:vAlign w:val="center"/>
          </w:tcPr>
          <w:p>
            <w:pPr>
              <w:jc w:val="center"/>
            </w:pPr>
            <w:r>
              <w:rPr>
                <w:rFonts w:ascii="Calibri" w:cs="Calibri" w:eastAsia="Calibri" w:hAnsi="Calibri"/>
                <w:b/>
                <w:bCs/>
                <w:color w:val="B8860B"/>
                <w:sz w:val="24"/>
                <w:szCs w:val="24"/>
              </w:rPr>
              <w:t xml:space="preserve">CONDITIONAL GO</w:t>
            </w:r>
          </w:p>
        </w:tc>
        <w:tc>
          <w:tcPr>
            <w:tcW w:type="dxa" w:w="3117"/>
            <w:tcMar>
              <w:top w:type="dxa" w:w="100"/>
              <w:left w:type="dxa" w:w="120"/>
              <w:bottom w:type="dxa" w:w="100"/>
              <w:right w:type="dxa" w:w="120"/>
            </w:tcMar>
            <w:vAlign w:val="center"/>
          </w:tcPr>
          <w:p>
            <w:pPr>
              <w:jc w:val="center"/>
            </w:pPr>
            <w:r>
              <w:rPr>
                <w:rFonts w:ascii="Calibri" w:cs="Calibri" w:eastAsia="Calibri" w:hAnsi="Calibri"/>
                <w:b/>
                <w:bCs/>
                <w:color w:val="1E7B45"/>
                <w:sz w:val="24"/>
                <w:szCs w:val="24"/>
              </w:rPr>
              <w:t xml:space="preserve">STRONG (8/10)</w:t>
            </w:r>
          </w:p>
        </w:tc>
        <w:tc>
          <w:tcPr>
            <w:tcW w:type="dxa" w:w="3117"/>
            <w:tcMar>
              <w:top w:type="dxa" w:w="100"/>
              <w:left w:type="dxa" w:w="120"/>
              <w:bottom w:type="dxa" w:w="100"/>
              <w:right w:type="dxa" w:w="120"/>
            </w:tcMar>
            <w:vAlign w:val="center"/>
          </w:tcPr>
          <w:p>
            <w:pPr>
              <w:jc w:val="center"/>
            </w:pPr>
            <w:r>
              <w:rPr>
                <w:rFonts w:ascii="Calibri" w:cs="Calibri" w:eastAsia="Calibri" w:hAnsi="Calibri"/>
                <w:b/>
                <w:bCs/>
                <w:color w:val="B3261E"/>
                <w:sz w:val="24"/>
                <w:szCs w:val="24"/>
              </w:rPr>
              <w:t xml:space="preserve">EARLY (3/10)</w:t>
            </w:r>
          </w:p>
        </w:tc>
      </w:tr>
    </w:tbl>
    <w:p>
      <w:pPr>
        <w:spacing w:after="200" w:before="60"/>
      </w:pPr>
      <w:r>
        <w:rPr>
          <w:rFonts w:ascii="Calibri" w:cs="Calibri" w:eastAsia="Calibri" w:hAnsi="Calibri"/>
          <w:i/>
          <w:iCs/>
          <w:color w:val="5B6572"/>
          <w:sz w:val="18"/>
          <w:szCs w:val="18"/>
        </w:rPr>
        <w:t xml:space="preserve">Scores reflect current stage (idea-only, no validation). Re-score after Day-30 customer discovery.</w:t>
      </w:r>
    </w:p>
    <w:p>
      <w:r>
        <w:br w:type="page"/>
      </w:r>
    </w:p>
    <w:p>
      <w:pPr>
        <w:pStyle w:val="Heading1"/>
        <w:pBdr>
          <w:bottom w:val="single" w:color="C9A227" w:sz="12" w:space="4"/>
        </w:pBdr>
        <w:spacing w:after="200" w:before="480"/>
      </w:pPr>
      <w:r>
        <w:rPr>
          <w:rFonts w:ascii="Calibri" w:cs="Calibri" w:eastAsia="Calibri" w:hAnsi="Calibri"/>
          <w:b/>
          <w:bCs/>
          <w:color w:val="0F1B33"/>
          <w:sz w:val="30"/>
          <w:szCs w:val="30"/>
        </w:rPr>
        <w:t xml:space="preserve">PROBLEM VALIDATION</w:t>
      </w:r>
    </w:p>
    <w:p>
      <w:pPr>
        <w:pStyle w:val="Heading2"/>
        <w:spacing w:after="140" w:before="320"/>
      </w:pPr>
      <w:r>
        <w:rPr>
          <w:rFonts w:ascii="Calibri" w:cs="Calibri" w:eastAsia="Calibri" w:hAnsi="Calibri"/>
          <w:b/>
          <w:bCs/>
          <w:color w:val="1B2A4A"/>
          <w:sz w:val="24"/>
          <w:szCs w:val="24"/>
        </w:rPr>
        <w:t xml:space="preserve">The Problem As Stated</w:t>
      </w:r>
    </w:p>
    <w:p>
      <w:pPr>
        <w:spacing w:after="160" w:line="276"/>
      </w:pPr>
      <w:r>
        <w:rPr>
          <w:rFonts w:ascii="Calibri" w:cs="Calibri" w:eastAsia="Calibri" w:hAnsi="Calibri"/>
          <w:color w:val="2A2E33"/>
          <w:sz w:val="21"/>
          <w:szCs w:val="21"/>
        </w:rPr>
        <w:t xml:space="preserve">Employees waste significant time manually searching across SOPs, policy documents, technical manuals, and HR files scattered across drives, intranets, and shared folders, instead of getting a direct answer.</w:t>
      </w:r>
    </w:p>
    <w:p>
      <w:pPr>
        <w:pStyle w:val="Heading2"/>
        <w:spacing w:after="140" w:before="320"/>
      </w:pPr>
      <w:r>
        <w:rPr>
          <w:rFonts w:ascii="Calibri" w:cs="Calibri" w:eastAsia="Calibri" w:hAnsi="Calibri"/>
          <w:b/>
          <w:bCs/>
          <w:color w:val="1B2A4A"/>
          <w:sz w:val="24"/>
          <w:szCs w:val="24"/>
        </w:rPr>
        <w:t xml:space="preserve">External Evidence</w:t>
      </w:r>
    </w:p>
    <w:p>
      <w:pPr>
        <w:spacing w:after="160" w:line="276"/>
      </w:pPr>
      <w:r>
        <w:rPr>
          <w:rFonts w:ascii="Calibri" w:cs="Calibri" w:eastAsia="Calibri" w:hAnsi="Calibri"/>
          <w:color w:val="2A2E33"/>
          <w:sz w:val="21"/>
          <w:szCs w:val="21"/>
        </w:rPr>
        <w:t xml:space="preserve">This is not an assumed problem — it is a well-documented, industry-wide cost:</w:t>
      </w:r>
    </w:p>
    <w:p>
      <w:pPr>
        <w:pStyle w:val="ListParagraph"/>
        <w:numPr>
          <w:ilvl w:val="0"/>
          <w:numId w:val="2"/>
        </w:numPr>
        <w:spacing w:after="90"/>
      </w:pPr>
      <w:r>
        <w:rPr>
          <w:rFonts w:ascii="Calibri" w:cs="Calibri" w:eastAsia="Calibri" w:hAnsi="Calibri"/>
          <w:color w:val="2A2E33"/>
          <w:sz w:val="21"/>
          <w:szCs w:val="21"/>
        </w:rPr>
        <w:t xml:space="preserve">Employees lose an estimated 1.8 hours per day searching for information — equivalent to roughly one wasted headcount for every five employees hired.</w:t>
      </w:r>
    </w:p>
    <w:p>
      <w:pPr>
        <w:pStyle w:val="ListParagraph"/>
        <w:numPr>
          <w:ilvl w:val="0"/>
          <w:numId w:val="2"/>
        </w:numPr>
        <w:spacing w:after="90"/>
      </w:pPr>
      <w:r>
        <w:rPr>
          <w:rFonts w:ascii="Calibri" w:cs="Calibri" w:eastAsia="Calibri" w:hAnsi="Calibri"/>
          <w:color w:val="2A2E33"/>
          <w:sz w:val="21"/>
          <w:szCs w:val="21"/>
        </w:rPr>
        <w:t xml:space="preserve">Nearly 50% of organizations are actively exploring or planning enterprise search / knowledge-AI adoption in 2026, indicating live budget conversations, not a hypothetical need.</w:t>
      </w:r>
    </w:p>
    <w:p>
      <w:pPr>
        <w:pStyle w:val="ListParagraph"/>
        <w:numPr>
          <w:ilvl w:val="0"/>
          <w:numId w:val="2"/>
        </w:numPr>
        <w:spacing w:after="90"/>
      </w:pPr>
      <w:r>
        <w:rPr>
          <w:rFonts w:ascii="Calibri" w:cs="Calibri" w:eastAsia="Calibri" w:hAnsi="Calibri"/>
          <w:color w:val="2A2E33"/>
          <w:sz w:val="21"/>
          <w:szCs w:val="21"/>
        </w:rPr>
        <w:t xml:space="preserve">80% of enterprises are expected to deploy generative AI in some form by end of 2026, up from under 5% in 2023 — the category is in an active adoption wave.</w:t>
      </w:r>
    </w:p>
    <w:p>
      <w:pPr>
        <w:pStyle w:val="Heading2"/>
        <w:spacing w:after="140" w:before="320"/>
      </w:pPr>
      <w:r>
        <w:rPr>
          <w:rFonts w:ascii="Calibri" w:cs="Calibri" w:eastAsia="Calibri" w:hAnsi="Calibri"/>
          <w:b/>
          <w:bCs/>
          <w:color w:val="1B2A4A"/>
          <w:sz w:val="24"/>
          <w:szCs w:val="24"/>
        </w:rPr>
        <w:t xml:space="preserve">Internal Evidence (Founder-Level)</w:t>
      </w:r>
    </w:p>
    <w:p>
      <w:pPr>
        <w:spacing w:after="160" w:line="276"/>
      </w:pPr>
      <w:r>
        <w:rPr>
          <w:rFonts w:ascii="Calibri" w:cs="Calibri" w:eastAsia="Calibri" w:hAnsi="Calibri"/>
          <w:color w:val="2A2E33"/>
          <w:sz w:val="21"/>
          <w:szCs w:val="21"/>
        </w:rPr>
        <w:t xml:space="preserve">The founder has personally experienced this problem while working inside a company, which is a strong qualitative signal — but it is currently a sample size of one. No structured interviews with target buyers (IT, HR, Ops, or Compliance leads) have been conducted yet.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c>
          <w:tcPr>
            <w:tcW w:type="dxa" w:w="3117"/>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Evidence Type</w:t>
            </w:r>
          </w:p>
        </w:tc>
        <w:tc>
          <w:tcPr>
            <w:tcW w:type="dxa" w:w="3117"/>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Status</w:t>
            </w:r>
          </w:p>
        </w:tc>
        <w:tc>
          <w:tcPr>
            <w:tcW w:type="dxa" w:w="3116"/>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Strength</w:t>
            </w:r>
          </w:p>
        </w:tc>
      </w:tr>
      <w:tr>
        <w:tc>
          <w:tcPr>
            <w:tcW w:type="dxa" w:w="3117"/>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Personal / founder pain</w:t>
            </w:r>
          </w:p>
        </w:tc>
        <w:tc>
          <w:tcPr>
            <w:tcW w:type="dxa" w:w="3117"/>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Confirmed</w:t>
            </w:r>
          </w:p>
        </w:tc>
        <w:tc>
          <w:tcPr>
            <w:tcW w:type="dxa" w:w="3116"/>
            <w:tcMar>
              <w:top w:type="dxa" w:w="100"/>
              <w:left w:type="dxa" w:w="120"/>
              <w:bottom w:type="dxa" w:w="100"/>
              <w:right w:type="dxa" w:w="120"/>
            </w:tcMar>
            <w:vAlign w:val="center"/>
          </w:tcPr>
          <w:p>
            <w:pPr>
              <w:jc w:val="left"/>
            </w:pPr>
            <w:r>
              <w:rPr>
                <w:rFonts w:ascii="Calibri" w:cs="Calibri" w:eastAsia="Calibri" w:hAnsi="Calibri"/>
                <w:b/>
                <w:bCs/>
                <w:color w:val="1E7B45"/>
                <w:sz w:val="20"/>
                <w:szCs w:val="20"/>
              </w:rPr>
              <w:t xml:space="preserve">Strong</w:t>
            </w:r>
          </w:p>
        </w:tc>
      </w:tr>
      <w:tr>
        <w:tc>
          <w:tcPr>
            <w:tcW w:type="dxa" w:w="3117"/>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Third-party market research</w:t>
            </w:r>
          </w:p>
        </w:tc>
        <w:tc>
          <w:tcPr>
            <w:tcW w:type="dxa" w:w="3117"/>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Confirmed</w:t>
            </w:r>
          </w:p>
        </w:tc>
        <w:tc>
          <w:tcPr>
            <w:tcW w:type="dxa" w:w="3116"/>
            <w:tcMar>
              <w:top w:type="dxa" w:w="100"/>
              <w:left w:type="dxa" w:w="120"/>
              <w:bottom w:type="dxa" w:w="100"/>
              <w:right w:type="dxa" w:w="120"/>
            </w:tcMar>
            <w:vAlign w:val="center"/>
          </w:tcPr>
          <w:p>
            <w:pPr>
              <w:jc w:val="left"/>
            </w:pPr>
            <w:r>
              <w:rPr>
                <w:rFonts w:ascii="Calibri" w:cs="Calibri" w:eastAsia="Calibri" w:hAnsi="Calibri"/>
                <w:b/>
                <w:bCs/>
                <w:color w:val="1E7B45"/>
                <w:sz w:val="20"/>
                <w:szCs w:val="20"/>
              </w:rPr>
              <w:t xml:space="preserve">Strong</w:t>
            </w:r>
          </w:p>
        </w:tc>
      </w:tr>
      <w:tr>
        <w:tc>
          <w:tcPr>
            <w:tcW w:type="dxa" w:w="3117"/>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Target customer interviews</w:t>
            </w:r>
          </w:p>
        </w:tc>
        <w:tc>
          <w:tcPr>
            <w:tcW w:type="dxa" w:w="3117"/>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Not started</w:t>
            </w:r>
          </w:p>
        </w:tc>
        <w:tc>
          <w:tcPr>
            <w:tcW w:type="dxa" w:w="3116"/>
            <w:tcMar>
              <w:top w:type="dxa" w:w="100"/>
              <w:left w:type="dxa" w:w="120"/>
              <w:bottom w:type="dxa" w:w="100"/>
              <w:right w:type="dxa" w:w="120"/>
            </w:tcMar>
            <w:vAlign w:val="center"/>
          </w:tcPr>
          <w:p>
            <w:pPr>
              <w:jc w:val="left"/>
            </w:pPr>
            <w:r>
              <w:rPr>
                <w:rFonts w:ascii="Calibri" w:cs="Calibri" w:eastAsia="Calibri" w:hAnsi="Calibri"/>
                <w:b/>
                <w:bCs/>
                <w:color w:val="B3261E"/>
                <w:sz w:val="20"/>
                <w:szCs w:val="20"/>
              </w:rPr>
              <w:t xml:space="preserve">Missing</w:t>
            </w:r>
          </w:p>
        </w:tc>
      </w:tr>
      <w:tr>
        <w:tc>
          <w:tcPr>
            <w:tcW w:type="dxa" w:w="3117"/>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Waitlist / signups</w:t>
            </w:r>
          </w:p>
        </w:tc>
        <w:tc>
          <w:tcPr>
            <w:tcW w:type="dxa" w:w="3117"/>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Not started</w:t>
            </w:r>
          </w:p>
        </w:tc>
        <w:tc>
          <w:tcPr>
            <w:tcW w:type="dxa" w:w="3116"/>
            <w:tcMar>
              <w:top w:type="dxa" w:w="100"/>
              <w:left w:type="dxa" w:w="120"/>
              <w:bottom w:type="dxa" w:w="100"/>
              <w:right w:type="dxa" w:w="120"/>
            </w:tcMar>
            <w:vAlign w:val="center"/>
          </w:tcPr>
          <w:p>
            <w:pPr>
              <w:jc w:val="left"/>
            </w:pPr>
            <w:r>
              <w:rPr>
                <w:rFonts w:ascii="Calibri" w:cs="Calibri" w:eastAsia="Calibri" w:hAnsi="Calibri"/>
                <w:b/>
                <w:bCs/>
                <w:color w:val="B3261E"/>
                <w:sz w:val="20"/>
                <w:szCs w:val="20"/>
              </w:rPr>
              <w:t xml:space="preserve">Missing</w:t>
            </w:r>
          </w:p>
        </w:tc>
      </w:tr>
      <w:tr>
        <w:tc>
          <w:tcPr>
            <w:tcW w:type="dxa" w:w="3117"/>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Paying pilot / LOI</w:t>
            </w:r>
          </w:p>
        </w:tc>
        <w:tc>
          <w:tcPr>
            <w:tcW w:type="dxa" w:w="3117"/>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Not started</w:t>
            </w:r>
          </w:p>
        </w:tc>
        <w:tc>
          <w:tcPr>
            <w:tcW w:type="dxa" w:w="3116"/>
            <w:tcMar>
              <w:top w:type="dxa" w:w="100"/>
              <w:left w:type="dxa" w:w="120"/>
              <w:bottom w:type="dxa" w:w="100"/>
              <w:right w:type="dxa" w:w="120"/>
            </w:tcMar>
            <w:vAlign w:val="center"/>
          </w:tcPr>
          <w:p>
            <w:pPr>
              <w:jc w:val="left"/>
            </w:pPr>
            <w:r>
              <w:rPr>
                <w:rFonts w:ascii="Calibri" w:cs="Calibri" w:eastAsia="Calibri" w:hAnsi="Calibri"/>
                <w:b/>
                <w:bCs/>
                <w:color w:val="B3261E"/>
                <w:sz w:val="20"/>
                <w:szCs w:val="20"/>
              </w:rPr>
              <w:t xml:space="preserve">Missing</w:t>
            </w:r>
          </w:p>
        </w:tc>
      </w:tr>
    </w:tbl>
    <w:p>
      <w:pPr>
        <w:spacing w:after="200" w:before="60"/>
      </w:pPr>
      <w:r>
        <w:rPr>
          <w:rFonts w:ascii="Calibri" w:cs="Calibri" w:eastAsia="Calibri" w:hAnsi="Calibri"/>
          <w:i/>
          <w:iCs/>
          <w:color w:val="5B6572"/>
          <w:sz w:val="18"/>
          <w:szCs w:val="18"/>
        </w:rPr>
        <w:t xml:space="preserve">Verdict: Problem is real and well-documented at the market level. Direct validation with your specific ICP is the single biggest gap to close next.</w:t>
      </w:r>
    </w:p>
    <w:p>
      <w:r>
        <w:br w:type="page"/>
      </w:r>
    </w:p>
    <w:p>
      <w:pPr>
        <w:pStyle w:val="Heading1"/>
        <w:pBdr>
          <w:bottom w:val="single" w:color="C9A227" w:sz="12" w:space="4"/>
        </w:pBdr>
        <w:spacing w:after="200" w:before="480"/>
      </w:pPr>
      <w:r>
        <w:rPr>
          <w:rFonts w:ascii="Calibri" w:cs="Calibri" w:eastAsia="Calibri" w:hAnsi="Calibri"/>
          <w:b/>
          <w:bCs/>
          <w:color w:val="0F1B33"/>
          <w:sz w:val="30"/>
          <w:szCs w:val="30"/>
        </w:rPr>
        <w:t xml:space="preserve">FOUNDER-MARKET FIT SCORE</w:t>
      </w:r>
    </w:p>
    <w:p>
      <w:pPr>
        <w:spacing w:after="160" w:line="276"/>
      </w:pPr>
      <w:r>
        <w:rPr>
          <w:rFonts w:ascii="Calibri" w:cs="Calibri" w:eastAsia="Calibri" w:hAnsi="Calibri"/>
          <w:color w:val="2A2E33"/>
          <w:sz w:val="21"/>
          <w:szCs w:val="21"/>
        </w:rPr>
        <w:t xml:space="preserve">Founder-market fit measures how well-positioned you personally are to win in this space — not whether the market is good.</w:t>
      </w:r>
    </w:p>
    <w:p>
      <w:pPr>
        <w:spacing w:after="120"/>
      </w:pPr>
      <w:r>
        <w:rPr>
          <w:rFonts w:ascii="Calibri" w:cs="Calibri" w:eastAsia="Calibri" w:hAnsi="Calibri"/>
          <w:b/>
          <w:bCs/>
          <w:color w:val="0F1B33"/>
          <w:sz w:val="20"/>
          <w:szCs w:val="20"/>
        </w:rPr>
        <w:t xml:space="preserve">Problem Understanding (lived the pain)  </w:t>
      </w:r>
      <w:r>
        <w:rPr>
          <w:rFonts w:ascii="Consolas" w:cs="Consolas" w:eastAsia="Consolas" w:hAnsi="Consolas"/>
          <w:color w:val="1E7B45"/>
          <w:sz w:val="20"/>
          <w:szCs w:val="20"/>
        </w:rPr>
        <w:t xml:space="preserve">████████████████░░░░</w:t>
      </w:r>
      <w:r>
        <w:rPr>
          <w:rFonts w:ascii="Calibri" w:cs="Calibri" w:eastAsia="Calibri" w:hAnsi="Calibri"/>
          <w:b/>
          <w:bCs/>
          <w:color w:val="1E7B45"/>
          <w:sz w:val="20"/>
          <w:szCs w:val="20"/>
        </w:rPr>
        <w:t xml:space="preserve">  8/10</w:t>
      </w:r>
    </w:p>
    <w:p>
      <w:pPr>
        <w:spacing w:after="120"/>
      </w:pPr>
      <w:r>
        <w:rPr>
          <w:rFonts w:ascii="Calibri" w:cs="Calibri" w:eastAsia="Calibri" w:hAnsi="Calibri"/>
          <w:b/>
          <w:bCs/>
          <w:color w:val="0F1B33"/>
          <w:sz w:val="20"/>
          <w:szCs w:val="20"/>
        </w:rPr>
        <w:t xml:space="preserve">Domain / Technical Expertise (AI, enterprise search)  </w:t>
      </w:r>
      <w:r>
        <w:rPr>
          <w:rFonts w:ascii="Consolas" w:cs="Consolas" w:eastAsia="Consolas" w:hAnsi="Consolas"/>
          <w:color w:val="B8860B"/>
          <w:sz w:val="20"/>
          <w:szCs w:val="20"/>
        </w:rPr>
        <w:t xml:space="preserve">██████████░░░░░░░░░░</w:t>
      </w:r>
      <w:r>
        <w:rPr>
          <w:rFonts w:ascii="Calibri" w:cs="Calibri" w:eastAsia="Calibri" w:hAnsi="Calibri"/>
          <w:b/>
          <w:bCs/>
          <w:color w:val="B8860B"/>
          <w:sz w:val="20"/>
          <w:szCs w:val="20"/>
        </w:rPr>
        <w:t xml:space="preserve">  5/10</w:t>
      </w:r>
    </w:p>
    <w:p>
      <w:pPr>
        <w:spacing w:after="120"/>
      </w:pPr>
      <w:r>
        <w:rPr>
          <w:rFonts w:ascii="Calibri" w:cs="Calibri" w:eastAsia="Calibri" w:hAnsi="Calibri"/>
          <w:b/>
          <w:bCs/>
          <w:color w:val="0F1B33"/>
          <w:sz w:val="20"/>
          <w:szCs w:val="20"/>
        </w:rPr>
        <w:t xml:space="preserve">Existing Network in ICP (IT/HR/Ops leaders)  </w:t>
      </w:r>
      <w:r>
        <w:rPr>
          <w:rFonts w:ascii="Consolas" w:cs="Consolas" w:eastAsia="Consolas" w:hAnsi="Consolas"/>
          <w:color w:val="B3261E"/>
          <w:sz w:val="20"/>
          <w:szCs w:val="20"/>
        </w:rPr>
        <w:t xml:space="preserve">██████░░░░░░░░░░░░░░</w:t>
      </w:r>
      <w:r>
        <w:rPr>
          <w:rFonts w:ascii="Calibri" w:cs="Calibri" w:eastAsia="Calibri" w:hAnsi="Calibri"/>
          <w:b/>
          <w:bCs/>
          <w:color w:val="B3261E"/>
          <w:sz w:val="20"/>
          <w:szCs w:val="20"/>
        </w:rPr>
        <w:t xml:space="preserve">  3/10</w:t>
      </w:r>
    </w:p>
    <w:p>
      <w:pPr>
        <w:spacing w:after="120"/>
      </w:pPr>
      <w:r>
        <w:rPr>
          <w:rFonts w:ascii="Calibri" w:cs="Calibri" w:eastAsia="Calibri" w:hAnsi="Calibri"/>
          <w:b/>
          <w:bCs/>
          <w:color w:val="0F1B33"/>
          <w:sz w:val="20"/>
          <w:szCs w:val="20"/>
        </w:rPr>
        <w:t xml:space="preserve">Distribution / Go-to-Market Advantage  </w:t>
      </w:r>
      <w:r>
        <w:rPr>
          <w:rFonts w:ascii="Consolas" w:cs="Consolas" w:eastAsia="Consolas" w:hAnsi="Consolas"/>
          <w:color w:val="B3261E"/>
          <w:sz w:val="20"/>
          <w:szCs w:val="20"/>
        </w:rPr>
        <w:t xml:space="preserve">██████░░░░░░░░░░░░░░</w:t>
      </w:r>
      <w:r>
        <w:rPr>
          <w:rFonts w:ascii="Calibri" w:cs="Calibri" w:eastAsia="Calibri" w:hAnsi="Calibri"/>
          <w:b/>
          <w:bCs/>
          <w:color w:val="B3261E"/>
          <w:sz w:val="20"/>
          <w:szCs w:val="20"/>
        </w:rPr>
        <w:t xml:space="preserve">  3/10</w:t>
      </w:r>
    </w:p>
    <w:p>
      <w:pPr>
        <w:spacing w:after="120"/>
      </w:pPr>
      <w:r>
        <w:rPr>
          <w:rFonts w:ascii="Calibri" w:cs="Calibri" w:eastAsia="Calibri" w:hAnsi="Calibri"/>
          <w:b/>
          <w:bCs/>
          <w:color w:val="0F1B33"/>
          <w:sz w:val="20"/>
          <w:szCs w:val="20"/>
        </w:rPr>
        <w:t xml:space="preserve">Capital / Runway to Sustain Build  </w:t>
      </w:r>
      <w:r>
        <w:rPr>
          <w:rFonts w:ascii="Consolas" w:cs="Consolas" w:eastAsia="Consolas" w:hAnsi="Consolas"/>
          <w:color w:val="B3261E"/>
          <w:sz w:val="20"/>
          <w:szCs w:val="20"/>
        </w:rPr>
        <w:t xml:space="preserve">████████░░░░░░░░░░░░</w:t>
      </w:r>
      <w:r>
        <w:rPr>
          <w:rFonts w:ascii="Calibri" w:cs="Calibri" w:eastAsia="Calibri" w:hAnsi="Calibri"/>
          <w:b/>
          <w:bCs/>
          <w:color w:val="B3261E"/>
          <w:sz w:val="20"/>
          <w:szCs w:val="20"/>
        </w:rPr>
        <w:t xml:space="preserve">  4/10</w:t>
      </w:r>
    </w:p>
    <w:p>
      <w:pPr>
        <w:spacing w:after="120"/>
      </w:pPr>
      <w:r>
        <w:rPr>
          <w:rFonts w:ascii="Calibri" w:cs="Calibri" w:eastAsia="Calibri" w:hAnsi="Calibri"/>
          <w:b/>
          <w:bCs/>
          <w:color w:val="0F1B33"/>
          <w:sz w:val="20"/>
          <w:szCs w:val="20"/>
        </w:rPr>
        <w:t xml:space="preserve">Overall Founder-Market Fit  </w:t>
      </w:r>
      <w:r>
        <w:rPr>
          <w:rFonts w:ascii="Consolas" w:cs="Consolas" w:eastAsia="Consolas" w:hAnsi="Consolas"/>
          <w:color w:val="B3261E"/>
          <w:sz w:val="20"/>
          <w:szCs w:val="20"/>
        </w:rPr>
        <w:t xml:space="preserve">█████████░░░░░░░░░░░</w:t>
      </w:r>
      <w:r>
        <w:rPr>
          <w:rFonts w:ascii="Calibri" w:cs="Calibri" w:eastAsia="Calibri" w:hAnsi="Calibri"/>
          <w:b/>
          <w:bCs/>
          <w:color w:val="B3261E"/>
          <w:sz w:val="20"/>
          <w:szCs w:val="20"/>
        </w:rPr>
        <w:t xml:space="preserve">  4.6/10</w:t>
      </w:r>
    </w:p>
    <w:p>
      <w:pPr>
        <w:spacing w:after="160" w:line="276"/>
      </w:pPr>
      <w:r>
        <w:rPr>
          <w:rFonts w:ascii="Calibri" w:cs="Calibri" w:eastAsia="Calibri" w:hAnsi="Calibri"/>
          <w:i w:val="false"/>
          <w:iCs w:val="false"/>
          <w:color w:val="2A2E33"/>
          <w:sz w:val="21"/>
          <w:szCs w:val="21"/>
        </w:rPr>
        <w:t xml:space="preserve">Interpretation: You have genuine, credible insight into the problem — that's the hardest part to fake and a real edge. The gap is distribution: you don't yet have a warm channel into IT/HR/Ops decision-makers at target companies. As a side project, this is fine for now, but it should shape your first 90 days — favor high-touch outbound and personal network over paid acquisition.</w:t>
      </w:r>
    </w:p>
    <w:p>
      <w:r>
        <w:br w:type="page"/>
      </w:r>
    </w:p>
    <w:p>
      <w:pPr>
        <w:pStyle w:val="Heading1"/>
        <w:pBdr>
          <w:bottom w:val="single" w:color="C9A227" w:sz="12" w:space="4"/>
        </w:pBdr>
        <w:spacing w:after="200" w:before="480"/>
      </w:pPr>
      <w:r>
        <w:rPr>
          <w:rFonts w:ascii="Calibri" w:cs="Calibri" w:eastAsia="Calibri" w:hAnsi="Calibri"/>
          <w:b/>
          <w:bCs/>
          <w:color w:val="0F1B33"/>
          <w:sz w:val="30"/>
          <w:szCs w:val="30"/>
        </w:rPr>
        <w:t xml:space="preserve">TAM, SAM, SOM ANALYSIS</w:t>
      </w:r>
    </w:p>
    <w:p>
      <w:pPr>
        <w:pStyle w:val="Heading2"/>
        <w:spacing w:after="140" w:before="320"/>
      </w:pPr>
      <w:r>
        <w:rPr>
          <w:rFonts w:ascii="Calibri" w:cs="Calibri" w:eastAsia="Calibri" w:hAnsi="Calibri"/>
          <w:b/>
          <w:bCs/>
          <w:color w:val="1B2A4A"/>
          <w:sz w:val="24"/>
          <w:szCs w:val="24"/>
        </w:rPr>
        <w:t xml:space="preserve">Market Sizing</w:t>
      </w:r>
    </w:p>
    <w:p>
      <w:pPr>
        <w:spacing w:after="160" w:line="276"/>
      </w:pPr>
      <w:r>
        <w:rPr>
          <w:rFonts w:ascii="Calibri" w:cs="Calibri" w:eastAsia="Calibri" w:hAnsi="Calibri"/>
          <w:color w:val="2A2E33"/>
          <w:sz w:val="21"/>
          <w:szCs w:val="21"/>
        </w:rPr>
        <w:t xml:space="preserve">Sizing is grounded in third-party industry research on the global knowledge management / AI enterprise search category, narrowed to your target segment (India, mid-size+ organizations across IT, BFSI, manufacturing, healthcare, education, consulting, and growing startups).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2500"/>
        <w:gridCol w:w="4980"/>
      </w:tblGrid>
      <w:tr>
        <w:tc>
          <w:tcPr>
            <w:tcW w:type="dxa" w:w="187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Tier</w:t>
            </w:r>
          </w:p>
        </w:tc>
        <w:tc>
          <w:tcPr>
            <w:tcW w:type="dxa" w:w="25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Estimated Size</w:t>
            </w:r>
          </w:p>
        </w:tc>
        <w:tc>
          <w:tcPr>
            <w:tcW w:type="dxa" w:w="498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Basis</w:t>
            </w:r>
          </w:p>
        </w:tc>
      </w:tr>
      <w:tr>
        <w:tc>
          <w:tcPr>
            <w:tcW w:type="dxa" w:w="1870"/>
            <w:tcMar>
              <w:top w:type="dxa" w:w="100"/>
              <w:left w:type="dxa" w:w="120"/>
              <w:bottom w:type="dxa" w:w="100"/>
              <w:right w:type="dxa" w:w="120"/>
            </w:tcMar>
            <w:vAlign w:val="center"/>
          </w:tcPr>
          <w:p>
            <w:pPr>
              <w:jc w:val="left"/>
            </w:pPr>
            <w:r>
              <w:rPr>
                <w:rFonts w:ascii="Calibri" w:cs="Calibri" w:eastAsia="Calibri" w:hAnsi="Calibri"/>
                <w:b/>
                <w:bCs/>
                <w:color w:val="1B2A4A"/>
                <w:sz w:val="20"/>
                <w:szCs w:val="20"/>
              </w:rPr>
              <w:t xml:space="preserve">TAM</w:t>
            </w:r>
          </w:p>
        </w:tc>
        <w:tc>
          <w:tcPr>
            <w:tcW w:type="dxa" w:w="2500"/>
            <w:tcMar>
              <w:top w:type="dxa" w:w="100"/>
              <w:left w:type="dxa" w:w="120"/>
              <w:bottom w:type="dxa" w:w="100"/>
              <w:right w:type="dxa" w:w="120"/>
            </w:tcMar>
            <w:vAlign w:val="center"/>
          </w:tcPr>
          <w:p>
            <w:pPr>
              <w:jc w:val="left"/>
            </w:pPr>
            <w:r>
              <w:rPr>
                <w:rFonts w:ascii="Calibri" w:cs="Calibri" w:eastAsia="Calibri" w:hAnsi="Calibri"/>
                <w:b/>
                <w:bCs/>
                <w:color w:val="2A2E33"/>
                <w:sz w:val="20"/>
                <w:szCs w:val="20"/>
              </w:rPr>
              <w:t xml:space="preserve">~$15.9B (2026)</w:t>
            </w:r>
          </w:p>
        </w:tc>
        <w:tc>
          <w:tcPr>
            <w:tcW w:type="dxa" w:w="498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Global knowledge management software market, 2026 estimate.</w:t>
            </w:r>
          </w:p>
        </w:tc>
      </w:tr>
      <w:tr>
        <w:tc>
          <w:tcPr>
            <w:tcW w:type="dxa" w:w="1870"/>
            <w:shd w:fill="F2F4F7" w:val="clear"/>
            <w:tcMar>
              <w:top w:type="dxa" w:w="100"/>
              <w:left w:type="dxa" w:w="120"/>
              <w:bottom w:type="dxa" w:w="100"/>
              <w:right w:type="dxa" w:w="120"/>
            </w:tcMar>
            <w:vAlign w:val="center"/>
          </w:tcPr>
          <w:p>
            <w:pPr>
              <w:jc w:val="left"/>
            </w:pPr>
            <w:r>
              <w:rPr>
                <w:rFonts w:ascii="Calibri" w:cs="Calibri" w:eastAsia="Calibri" w:hAnsi="Calibri"/>
                <w:b/>
                <w:bCs/>
                <w:color w:val="1B2A4A"/>
                <w:sz w:val="20"/>
                <w:szCs w:val="20"/>
              </w:rPr>
              <w:t xml:space="preserve">SAM</w:t>
            </w:r>
          </w:p>
        </w:tc>
        <w:tc>
          <w:tcPr>
            <w:tcW w:type="dxa" w:w="2500"/>
            <w:shd w:fill="F2F4F7" w:val="clear"/>
            <w:tcMar>
              <w:top w:type="dxa" w:w="100"/>
              <w:left w:type="dxa" w:w="120"/>
              <w:bottom w:type="dxa" w:w="100"/>
              <w:right w:type="dxa" w:w="120"/>
            </w:tcMar>
            <w:vAlign w:val="center"/>
          </w:tcPr>
          <w:p>
            <w:pPr>
              <w:jc w:val="left"/>
            </w:pPr>
            <w:r>
              <w:rPr>
                <w:rFonts w:ascii="Calibri" w:cs="Calibri" w:eastAsia="Calibri" w:hAnsi="Calibri"/>
                <w:b/>
                <w:bCs/>
                <w:color w:val="2A2E33"/>
                <w:sz w:val="20"/>
                <w:szCs w:val="20"/>
              </w:rPr>
              <w:t xml:space="preserve">~$450M–$600M</w:t>
            </w:r>
          </w:p>
        </w:tc>
        <w:tc>
          <w:tcPr>
            <w:tcW w:type="dxa" w:w="498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India + APAC-adjacent share of the market (APAC growing ~21% CAGR, fastest globally), filtered to mid-size and larger organizations in IT, BFSI, manufacturing, healthcare, education, and consulting.</w:t>
            </w:r>
          </w:p>
        </w:tc>
      </w:tr>
      <w:tr>
        <w:tc>
          <w:tcPr>
            <w:tcW w:type="dxa" w:w="1870"/>
            <w:tcMar>
              <w:top w:type="dxa" w:w="100"/>
              <w:left w:type="dxa" w:w="120"/>
              <w:bottom w:type="dxa" w:w="100"/>
              <w:right w:type="dxa" w:w="120"/>
            </w:tcMar>
            <w:vAlign w:val="center"/>
          </w:tcPr>
          <w:p>
            <w:pPr>
              <w:jc w:val="left"/>
            </w:pPr>
            <w:r>
              <w:rPr>
                <w:rFonts w:ascii="Calibri" w:cs="Calibri" w:eastAsia="Calibri" w:hAnsi="Calibri"/>
                <w:b/>
                <w:bCs/>
                <w:color w:val="1B2A4A"/>
                <w:sz w:val="20"/>
                <w:szCs w:val="20"/>
              </w:rPr>
              <w:t xml:space="preserve">SOM</w:t>
            </w:r>
          </w:p>
        </w:tc>
        <w:tc>
          <w:tcPr>
            <w:tcW w:type="dxa" w:w="2500"/>
            <w:tcMar>
              <w:top w:type="dxa" w:w="100"/>
              <w:left w:type="dxa" w:w="120"/>
              <w:bottom w:type="dxa" w:w="100"/>
              <w:right w:type="dxa" w:w="120"/>
            </w:tcMar>
            <w:vAlign w:val="center"/>
          </w:tcPr>
          <w:p>
            <w:pPr>
              <w:jc w:val="left"/>
            </w:pPr>
            <w:r>
              <w:rPr>
                <w:rFonts w:ascii="Calibri" w:cs="Calibri" w:eastAsia="Calibri" w:hAnsi="Calibri"/>
                <w:b/>
                <w:bCs/>
                <w:color w:val="2A2E33"/>
                <w:sz w:val="20"/>
                <w:szCs w:val="20"/>
              </w:rPr>
              <w:t xml:space="preserve">$1.5M–$4M (Yr 3)</w:t>
            </w:r>
          </w:p>
        </w:tc>
        <w:tc>
          <w:tcPr>
            <w:tcW w:type="dxa" w:w="498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Realistic 3-year capture assuming a lean, founder-led GTM: ~150–400 paying mid-market/SMB customers in India at $10–$100/seat/month blended pricing, without enterprise sales infrastructure.</w:t>
            </w:r>
          </w:p>
        </w:tc>
      </w:tr>
    </w:tbl>
    <w:p>
      <w:pPr>
        <w:spacing w:after="200" w:before="60"/>
      </w:pPr>
      <w:r>
        <w:rPr>
          <w:rFonts w:ascii="Calibri" w:cs="Calibri" w:eastAsia="Calibri" w:hAnsi="Calibri"/>
          <w:i/>
          <w:iCs/>
          <w:color w:val="5B6572"/>
          <w:sz w:val="18"/>
          <w:szCs w:val="18"/>
        </w:rPr>
        <w:t xml:space="preserve">Figures are directional, built from multiple third-party market reports (2026); treat as planning inputs, not investor-grade numbers, until refined with primary research.</w:t>
      </w:r>
    </w:p>
    <w:p>
      <w:r>
        <w:br w:type="page"/>
      </w:r>
    </w:p>
    <w:p>
      <w:pPr>
        <w:pStyle w:val="Heading1"/>
        <w:pBdr>
          <w:bottom w:val="single" w:color="C9A227" w:sz="12" w:space="4"/>
        </w:pBdr>
        <w:spacing w:after="200" w:before="480"/>
      </w:pPr>
      <w:r>
        <w:rPr>
          <w:rFonts w:ascii="Calibri" w:cs="Calibri" w:eastAsia="Calibri" w:hAnsi="Calibri"/>
          <w:b/>
          <w:bCs/>
          <w:color w:val="0F1B33"/>
          <w:sz w:val="30"/>
          <w:szCs w:val="30"/>
        </w:rPr>
        <w:t xml:space="preserve">COMPETITOR ANALYSIS</w:t>
      </w:r>
    </w:p>
    <w:p>
      <w:pPr>
        <w:spacing w:after="160" w:line="276"/>
      </w:pPr>
      <w:r>
        <w:rPr>
          <w:rFonts w:ascii="Calibri" w:cs="Calibri" w:eastAsia="Calibri" w:hAnsi="Calibri"/>
          <w:color w:val="2A2E33"/>
          <w:sz w:val="21"/>
          <w:szCs w:val="21"/>
        </w:rPr>
        <w:t xml:space="preserve">The category is active and well-funded, with players ranging from horizontal enterprise search giants to lightweight, curated knowledge tools. None are India-first or SMB-optimized, which is the opening.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2400"/>
        <w:gridCol w:w="2900"/>
        <w:gridCol w:w="2300"/>
      </w:tblGrid>
      <w:tr>
        <w:trPr>
          <w:tblHeader/>
        </w:trPr>
        <w:tc>
          <w:tcPr>
            <w:tcW w:type="dxa" w:w="175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Competitor</w:t>
            </w:r>
          </w:p>
        </w:tc>
        <w:tc>
          <w:tcPr>
            <w:tcW w:type="dxa" w:w="24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Position</w:t>
            </w:r>
          </w:p>
        </w:tc>
        <w:tc>
          <w:tcPr>
            <w:tcW w:type="dxa" w:w="29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Strength</w:t>
            </w:r>
          </w:p>
        </w:tc>
        <w:tc>
          <w:tcPr>
            <w:tcW w:type="dxa" w:w="23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Weakness (your opening)</w:t>
            </w:r>
          </w:p>
        </w:tc>
      </w:tr>
      <w:tr>
        <w:tc>
          <w:tcPr>
            <w:tcW w:type="dxa" w:w="175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Glean</w:t>
            </w:r>
          </w:p>
        </w:tc>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Cross-system enterprise search</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270M+ assistant actions in 2025; indexes 100+ apps</w:t>
            </w:r>
          </w:p>
        </w:tc>
        <w:tc>
          <w:tcPr>
            <w:tcW w:type="dxa" w:w="230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Expensive, complex, built for large enterprise, not SMB/India-first</w:t>
            </w:r>
          </w:p>
        </w:tc>
      </w:tr>
      <w:tr>
        <w:tc>
          <w:tcPr>
            <w:tcW w:type="dxa" w:w="17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Guru</w:t>
            </w:r>
          </w:p>
        </w:tc>
        <w:tc>
          <w:tcPr>
            <w:tcW w:type="dxa" w:w="24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Verified knowledge wiki + AI</w:t>
            </w:r>
          </w:p>
        </w:tc>
        <w:tc>
          <w:tcPr>
            <w:tcW w:type="dxa" w:w="29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Curated, trusted answers; strong governance</w:t>
            </w:r>
          </w:p>
        </w:tc>
        <w:tc>
          <w:tcPr>
            <w:tcW w:type="dxa" w:w="23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Requires content curation effort; less raw document search</w:t>
            </w:r>
          </w:p>
        </w:tc>
      </w:tr>
      <w:tr>
        <w:tc>
          <w:tcPr>
            <w:tcW w:type="dxa" w:w="175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Microsoft Copilot</w:t>
            </w:r>
          </w:p>
        </w:tc>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M365-native knowledge assistant</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Deep O365 integration, huge install base</w:t>
            </w:r>
          </w:p>
        </w:tc>
        <w:tc>
          <w:tcPr>
            <w:tcW w:type="dxa" w:w="230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Only valuable if fully on Microsoft stack; not document-agnostic</w:t>
            </w:r>
          </w:p>
        </w:tc>
      </w:tr>
      <w:tr>
        <w:tc>
          <w:tcPr>
            <w:tcW w:type="dxa" w:w="17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Onyx (Danswer)</w:t>
            </w:r>
          </w:p>
        </w:tc>
        <w:tc>
          <w:tcPr>
            <w:tcW w:type="dxa" w:w="24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Open-source enterprise search</w:t>
            </w:r>
          </w:p>
        </w:tc>
        <w:tc>
          <w:tcPr>
            <w:tcW w:type="dxa" w:w="29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Self-hostable, no per-seat cost, dev-friendly</w:t>
            </w:r>
          </w:p>
        </w:tc>
        <w:tc>
          <w:tcPr>
            <w:tcW w:type="dxa" w:w="23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Needs engineering effort to deploy; not turnkey for non-technical teams</w:t>
            </w:r>
          </w:p>
        </w:tc>
      </w:tr>
      <w:tr>
        <w:tc>
          <w:tcPr>
            <w:tcW w:type="dxa" w:w="175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Notion AI / Slack AI</w:t>
            </w:r>
          </w:p>
        </w:tc>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Ecosystem-native AI</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Zero setup if already using the tool</w:t>
            </w:r>
          </w:p>
        </w:tc>
        <w:tc>
          <w:tcPr>
            <w:tcW w:type="dxa" w:w="230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Locked to their ecosystem; not a neutral document layer</w:t>
            </w:r>
          </w:p>
        </w:tc>
      </w:tr>
    </w:tbl>
    <w:p>
      <w:pPr>
        <w:spacing w:after="200" w:before="60"/>
      </w:pPr>
      <w:r>
        <w:rPr>
          <w:rFonts w:ascii="Calibri" w:cs="Calibri" w:eastAsia="Calibri" w:hAnsi="Calibri"/>
          <w:i/>
          <w:iCs/>
          <w:color w:val="5B6572"/>
          <w:sz w:val="18"/>
          <w:szCs w:val="18"/>
        </w:rPr>
        <w:t xml:space="preserve">Sources: Glean/Guru/Onyx comparative analyses, 2026 (GoSearch, Dust, BHyve, Coworker.ai, TechPlusTrends).</w:t>
      </w:r>
    </w:p>
    <w:p>
      <w:pPr>
        <w:pStyle w:val="Heading2"/>
        <w:spacing w:after="140" w:before="320"/>
      </w:pPr>
      <w:r>
        <w:rPr>
          <w:rFonts w:ascii="Calibri" w:cs="Calibri" w:eastAsia="Calibri" w:hAnsi="Calibri"/>
          <w:b/>
          <w:bCs/>
          <w:color w:val="1B2A4A"/>
          <w:sz w:val="24"/>
          <w:szCs w:val="24"/>
        </w:rPr>
        <w:t xml:space="preserve">Where DocuMind AI Can Win</w:t>
      </w:r>
    </w:p>
    <w:p>
      <w:pPr>
        <w:pStyle w:val="ListParagraph"/>
        <w:numPr>
          <w:ilvl w:val="0"/>
          <w:numId w:val="2"/>
        </w:numPr>
        <w:spacing w:after="90"/>
      </w:pPr>
      <w:r>
        <w:rPr>
          <w:rFonts w:ascii="Calibri" w:cs="Calibri" w:eastAsia="Calibri" w:hAnsi="Calibri"/>
          <w:color w:val="2A2E33"/>
          <w:sz w:val="21"/>
          <w:szCs w:val="21"/>
        </w:rPr>
        <w:t xml:space="preserve">India-first pricing and support — most competitors price in USD for global enterprise budgets, pricing out Indian SMBs and mid-market.</w:t>
      </w:r>
    </w:p>
    <w:p>
      <w:pPr>
        <w:pStyle w:val="ListParagraph"/>
        <w:numPr>
          <w:ilvl w:val="0"/>
          <w:numId w:val="2"/>
        </w:numPr>
        <w:spacing w:after="90"/>
      </w:pPr>
      <w:r>
        <w:rPr>
          <w:rFonts w:ascii="Calibri" w:cs="Calibri" w:eastAsia="Calibri" w:hAnsi="Calibri"/>
          <w:color w:val="2A2E33"/>
          <w:sz w:val="21"/>
          <w:szCs w:val="21"/>
        </w:rPr>
        <w:t xml:space="preserve">Simplicity over breadth — a fast, accurate answer over SOPs/policies/manuals beats a sprawling 100-connector platform for a 200-person manufacturing or healthcare company.</w:t>
      </w:r>
    </w:p>
    <w:p>
      <w:pPr>
        <w:pStyle w:val="ListParagraph"/>
        <w:numPr>
          <w:ilvl w:val="0"/>
          <w:numId w:val="2"/>
        </w:numPr>
        <w:spacing w:after="90"/>
      </w:pPr>
      <w:r>
        <w:rPr>
          <w:rFonts w:ascii="Calibri" w:cs="Calibri" w:eastAsia="Calibri" w:hAnsi="Calibri"/>
          <w:color w:val="2A2E33"/>
          <w:sz w:val="21"/>
          <w:szCs w:val="21"/>
        </w:rPr>
        <w:t xml:space="preserve">Vertical trust — healthcare, BFSI, and manufacturing customers care about compliance-grade accuracy; a narrower, well-tuned product can out-trust a horizontal tool.</w:t>
      </w:r>
    </w:p>
    <w:p>
      <w:r>
        <w:br w:type="page"/>
      </w:r>
    </w:p>
    <w:p>
      <w:pPr>
        <w:pStyle w:val="Heading1"/>
        <w:pBdr>
          <w:bottom w:val="single" w:color="C9A227" w:sz="12" w:space="4"/>
        </w:pBdr>
        <w:spacing w:after="200" w:before="480"/>
      </w:pPr>
      <w:r>
        <w:rPr>
          <w:rFonts w:ascii="Calibri" w:cs="Calibri" w:eastAsia="Calibri" w:hAnsi="Calibri"/>
          <w:b/>
          <w:bCs/>
          <w:color w:val="0F1B33"/>
          <w:sz w:val="30"/>
          <w:szCs w:val="30"/>
        </w:rPr>
        <w:t xml:space="preserve">MARKET GAP ANALYSIS</w:t>
      </w:r>
    </w:p>
    <w:p>
      <w:pPr>
        <w:spacing w:after="160" w:line="276"/>
      </w:pPr>
      <w:r>
        <w:rPr>
          <w:rFonts w:ascii="Calibri" w:cs="Calibri" w:eastAsia="Calibri" w:hAnsi="Calibri"/>
          <w:color w:val="2A2E33"/>
          <w:sz w:val="21"/>
          <w:szCs w:val="21"/>
        </w:rPr>
        <w:t xml:space="preserve">The current market is bifurcated: expensive, feature-heavy platforms built for large global enterprises (Glean, Coveo, Copilot) versus lightweight tools tied to a single ecosystem (Notion AI, Slack AI). Mid-market and SMB organizations in India — particularly outside the top metro tech hubs — are underserved by both.</w:t>
      </w:r>
    </w:p>
    <w:p>
      <w:pPr>
        <w:pStyle w:val="ListParagraph"/>
        <w:numPr>
          <w:ilvl w:val="0"/>
          <w:numId w:val="2"/>
        </w:numPr>
        <w:spacing w:after="90"/>
      </w:pPr>
      <w:r>
        <w:rPr>
          <w:rFonts w:ascii="Calibri" w:cs="Calibri" w:eastAsia="Calibri" w:hAnsi="Calibri"/>
          <w:color w:val="2A2E33"/>
          <w:sz w:val="21"/>
          <w:szCs w:val="21"/>
        </w:rPr>
        <w:t xml:space="preserve">Gap 1: No strong India-priced, India-first player in this category yet — most leaders quote in USD at enterprise price points.</w:t>
      </w:r>
    </w:p>
    <w:p>
      <w:pPr>
        <w:pStyle w:val="ListParagraph"/>
        <w:numPr>
          <w:ilvl w:val="0"/>
          <w:numId w:val="2"/>
        </w:numPr>
        <w:spacing w:after="90"/>
      </w:pPr>
      <w:r>
        <w:rPr>
          <w:rFonts w:ascii="Calibri" w:cs="Calibri" w:eastAsia="Calibri" w:hAnsi="Calibri"/>
          <w:color w:val="2A2E33"/>
          <w:sz w:val="21"/>
          <w:szCs w:val="21"/>
        </w:rPr>
        <w:t xml:space="preserve">Gap 2: SOPs/policy/HR documentation (vs. chat/email/CRM data) is under-indexed by the big horizontal players, who optimize for breadth across many data sources.</w:t>
      </w:r>
    </w:p>
    <w:p>
      <w:pPr>
        <w:pStyle w:val="ListParagraph"/>
        <w:numPr>
          <w:ilvl w:val="0"/>
          <w:numId w:val="2"/>
        </w:numPr>
        <w:spacing w:after="90"/>
      </w:pPr>
      <w:r>
        <w:rPr>
          <w:rFonts w:ascii="Calibri" w:cs="Calibri" w:eastAsia="Calibri" w:hAnsi="Calibri"/>
          <w:color w:val="2A2E33"/>
          <w:sz w:val="21"/>
          <w:szCs w:val="21"/>
        </w:rPr>
        <w:t xml:space="preserve">Gap 3: Mid-market companies (200–2,000 employees) in manufacturing, healthcare, and BFSI in India lack a turnkey, low-setup option between 'open-source and self-host' (Onyx) and 'enterprise sales cycle' (Glean).</w:t>
      </w:r>
    </w:p>
    <w:p>
      <w:pPr>
        <w:pStyle w:val="Heading1"/>
        <w:pBdr>
          <w:bottom w:val="single" w:color="C9A227" w:sz="12" w:space="4"/>
        </w:pBdr>
        <w:spacing w:after="200" w:before="480"/>
      </w:pPr>
      <w:r>
        <w:rPr>
          <w:rFonts w:ascii="Calibri" w:cs="Calibri" w:eastAsia="Calibri" w:hAnsi="Calibri"/>
          <w:b/>
          <w:bCs/>
          <w:color w:val="0F1B33"/>
          <w:sz w:val="30"/>
          <w:szCs w:val="30"/>
        </w:rPr>
        <w:t xml:space="preserve">IDEAL CUSTOMER PROFILE (ICP)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Attribute</w:t>
            </w:r>
          </w:p>
        </w:tc>
        <w:tc>
          <w:tcPr>
            <w:tcW w:type="dxa" w:w="675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Profile</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Company size</w:t>
            </w:r>
          </w:p>
        </w:tc>
        <w:tc>
          <w:tcPr>
            <w:tcW w:type="dxa" w:w="675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150–1,500 employees (large enough to have real documentation sprawl, small enough to lack a dedicated KM team)</w:t>
            </w:r>
          </w:p>
        </w:tc>
      </w:tr>
      <w:tr>
        <w:tc>
          <w:tcPr>
            <w:tcW w:type="dxa" w:w="26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Industries</w:t>
            </w:r>
          </w:p>
        </w:tc>
        <w:tc>
          <w:tcPr>
            <w:tcW w:type="dxa" w:w="67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IT services, BFSI, manufacturing, healthcare, education, consulting, scaling startups</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Geography</w:t>
            </w:r>
          </w:p>
        </w:tc>
        <w:tc>
          <w:tcPr>
            <w:tcW w:type="dxa" w:w="675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India, starting with Tier-1 metros (Bengaluru, Pune, Mumbai, Hyderabad, NCR)</w:t>
            </w:r>
          </w:p>
        </w:tc>
      </w:tr>
      <w:tr>
        <w:tc>
          <w:tcPr>
            <w:tcW w:type="dxa" w:w="26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Trigger conditions</w:t>
            </w:r>
          </w:p>
        </w:tc>
        <w:tc>
          <w:tcPr>
            <w:tcW w:type="dxa" w:w="67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Recent headcount growth, onboarding pain, compliance/audit pressure, recent SOP overhaul</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Buying budget owner</w:t>
            </w:r>
          </w:p>
        </w:tc>
        <w:tc>
          <w:tcPr>
            <w:tcW w:type="dxa" w:w="675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Head of IT, HR Director, Operations Head, or Compliance Lead</w:t>
            </w:r>
          </w:p>
        </w:tc>
      </w:tr>
      <w:tr>
        <w:tc>
          <w:tcPr>
            <w:tcW w:type="dxa" w:w="26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Tech readiness</w:t>
            </w:r>
          </w:p>
        </w:tc>
        <w:tc>
          <w:tcPr>
            <w:tcW w:type="dxa" w:w="67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Already using Google Workspace / Microsoft 365 and some SaaS tools; not fully paper-based</w:t>
            </w:r>
          </w:p>
        </w:tc>
      </w:tr>
    </w:tbl>
    <w:p>
      <w:r>
        <w:br w:type="page"/>
      </w:r>
    </w:p>
    <w:p>
      <w:pPr>
        <w:pStyle w:val="Heading1"/>
        <w:pBdr>
          <w:bottom w:val="single" w:color="C9A227" w:sz="12" w:space="4"/>
        </w:pBdr>
        <w:spacing w:after="200" w:before="480"/>
      </w:pPr>
      <w:r>
        <w:rPr>
          <w:rFonts w:ascii="Calibri" w:cs="Calibri" w:eastAsia="Calibri" w:hAnsi="Calibri"/>
          <w:b/>
          <w:bCs/>
          <w:color w:val="0F1B33"/>
          <w:sz w:val="30"/>
          <w:szCs w:val="30"/>
        </w:rPr>
        <w:t xml:space="preserve">BUYER PERSONA</w:t>
      </w:r>
    </w:p>
    <w:p>
      <w:pPr>
        <w:pStyle w:val="Heading2"/>
        <w:spacing w:after="140" w:before="320"/>
      </w:pPr>
      <w:r>
        <w:rPr>
          <w:rFonts w:ascii="Calibri" w:cs="Calibri" w:eastAsia="Calibri" w:hAnsi="Calibri"/>
          <w:b/>
          <w:bCs/>
          <w:color w:val="1B2A4A"/>
          <w:sz w:val="24"/>
          <w:szCs w:val="24"/>
        </w:rPr>
        <w:t xml:space="preserve">"Priya, the Overwhelmed Ops/HR Lead"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Attribute</w:t>
            </w:r>
          </w:p>
        </w:tc>
        <w:tc>
          <w:tcPr>
            <w:tcW w:type="dxa" w:w="675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Detail</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Role</w:t>
            </w:r>
          </w:p>
        </w:tc>
        <w:tc>
          <w:tcPr>
            <w:tcW w:type="dxa" w:w="675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HR Manager / IT Ops Lead / Compliance Manager, 200–800 employee company</w:t>
            </w:r>
          </w:p>
        </w:tc>
      </w:tr>
      <w:tr>
        <w:tc>
          <w:tcPr>
            <w:tcW w:type="dxa" w:w="26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Age / experience</w:t>
            </w:r>
          </w:p>
        </w:tc>
        <w:tc>
          <w:tcPr>
            <w:tcW w:type="dxa" w:w="67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30–42, 6–15 years experience, mid-senior individual contributor or first-line manager</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Daily reality</w:t>
            </w:r>
          </w:p>
        </w:tc>
        <w:tc>
          <w:tcPr>
            <w:tcW w:type="dxa" w:w="675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Fields the same policy/process questions repeatedly via email, Slack, and in-person interruptions</w:t>
            </w:r>
          </w:p>
        </w:tc>
      </w:tr>
      <w:tr>
        <w:tc>
          <w:tcPr>
            <w:tcW w:type="dxa" w:w="26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Goals</w:t>
            </w:r>
          </w:p>
        </w:tc>
        <w:tc>
          <w:tcPr>
            <w:tcW w:type="dxa" w:w="67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Reduce repetitive queries, speed up onboarding, pass audits smoothly, look efficient to leadership</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Frustrations</w:t>
            </w:r>
          </w:p>
        </w:tc>
        <w:tc>
          <w:tcPr>
            <w:tcW w:type="dxa" w:w="675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Documents scattered across Drive/SharePoint/local folders; outdated versions circulating; no search that understands intent</w:t>
            </w:r>
          </w:p>
        </w:tc>
      </w:tr>
      <w:tr>
        <w:tc>
          <w:tcPr>
            <w:tcW w:type="dxa" w:w="26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What convinces them</w:t>
            </w:r>
          </w:p>
        </w:tc>
        <w:tc>
          <w:tcPr>
            <w:tcW w:type="dxa" w:w="67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A working demo on their own real documents within the first conversation; clear data-security answer</w:t>
            </w:r>
          </w:p>
        </w:tc>
      </w:tr>
    </w:tbl>
    <w:p>
      <w:pPr>
        <w:pStyle w:val="Heading1"/>
        <w:pBdr>
          <w:bottom w:val="single" w:color="C9A227" w:sz="12" w:space="4"/>
        </w:pBdr>
        <w:spacing w:after="200" w:before="480"/>
      </w:pPr>
      <w:r>
        <w:rPr>
          <w:rFonts w:ascii="Calibri" w:cs="Calibri" w:eastAsia="Calibri" w:hAnsi="Calibri"/>
          <w:b/>
          <w:bCs/>
          <w:color w:val="0F1B33"/>
          <w:sz w:val="30"/>
          <w:szCs w:val="30"/>
        </w:rPr>
        <w:t xml:space="preserve">CUSTOMER PAIN POINTS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00"/>
        <w:gridCol w:w="2000"/>
        <w:gridCol w:w="2050"/>
      </w:tblGrid>
      <w:tr>
        <w:trPr>
          <w:tblHeader/>
        </w:trPr>
        <w:tc>
          <w:tcPr>
            <w:tcW w:type="dxa" w:w="53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Pain Point</w:t>
            </w:r>
          </w:p>
        </w:tc>
        <w:tc>
          <w:tcPr>
            <w:tcW w:type="dxa" w:w="20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Frequency</w:t>
            </w:r>
          </w:p>
        </w:tc>
        <w:tc>
          <w:tcPr>
            <w:tcW w:type="dxa" w:w="205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Severity</w:t>
            </w:r>
          </w:p>
        </w:tc>
      </w:tr>
      <w:tr>
        <w:tc>
          <w:tcPr>
            <w:tcW w:type="dxa" w:w="530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Repeated basic questions (leave policy, expense process, SOP steps) to HR/IT/Ops</w:t>
            </w:r>
          </w:p>
        </w:tc>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Daily</w:t>
            </w:r>
          </w:p>
        </w:tc>
        <w:tc>
          <w:tcPr>
            <w:tcW w:type="dxa" w:w="205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High</w:t>
            </w:r>
          </w:p>
        </w:tc>
      </w:tr>
      <w:tr>
        <w:tc>
          <w:tcPr>
            <w:tcW w:type="dxa" w:w="53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New hires take weeks to become self-sufficient on internal process</w:t>
            </w:r>
          </w:p>
        </w:tc>
        <w:tc>
          <w:tcPr>
            <w:tcW w:type="dxa" w:w="20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Every hire</w:t>
            </w:r>
          </w:p>
        </w:tc>
        <w:tc>
          <w:tcPr>
            <w:tcW w:type="dxa" w:w="20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High</w:t>
            </w:r>
          </w:p>
        </w:tc>
      </w:tr>
      <w:tr>
        <w:tc>
          <w:tcPr>
            <w:tcW w:type="dxa" w:w="530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Outdated or conflicting document versions circulating</w:t>
            </w:r>
          </w:p>
        </w:tc>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Ongoing</w:t>
            </w:r>
          </w:p>
        </w:tc>
        <w:tc>
          <w:tcPr>
            <w:tcW w:type="dxa" w:w="205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High</w:t>
            </w:r>
          </w:p>
        </w:tc>
      </w:tr>
      <w:tr>
        <w:tc>
          <w:tcPr>
            <w:tcW w:type="dxa" w:w="53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Time lost searching across Drive, SharePoint, email, and local folders</w:t>
            </w:r>
          </w:p>
        </w:tc>
        <w:tc>
          <w:tcPr>
            <w:tcW w:type="dxa" w:w="20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Daily</w:t>
            </w:r>
          </w:p>
        </w:tc>
        <w:tc>
          <w:tcPr>
            <w:tcW w:type="dxa" w:w="20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Medium-High</w:t>
            </w:r>
          </w:p>
        </w:tc>
      </w:tr>
      <w:tr>
        <w:tc>
          <w:tcPr>
            <w:tcW w:type="dxa" w:w="530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Compliance/audit prep requires manually hunting for the right version of a policy</w:t>
            </w:r>
          </w:p>
        </w:tc>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Quarterly/Annually</w:t>
            </w:r>
          </w:p>
        </w:tc>
        <w:tc>
          <w:tcPr>
            <w:tcW w:type="dxa" w:w="205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High</w:t>
            </w:r>
          </w:p>
        </w:tc>
      </w:tr>
      <w:tr>
        <w:tc>
          <w:tcPr>
            <w:tcW w:type="dxa" w:w="53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Tribal knowledge lost when experienced employees leave</w:t>
            </w:r>
          </w:p>
        </w:tc>
        <w:tc>
          <w:tcPr>
            <w:tcW w:type="dxa" w:w="20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Periodic</w:t>
            </w:r>
          </w:p>
        </w:tc>
        <w:tc>
          <w:tcPr>
            <w:tcW w:type="dxa" w:w="20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Medium</w:t>
            </w:r>
          </w:p>
        </w:tc>
      </w:tr>
    </w:tbl>
    <w:p>
      <w:r>
        <w:br w:type="page"/>
      </w:r>
    </w:p>
    <w:p>
      <w:pPr>
        <w:pStyle w:val="Heading1"/>
        <w:pBdr>
          <w:bottom w:val="single" w:color="C9A227" w:sz="12" w:space="4"/>
        </w:pBdr>
        <w:spacing w:after="200" w:before="480"/>
      </w:pPr>
      <w:r>
        <w:rPr>
          <w:rFonts w:ascii="Calibri" w:cs="Calibri" w:eastAsia="Calibri" w:hAnsi="Calibri"/>
          <w:b/>
          <w:bCs/>
          <w:color w:val="0F1B33"/>
          <w:sz w:val="30"/>
          <w:szCs w:val="30"/>
        </w:rPr>
        <w:t xml:space="preserve">BUYING TRIGGERS &amp; OBJECTIONS</w:t>
      </w:r>
    </w:p>
    <w:p>
      <w:pPr>
        <w:pStyle w:val="Heading2"/>
        <w:spacing w:after="140" w:before="320"/>
      </w:pPr>
      <w:r>
        <w:rPr>
          <w:rFonts w:ascii="Calibri" w:cs="Calibri" w:eastAsia="Calibri" w:hAnsi="Calibri"/>
          <w:b/>
          <w:bCs/>
          <w:color w:val="1B2A4A"/>
          <w:sz w:val="24"/>
          <w:szCs w:val="24"/>
        </w:rPr>
        <w:t xml:space="preserve">Buying Triggers</w:t>
      </w:r>
    </w:p>
    <w:p>
      <w:pPr>
        <w:pStyle w:val="ListParagraph"/>
        <w:numPr>
          <w:ilvl w:val="0"/>
          <w:numId w:val="2"/>
        </w:numPr>
        <w:spacing w:after="90"/>
      </w:pPr>
      <w:r>
        <w:rPr>
          <w:rFonts w:ascii="Calibri" w:cs="Calibri" w:eastAsia="Calibri" w:hAnsi="Calibri"/>
          <w:color w:val="2A2E33"/>
          <w:sz w:val="21"/>
          <w:szCs w:val="21"/>
        </w:rPr>
        <w:t xml:space="preserve">Rapid headcount growth straining onboarding capacity</w:t>
      </w:r>
    </w:p>
    <w:p>
      <w:pPr>
        <w:pStyle w:val="ListParagraph"/>
        <w:numPr>
          <w:ilvl w:val="0"/>
          <w:numId w:val="2"/>
        </w:numPr>
        <w:spacing w:after="90"/>
      </w:pPr>
      <w:r>
        <w:rPr>
          <w:rFonts w:ascii="Calibri" w:cs="Calibri" w:eastAsia="Calibri" w:hAnsi="Calibri"/>
          <w:color w:val="2A2E33"/>
          <w:sz w:val="21"/>
          <w:szCs w:val="21"/>
        </w:rPr>
        <w:t xml:space="preserve">A failed or painful compliance audit</w:t>
      </w:r>
    </w:p>
    <w:p>
      <w:pPr>
        <w:pStyle w:val="ListParagraph"/>
        <w:numPr>
          <w:ilvl w:val="0"/>
          <w:numId w:val="2"/>
        </w:numPr>
        <w:spacing w:after="90"/>
      </w:pPr>
      <w:r>
        <w:rPr>
          <w:rFonts w:ascii="Calibri" w:cs="Calibri" w:eastAsia="Calibri" w:hAnsi="Calibri"/>
          <w:color w:val="2A2E33"/>
          <w:sz w:val="21"/>
          <w:szCs w:val="21"/>
        </w:rPr>
        <w:t xml:space="preserve">A high-profile incident caused by someone following an outdated SOP</w:t>
      </w:r>
    </w:p>
    <w:p>
      <w:pPr>
        <w:pStyle w:val="ListParagraph"/>
        <w:numPr>
          <w:ilvl w:val="0"/>
          <w:numId w:val="2"/>
        </w:numPr>
        <w:spacing w:after="90"/>
      </w:pPr>
      <w:r>
        <w:rPr>
          <w:rFonts w:ascii="Calibri" w:cs="Calibri" w:eastAsia="Calibri" w:hAnsi="Calibri"/>
          <w:color w:val="2A2E33"/>
          <w:sz w:val="21"/>
          <w:szCs w:val="21"/>
        </w:rPr>
        <w:t xml:space="preserve">Leadership mandate to 'adopt AI' for productivity</w:t>
      </w:r>
    </w:p>
    <w:p>
      <w:pPr>
        <w:pStyle w:val="ListParagraph"/>
        <w:numPr>
          <w:ilvl w:val="0"/>
          <w:numId w:val="2"/>
        </w:numPr>
        <w:spacing w:after="90"/>
      </w:pPr>
      <w:r>
        <w:rPr>
          <w:rFonts w:ascii="Calibri" w:cs="Calibri" w:eastAsia="Calibri" w:hAnsi="Calibri"/>
          <w:color w:val="2A2E33"/>
          <w:sz w:val="21"/>
          <w:szCs w:val="21"/>
        </w:rPr>
        <w:t xml:space="preserve">A recent reorg or documentation overhaul already underway</w:t>
      </w:r>
    </w:p>
    <w:p>
      <w:pPr>
        <w:pStyle w:val="Heading2"/>
        <w:spacing w:after="140" w:before="320"/>
      </w:pPr>
      <w:r>
        <w:rPr>
          <w:rFonts w:ascii="Calibri" w:cs="Calibri" w:eastAsia="Calibri" w:hAnsi="Calibri"/>
          <w:b/>
          <w:bCs/>
          <w:color w:val="1B2A4A"/>
          <w:sz w:val="24"/>
          <w:szCs w:val="24"/>
        </w:rPr>
        <w:t xml:space="preserve">Likely Objections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Objection</w:t>
            </w:r>
          </w:p>
        </w:tc>
        <w:tc>
          <w:tcPr>
            <w:tcW w:type="dxa" w:w="575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Response Angle</w:t>
            </w:r>
          </w:p>
        </w:tc>
      </w:tr>
      <w:tr>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"Is our data secure / where is it stored?"</w:t>
            </w:r>
          </w:p>
        </w:tc>
        <w:tc>
          <w:tcPr>
            <w:tcW w:type="dxa" w:w="575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Offer India data residency, clear access controls, and no third-party training on customer data</w:t>
            </w:r>
          </w:p>
        </w:tc>
      </w:tr>
      <w:tr>
        <w:tc>
          <w:tcPr>
            <w:tcW w:type="dxa" w:w="36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"We already have SharePoint/Drive search."</w:t>
            </w:r>
          </w:p>
        </w:tc>
        <w:tc>
          <w:tcPr>
            <w:tcW w:type="dxa" w:w="57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Position as natural-language answers vs. keyword file search — show a live side-by-side query</w:t>
            </w:r>
          </w:p>
        </w:tc>
      </w:tr>
      <w:tr>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"How is this different from just using ChatGPT?"</w:t>
            </w:r>
          </w:p>
        </w:tc>
        <w:tc>
          <w:tcPr>
            <w:tcW w:type="dxa" w:w="575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ChatGPT doesn't know your internal, current, permission-scoped documents — this does</w:t>
            </w:r>
          </w:p>
        </w:tc>
      </w:tr>
      <w:tr>
        <w:tc>
          <w:tcPr>
            <w:tcW w:type="dxa" w:w="36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"Too expensive / unclear ROI."</w:t>
            </w:r>
          </w:p>
        </w:tc>
        <w:tc>
          <w:tcPr>
            <w:tcW w:type="dxa" w:w="57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Anchor ROI to hours saved per employee per week and reduced onboarding time, not just 'AI is cool'</w:t>
            </w:r>
          </w:p>
        </w:tc>
      </w:tr>
      <w:tr>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"Will it hallucinate wrong policy info?"</w:t>
            </w:r>
          </w:p>
        </w:tc>
        <w:tc>
          <w:tcPr>
            <w:tcW w:type="dxa" w:w="575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Show citation-linked answers pointing back to the exact source document and section</w:t>
            </w:r>
          </w:p>
        </w:tc>
      </w:tr>
    </w:tbl>
    <w:p>
      <w:r>
        <w:br w:type="page"/>
      </w:r>
    </w:p>
    <w:p>
      <w:pPr>
        <w:pStyle w:val="Heading1"/>
        <w:pBdr>
          <w:bottom w:val="single" w:color="C9A227" w:sz="12" w:space="4"/>
        </w:pBdr>
        <w:spacing w:after="200" w:before="480"/>
      </w:pPr>
      <w:r>
        <w:rPr>
          <w:rFonts w:ascii="Calibri" w:cs="Calibri" w:eastAsia="Calibri" w:hAnsi="Calibri"/>
          <w:b/>
          <w:bCs/>
          <w:color w:val="0F1B33"/>
          <w:sz w:val="30"/>
          <w:szCs w:val="30"/>
        </w:rPr>
        <w:t xml:space="preserve">CUSTOMER JOURNEY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4100"/>
        <w:gridCol w:w="3500"/>
      </w:tblGrid>
      <w:tr>
        <w:trPr>
          <w:tblHeader/>
        </w:trPr>
        <w:tc>
          <w:tcPr>
            <w:tcW w:type="dxa" w:w="175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Stage</w:t>
            </w:r>
          </w:p>
        </w:tc>
        <w:tc>
          <w:tcPr>
            <w:tcW w:type="dxa" w:w="41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What Happens</w:t>
            </w:r>
          </w:p>
        </w:tc>
        <w:tc>
          <w:tcPr>
            <w:tcW w:type="dxa" w:w="35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Your Goal</w:t>
            </w:r>
          </w:p>
        </w:tc>
      </w:tr>
      <w:tr>
        <w:tc>
          <w:tcPr>
            <w:tcW w:type="dxa" w:w="175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Awareness</w:t>
            </w:r>
          </w:p>
        </w:tc>
        <w:tc>
          <w:tcPr>
            <w:tcW w:type="dxa" w:w="410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Hears about repeated documentation frustration, sees a LinkedIn post/demo/referral</w:t>
            </w:r>
          </w:p>
        </w:tc>
        <w:tc>
          <w:tcPr>
            <w:tcW w:type="dxa" w:w="350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Get in front of IT/HR/Ops leaders where they already spend time</w:t>
            </w:r>
          </w:p>
        </w:tc>
      </w:tr>
      <w:tr>
        <w:tc>
          <w:tcPr>
            <w:tcW w:type="dxa" w:w="17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Consideration</w:t>
            </w:r>
          </w:p>
        </w:tc>
        <w:tc>
          <w:tcPr>
            <w:tcW w:type="dxa" w:w="41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Compares against 'do nothing', SharePoint search, or a competitor tool</w:t>
            </w:r>
          </w:p>
        </w:tc>
        <w:tc>
          <w:tcPr>
            <w:tcW w:type="dxa" w:w="35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Offer a live demo using their own uploaded documents</w:t>
            </w:r>
          </w:p>
        </w:tc>
      </w:tr>
      <w:tr>
        <w:tc>
          <w:tcPr>
            <w:tcW w:type="dxa" w:w="175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Trial / Pilot</w:t>
            </w:r>
          </w:p>
        </w:tc>
        <w:tc>
          <w:tcPr>
            <w:tcW w:type="dxa" w:w="410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Runs a 2–4 week pilot with one department (often HR or IT)</w:t>
            </w:r>
          </w:p>
        </w:tc>
        <w:tc>
          <w:tcPr>
            <w:tcW w:type="dxa" w:w="350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Prove accuracy, speed, and security in a low-risk scope</w:t>
            </w:r>
          </w:p>
        </w:tc>
      </w:tr>
      <w:tr>
        <w:tc>
          <w:tcPr>
            <w:tcW w:type="dxa" w:w="17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Purchase</w:t>
            </w:r>
          </w:p>
        </w:tc>
        <w:tc>
          <w:tcPr>
            <w:tcW w:type="dxa" w:w="41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Budget owner signs off, procurement/security review completed</w:t>
            </w:r>
          </w:p>
        </w:tc>
        <w:tc>
          <w:tcPr>
            <w:tcW w:type="dxa" w:w="35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Have security/data answers ready; simple pricing</w:t>
            </w:r>
          </w:p>
        </w:tc>
      </w:tr>
      <w:tr>
        <w:tc>
          <w:tcPr>
            <w:tcW w:type="dxa" w:w="175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Adoption</w:t>
            </w:r>
          </w:p>
        </w:tc>
        <w:tc>
          <w:tcPr>
            <w:tcW w:type="dxa" w:w="410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Employees start using it instead of asking colleagues</w:t>
            </w:r>
          </w:p>
        </w:tc>
        <w:tc>
          <w:tcPr>
            <w:tcW w:type="dxa" w:w="350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Track query volume and time-saved as proof points</w:t>
            </w:r>
          </w:p>
        </w:tc>
      </w:tr>
      <w:tr>
        <w:tc>
          <w:tcPr>
            <w:tcW w:type="dxa" w:w="17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Expansion</w:t>
            </w:r>
          </w:p>
        </w:tc>
        <w:tc>
          <w:tcPr>
            <w:tcW w:type="dxa" w:w="41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Rolled out to more departments / document types</w:t>
            </w:r>
          </w:p>
        </w:tc>
        <w:tc>
          <w:tcPr>
            <w:tcW w:type="dxa" w:w="35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Upsell by department, document volume, or seat count</w:t>
            </w:r>
          </w:p>
        </w:tc>
      </w:tr>
    </w:tbl>
    <w:p>
      <w:r>
        <w:br w:type="page"/>
      </w:r>
    </w:p>
    <w:p>
      <w:pPr>
        <w:pStyle w:val="Heading1"/>
        <w:pBdr>
          <w:bottom w:val="single" w:color="C9A227" w:sz="12" w:space="4"/>
        </w:pBdr>
        <w:spacing w:after="200" w:before="480"/>
      </w:pPr>
      <w:r>
        <w:rPr>
          <w:rFonts w:ascii="Calibri" w:cs="Calibri" w:eastAsia="Calibri" w:hAnsi="Calibri"/>
          <w:b/>
          <w:bCs/>
          <w:color w:val="0F1B33"/>
          <w:sz w:val="30"/>
          <w:szCs w:val="30"/>
        </w:rPr>
        <w:t xml:space="preserve">RISK ASSESSMENT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300"/>
        <w:gridCol w:w="4050"/>
      </w:tblGrid>
      <w:tr>
        <w:trPr>
          <w:tblHeader/>
        </w:trPr>
        <w:tc>
          <w:tcPr>
            <w:tcW w:type="dxa" w:w="26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Risk</w:t>
            </w:r>
          </w:p>
        </w:tc>
        <w:tc>
          <w:tcPr>
            <w:tcW w:type="dxa" w:w="14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Likelihood</w:t>
            </w:r>
          </w:p>
        </w:tc>
        <w:tc>
          <w:tcPr>
            <w:tcW w:type="dxa" w:w="13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Impact</w:t>
            </w:r>
          </w:p>
        </w:tc>
        <w:tc>
          <w:tcPr>
            <w:tcW w:type="dxa" w:w="405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Mitigation</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Well-funded competitors (Glean, Copilot) move down-market into SMB/India</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Medium</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High</w:t>
            </w:r>
          </w:p>
        </w:tc>
        <w:tc>
          <w:tcPr>
            <w:tcW w:type="dxa" w:w="405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Move fast on India-specific pricing/trust; win via service and specialization, not feature count</w:t>
            </w:r>
          </w:p>
        </w:tc>
      </w:tr>
      <w:tr>
        <w:tc>
          <w:tcPr>
            <w:tcW w:type="dxa" w:w="26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Data security concerns block enterprise/BFSI/healthcare adoption</w:t>
            </w:r>
          </w:p>
        </w:tc>
        <w:tc>
          <w:tcPr>
            <w:tcW w:type="dxa" w:w="14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High</w:t>
            </w:r>
          </w:p>
        </w:tc>
        <w:tc>
          <w:tcPr>
            <w:tcW w:type="dxa" w:w="13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High</w:t>
            </w:r>
          </w:p>
        </w:tc>
        <w:tc>
          <w:tcPr>
            <w:tcW w:type="dxa" w:w="40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Design for data residency, encryption, and permission-aware access from day one</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No existing validation — real demand unconfirmed</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High</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High</w:t>
            </w:r>
          </w:p>
        </w:tc>
        <w:tc>
          <w:tcPr>
            <w:tcW w:type="dxa" w:w="405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Run structured discovery interviews before writing more code</w:t>
            </w:r>
          </w:p>
        </w:tc>
      </w:tr>
      <w:tr>
        <w:tc>
          <w:tcPr>
            <w:tcW w:type="dxa" w:w="26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Side-project pace risks stalling before traction</w:t>
            </w:r>
          </w:p>
        </w:tc>
        <w:tc>
          <w:tcPr>
            <w:tcW w:type="dxa" w:w="14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Medium</w:t>
            </w:r>
          </w:p>
        </w:tc>
        <w:tc>
          <w:tcPr>
            <w:tcW w:type="dxa" w:w="13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Medium</w:t>
            </w:r>
          </w:p>
        </w:tc>
        <w:tc>
          <w:tcPr>
            <w:tcW w:type="dxa" w:w="40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Set a hard 30-60-90 day plan with go/no-go checkpoints</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AI accuracy/hallucination risk damages trust in compliance-sensitive sectors</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Medium</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High</w:t>
            </w:r>
          </w:p>
        </w:tc>
        <w:tc>
          <w:tcPr>
            <w:tcW w:type="dxa" w:w="405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Build citation-backed answers and confidence scoring into the core product experience</w:t>
            </w:r>
          </w:p>
        </w:tc>
      </w:tr>
      <w:tr>
        <w:tc>
          <w:tcPr>
            <w:tcW w:type="dxa" w:w="26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Founder solo — limited bandwidth for build + sales simultaneously</w:t>
            </w:r>
          </w:p>
        </w:tc>
        <w:tc>
          <w:tcPr>
            <w:tcW w:type="dxa" w:w="14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High</w:t>
            </w:r>
          </w:p>
        </w:tc>
        <w:tc>
          <w:tcPr>
            <w:tcW w:type="dxa" w:w="13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Medium</w:t>
            </w:r>
          </w:p>
        </w:tc>
        <w:tc>
          <w:tcPr>
            <w:tcW w:type="dxa" w:w="40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Scope MVP tightly; consider a technical or GTM co-founder if traction appears</w:t>
            </w:r>
          </w:p>
        </w:tc>
      </w:tr>
    </w:tbl>
    <w:p>
      <w:r>
        <w:br w:type="page"/>
      </w:r>
    </w:p>
    <w:p>
      <w:pPr>
        <w:pStyle w:val="Heading1"/>
        <w:pBdr>
          <w:bottom w:val="single" w:color="C9A227" w:sz="12" w:space="4"/>
        </w:pBdr>
        <w:spacing w:after="200" w:before="480"/>
      </w:pPr>
      <w:r>
        <w:rPr>
          <w:rFonts w:ascii="Calibri" w:cs="Calibri" w:eastAsia="Calibri" w:hAnsi="Calibri"/>
          <w:b/>
          <w:bCs/>
          <w:color w:val="0F1B33"/>
          <w:sz w:val="30"/>
          <w:szCs w:val="30"/>
        </w:rPr>
        <w:t xml:space="preserve">PIVOT OPPORTUNITIES</w:t>
      </w:r>
    </w:p>
    <w:p>
      <w:pPr>
        <w:spacing w:after="160" w:line="276"/>
      </w:pPr>
      <w:r>
        <w:rPr>
          <w:rFonts w:ascii="Calibri" w:cs="Calibri" w:eastAsia="Calibri" w:hAnsi="Calibri"/>
          <w:color w:val="2A2E33"/>
          <w:sz w:val="21"/>
          <w:szCs w:val="21"/>
        </w:rPr>
        <w:t xml:space="preserve">If broad horizontal positioning proves too competitive, several narrower wedges are worth testing:</w:t>
      </w:r>
    </w:p>
    <w:p>
      <w:pPr>
        <w:pStyle w:val="ListParagraph"/>
        <w:numPr>
          <w:ilvl w:val="0"/>
          <w:numId w:val="2"/>
        </w:numPr>
        <w:spacing w:after="90"/>
      </w:pPr>
      <w:r>
        <w:rPr>
          <w:rFonts w:ascii="Calibri" w:cs="Calibri" w:eastAsia="Calibri" w:hAnsi="Calibri"/>
          <w:color w:val="2A2E33"/>
          <w:sz w:val="21"/>
          <w:szCs w:val="21"/>
        </w:rPr>
        <w:t xml:space="preserve">Vertical-first: Focus exclusively on one industry (e.g., healthcare compliance documentation, or manufacturing SOPs) where accuracy and audit-readiness command premium pricing.</w:t>
      </w:r>
    </w:p>
    <w:p>
      <w:pPr>
        <w:pStyle w:val="ListParagraph"/>
        <w:numPr>
          <w:ilvl w:val="0"/>
          <w:numId w:val="2"/>
        </w:numPr>
        <w:spacing w:after="90"/>
      </w:pPr>
      <w:r>
        <w:rPr>
          <w:rFonts w:ascii="Calibri" w:cs="Calibri" w:eastAsia="Calibri" w:hAnsi="Calibri"/>
          <w:color w:val="2A2E33"/>
          <w:sz w:val="21"/>
          <w:szCs w:val="21"/>
        </w:rPr>
        <w:t xml:space="preserve">HR-onboarding wedge: Position purely as an AI onboarding assistant for new hires, expanding into full documentation search later.</w:t>
      </w:r>
    </w:p>
    <w:p>
      <w:pPr>
        <w:pStyle w:val="ListParagraph"/>
        <w:numPr>
          <w:ilvl w:val="0"/>
          <w:numId w:val="2"/>
        </w:numPr>
        <w:spacing w:after="90"/>
      </w:pPr>
      <w:r>
        <w:rPr>
          <w:rFonts w:ascii="Calibri" w:cs="Calibri" w:eastAsia="Calibri" w:hAnsi="Calibri"/>
          <w:color w:val="2A2E33"/>
          <w:sz w:val="21"/>
          <w:szCs w:val="21"/>
        </w:rPr>
        <w:t xml:space="preserve">Compliance/audit angle: Sell primarily on audit-readiness and version control rather than general Q&amp;A convenience.</w:t>
      </w:r>
    </w:p>
    <w:p>
      <w:pPr>
        <w:pStyle w:val="ListParagraph"/>
        <w:numPr>
          <w:ilvl w:val="0"/>
          <w:numId w:val="2"/>
        </w:numPr>
        <w:spacing w:after="90"/>
      </w:pPr>
      <w:r>
        <w:rPr>
          <w:rFonts w:ascii="Calibri" w:cs="Calibri" w:eastAsia="Calibri" w:hAnsi="Calibri"/>
          <w:color w:val="2A2E33"/>
          <w:sz w:val="21"/>
          <w:szCs w:val="21"/>
        </w:rPr>
        <w:t xml:space="preserve">Consulting-firm partner model: License to consulting/IT services firms who deploy it for their own clients, reaching multiple companies through one channel partner.</w:t>
      </w:r>
    </w:p>
    <w:p>
      <w:pPr>
        <w:pStyle w:val="Heading1"/>
        <w:pBdr>
          <w:bottom w:val="single" w:color="C9A227" w:sz="12" w:space="4"/>
        </w:pBdr>
        <w:spacing w:after="200" w:before="480"/>
      </w:pPr>
      <w:r>
        <w:rPr>
          <w:rFonts w:ascii="Calibri" w:cs="Calibri" w:eastAsia="Calibri" w:hAnsi="Calibri"/>
          <w:b/>
          <w:bCs/>
          <w:color w:val="0F1B33"/>
          <w:sz w:val="30"/>
          <w:szCs w:val="30"/>
        </w:rPr>
        <w:t xml:space="preserve">GO / NO-GO RECOMMENDATION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7E0" w:val="clear"/>
            <w:tcMar>
              <w:top w:type="dxa" w:w="200"/>
              <w:left w:type="dxa" w:w="220"/>
              <w:bottom w:type="dxa" w:w="200"/>
              <w:right w:type="dxa" w:w="220"/>
            </w:tcMar>
          </w:tcPr>
          <w:p>
            <w:r>
              <w:rPr>
                <w:rFonts w:ascii="Calibri" w:cs="Calibri" w:eastAsia="Calibri" w:hAnsi="Calibri"/>
                <w:b/>
                <w:bCs/>
                <w:color w:val="B8860B"/>
                <w:sz w:val="28"/>
                <w:szCs w:val="28"/>
              </w:rPr>
              <w:t xml:space="preserve">CONDITIONAL GO</w:t>
            </w:r>
          </w:p>
          <w:p>
            <w:pPr>
              <w:spacing w:before="120"/>
            </w:pPr>
            <w:r>
              <w:rPr>
                <w:rFonts w:ascii="Calibri" w:cs="Calibri" w:eastAsia="Calibri" w:hAnsi="Calibri"/>
                <w:color w:val="2A2E33"/>
                <w:sz w:val="21"/>
                <w:szCs w:val="21"/>
              </w:rPr>
              <w:t xml:space="preserve">The market is large, growing, and well-documented — this is not a 'no' on the opportunity. But right now the idea has zero direct customer validation. Do not invest significant build time until you've completed 15-20 structured conversations with your ICP (IT/HR/Ops leaders in your target industries) confirming urgency and willingness to pay. Treat the next 30 days as a validation sprint, not a build sprint.</w:t>
            </w:r>
          </w:p>
        </w:tc>
      </w:tr>
    </w:tbl>
    <w:p>
      <w:r>
        <w:br w:type="page"/>
      </w:r>
    </w:p>
    <w:p>
      <w:pPr>
        <w:pStyle w:val="Heading1"/>
        <w:pBdr>
          <w:bottom w:val="single" w:color="C9A227" w:sz="12" w:space="4"/>
        </w:pBdr>
        <w:spacing w:after="200" w:before="480"/>
      </w:pPr>
      <w:r>
        <w:rPr>
          <w:rFonts w:ascii="Calibri" w:cs="Calibri" w:eastAsia="Calibri" w:hAnsi="Calibri"/>
          <w:b/>
          <w:bCs/>
          <w:color w:val="0F1B33"/>
          <w:sz w:val="30"/>
          <w:szCs w:val="30"/>
        </w:rPr>
        <w:t xml:space="preserve">30-DAY ACTION PLAN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50"/>
      </w:tblGrid>
      <w:tr>
        <w:trPr>
          <w:tblHeader/>
        </w:trPr>
        <w:tc>
          <w:tcPr>
            <w:tcW w:type="dxa" w:w="14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Week</w:t>
            </w:r>
          </w:p>
        </w:tc>
        <w:tc>
          <w:tcPr>
            <w:tcW w:type="dxa" w:w="24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Focus</w:t>
            </w:r>
          </w:p>
        </w:tc>
        <w:tc>
          <w:tcPr>
            <w:tcW w:type="dxa" w:w="555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Key Actions</w:t>
            </w:r>
          </w:p>
        </w:tc>
      </w:tr>
      <w:tr>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Week 1</w:t>
            </w:r>
          </w:p>
        </w:tc>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Customer Discovery</w:t>
            </w:r>
          </w:p>
        </w:tc>
        <w:tc>
          <w:tcPr>
            <w:tcW w:type="dxa" w:w="555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Identify 30 target contacts (IT/HR/Ops leads) across your listed industries; book 10+ calls; ask about current process, pain frequency, and budget reality — do not pitch yet</w:t>
            </w:r>
          </w:p>
        </w:tc>
      </w:tr>
      <w:tr>
        <w:tc>
          <w:tcPr>
            <w:tcW w:type="dxa" w:w="14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Week 2</w:t>
            </w:r>
          </w:p>
        </w:tc>
        <w:tc>
          <w:tcPr>
            <w:tcW w:type="dxa" w:w="24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Problem Confirmation</w:t>
            </w:r>
          </w:p>
        </w:tc>
        <w:tc>
          <w:tcPr>
            <w:tcW w:type="dxa" w:w="55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Complete remaining interviews (aim 15-20 total); synthesize patterns; identify the single highest-pain, highest-frequency use case to lead with</w:t>
            </w:r>
          </w:p>
        </w:tc>
      </w:tr>
      <w:tr>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Week 3</w:t>
            </w:r>
          </w:p>
        </w:tc>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Lightweight Proof</w:t>
            </w:r>
          </w:p>
        </w:tc>
        <w:tc>
          <w:tcPr>
            <w:tcW w:type="dxa" w:w="5550"/>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Build a narrow demo (one document type, one company's real files if possible) using off-the-shelf RAG tools; show it live to 3-5 of your interviewees</w:t>
            </w:r>
          </w:p>
        </w:tc>
      </w:tr>
      <w:tr>
        <w:tc>
          <w:tcPr>
            <w:tcW w:type="dxa" w:w="14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Week 4</w:t>
            </w:r>
          </w:p>
        </w:tc>
        <w:tc>
          <w:tcPr>
            <w:tcW w:type="dxa" w:w="24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Commitment Test</w:t>
            </w:r>
          </w:p>
        </w:tc>
        <w:tc>
          <w:tcPr>
            <w:tcW w:type="dxa" w:w="55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2A2E33"/>
                <w:sz w:val="20"/>
                <w:szCs w:val="20"/>
              </w:rPr>
              <w:t xml:space="preserve">Ask for a real signal: paid pilot, LOI, or waitlist signup with a specific reason to join; reassess Go/No-Go based on actual commitments, not polite interest</w:t>
            </w:r>
          </w:p>
        </w:tc>
      </w:tr>
    </w:tbl>
    <w:p>
      <w:pPr>
        <w:spacing w:after="200" w:before="60"/>
      </w:pPr>
      <w:r>
        <w:rPr>
          <w:rFonts w:ascii="Calibri" w:cs="Calibri" w:eastAsia="Calibri" w:hAnsi="Calibri"/>
          <w:i/>
          <w:iCs/>
          <w:color w:val="5B6572"/>
          <w:sz w:val="18"/>
          <w:szCs w:val="18"/>
        </w:rPr>
        <w:t xml:space="preserve">Success bar for Day 30: at least 3 companies willing to pilot (paid or structured free trial with defined success criteria). Anything less signals the idea needs a pivot or more discovery before further build investment.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572"/>
        <w:sz w:val="16"/>
        <w:szCs w:val="16"/>
      </w:rPr>
      <w:t xml:space="preserve">Page </w:t>
    </w:r>
    <w:r>
      <w:rPr>
        <w:rFonts w:ascii="Calibri" w:cs="Calibri" w:eastAsia="Calibri" w:hAnsi="Calibri"/>
        <w:color w:val="5B6572"/>
        <w:sz w:val="16"/>
        <w:szCs w:val="16"/>
      </w:rPr>
      <w:fldChar w:fldCharType="begin"/>
      <w:instrText xml:space="preserve">PAGE</w:instrText>
      <w:fldChar w:fldCharType="separate"/>
      <w:fldChar w:fldCharType="end"/>
    </w:r>
    <w:r>
      <w:rPr>
        <w:rFonts w:ascii="Calibri" w:cs="Calibri" w:eastAsia="Calibri" w:hAnsi="Calibri"/>
        <w:color w:val="5B6572"/>
        <w:sz w:val="16"/>
        <w:szCs w:val="16"/>
      </w:rPr>
      <w:t xml:space="preserve"> of </w:t>
    </w:r>
    <w:r>
      <w:rPr>
        <w:rFonts w:ascii="Calibri" w:cs="Calibri" w:eastAsia="Calibri" w:hAnsi="Calibri"/>
        <w:color w:val="5B65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4" w:space="4"/>
      </w:pBdr>
      <w:tabs>
        <w:tab w:val="right" w:pos="9026"/>
      </w:tabs>
    </w:pPr>
    <w:r>
      <w:rPr>
        <w:rFonts w:ascii="Calibri" w:cs="Calibri" w:eastAsia="Calibri" w:hAnsi="Calibri"/>
        <w:color w:val="5B6572"/>
        <w:sz w:val="16"/>
        <w:szCs w:val="16"/>
      </w:rPr>
      <w:t xml:space="preserve">DocuMind AI — Startup Validation Report</w:t>
    </w:r>
    <w:r>
      <w:rPr>
        <w:rFonts w:ascii="Calibri" w:cs="Calibri" w:eastAsia="Calibri" w:hAnsi="Calibri"/>
        <w:color w:val="5B6572"/>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2026-08-08T15:53:40.068Z</dcterms:created>
  <dcterms:modified xsi:type="dcterms:W3CDTF">2026-08-08T15:53:40.079Z</dcterms:modified>
</cp:coreProperties>
</file>

<file path=docProps/custom.xml><?xml version="1.0" encoding="utf-8"?>
<Properties xmlns="http://schemas.openxmlformats.org/officeDocument/2006/custom-properties" xmlns:vt="http://schemas.openxmlformats.org/officeDocument/2006/docPropsVTypes"/>
</file>