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DD811" w14:textId="2CB9AF3A" w:rsidR="00700B05" w:rsidRDefault="009C0E13" w:rsidP="009C0E13">
      <w:pPr>
        <w:jc w:val="center"/>
        <w:rPr>
          <w:lang w:val="es-ES"/>
        </w:rPr>
      </w:pPr>
      <w:r>
        <w:rPr>
          <w:lang w:val="es-ES"/>
        </w:rPr>
        <w:t>TIPOS DE CAZA EN</w:t>
      </w:r>
      <w:r w:rsidR="001B45DA">
        <w:rPr>
          <w:lang w:val="es-ES"/>
        </w:rPr>
        <w:t xml:space="preserve"> LA PROVINCIA DE</w:t>
      </w:r>
      <w:r>
        <w:rPr>
          <w:lang w:val="es-ES"/>
        </w:rPr>
        <w:t xml:space="preserve"> MISIONES, ARGENTINA</w:t>
      </w:r>
    </w:p>
    <w:p w14:paraId="04268339" w14:textId="5484C466" w:rsidR="00700B05" w:rsidRDefault="00700B05" w:rsidP="00700B05">
      <w:pPr>
        <w:jc w:val="center"/>
        <w:rPr>
          <w:lang w:val="es-ES"/>
        </w:rPr>
      </w:pPr>
    </w:p>
    <w:p w14:paraId="1E9E5CF2" w14:textId="443ECD5A" w:rsidR="0079149D" w:rsidRDefault="00CE60B7" w:rsidP="00700B05">
      <w:pPr>
        <w:rPr>
          <w:lang w:val="es-ES"/>
        </w:rPr>
      </w:pPr>
      <w:r>
        <w:rPr>
          <w:lang w:val="es-ES"/>
        </w:rPr>
        <w:t>RESUMEN</w:t>
      </w:r>
    </w:p>
    <w:p w14:paraId="6768614D" w14:textId="31C5DC2D" w:rsidR="00492BD2" w:rsidRDefault="008520EA" w:rsidP="00700B05">
      <w:pPr>
        <w:rPr>
          <w:lang w:val="es-ES"/>
        </w:rPr>
      </w:pPr>
      <w:r>
        <w:rPr>
          <w:lang w:val="es-ES"/>
        </w:rPr>
        <w:t xml:space="preserve">El articulo </w:t>
      </w:r>
      <w:r w:rsidR="00ED6E4C">
        <w:rPr>
          <w:lang w:val="es-ES"/>
        </w:rPr>
        <w:t>desarrolla</w:t>
      </w:r>
      <w:r>
        <w:rPr>
          <w:lang w:val="es-ES"/>
        </w:rPr>
        <w:t xml:space="preserve"> una</w:t>
      </w:r>
      <w:r w:rsidR="0008750F">
        <w:rPr>
          <w:lang w:val="es-ES"/>
        </w:rPr>
        <w:t xml:space="preserve"> caracterización general y una</w:t>
      </w:r>
      <w:r>
        <w:rPr>
          <w:lang w:val="es-ES"/>
        </w:rPr>
        <w:t xml:space="preserve"> clasificación multidimensional de la caza ilegal practicada durante las ultimas décadas en la provincia de Misiones (Argentina). </w:t>
      </w:r>
      <w:r w:rsidR="00416840">
        <w:rPr>
          <w:lang w:val="es-ES"/>
        </w:rPr>
        <w:t>Se retoman</w:t>
      </w:r>
      <w:r w:rsidR="00492BD2">
        <w:rPr>
          <w:lang w:val="es-ES"/>
        </w:rPr>
        <w:t xml:space="preserve"> fuentes gubernamentales y entrevistas a guardaparques, cazadores y ex-cazadores,</w:t>
      </w:r>
      <w:r w:rsidR="00416840">
        <w:rPr>
          <w:lang w:val="es-ES"/>
        </w:rPr>
        <w:t xml:space="preserve"> activos en diferentes municipios de la provincia</w:t>
      </w:r>
      <w:r w:rsidR="0079149D">
        <w:rPr>
          <w:lang w:val="es-ES"/>
        </w:rPr>
        <w:t xml:space="preserve">. Como claves para el análisis de este problema </w:t>
      </w:r>
      <w:r w:rsidR="00492BD2">
        <w:rPr>
          <w:lang w:val="es-ES"/>
        </w:rPr>
        <w:t>se proponen los conceptos de “estructura” y “evento”</w:t>
      </w:r>
      <w:r w:rsidR="0079149D">
        <w:rPr>
          <w:lang w:val="es-ES"/>
        </w:rPr>
        <w:t>,</w:t>
      </w:r>
      <w:r w:rsidR="00492BD2">
        <w:rPr>
          <w:lang w:val="es-ES"/>
        </w:rPr>
        <w:t xml:space="preserve"> </w:t>
      </w:r>
      <w:r w:rsidR="00411BD6">
        <w:rPr>
          <w:lang w:val="es-ES"/>
        </w:rPr>
        <w:t>a fin de</w:t>
      </w:r>
      <w:r w:rsidR="00492BD2">
        <w:rPr>
          <w:lang w:val="es-ES"/>
        </w:rPr>
        <w:t xml:space="preserve"> combinar la vari</w:t>
      </w:r>
      <w:r w:rsidR="00622F2F">
        <w:rPr>
          <w:lang w:val="es-ES"/>
        </w:rPr>
        <w:t xml:space="preserve">ada </w:t>
      </w:r>
      <w:r w:rsidR="00492BD2">
        <w:rPr>
          <w:lang w:val="es-ES"/>
        </w:rPr>
        <w:t xml:space="preserve">información </w:t>
      </w:r>
      <w:r w:rsidR="00622F2F">
        <w:rPr>
          <w:lang w:val="es-ES"/>
        </w:rPr>
        <w:t>disponible</w:t>
      </w:r>
      <w:r w:rsidR="00492BD2">
        <w:rPr>
          <w:lang w:val="es-ES"/>
        </w:rPr>
        <w:t xml:space="preserve">, </w:t>
      </w:r>
      <w:r w:rsidR="0079149D">
        <w:rPr>
          <w:lang w:val="es-ES"/>
        </w:rPr>
        <w:t>así como</w:t>
      </w:r>
      <w:r w:rsidR="00492BD2">
        <w:rPr>
          <w:lang w:val="es-ES"/>
        </w:rPr>
        <w:t xml:space="preserve"> las perspectivas </w:t>
      </w:r>
      <w:r w:rsidR="00416840">
        <w:rPr>
          <w:lang w:val="es-ES"/>
        </w:rPr>
        <w:t>múltiples de pobladores y agentes activos en torno a la conservación de la fauna silvestre.</w:t>
      </w:r>
    </w:p>
    <w:p w14:paraId="19C1A7E7" w14:textId="77777777" w:rsidR="00B81F4F" w:rsidRDefault="00B81F4F" w:rsidP="00700B05">
      <w:pPr>
        <w:rPr>
          <w:lang w:val="es-ES"/>
        </w:rPr>
      </w:pPr>
    </w:p>
    <w:p w14:paraId="4516BC97" w14:textId="2F4FA213" w:rsidR="00E86142" w:rsidRDefault="009C0E13" w:rsidP="00CE60B7">
      <w:pPr>
        <w:jc w:val="left"/>
        <w:rPr>
          <w:lang w:val="es-ES"/>
        </w:rPr>
      </w:pPr>
      <w:r>
        <w:rPr>
          <w:lang w:val="es-ES"/>
        </w:rPr>
        <w:t>METODOLOGÍA Y FUENTES</w:t>
      </w:r>
    </w:p>
    <w:p w14:paraId="43FE9EE8" w14:textId="25BF24A5" w:rsidR="00D74988" w:rsidRDefault="00D74988" w:rsidP="00CD7C49">
      <w:pPr>
        <w:pStyle w:val="Body"/>
        <w:spacing w:line="360" w:lineRule="auto"/>
        <w:ind w:firstLine="720"/>
        <w:rPr>
          <w:lang w:val="es-ES_tradnl"/>
        </w:rPr>
      </w:pPr>
      <w:r>
        <w:rPr>
          <w:lang w:val="es-ES_tradnl"/>
        </w:rPr>
        <w:t xml:space="preserve">La utilización de diferentes metodologías (cuantitativas y cualitativas) y técnicas (análisis de entrevistas, observaciones en terreno y registros de caza furtiva), favorece un enfoque con menos sesgos de </w:t>
      </w:r>
      <w:r>
        <w:rPr>
          <w:i/>
          <w:iCs/>
          <w:lang w:val="es-ES_tradnl"/>
        </w:rPr>
        <w:t>habitus</w:t>
      </w:r>
      <w:r>
        <w:rPr>
          <w:lang w:val="es-ES_tradnl"/>
        </w:rPr>
        <w:t xml:space="preserve"> (Bourdieu, 1988)</w:t>
      </w:r>
      <w:r>
        <w:rPr>
          <w:i/>
          <w:iCs/>
          <w:lang w:val="es-ES_tradnl"/>
        </w:rPr>
        <w:t>,</w:t>
      </w:r>
      <w:r>
        <w:rPr>
          <w:lang w:val="es-ES_tradnl"/>
        </w:rPr>
        <w:t xml:space="preserve"> es decir, con menos distorsiones debidas a la posición del investigador. Se retoman entonces, dos tipos de fuentes que registran la caza furtiva</w:t>
      </w:r>
      <w:r w:rsidR="009D4968">
        <w:rPr>
          <w:lang w:val="es-ES_tradnl"/>
        </w:rPr>
        <w:t>. P</w:t>
      </w:r>
      <w:r>
        <w:rPr>
          <w:lang w:val="es-ES_tradnl"/>
        </w:rPr>
        <w:t xml:space="preserve">or un lado, (a) las experiencias de </w:t>
      </w:r>
      <w:r w:rsidR="00ED6E4C">
        <w:rPr>
          <w:lang w:val="es-ES_tradnl"/>
        </w:rPr>
        <w:t>pobladores</w:t>
      </w:r>
      <w:r>
        <w:rPr>
          <w:lang w:val="es-ES_tradnl"/>
        </w:rPr>
        <w:t xml:space="preserve"> directamente implicad</w:t>
      </w:r>
      <w:r w:rsidR="00ED6E4C">
        <w:rPr>
          <w:lang w:val="es-ES_tradnl"/>
        </w:rPr>
        <w:t>os</w:t>
      </w:r>
      <w:r>
        <w:rPr>
          <w:lang w:val="es-ES_tradnl"/>
        </w:rPr>
        <w:t xml:space="preserve">, </w:t>
      </w:r>
      <w:r w:rsidR="00ED6E4C">
        <w:rPr>
          <w:lang w:val="es-ES_tradnl"/>
        </w:rPr>
        <w:t>concretamente</w:t>
      </w:r>
      <w:r>
        <w:rPr>
          <w:lang w:val="es-ES_tradnl"/>
        </w:rPr>
        <w:t xml:space="preserve">, de guardaparques y ex-cazadores o cazadores. </w:t>
      </w:r>
      <w:r w:rsidR="00C21A3C">
        <w:rPr>
          <w:lang w:val="es-ES_tradnl"/>
        </w:rPr>
        <w:t>Esto es posible gracias</w:t>
      </w:r>
      <w:r>
        <w:rPr>
          <w:lang w:val="es-ES_tradnl"/>
        </w:rPr>
        <w:t xml:space="preserve"> </w:t>
      </w:r>
      <w:r w:rsidR="00FC7A9B">
        <w:rPr>
          <w:lang w:val="es-ES_tradnl"/>
        </w:rPr>
        <w:t xml:space="preserve">al </w:t>
      </w:r>
      <w:r>
        <w:rPr>
          <w:lang w:val="es-ES_tradnl"/>
        </w:rPr>
        <w:t>trabajo de campo realizado durante la ultima década en distintas colonias aledañas a Áreas Naturales Protegidas, además de las entrevistas, recorridos y observaciones en terreno correspondientes a los</w:t>
      </w:r>
      <w:r w:rsidR="009D4968">
        <w:rPr>
          <w:lang w:val="es-ES_tradnl"/>
        </w:rPr>
        <w:t xml:space="preserve"> últimos</w:t>
      </w:r>
      <w:r>
        <w:rPr>
          <w:lang w:val="es-ES_tradnl"/>
        </w:rPr>
        <w:t xml:space="preserve"> años </w:t>
      </w:r>
      <w:r w:rsidR="009D4968">
        <w:rPr>
          <w:lang w:val="es-ES_tradnl"/>
        </w:rPr>
        <w:t>(</w:t>
      </w:r>
      <w:r>
        <w:rPr>
          <w:lang w:val="es-ES_tradnl"/>
        </w:rPr>
        <w:t>2020 y 2021</w:t>
      </w:r>
      <w:r w:rsidR="009D4968">
        <w:rPr>
          <w:lang w:val="es-ES_tradnl"/>
        </w:rPr>
        <w:t>)</w:t>
      </w:r>
      <w:r>
        <w:rPr>
          <w:lang w:val="es-ES_tradnl"/>
        </w:rPr>
        <w:t xml:space="preserve">. </w:t>
      </w:r>
      <w:r w:rsidR="00C21A3C">
        <w:rPr>
          <w:lang w:val="es-ES_tradnl"/>
        </w:rPr>
        <w:t>P</w:t>
      </w:r>
      <w:r>
        <w:rPr>
          <w:lang w:val="es-ES_tradnl"/>
        </w:rPr>
        <w:t xml:space="preserve">or otro lado, (b) </w:t>
      </w:r>
      <w:r w:rsidR="009D4968">
        <w:rPr>
          <w:lang w:val="es-ES_tradnl"/>
        </w:rPr>
        <w:t>utilizamos</w:t>
      </w:r>
      <w:r>
        <w:rPr>
          <w:lang w:val="es-ES_tradnl"/>
        </w:rPr>
        <w:t xml:space="preserve"> también la información de actas labradas a cazadores ilegales</w:t>
      </w:r>
      <w:r w:rsidR="00FC7A9B">
        <w:rPr>
          <w:lang w:val="es-ES_tradnl"/>
        </w:rPr>
        <w:t xml:space="preserve"> durante la última década</w:t>
      </w:r>
      <w:r>
        <w:rPr>
          <w:lang w:val="es-ES_tradnl"/>
        </w:rPr>
        <w:t xml:space="preserve"> por parte de guardaparques del Ministerio de Ecología y Recursos Naturales Renovables (en adelante, MEyRNR) de la provincia de Misiones</w:t>
      </w:r>
      <w:r w:rsidR="009D4968">
        <w:rPr>
          <w:rStyle w:val="FootnoteReference"/>
          <w:lang w:val="es-ES_tradnl"/>
        </w:rPr>
        <w:footnoteReference w:id="1"/>
      </w:r>
      <w:r>
        <w:rPr>
          <w:lang w:val="es-ES_tradnl"/>
        </w:rPr>
        <w:t xml:space="preserve">. </w:t>
      </w:r>
    </w:p>
    <w:p w14:paraId="115CA804" w14:textId="778C8528" w:rsidR="009C0E13" w:rsidRPr="00007116" w:rsidRDefault="009C0E13" w:rsidP="00CD7C49">
      <w:pPr>
        <w:pStyle w:val="Body"/>
        <w:spacing w:line="360" w:lineRule="auto"/>
        <w:ind w:firstLine="720"/>
        <w:rPr>
          <w:lang w:val="es-ES"/>
        </w:rPr>
      </w:pPr>
      <w:r>
        <w:rPr>
          <w:lang w:val="es-ES_tradnl"/>
        </w:rPr>
        <w:t xml:space="preserve">Las actas legales cumplen un rol clave en la gestión de la caza, informando las principales características de la infracción, de los cazadores, y de sus equipamientos. Una vez labrada un acta, ésta sigue un recorrido burocrático que dura varios años o meses, dependiendo de la complejidad del hecho. En nuestro caso </w:t>
      </w:r>
      <w:r w:rsidRPr="00390051">
        <w:rPr>
          <w:lang w:val="es-ES_tradnl"/>
        </w:rPr>
        <w:t>utilizamos las actas de infracción labradas por guardaparques provinciales</w:t>
      </w:r>
      <w:r w:rsidRPr="00C57B5A">
        <w:rPr>
          <w:lang w:val="es-ES_tradnl"/>
        </w:rPr>
        <w:t>,</w:t>
      </w:r>
      <w:r>
        <w:rPr>
          <w:lang w:val="es-ES_tradnl"/>
        </w:rPr>
        <w:t xml:space="preserve"> y puestos a disposición por la Subsecretaría de Ecología y Desarrollo Sustentable del </w:t>
      </w:r>
      <w:r>
        <w:rPr>
          <w:lang w:val="es-ES_tradnl"/>
        </w:rPr>
        <w:lastRenderedPageBreak/>
        <w:t>Ministerio de Ecología y Recursos Naturales Renovables de la provincia de Mis</w:t>
      </w:r>
      <w:r w:rsidRPr="00982C85">
        <w:rPr>
          <w:lang w:val="es-ES_tradnl"/>
        </w:rPr>
        <w:t xml:space="preserve">iones. En síntesis, se trata de 82 actas correspondientes a infracciones localizadas en diferentes partes de Misiones, desde fines del año 2008 hasta el año 2020, </w:t>
      </w:r>
      <w:r>
        <w:rPr>
          <w:lang w:val="es-ES_tradnl"/>
        </w:rPr>
        <w:t xml:space="preserve">a propósito de la captura o muerte de animales silvestres en general. </w:t>
      </w:r>
      <w:r w:rsidR="00CA1669">
        <w:rPr>
          <w:lang w:val="es-ES_tradnl"/>
        </w:rPr>
        <w:t>R</w:t>
      </w:r>
      <w:r>
        <w:rPr>
          <w:lang w:val="es-ES_tradnl"/>
        </w:rPr>
        <w:t>etomamos aquellas actas que llegaron a su etapa final, concretamente, a la etapa en la que se dan por resueltas las infracciones (por pago de multas, suspensión de la misma, o devolución [o no] de elementos incautados).</w:t>
      </w:r>
    </w:p>
    <w:p w14:paraId="3C05C4A9" w14:textId="39CDB513" w:rsidR="00B81F4F" w:rsidRDefault="009C0E13" w:rsidP="00390051">
      <w:pPr>
        <w:pStyle w:val="Body"/>
        <w:spacing w:line="360" w:lineRule="auto"/>
        <w:rPr>
          <w:lang w:val="es-ES_tradnl"/>
        </w:rPr>
      </w:pPr>
      <w:r>
        <w:rPr>
          <w:lang w:val="es-ES_tradnl"/>
        </w:rPr>
        <w:tab/>
      </w:r>
      <w:r w:rsidR="00820CB0">
        <w:rPr>
          <w:lang w:val="es-ES_tradnl"/>
        </w:rPr>
        <w:t>L</w:t>
      </w:r>
      <w:r w:rsidR="00D74988">
        <w:rPr>
          <w:lang w:val="es-ES_tradnl"/>
        </w:rPr>
        <w:t xml:space="preserve">a información </w:t>
      </w:r>
      <w:r>
        <w:rPr>
          <w:lang w:val="es-ES_tradnl"/>
        </w:rPr>
        <w:t>acerca de los cazadores particulares (158 en total) fue chequead</w:t>
      </w:r>
      <w:r w:rsidR="00D74988">
        <w:rPr>
          <w:lang w:val="es-ES_tradnl"/>
        </w:rPr>
        <w:t>a</w:t>
      </w:r>
      <w:r>
        <w:rPr>
          <w:lang w:val="es-ES_tradnl"/>
        </w:rPr>
        <w:t xml:space="preserve"> y combinad</w:t>
      </w:r>
      <w:r w:rsidR="00D74988">
        <w:rPr>
          <w:lang w:val="es-ES_tradnl"/>
        </w:rPr>
        <w:t>a</w:t>
      </w:r>
      <w:r>
        <w:rPr>
          <w:lang w:val="es-ES_tradnl"/>
        </w:rPr>
        <w:t xml:space="preserve"> con datos públicos puestos a disposición por otras agencias gubernamentales; concretamente por el Banco Central de la República Argentina (BCRA), la Administración Federal de Ingresos Públicos (AFIP), la Administración Nacional de la Seguridad Social (AFIP) y la Súper Intendencia de Riesgos del Trabajo (SRT). Estos datos totalmente anonimizados en el análisis y el informe, fueron utilizados para generar una tipología global de los cazadores.</w:t>
      </w:r>
    </w:p>
    <w:p w14:paraId="23A871B8" w14:textId="070CB94E" w:rsidR="00C752FF" w:rsidRDefault="00C752FF" w:rsidP="00C752FF">
      <w:pPr>
        <w:pStyle w:val="Body"/>
        <w:spacing w:line="360" w:lineRule="auto"/>
        <w:ind w:firstLine="720"/>
        <w:rPr>
          <w:lang w:val="es-ES_tradnl"/>
        </w:rPr>
      </w:pPr>
      <w:r w:rsidRPr="004E4E5E">
        <w:rPr>
          <w:rFonts w:cs="Times New Roman"/>
          <w:lang w:val="es-ES_tradnl"/>
        </w:rPr>
        <w:t>Para crear una clasificación de la caza se utiliza</w:t>
      </w:r>
      <w:r>
        <w:rPr>
          <w:rFonts w:cs="Times New Roman"/>
          <w:lang w:val="es-ES_tradnl"/>
        </w:rPr>
        <w:t>ron</w:t>
      </w:r>
      <w:r w:rsidRPr="004E4E5E">
        <w:rPr>
          <w:rFonts w:cs="Times New Roman"/>
          <w:lang w:val="es-ES_tradnl"/>
        </w:rPr>
        <w:t xml:space="preserve"> las técnicas de análisis de correspondencias múltiples (ACM) y una clasificación ascendente jerárquica (CAJ), las cuales constituyen una combinación usual en los análisis geométricos de datos (Le Roux &amp; Rouanet, 2004; Baranger, 2012). Una característica central del ACM es que no presupone la existencia de variables causales o independientes, más bien, expone la estructura de fuerzas subyacentes en las relaciones entre propiedades e individuos. El objetivo del ACM es mostrar geométricamente las filas (infractores) y las columnas (variables sobre infractores) de la base de datos, en un espacio de pocas dimensiones. Así, las proximidades en el espacio de la caza ilegal (las proximidades en el gráfico cartesiano) indican similaridades entre formas de caza. A su vez, el aporte de la CAJ es constituir clases </w:t>
      </w:r>
      <w:r>
        <w:rPr>
          <w:rFonts w:cs="Times New Roman"/>
          <w:lang w:val="es-ES_tradnl"/>
        </w:rPr>
        <w:t xml:space="preserve">(tipos) </w:t>
      </w:r>
      <w:r w:rsidRPr="004E4E5E">
        <w:rPr>
          <w:rFonts w:cs="Times New Roman"/>
          <w:lang w:val="es-ES_tradnl"/>
        </w:rPr>
        <w:t>sobre la base del conjunto de categorías consideradas en el ACM; cada clase construida por medio de la CAJ mantiene una homogeneidad interna que las hace diferente a las otras clases.</w:t>
      </w:r>
    </w:p>
    <w:p w14:paraId="3212F0E0" w14:textId="77777777" w:rsidR="00390051" w:rsidRDefault="00390051" w:rsidP="00390051">
      <w:pPr>
        <w:pStyle w:val="Body"/>
        <w:spacing w:line="360" w:lineRule="auto"/>
        <w:rPr>
          <w:lang w:val="es-ES"/>
        </w:rPr>
      </w:pPr>
    </w:p>
    <w:p w14:paraId="5F52BA8D" w14:textId="6679FF35" w:rsidR="00E86142" w:rsidRPr="00390051" w:rsidRDefault="00390051" w:rsidP="00CE60B7">
      <w:pPr>
        <w:jc w:val="left"/>
        <w:rPr>
          <w:lang w:val="es-ES"/>
        </w:rPr>
      </w:pPr>
      <w:r w:rsidRPr="00390051">
        <w:rPr>
          <w:lang w:val="es-ES"/>
        </w:rPr>
        <w:t>DESARROLLO</w:t>
      </w:r>
    </w:p>
    <w:p w14:paraId="692C656E" w14:textId="410DE300" w:rsidR="00B81F4F" w:rsidRPr="00CE60B7" w:rsidRDefault="00982C85" w:rsidP="005E4934">
      <w:pPr>
        <w:jc w:val="center"/>
        <w:rPr>
          <w:i/>
          <w:iCs/>
          <w:lang w:val="es-ES"/>
        </w:rPr>
      </w:pPr>
      <w:r w:rsidRPr="00CE60B7">
        <w:rPr>
          <w:i/>
          <w:iCs/>
          <w:lang w:val="es-ES"/>
        </w:rPr>
        <w:t>¿Para qué una tipología de la caza ilegal?</w:t>
      </w:r>
    </w:p>
    <w:p w14:paraId="4CCA5EED" w14:textId="4AC11677" w:rsidR="00982C85" w:rsidRDefault="001E048E" w:rsidP="00700B05">
      <w:pPr>
        <w:rPr>
          <w:lang w:val="es-ES"/>
        </w:rPr>
      </w:pPr>
      <w:r>
        <w:rPr>
          <w:lang w:val="es-ES"/>
        </w:rPr>
        <w:t xml:space="preserve">Los esfuerzos por definir a </w:t>
      </w:r>
      <w:r w:rsidR="008B5975">
        <w:rPr>
          <w:lang w:val="es-ES"/>
        </w:rPr>
        <w:t xml:space="preserve">poblaciones y </w:t>
      </w:r>
      <w:r w:rsidR="00A4477A">
        <w:rPr>
          <w:lang w:val="es-ES"/>
        </w:rPr>
        <w:t>problemas</w:t>
      </w:r>
      <w:r>
        <w:rPr>
          <w:lang w:val="es-ES"/>
        </w:rPr>
        <w:t xml:space="preserve"> sociale</w:t>
      </w:r>
      <w:r w:rsidR="00A4477A">
        <w:rPr>
          <w:lang w:val="es-ES"/>
        </w:rPr>
        <w:t xml:space="preserve">s tienen un carácter urgente </w:t>
      </w:r>
      <w:r>
        <w:rPr>
          <w:lang w:val="es-ES"/>
        </w:rPr>
        <w:t xml:space="preserve">en la esfera de la conservación y la ecología. Utilizar la experiencia de campo y la información de agencias gubernamentales para </w:t>
      </w:r>
      <w:r w:rsidR="00FC7A9B">
        <w:rPr>
          <w:lang w:val="es-ES"/>
        </w:rPr>
        <w:t>profundizar la comprensión de</w:t>
      </w:r>
      <w:r>
        <w:rPr>
          <w:lang w:val="es-ES"/>
        </w:rPr>
        <w:t xml:space="preserve"> la caza ilegal, es un aporte </w:t>
      </w:r>
      <w:r w:rsidR="00A4477A">
        <w:rPr>
          <w:lang w:val="es-ES"/>
        </w:rPr>
        <w:t>que puede acelerar intervenciones prácticas para la conservación de ecosistemas locales.</w:t>
      </w:r>
      <w:r>
        <w:rPr>
          <w:lang w:val="es-ES"/>
        </w:rPr>
        <w:t xml:space="preserve"> </w:t>
      </w:r>
    </w:p>
    <w:p w14:paraId="1795C9D6" w14:textId="69F9B03B" w:rsidR="008C077C" w:rsidRPr="008C077C" w:rsidRDefault="001E048E" w:rsidP="00700B05">
      <w:pPr>
        <w:rPr>
          <w:lang w:val="es-ES"/>
        </w:rPr>
      </w:pPr>
      <w:r>
        <w:rPr>
          <w:lang w:val="es-ES"/>
        </w:rPr>
        <w:lastRenderedPageBreak/>
        <w:tab/>
      </w:r>
      <w:r w:rsidR="008B007F">
        <w:rPr>
          <w:lang w:val="es-ES"/>
        </w:rPr>
        <w:t>P</w:t>
      </w:r>
      <w:r w:rsidR="00B202DD">
        <w:rPr>
          <w:lang w:val="es-ES"/>
        </w:rPr>
        <w:t>artimos de</w:t>
      </w:r>
      <w:r w:rsidRPr="008C077C">
        <w:rPr>
          <w:lang w:val="es-ES"/>
        </w:rPr>
        <w:t xml:space="preserve"> </w:t>
      </w:r>
      <w:r w:rsidR="00F97F9D">
        <w:rPr>
          <w:lang w:val="es-ES"/>
        </w:rPr>
        <w:t>la</w:t>
      </w:r>
      <w:r w:rsidRPr="008C077C">
        <w:rPr>
          <w:lang w:val="es-ES"/>
        </w:rPr>
        <w:t xml:space="preserve"> definición leg</w:t>
      </w:r>
      <w:r w:rsidR="00F97F9D">
        <w:rPr>
          <w:lang w:val="es-ES"/>
        </w:rPr>
        <w:t>al actualmente activa sobre</w:t>
      </w:r>
      <w:r w:rsidRPr="008C077C">
        <w:rPr>
          <w:lang w:val="es-ES"/>
        </w:rPr>
        <w:t xml:space="preserve"> </w:t>
      </w:r>
      <w:r w:rsidR="00F97F9D">
        <w:rPr>
          <w:lang w:val="es-ES"/>
        </w:rPr>
        <w:t>la</w:t>
      </w:r>
      <w:r w:rsidRPr="008C077C">
        <w:rPr>
          <w:lang w:val="es-ES"/>
        </w:rPr>
        <w:t xml:space="preserve"> caza</w:t>
      </w:r>
      <w:r w:rsidR="00DA3354">
        <w:rPr>
          <w:lang w:val="es-ES"/>
        </w:rPr>
        <w:t>, sobre todo por el hecho de la amplitud de</w:t>
      </w:r>
      <w:r w:rsidR="00B202DD">
        <w:rPr>
          <w:lang w:val="es-ES"/>
        </w:rPr>
        <w:t xml:space="preserve"> los</w:t>
      </w:r>
      <w:r w:rsidR="00DA3354">
        <w:rPr>
          <w:lang w:val="es-ES"/>
        </w:rPr>
        <w:t xml:space="preserve"> hechos que abarca</w:t>
      </w:r>
      <w:r w:rsidR="008C077C" w:rsidRPr="008C077C">
        <w:rPr>
          <w:lang w:val="es-ES"/>
        </w:rPr>
        <w:t>.</w:t>
      </w:r>
      <w:r w:rsidR="00EC0170">
        <w:rPr>
          <w:lang w:val="es-ES"/>
        </w:rPr>
        <w:t xml:space="preserve"> En Misiones (Argentina)</w:t>
      </w:r>
      <w:r w:rsidR="008C077C" w:rsidRPr="008C077C">
        <w:rPr>
          <w:lang w:val="es-ES"/>
        </w:rPr>
        <w:t xml:space="preserve"> </w:t>
      </w:r>
      <w:r w:rsidR="00EC0170">
        <w:rPr>
          <w:lang w:val="es-ES"/>
        </w:rPr>
        <w:t>s</w:t>
      </w:r>
      <w:r w:rsidR="008C077C" w:rsidRPr="008C077C">
        <w:rPr>
          <w:lang w:val="es-ES"/>
        </w:rPr>
        <w:t xml:space="preserve">egún la Ley Provincial Nro. XVI — 11 de Conservación de la Fauna Silvestre, </w:t>
      </w:r>
      <w:r w:rsidR="008C077C" w:rsidRPr="008C077C">
        <w:rPr>
          <w:b/>
          <w:bCs/>
          <w:lang w:val="es-ES"/>
        </w:rPr>
        <w:t>la caza ilegal refiere a la captura de fauna silvestre en general</w:t>
      </w:r>
      <w:r w:rsidR="008C077C" w:rsidRPr="008C077C">
        <w:rPr>
          <w:lang w:val="es-ES"/>
        </w:rPr>
        <w:t>. Más allá de los implementos utilizados en la persecución de este fin, o en el tipo de aprovechamiento de la fauna capturada:</w:t>
      </w:r>
    </w:p>
    <w:p w14:paraId="1D11C6CD" w14:textId="65403AEC" w:rsidR="008C077C" w:rsidRPr="008C077C" w:rsidRDefault="008C077C" w:rsidP="008C077C">
      <w:pPr>
        <w:pStyle w:val="Body"/>
        <w:spacing w:after="120" w:line="360" w:lineRule="auto"/>
        <w:ind w:left="720"/>
        <w:rPr>
          <w:sz w:val="20"/>
          <w:szCs w:val="20"/>
          <w:lang w:val="es-ES"/>
        </w:rPr>
      </w:pPr>
      <w:r w:rsidRPr="008C077C">
        <w:rPr>
          <w:sz w:val="20"/>
          <w:szCs w:val="20"/>
          <w:lang w:val="es-ES"/>
        </w:rPr>
        <w:t>“ARTÍCULO 6.- Para los efectos de esta Ley, entiéndase por caza la acción ejercida por el hombre mediante el uso de artes, armas u otros medios apropiados para atrapar, perseguir o apresar animales de la fauna silvestre con el fin de someterlos bajo su dominio, capturándolos o dándoles muerte y apropiárselos como presa o facilitar estas acciones a terceros.” (Ley XVI, 1980, art.6)</w:t>
      </w:r>
      <w:r>
        <w:rPr>
          <w:sz w:val="20"/>
          <w:szCs w:val="20"/>
          <w:lang w:val="es-ES"/>
        </w:rPr>
        <w:t>.</w:t>
      </w:r>
    </w:p>
    <w:p w14:paraId="7D7B8420" w14:textId="6936E7C6" w:rsidR="00982C85" w:rsidRDefault="008B007F" w:rsidP="00700B05">
      <w:pPr>
        <w:rPr>
          <w:lang w:val="es-ES"/>
        </w:rPr>
      </w:pPr>
      <w:r>
        <w:rPr>
          <w:lang w:val="es-ES"/>
        </w:rPr>
        <w:t xml:space="preserve">Además de esta amplia concepción de caza, existen otras concepciones que son utilizadas por cazadores, ex cazadores, o guardaparques y </w:t>
      </w:r>
      <w:r w:rsidR="008B5975">
        <w:rPr>
          <w:lang w:val="es-ES"/>
        </w:rPr>
        <w:t>agencias gubernamentales y no gubernamentales</w:t>
      </w:r>
      <w:r>
        <w:rPr>
          <w:lang w:val="es-ES"/>
        </w:rPr>
        <w:t xml:space="preserve"> de la conservación. </w:t>
      </w:r>
      <w:r w:rsidR="00375CAE">
        <w:rPr>
          <w:lang w:val="es-ES"/>
        </w:rPr>
        <w:t>Pero e</w:t>
      </w:r>
      <w:r w:rsidR="00F97F9D">
        <w:rPr>
          <w:lang w:val="es-ES"/>
        </w:rPr>
        <w:t xml:space="preserve">l problema de </w:t>
      </w:r>
      <w:r w:rsidR="00EC0170">
        <w:rPr>
          <w:lang w:val="es-ES"/>
        </w:rPr>
        <w:t>las</w:t>
      </w:r>
      <w:r w:rsidR="00FC7A9B">
        <w:rPr>
          <w:lang w:val="es-ES"/>
        </w:rPr>
        <w:t xml:space="preserve"> </w:t>
      </w:r>
      <w:r w:rsidR="00375CAE">
        <w:rPr>
          <w:lang w:val="es-ES"/>
        </w:rPr>
        <w:t>concepciones</w:t>
      </w:r>
      <w:r>
        <w:rPr>
          <w:lang w:val="es-ES"/>
        </w:rPr>
        <w:t xml:space="preserve"> </w:t>
      </w:r>
      <w:r w:rsidR="00375CAE">
        <w:rPr>
          <w:lang w:val="es-ES"/>
        </w:rPr>
        <w:t>nativas</w:t>
      </w:r>
      <w:r w:rsidR="00EC0170">
        <w:rPr>
          <w:lang w:val="es-ES"/>
        </w:rPr>
        <w:t xml:space="preserve"> más acotadas</w:t>
      </w:r>
      <w:r w:rsidR="00DA3354">
        <w:rPr>
          <w:lang w:val="es-ES"/>
        </w:rPr>
        <w:t>,</w:t>
      </w:r>
      <w:r w:rsidR="008B5975">
        <w:rPr>
          <w:lang w:val="es-ES"/>
        </w:rPr>
        <w:t xml:space="preserve"> </w:t>
      </w:r>
      <w:r w:rsidR="00DA3354">
        <w:rPr>
          <w:lang w:val="es-ES"/>
        </w:rPr>
        <w:t>es que están hechas más para ordenar</w:t>
      </w:r>
      <w:r w:rsidR="00375CAE">
        <w:rPr>
          <w:lang w:val="es-ES"/>
        </w:rPr>
        <w:t xml:space="preserve">, </w:t>
      </w:r>
      <w:r w:rsidR="00DA3354">
        <w:rPr>
          <w:lang w:val="es-ES"/>
        </w:rPr>
        <w:t xml:space="preserve">gestionar, </w:t>
      </w:r>
      <w:r w:rsidR="00375CAE">
        <w:rPr>
          <w:lang w:val="es-ES"/>
        </w:rPr>
        <w:t xml:space="preserve">o coaccionar, </w:t>
      </w:r>
      <w:r w:rsidR="00DA3354">
        <w:rPr>
          <w:lang w:val="es-ES"/>
        </w:rPr>
        <w:t>que para comprender a la caza.</w:t>
      </w:r>
      <w:r w:rsidR="009D2888">
        <w:rPr>
          <w:lang w:val="es-ES"/>
        </w:rPr>
        <w:t xml:space="preserve"> </w:t>
      </w:r>
      <w:r w:rsidR="00FC7A9B">
        <w:rPr>
          <w:lang w:val="es-ES"/>
        </w:rPr>
        <w:t>No obstante, n</w:t>
      </w:r>
      <w:r w:rsidR="009D2888">
        <w:rPr>
          <w:lang w:val="es-ES"/>
        </w:rPr>
        <w:t>os interesa</w:t>
      </w:r>
      <w:r w:rsidR="00FC7A9B">
        <w:rPr>
          <w:lang w:val="es-ES"/>
        </w:rPr>
        <w:t xml:space="preserve"> aproximarnos a</w:t>
      </w:r>
      <w:r w:rsidR="00DA3354">
        <w:rPr>
          <w:lang w:val="es-ES"/>
        </w:rPr>
        <w:t xml:space="preserve"> </w:t>
      </w:r>
      <w:r w:rsidR="009D2888">
        <w:rPr>
          <w:lang w:val="es-ES"/>
        </w:rPr>
        <w:t xml:space="preserve">una tipología que englobe </w:t>
      </w:r>
      <w:r w:rsidR="00EC0170">
        <w:rPr>
          <w:lang w:val="es-ES"/>
        </w:rPr>
        <w:t xml:space="preserve">lo mejor posible </w:t>
      </w:r>
      <w:r w:rsidR="009D2888">
        <w:rPr>
          <w:lang w:val="es-ES"/>
        </w:rPr>
        <w:t xml:space="preserve">tanto a las concepciones nativas como a </w:t>
      </w:r>
      <w:r w:rsidR="00EC6E03">
        <w:rPr>
          <w:lang w:val="es-ES"/>
        </w:rPr>
        <w:t xml:space="preserve">las regularidades </w:t>
      </w:r>
      <w:r w:rsidR="00EC0170">
        <w:rPr>
          <w:lang w:val="es-ES"/>
        </w:rPr>
        <w:t xml:space="preserve">prácticas </w:t>
      </w:r>
      <w:r w:rsidR="00FC7A9B">
        <w:rPr>
          <w:lang w:val="es-ES"/>
        </w:rPr>
        <w:t>de la caza</w:t>
      </w:r>
      <w:r w:rsidR="009D2888">
        <w:rPr>
          <w:lang w:val="es-ES"/>
        </w:rPr>
        <w:t xml:space="preserve">. </w:t>
      </w:r>
    </w:p>
    <w:p w14:paraId="078060DC" w14:textId="77777777" w:rsidR="00EC263C" w:rsidRDefault="00EC263C" w:rsidP="00700B05">
      <w:pPr>
        <w:rPr>
          <w:lang w:val="es-ES"/>
        </w:rPr>
      </w:pPr>
    </w:p>
    <w:p w14:paraId="4484F899" w14:textId="640AE6B9" w:rsidR="00982C85" w:rsidRPr="005E4934" w:rsidRDefault="00C21A3C" w:rsidP="005E4934">
      <w:pPr>
        <w:jc w:val="center"/>
        <w:rPr>
          <w:i/>
          <w:iCs/>
          <w:lang w:val="es-ES"/>
        </w:rPr>
      </w:pPr>
      <w:r>
        <w:rPr>
          <w:i/>
          <w:iCs/>
          <w:lang w:val="es-ES"/>
        </w:rPr>
        <w:t>Breves concepciones teóricas</w:t>
      </w:r>
    </w:p>
    <w:p w14:paraId="6B686C32" w14:textId="0B63C90C" w:rsidR="005E4934" w:rsidRDefault="00C21A3C" w:rsidP="00700B05">
      <w:pPr>
        <w:rPr>
          <w:lang w:val="es-ES"/>
        </w:rPr>
      </w:pPr>
      <w:r>
        <w:rPr>
          <w:lang w:val="es-ES"/>
        </w:rPr>
        <w:t>La caza ilegal emerge como evento, pero se desarrolla como estructura. En el acto de la caza ilegal intervienen determinada cantidad de miembros, equipados con tales armamentos,</w:t>
      </w:r>
      <w:r w:rsidR="00A60210">
        <w:rPr>
          <w:lang w:val="es-ES"/>
        </w:rPr>
        <w:t xml:space="preserve"> </w:t>
      </w:r>
      <w:r>
        <w:rPr>
          <w:lang w:val="es-ES"/>
        </w:rPr>
        <w:t xml:space="preserve">movilizados con determinados vehículos, y así. </w:t>
      </w:r>
      <w:r w:rsidR="00A60210">
        <w:rPr>
          <w:lang w:val="es-ES"/>
        </w:rPr>
        <w:t xml:space="preserve">Si pensamos en la caza como </w:t>
      </w:r>
      <w:r w:rsidR="001B4C50">
        <w:rPr>
          <w:lang w:val="es-ES"/>
        </w:rPr>
        <w:t xml:space="preserve">un </w:t>
      </w:r>
      <w:r w:rsidR="00A60210">
        <w:rPr>
          <w:lang w:val="es-ES"/>
        </w:rPr>
        <w:t>evento, cada hecho de caza nos parecerá único e irrepetible</w:t>
      </w:r>
      <w:r w:rsidR="00163205">
        <w:rPr>
          <w:lang w:val="es-ES"/>
        </w:rPr>
        <w:t xml:space="preserve">, y en general esta ilusión es atrapante </w:t>
      </w:r>
      <w:r w:rsidR="00932A9D">
        <w:rPr>
          <w:lang w:val="es-ES"/>
        </w:rPr>
        <w:t>incluso para quienes se ven directamente implicados en estos eventos</w:t>
      </w:r>
      <w:r w:rsidR="00BF133F">
        <w:rPr>
          <w:lang w:val="es-ES"/>
        </w:rPr>
        <w:t>. No obstante, desde la perspectiva de los cazadores, de los guardaparques, y de los que investiga</w:t>
      </w:r>
      <w:r w:rsidR="00EC263C">
        <w:rPr>
          <w:lang w:val="es-ES"/>
        </w:rPr>
        <w:t>n</w:t>
      </w:r>
      <w:r w:rsidR="00BF133F">
        <w:rPr>
          <w:lang w:val="es-ES"/>
        </w:rPr>
        <w:t xml:space="preserve"> el tema desde hace varios años, la caza ilegal </w:t>
      </w:r>
      <w:r w:rsidR="00932A9D">
        <w:rPr>
          <w:lang w:val="es-ES"/>
        </w:rPr>
        <w:t xml:space="preserve">también </w:t>
      </w:r>
      <w:r w:rsidR="00BF133F">
        <w:rPr>
          <w:lang w:val="es-ES"/>
        </w:rPr>
        <w:t xml:space="preserve">tiene regularidades notables. </w:t>
      </w:r>
      <w:r w:rsidR="00D050FD">
        <w:rPr>
          <w:lang w:val="es-ES"/>
        </w:rPr>
        <w:t>Por ejemplo, desde la perspectiva de</w:t>
      </w:r>
      <w:r w:rsidR="00D12283">
        <w:rPr>
          <w:lang w:val="es-ES"/>
        </w:rPr>
        <w:t xml:space="preserve"> los</w:t>
      </w:r>
      <w:r w:rsidR="00D050FD">
        <w:rPr>
          <w:lang w:val="es-ES"/>
        </w:rPr>
        <w:t xml:space="preserve"> cazador</w:t>
      </w:r>
      <w:r w:rsidR="00D12283">
        <w:rPr>
          <w:lang w:val="es-ES"/>
        </w:rPr>
        <w:t>es</w:t>
      </w:r>
      <w:r w:rsidR="00D050FD">
        <w:rPr>
          <w:lang w:val="es-ES"/>
        </w:rPr>
        <w:t xml:space="preserve"> no </w:t>
      </w:r>
      <w:r w:rsidR="00696E6F">
        <w:rPr>
          <w:lang w:val="es-ES"/>
        </w:rPr>
        <w:t>tiene sentido atrapar a</w:t>
      </w:r>
      <w:r w:rsidR="00D050FD">
        <w:rPr>
          <w:lang w:val="es-ES"/>
        </w:rPr>
        <w:t xml:space="preserve"> un tapir</w:t>
      </w:r>
      <w:r w:rsidR="00D12283">
        <w:rPr>
          <w:lang w:val="es-ES"/>
        </w:rPr>
        <w:t xml:space="preserve"> adulto</w:t>
      </w:r>
      <w:r w:rsidR="00D050FD">
        <w:rPr>
          <w:lang w:val="es-ES"/>
        </w:rPr>
        <w:t xml:space="preserve">, si </w:t>
      </w:r>
      <w:r w:rsidR="00D12283">
        <w:rPr>
          <w:lang w:val="es-ES"/>
        </w:rPr>
        <w:t>se</w:t>
      </w:r>
      <w:r w:rsidR="00D050FD">
        <w:rPr>
          <w:lang w:val="es-ES"/>
        </w:rPr>
        <w:t xml:space="preserve"> </w:t>
      </w:r>
      <w:r w:rsidR="00D12283">
        <w:rPr>
          <w:lang w:val="es-ES"/>
        </w:rPr>
        <w:t xml:space="preserve">ha ingresado solo al monte </w:t>
      </w:r>
      <w:r w:rsidR="00D050FD">
        <w:rPr>
          <w:lang w:val="es-ES"/>
        </w:rPr>
        <w:t>y si no se dispone de un automóvil, una camioneta, o un jeep</w:t>
      </w:r>
      <w:r w:rsidR="00D12283">
        <w:rPr>
          <w:lang w:val="es-ES"/>
        </w:rPr>
        <w:t>; también desde la perspectiva de los guardaparques este tipo de caza es altamente improbable</w:t>
      </w:r>
      <w:r w:rsidR="00EC0170">
        <w:rPr>
          <w:lang w:val="es-ES"/>
        </w:rPr>
        <w:t xml:space="preserve"> sin los equipamientos adecuados</w:t>
      </w:r>
      <w:r w:rsidR="00D12283">
        <w:rPr>
          <w:lang w:val="es-ES"/>
        </w:rPr>
        <w:t xml:space="preserve">. La </w:t>
      </w:r>
      <w:r w:rsidR="00786690">
        <w:rPr>
          <w:lang w:val="es-ES"/>
        </w:rPr>
        <w:t>asociación</w:t>
      </w:r>
      <w:r w:rsidR="009F118C">
        <w:rPr>
          <w:lang w:val="es-ES"/>
        </w:rPr>
        <w:t xml:space="preserve">: </w:t>
      </w:r>
      <w:r w:rsidR="00D12283" w:rsidRPr="009F118C">
        <w:rPr>
          <w:i/>
          <w:iCs/>
          <w:lang w:val="es-ES"/>
        </w:rPr>
        <w:t>presas grandes (y pesadas)</w:t>
      </w:r>
      <w:r w:rsidR="009F118C" w:rsidRPr="009F118C">
        <w:rPr>
          <w:b/>
          <w:bCs/>
          <w:i/>
          <w:iCs/>
          <w:lang w:val="es-ES"/>
        </w:rPr>
        <w:t xml:space="preserve"> +</w:t>
      </w:r>
      <w:r w:rsidR="00D12283" w:rsidRPr="009F118C">
        <w:rPr>
          <w:b/>
          <w:bCs/>
          <w:i/>
          <w:iCs/>
          <w:lang w:val="es-ES"/>
        </w:rPr>
        <w:t xml:space="preserve"> </w:t>
      </w:r>
      <w:r w:rsidR="00D12283" w:rsidRPr="009F118C">
        <w:rPr>
          <w:i/>
          <w:iCs/>
          <w:lang w:val="es-ES"/>
        </w:rPr>
        <w:t xml:space="preserve">medios de movilidad con </w:t>
      </w:r>
      <w:r w:rsidR="009F118C">
        <w:rPr>
          <w:i/>
          <w:iCs/>
          <w:lang w:val="es-ES"/>
        </w:rPr>
        <w:t>gran</w:t>
      </w:r>
      <w:r w:rsidR="00D12283" w:rsidRPr="009F118C">
        <w:rPr>
          <w:i/>
          <w:iCs/>
          <w:lang w:val="es-ES"/>
        </w:rPr>
        <w:t xml:space="preserve"> capacidad</w:t>
      </w:r>
      <w:r w:rsidR="009F118C">
        <w:rPr>
          <w:i/>
          <w:iCs/>
          <w:lang w:val="es-ES"/>
        </w:rPr>
        <w:t xml:space="preserve"> de carga</w:t>
      </w:r>
      <w:r w:rsidR="00D12283" w:rsidRPr="009F118C">
        <w:rPr>
          <w:i/>
          <w:iCs/>
          <w:lang w:val="es-ES"/>
        </w:rPr>
        <w:t xml:space="preserve"> </w:t>
      </w:r>
      <w:r w:rsidR="009F118C" w:rsidRPr="009F118C">
        <w:rPr>
          <w:b/>
          <w:bCs/>
          <w:i/>
          <w:iCs/>
          <w:lang w:val="es-ES"/>
        </w:rPr>
        <w:t>+</w:t>
      </w:r>
      <w:r w:rsidR="00D12283" w:rsidRPr="009F118C">
        <w:rPr>
          <w:b/>
          <w:bCs/>
          <w:i/>
          <w:iCs/>
          <w:lang w:val="es-ES"/>
        </w:rPr>
        <w:t xml:space="preserve"> </w:t>
      </w:r>
      <w:r w:rsidR="009F118C" w:rsidRPr="009F118C">
        <w:rPr>
          <w:i/>
          <w:iCs/>
          <w:lang w:val="es-ES"/>
        </w:rPr>
        <w:t xml:space="preserve">amplia </w:t>
      </w:r>
      <w:r w:rsidR="00D12283" w:rsidRPr="009F118C">
        <w:rPr>
          <w:i/>
          <w:iCs/>
          <w:lang w:val="es-ES"/>
        </w:rPr>
        <w:t>cantidad de miembros en la excursión de caza,</w:t>
      </w:r>
      <w:r w:rsidR="00D12283">
        <w:rPr>
          <w:lang w:val="es-ES"/>
        </w:rPr>
        <w:t xml:space="preserve"> es una peculiaridad estructural </w:t>
      </w:r>
      <w:r w:rsidR="009F118C">
        <w:rPr>
          <w:lang w:val="es-ES"/>
        </w:rPr>
        <w:t xml:space="preserve">razonable </w:t>
      </w:r>
      <w:r w:rsidR="0073283E">
        <w:rPr>
          <w:lang w:val="es-ES"/>
        </w:rPr>
        <w:t xml:space="preserve">de </w:t>
      </w:r>
      <w:r w:rsidR="00696E6F">
        <w:rPr>
          <w:lang w:val="es-ES"/>
        </w:rPr>
        <w:t>un determinado tipo de caza</w:t>
      </w:r>
      <w:r w:rsidR="009F118C">
        <w:rPr>
          <w:lang w:val="es-ES"/>
        </w:rPr>
        <w:t xml:space="preserve">. </w:t>
      </w:r>
    </w:p>
    <w:p w14:paraId="3464A311" w14:textId="519E91F8" w:rsidR="003330CD" w:rsidRPr="003330CD" w:rsidRDefault="003330CD" w:rsidP="003330CD">
      <w:pPr>
        <w:rPr>
          <w:rFonts w:cs="Times New Roman"/>
          <w:lang w:val="es-ES_tradnl"/>
        </w:rPr>
      </w:pPr>
      <w:r>
        <w:rPr>
          <w:lang w:val="es-ES"/>
        </w:rPr>
        <w:tab/>
        <w:t xml:space="preserve">Para el Análisis de Correspondencias Múltiples retomamos se consideraron como casos activos a </w:t>
      </w:r>
      <w:r w:rsidRPr="004E4E5E">
        <w:rPr>
          <w:rFonts w:cs="Times New Roman"/>
          <w:lang w:val="es-ES_tradnl"/>
        </w:rPr>
        <w:t>todos</w:t>
      </w:r>
      <w:r w:rsidRPr="004E4E5E">
        <w:rPr>
          <w:rFonts w:cs="Times New Roman"/>
          <w:lang w:val="es-ES_tradnl"/>
        </w:rPr>
        <w:t xml:space="preserve"> los infractores involucrados </w:t>
      </w:r>
      <w:r>
        <w:rPr>
          <w:rFonts w:cs="Times New Roman"/>
          <w:lang w:val="es-ES_tradnl"/>
        </w:rPr>
        <w:t>con</w:t>
      </w:r>
      <w:r w:rsidRPr="004E4E5E">
        <w:rPr>
          <w:rFonts w:cs="Times New Roman"/>
          <w:lang w:val="es-ES_tradnl"/>
        </w:rPr>
        <w:t xml:space="preserve"> la </w:t>
      </w:r>
      <w:r>
        <w:rPr>
          <w:rFonts w:cs="Times New Roman"/>
          <w:lang w:val="es-ES_tradnl"/>
        </w:rPr>
        <w:t>caza</w:t>
      </w:r>
      <w:r w:rsidRPr="004E4E5E">
        <w:rPr>
          <w:rFonts w:cs="Times New Roman"/>
          <w:lang w:val="es-ES_tradnl"/>
        </w:rPr>
        <w:t xml:space="preserve"> de </w:t>
      </w:r>
      <w:r>
        <w:rPr>
          <w:rFonts w:cs="Times New Roman"/>
          <w:lang w:val="es-ES_tradnl"/>
        </w:rPr>
        <w:t xml:space="preserve">animales silvestres </w:t>
      </w:r>
      <w:r w:rsidRPr="004E4E5E">
        <w:rPr>
          <w:rFonts w:cs="Times New Roman"/>
          <w:lang w:val="es-ES_tradnl"/>
        </w:rPr>
        <w:t>en Misiones (</w:t>
      </w:r>
      <w:r>
        <w:rPr>
          <w:rFonts w:cs="Times New Roman"/>
          <w:lang w:val="es-ES_tradnl"/>
        </w:rPr>
        <w:t xml:space="preserve">quedan incluidos </w:t>
      </w:r>
      <w:r w:rsidRPr="004E4E5E">
        <w:rPr>
          <w:rFonts w:cs="Times New Roman"/>
          <w:lang w:val="es-ES_tradnl"/>
        </w:rPr>
        <w:t>los pescadores, y aquellos que captur</w:t>
      </w:r>
      <w:r>
        <w:rPr>
          <w:rFonts w:cs="Times New Roman"/>
          <w:lang w:val="es-ES_tradnl"/>
        </w:rPr>
        <w:t>a</w:t>
      </w:r>
      <w:r w:rsidRPr="004E4E5E">
        <w:rPr>
          <w:rFonts w:cs="Times New Roman"/>
          <w:lang w:val="es-ES_tradnl"/>
        </w:rPr>
        <w:t>n aves u otros animales).</w:t>
      </w:r>
      <w:r>
        <w:rPr>
          <w:rFonts w:cs="Times New Roman"/>
          <w:lang w:val="es-ES_tradnl"/>
        </w:rPr>
        <w:t xml:space="preserve"> Con fines expositivos </w:t>
      </w:r>
      <w:r>
        <w:rPr>
          <w:rFonts w:cs="Times New Roman"/>
          <w:lang w:val="es-ES_tradnl"/>
        </w:rPr>
        <w:lastRenderedPageBreak/>
        <w:t>filtrados los cazadores provenientes del Departamento Capital, por las distorsiones debidas a su muy escasa presencia.</w:t>
      </w:r>
      <w:r w:rsidR="00022218">
        <w:rPr>
          <w:rFonts w:cs="Times New Roman"/>
          <w:lang w:val="es-ES_tradnl"/>
        </w:rPr>
        <w:t xml:space="preserve"> Luego de numerosos ensayos se consideraron las siguientes variables</w:t>
      </w:r>
    </w:p>
    <w:p w14:paraId="06B81C20" w14:textId="77777777" w:rsidR="003330CD" w:rsidRDefault="003330CD" w:rsidP="003330CD">
      <w:pPr>
        <w:pStyle w:val="Body"/>
        <w:spacing w:line="360" w:lineRule="auto"/>
        <w:rPr>
          <w:rFonts w:cs="Times New Roman"/>
          <w:u w:val="single"/>
          <w:lang w:val="es-ES_tradnl"/>
        </w:rPr>
        <w:sectPr w:rsidR="003330CD">
          <w:pgSz w:w="12240" w:h="15840"/>
          <w:pgMar w:top="1440" w:right="1440" w:bottom="1440" w:left="1440" w:header="708" w:footer="708" w:gutter="0"/>
          <w:cols w:space="708"/>
          <w:docGrid w:linePitch="360"/>
        </w:sectPr>
      </w:pPr>
    </w:p>
    <w:p w14:paraId="13D09167" w14:textId="08C3292D" w:rsidR="003330CD" w:rsidRPr="003330CD" w:rsidRDefault="003330CD" w:rsidP="00022218">
      <w:pPr>
        <w:pStyle w:val="Body"/>
        <w:pBdr>
          <w:top w:val="single" w:sz="4" w:space="1" w:color="auto"/>
          <w:left w:val="single" w:sz="4" w:space="1" w:color="auto"/>
          <w:bottom w:val="single" w:sz="4" w:space="1" w:color="auto"/>
          <w:right w:val="single" w:sz="4" w:space="1" w:color="auto"/>
        </w:pBdr>
        <w:spacing w:line="240" w:lineRule="auto"/>
        <w:rPr>
          <w:rFonts w:cs="Times New Roman"/>
          <w:u w:val="single"/>
          <w:lang w:val="es-ES"/>
        </w:rPr>
      </w:pPr>
      <w:r w:rsidRPr="004E4E5E">
        <w:rPr>
          <w:rFonts w:cs="Times New Roman"/>
          <w:u w:val="single"/>
          <w:lang w:val="es-ES_tradnl"/>
        </w:rPr>
        <w:t>Variables activas</w:t>
      </w:r>
      <w:r w:rsidR="00924AD8">
        <w:rPr>
          <w:rFonts w:cs="Times New Roman"/>
          <w:u w:val="single"/>
          <w:lang w:val="es-ES_tradnl"/>
        </w:rPr>
        <w:t>:</w:t>
      </w:r>
    </w:p>
    <w:p w14:paraId="4366E82C"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1. Medios de movilidad involucrados </w:t>
      </w:r>
      <w:bookmarkStart w:id="0" w:name="_Hlk67207426"/>
      <w:r w:rsidRPr="004E4E5E">
        <w:rPr>
          <w:rFonts w:cs="Times New Roman"/>
          <w:color w:val="000000"/>
          <w:sz w:val="24"/>
          <w:szCs w:val="24"/>
          <w:u w:color="000000"/>
        </w:rPr>
        <w:t>(</w:t>
      </w:r>
      <w:bookmarkStart w:id="1" w:name="_Hlk67207452"/>
      <w:bookmarkEnd w:id="0"/>
      <w:r w:rsidRPr="004E4E5E">
        <w:rPr>
          <w:rFonts w:cs="Times New Roman"/>
          <w:color w:val="000000"/>
          <w:sz w:val="24"/>
          <w:szCs w:val="24"/>
          <w:u w:color="000000"/>
        </w:rPr>
        <w:t>evento</w:t>
      </w:r>
      <w:bookmarkEnd w:id="1"/>
      <w:r w:rsidRPr="004E4E5E">
        <w:rPr>
          <w:rFonts w:cs="Times New Roman"/>
          <w:color w:val="000000"/>
          <w:sz w:val="24"/>
          <w:szCs w:val="24"/>
          <w:u w:color="000000"/>
        </w:rPr>
        <w:t>)</w:t>
      </w:r>
    </w:p>
    <w:p w14:paraId="5DE5ABF6"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2. Cantidad de miembros del grupo de caza </w:t>
      </w:r>
      <w:r w:rsidRPr="004E4E5E">
        <w:rPr>
          <w:rFonts w:cs="Times New Roman"/>
          <w:color w:val="000000"/>
          <w:sz w:val="24"/>
          <w:szCs w:val="24"/>
          <w:u w:color="000000"/>
        </w:rPr>
        <w:t>(evento)</w:t>
      </w:r>
    </w:p>
    <w:p w14:paraId="4F02DD40"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3. Decomiso de animales durante infracción </w:t>
      </w:r>
      <w:r w:rsidRPr="004E4E5E">
        <w:rPr>
          <w:rFonts w:cs="Times New Roman"/>
          <w:color w:val="000000"/>
          <w:sz w:val="24"/>
          <w:szCs w:val="24"/>
          <w:u w:color="000000"/>
        </w:rPr>
        <w:t>(evento)</w:t>
      </w:r>
    </w:p>
    <w:p w14:paraId="4F99BF35" w14:textId="34D460AD"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Pr>
          <w:rFonts w:cs="Times New Roman"/>
          <w:i w:val="0"/>
          <w:iCs w:val="0"/>
          <w:color w:val="000000"/>
          <w:sz w:val="24"/>
          <w:szCs w:val="24"/>
          <w:u w:color="000000"/>
        </w:rPr>
        <w:t>4</w:t>
      </w:r>
      <w:r w:rsidRPr="004E4E5E">
        <w:rPr>
          <w:rFonts w:cs="Times New Roman"/>
          <w:i w:val="0"/>
          <w:iCs w:val="0"/>
          <w:color w:val="000000"/>
          <w:sz w:val="24"/>
          <w:szCs w:val="24"/>
          <w:u w:color="000000"/>
        </w:rPr>
        <w:t xml:space="preserve">. Tenencia de obra social en la actualidad </w:t>
      </w:r>
      <w:r w:rsidRPr="004E4E5E">
        <w:rPr>
          <w:rFonts w:cs="Times New Roman"/>
          <w:color w:val="000000"/>
          <w:sz w:val="24"/>
          <w:szCs w:val="24"/>
          <w:u w:color="000000"/>
        </w:rPr>
        <w:t>(evento)</w:t>
      </w:r>
    </w:p>
    <w:p w14:paraId="584945B2"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6. Rama de ocupación </w:t>
      </w:r>
      <w:r w:rsidRPr="004E4E5E">
        <w:rPr>
          <w:rFonts w:cs="Times New Roman"/>
          <w:color w:val="000000"/>
          <w:sz w:val="24"/>
          <w:szCs w:val="24"/>
          <w:u w:color="000000"/>
        </w:rPr>
        <w:t>(estructura)</w:t>
      </w:r>
    </w:p>
    <w:p w14:paraId="0E0397A8"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7. Beneficiario de algún programa social </w:t>
      </w:r>
      <w:r w:rsidRPr="004E4E5E">
        <w:rPr>
          <w:rFonts w:cs="Times New Roman"/>
          <w:color w:val="000000"/>
          <w:sz w:val="24"/>
          <w:szCs w:val="24"/>
          <w:u w:color="000000"/>
        </w:rPr>
        <w:t>(estructura)</w:t>
      </w:r>
    </w:p>
    <w:p w14:paraId="3ADDC147"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color="000000"/>
        </w:rPr>
      </w:pPr>
      <w:r w:rsidRPr="004E4E5E">
        <w:rPr>
          <w:rFonts w:cs="Times New Roman"/>
          <w:i w:val="0"/>
          <w:iCs w:val="0"/>
          <w:color w:val="000000"/>
          <w:sz w:val="24"/>
          <w:szCs w:val="24"/>
          <w:u w:color="000000"/>
        </w:rPr>
        <w:t xml:space="preserve">8. Departamento de residencia según acta de infracción </w:t>
      </w:r>
      <w:r w:rsidRPr="004E4E5E">
        <w:rPr>
          <w:rFonts w:cs="Times New Roman"/>
          <w:color w:val="000000"/>
          <w:sz w:val="24"/>
          <w:szCs w:val="24"/>
          <w:u w:color="000000"/>
        </w:rPr>
        <w:t>(estructura)</w:t>
      </w:r>
    </w:p>
    <w:p w14:paraId="684C91F0" w14:textId="77777777" w:rsidR="003330CD" w:rsidRPr="004E4E5E" w:rsidRDefault="003330CD" w:rsidP="00022218">
      <w:pPr>
        <w:pStyle w:val="Caption"/>
        <w:pBdr>
          <w:top w:val="single" w:sz="4" w:space="1" w:color="auto"/>
          <w:left w:val="single" w:sz="4" w:space="1" w:color="auto"/>
          <w:bottom w:val="single" w:sz="4" w:space="1" w:color="auto"/>
          <w:right w:val="single" w:sz="4" w:space="1" w:color="auto"/>
        </w:pBdr>
        <w:spacing w:after="0" w:line="240" w:lineRule="auto"/>
        <w:rPr>
          <w:rFonts w:cs="Times New Roman"/>
          <w:color w:val="000000"/>
          <w:sz w:val="24"/>
          <w:szCs w:val="24"/>
          <w:u w:color="000000"/>
        </w:rPr>
      </w:pPr>
      <w:r w:rsidRPr="004E4E5E">
        <w:rPr>
          <w:rFonts w:cs="Times New Roman"/>
          <w:i w:val="0"/>
          <w:iCs w:val="0"/>
          <w:color w:val="000000"/>
          <w:sz w:val="24"/>
          <w:szCs w:val="24"/>
          <w:u w:color="000000"/>
        </w:rPr>
        <w:t>9. Edad cuando cometió la infracción</w:t>
      </w:r>
      <w:r w:rsidRPr="004E4E5E">
        <w:rPr>
          <w:rFonts w:cs="Times New Roman"/>
          <w:color w:val="000000"/>
          <w:sz w:val="24"/>
          <w:szCs w:val="24"/>
          <w:u w:color="000000"/>
        </w:rPr>
        <w:t xml:space="preserve"> </w:t>
      </w:r>
      <w:bookmarkStart w:id="2" w:name="_Hlk67207535"/>
      <w:r w:rsidRPr="004E4E5E">
        <w:rPr>
          <w:rFonts w:cs="Times New Roman"/>
          <w:color w:val="000000"/>
          <w:sz w:val="24"/>
          <w:szCs w:val="24"/>
          <w:u w:color="000000"/>
        </w:rPr>
        <w:t>(estructura)</w:t>
      </w:r>
      <w:bookmarkEnd w:id="2"/>
    </w:p>
    <w:p w14:paraId="5C879986" w14:textId="77777777" w:rsidR="003330CD" w:rsidRPr="004E4E5E" w:rsidRDefault="003330CD" w:rsidP="003330CD">
      <w:pPr>
        <w:pStyle w:val="Body"/>
        <w:spacing w:line="240" w:lineRule="auto"/>
        <w:rPr>
          <w:rFonts w:cs="Times New Roman"/>
          <w:lang w:val="es-ES_tradnl"/>
        </w:rPr>
      </w:pPr>
    </w:p>
    <w:p w14:paraId="591994C0" w14:textId="77777777" w:rsidR="003330CD" w:rsidRPr="004E4E5E" w:rsidRDefault="003330CD" w:rsidP="00924AD8">
      <w:pPr>
        <w:pStyle w:val="Caption"/>
        <w:pBdr>
          <w:top w:val="single" w:sz="4" w:space="1" w:color="auto"/>
          <w:left w:val="single" w:sz="4" w:space="1" w:color="auto"/>
          <w:bottom w:val="single" w:sz="4" w:space="1" w:color="auto"/>
          <w:right w:val="single" w:sz="4" w:space="1" w:color="auto"/>
        </w:pBdr>
        <w:spacing w:after="0" w:line="240" w:lineRule="auto"/>
        <w:rPr>
          <w:rFonts w:cs="Times New Roman"/>
          <w:i w:val="0"/>
          <w:iCs w:val="0"/>
          <w:color w:val="000000"/>
          <w:sz w:val="24"/>
          <w:szCs w:val="24"/>
          <w:u w:val="single" w:color="000000"/>
        </w:rPr>
      </w:pPr>
      <w:r w:rsidRPr="004E4E5E">
        <w:rPr>
          <w:rFonts w:cs="Times New Roman"/>
          <w:i w:val="0"/>
          <w:iCs w:val="0"/>
          <w:color w:val="000000"/>
          <w:sz w:val="24"/>
          <w:szCs w:val="24"/>
          <w:u w:val="single" w:color="000000"/>
        </w:rPr>
        <w:t>Variables ilustrativas categóricas:</w:t>
      </w:r>
    </w:p>
    <w:p w14:paraId="456C793E" w14:textId="77777777" w:rsidR="003330CD" w:rsidRPr="003330CD" w:rsidRDefault="003330CD" w:rsidP="00924AD8">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1. Máxima situación de riesgo crediticio durante la ultima década</w:t>
      </w:r>
      <w:r w:rsidRPr="004E4E5E">
        <w:rPr>
          <w:rFonts w:cs="Times New Roman"/>
          <w:vertAlign w:val="superscript"/>
          <w:lang w:val="es-ES_tradnl"/>
        </w:rPr>
        <w:footnoteReference w:id="2"/>
      </w:r>
    </w:p>
    <w:p w14:paraId="6D742426" w14:textId="77777777" w:rsidR="003330CD" w:rsidRPr="003330CD" w:rsidRDefault="003330CD" w:rsidP="00924AD8">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2. Municipio de residencia según acta de infracción</w:t>
      </w:r>
    </w:p>
    <w:p w14:paraId="1B9BC3D6" w14:textId="1610DA22" w:rsidR="003330CD" w:rsidRDefault="003330CD" w:rsidP="00924AD8">
      <w:pPr>
        <w:pStyle w:val="Body"/>
        <w:pBdr>
          <w:top w:val="single" w:sz="4" w:space="1" w:color="auto"/>
          <w:left w:val="single" w:sz="4" w:space="1" w:color="auto"/>
          <w:bottom w:val="single" w:sz="4" w:space="1" w:color="auto"/>
          <w:right w:val="single" w:sz="4" w:space="1" w:color="auto"/>
        </w:pBdr>
        <w:spacing w:line="240" w:lineRule="auto"/>
        <w:rPr>
          <w:rFonts w:cs="Times New Roman"/>
          <w:lang w:val="es-ES_tradnl"/>
        </w:rPr>
      </w:pPr>
      <w:r>
        <w:rPr>
          <w:rFonts w:cs="Times New Roman"/>
          <w:lang w:val="es-ES_tradnl"/>
        </w:rPr>
        <w:t>3. Genero de los cazadores</w:t>
      </w:r>
    </w:p>
    <w:p w14:paraId="018923D9" w14:textId="77777777" w:rsidR="003330CD" w:rsidRDefault="003330CD" w:rsidP="003330CD">
      <w:pPr>
        <w:pStyle w:val="Body"/>
        <w:spacing w:line="240" w:lineRule="auto"/>
        <w:rPr>
          <w:rFonts w:cs="Times New Roman"/>
          <w:u w:val="single"/>
          <w:lang w:val="es-ES_tradnl"/>
        </w:rPr>
      </w:pPr>
    </w:p>
    <w:p w14:paraId="41B4B04D" w14:textId="41555420" w:rsidR="003330CD" w:rsidRPr="003330CD"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u w:val="single"/>
          <w:lang w:val="es-ES"/>
        </w:rPr>
      </w:pPr>
      <w:r w:rsidRPr="004E4E5E">
        <w:rPr>
          <w:rFonts w:cs="Times New Roman"/>
          <w:u w:val="single"/>
          <w:lang w:val="es-ES_tradnl"/>
        </w:rPr>
        <w:t xml:space="preserve">Variables ilustrativas continuas: </w:t>
      </w:r>
    </w:p>
    <w:p w14:paraId="4BDC3F5B" w14:textId="77777777" w:rsidR="003330CD" w:rsidRPr="003330CD"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1. Cantidad de rifles incautados</w:t>
      </w:r>
    </w:p>
    <w:p w14:paraId="5B77678A" w14:textId="77777777" w:rsidR="003330CD" w:rsidRPr="003330CD"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2. Cantidad de escopetas incautadas</w:t>
      </w:r>
      <w:r w:rsidRPr="004E4E5E">
        <w:rPr>
          <w:rFonts w:cs="Times New Roman"/>
          <w:vertAlign w:val="superscript"/>
          <w:lang w:val="es-ES_tradnl"/>
        </w:rPr>
        <w:footnoteReference w:id="3"/>
      </w:r>
    </w:p>
    <w:p w14:paraId="0ECBFF0A" w14:textId="77777777" w:rsidR="003330CD" w:rsidRPr="003330CD"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3. Cantidad de machetes incautados</w:t>
      </w:r>
    </w:p>
    <w:p w14:paraId="4303D74F" w14:textId="77777777" w:rsidR="003330CD" w:rsidRPr="003330CD"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lang w:val="es-ES"/>
        </w:rPr>
      </w:pPr>
      <w:r w:rsidRPr="004E4E5E">
        <w:rPr>
          <w:rFonts w:cs="Times New Roman"/>
          <w:lang w:val="es-ES_tradnl"/>
        </w:rPr>
        <w:t>4. Cantidad de cuchillos incautados</w:t>
      </w:r>
    </w:p>
    <w:p w14:paraId="7C4741E9" w14:textId="64E850D7" w:rsidR="005E4934" w:rsidRDefault="003330CD" w:rsidP="00B233DE">
      <w:pPr>
        <w:pStyle w:val="Body"/>
        <w:pBdr>
          <w:top w:val="single" w:sz="4" w:space="1" w:color="auto"/>
          <w:left w:val="single" w:sz="4" w:space="1" w:color="auto"/>
          <w:bottom w:val="single" w:sz="4" w:space="1" w:color="auto"/>
          <w:right w:val="single" w:sz="4" w:space="1" w:color="auto"/>
        </w:pBdr>
        <w:spacing w:line="240" w:lineRule="auto"/>
        <w:rPr>
          <w:rFonts w:cs="Times New Roman"/>
          <w:lang w:val="es-ES_tradnl"/>
        </w:rPr>
      </w:pPr>
      <w:r w:rsidRPr="004E4E5E">
        <w:rPr>
          <w:rFonts w:cs="Times New Roman"/>
          <w:lang w:val="es-ES_tradnl"/>
        </w:rPr>
        <w:t xml:space="preserve">5. Cantidad de armas de fuego sin especificar </w:t>
      </w:r>
    </w:p>
    <w:p w14:paraId="3F72386C" w14:textId="1BEB6BCA" w:rsidR="00B233DE" w:rsidRDefault="00B233DE" w:rsidP="00B233DE">
      <w:pPr>
        <w:pStyle w:val="Body"/>
        <w:spacing w:line="240" w:lineRule="auto"/>
        <w:rPr>
          <w:rFonts w:cs="Times New Roman"/>
          <w:lang w:val="es-ES_tradnl"/>
        </w:rPr>
      </w:pPr>
    </w:p>
    <w:p w14:paraId="5FED9BED" w14:textId="11411651" w:rsidR="0026799D" w:rsidRPr="0026799D" w:rsidRDefault="0026799D" w:rsidP="0026799D">
      <w:pPr>
        <w:spacing w:line="240" w:lineRule="auto"/>
        <w:jc w:val="left"/>
        <w:rPr>
          <w:rFonts w:eastAsia="Times New Roman" w:cs="Times New Roman"/>
        </w:rPr>
      </w:pPr>
      <w:r w:rsidRPr="0026799D">
        <w:rPr>
          <w:rFonts w:eastAsia="Arial Unicode MS" w:cs="Times New Roman"/>
          <w:noProof/>
          <w:color w:val="000000"/>
          <w:u w:color="000000"/>
          <w:bdr w:val="nil"/>
          <w:lang w:val="es-ES_tradnl"/>
          <w14:textOutline w14:w="0" w14:cap="flat" w14:cmpd="sng" w14:algn="ctr">
            <w14:noFill/>
            <w14:prstDash w14:val="solid"/>
            <w14:bevel/>
          </w14:textOutline>
        </w:rPr>
        <w:drawing>
          <wp:inline distT="0" distB="0" distL="0" distR="0" wp14:anchorId="0C101476" wp14:editId="2364FF6E">
            <wp:extent cx="5976518" cy="194709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072" cy="1949233"/>
                    </a:xfrm>
                    <a:prstGeom prst="rect">
                      <a:avLst/>
                    </a:prstGeom>
                    <a:noFill/>
                    <a:ln>
                      <a:noFill/>
                    </a:ln>
                  </pic:spPr>
                </pic:pic>
              </a:graphicData>
            </a:graphic>
          </wp:inline>
        </w:drawing>
      </w:r>
    </w:p>
    <w:p w14:paraId="3192F515" w14:textId="6DD0F227" w:rsidR="00B233DE" w:rsidRDefault="00B233DE" w:rsidP="00B233DE">
      <w:pPr>
        <w:pStyle w:val="Body"/>
        <w:spacing w:line="240" w:lineRule="auto"/>
        <w:rPr>
          <w:rFonts w:cs="Times New Roman"/>
          <w:lang w:val="es-ES_tradnl"/>
        </w:rPr>
      </w:pPr>
    </w:p>
    <w:p w14:paraId="03E6C5F9" w14:textId="4745820D" w:rsidR="00B233DE" w:rsidRDefault="00B233DE" w:rsidP="00B233DE">
      <w:pPr>
        <w:pStyle w:val="Body"/>
        <w:spacing w:line="240" w:lineRule="auto"/>
        <w:rPr>
          <w:rFonts w:cs="Times New Roman"/>
          <w:lang w:val="es-ES_tradnl"/>
        </w:rPr>
      </w:pPr>
    </w:p>
    <w:p w14:paraId="509B0716" w14:textId="77777777" w:rsidR="00B233DE" w:rsidRDefault="00B233DE" w:rsidP="00B233DE">
      <w:pPr>
        <w:pStyle w:val="Body"/>
        <w:spacing w:line="240" w:lineRule="auto"/>
        <w:rPr>
          <w:lang w:val="es-ES"/>
        </w:rPr>
      </w:pPr>
    </w:p>
    <w:p w14:paraId="45464CC1" w14:textId="0CA6E6D7" w:rsidR="005E4934" w:rsidRDefault="005E4934" w:rsidP="00700B05">
      <w:pPr>
        <w:rPr>
          <w:lang w:val="es-ES"/>
        </w:rPr>
      </w:pPr>
    </w:p>
    <w:p w14:paraId="0344CE41" w14:textId="350E87C1" w:rsidR="00A16BF6" w:rsidRDefault="00A16BF6" w:rsidP="00700B05">
      <w:pPr>
        <w:rPr>
          <w:lang w:val="es-ES"/>
        </w:rPr>
      </w:pPr>
    </w:p>
    <w:p w14:paraId="0EEB6E2C" w14:textId="1943850C" w:rsidR="00A16BF6" w:rsidRDefault="00A16BF6" w:rsidP="00700B05">
      <w:pPr>
        <w:rPr>
          <w:lang w:val="es-ES"/>
        </w:rPr>
      </w:pPr>
    </w:p>
    <w:p w14:paraId="4E53EA89" w14:textId="0459670F" w:rsidR="00A16BF6" w:rsidRDefault="00A16BF6" w:rsidP="00700B05">
      <w:pPr>
        <w:rPr>
          <w:lang w:val="es-ES"/>
        </w:rPr>
      </w:pPr>
    </w:p>
    <w:p w14:paraId="74D36364" w14:textId="6C98F554" w:rsidR="00A16BF6" w:rsidRDefault="00A16BF6" w:rsidP="00700B05">
      <w:pPr>
        <w:rPr>
          <w:lang w:val="es-ES"/>
        </w:rPr>
      </w:pPr>
    </w:p>
    <w:p w14:paraId="4308770D" w14:textId="77777777" w:rsidR="00A16BF6" w:rsidRDefault="00A16BF6" w:rsidP="00700B05">
      <w:pPr>
        <w:rPr>
          <w:lang w:val="es-ES"/>
        </w:rPr>
      </w:pPr>
    </w:p>
    <w:p w14:paraId="56BFC787" w14:textId="77777777" w:rsidR="00A16BF6" w:rsidRDefault="00A16BF6" w:rsidP="00700B05">
      <w:pPr>
        <w:rPr>
          <w:lang w:val="es-ES"/>
        </w:rPr>
      </w:pPr>
    </w:p>
    <w:p w14:paraId="20A498B7" w14:textId="0BE84F01" w:rsidR="00E86142" w:rsidRDefault="00E86142" w:rsidP="00700B05">
      <w:pPr>
        <w:rPr>
          <w:lang w:val="es-ES"/>
        </w:rPr>
      </w:pPr>
      <w:r>
        <w:rPr>
          <w:lang w:val="es-ES"/>
        </w:rPr>
        <w:t>Conclusiones</w:t>
      </w:r>
      <w:r w:rsidR="00B81F4F">
        <w:rPr>
          <w:lang w:val="es-ES"/>
        </w:rPr>
        <w:t>:</w:t>
      </w:r>
    </w:p>
    <w:p w14:paraId="6A2B84E5" w14:textId="2296337D" w:rsidR="009A23B2" w:rsidRDefault="009A23B2" w:rsidP="00700B05">
      <w:pPr>
        <w:rPr>
          <w:lang w:val="es-ES"/>
        </w:rPr>
      </w:pPr>
    </w:p>
    <w:p w14:paraId="77420445" w14:textId="482D75DA" w:rsidR="009A23B2" w:rsidRPr="00700B05" w:rsidRDefault="009A23B2" w:rsidP="00700B05">
      <w:pPr>
        <w:rPr>
          <w:lang w:val="es-ES"/>
        </w:rPr>
      </w:pPr>
      <w:r>
        <w:rPr>
          <w:lang w:val="es-ES"/>
        </w:rPr>
        <w:t>Bibliografía</w:t>
      </w:r>
    </w:p>
    <w:sectPr w:rsidR="009A23B2" w:rsidRPr="00700B05" w:rsidSect="003330C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54921" w14:textId="77777777" w:rsidR="00BF77FA" w:rsidRDefault="00BF77FA" w:rsidP="009D4968">
      <w:pPr>
        <w:spacing w:line="240" w:lineRule="auto"/>
      </w:pPr>
      <w:r>
        <w:separator/>
      </w:r>
    </w:p>
  </w:endnote>
  <w:endnote w:type="continuationSeparator" w:id="0">
    <w:p w14:paraId="5E65440F" w14:textId="77777777" w:rsidR="00BF77FA" w:rsidRDefault="00BF77FA" w:rsidP="009D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94400" w14:textId="77777777" w:rsidR="00BF77FA" w:rsidRDefault="00BF77FA" w:rsidP="009D4968">
      <w:pPr>
        <w:spacing w:line="240" w:lineRule="auto"/>
      </w:pPr>
      <w:r>
        <w:separator/>
      </w:r>
    </w:p>
  </w:footnote>
  <w:footnote w:type="continuationSeparator" w:id="0">
    <w:p w14:paraId="106095DA" w14:textId="77777777" w:rsidR="00BF77FA" w:rsidRDefault="00BF77FA" w:rsidP="009D4968">
      <w:pPr>
        <w:spacing w:line="240" w:lineRule="auto"/>
      </w:pPr>
      <w:r>
        <w:continuationSeparator/>
      </w:r>
    </w:p>
  </w:footnote>
  <w:footnote w:id="1">
    <w:p w14:paraId="03FBDA48" w14:textId="5975B6F9" w:rsidR="009D4968" w:rsidRPr="009D4968" w:rsidRDefault="009D4968">
      <w:pPr>
        <w:pStyle w:val="FootnoteText"/>
        <w:rPr>
          <w:lang w:val="es-ES"/>
        </w:rPr>
      </w:pPr>
      <w:r>
        <w:rPr>
          <w:rStyle w:val="FootnoteReference"/>
        </w:rPr>
        <w:footnoteRef/>
      </w:r>
      <w:r w:rsidRPr="009D4968">
        <w:rPr>
          <w:lang w:val="es-ES"/>
        </w:rPr>
        <w:t xml:space="preserve"> </w:t>
      </w:r>
      <w:r>
        <w:rPr>
          <w:lang w:val="es-ES"/>
        </w:rPr>
        <w:t xml:space="preserve">El trabajo de campo y el análisis de datos gubernamentales pudo retomarse durante los años 2020 y 2021 gracias al apoyo de </w:t>
      </w:r>
      <w:r w:rsidRPr="009D4968">
        <w:rPr>
          <w:i/>
          <w:iCs/>
          <w:lang w:val="es-ES"/>
        </w:rPr>
        <w:t>World Wild Fund</w:t>
      </w:r>
      <w:r>
        <w:rPr>
          <w:lang w:val="es-ES"/>
        </w:rPr>
        <w:t xml:space="preserve"> </w:t>
      </w:r>
      <w:r w:rsidR="00ED6E4C">
        <w:rPr>
          <w:lang w:val="es-ES"/>
        </w:rPr>
        <w:t>(</w:t>
      </w:r>
      <w:hyperlink r:id="rId1" w:history="1">
        <w:r w:rsidR="00ED6E4C" w:rsidRPr="00CE20A8">
          <w:rPr>
            <w:rStyle w:val="Hyperlink"/>
            <w:lang w:val="es-ES"/>
          </w:rPr>
          <w:t>https://www.worldwildlife.org/</w:t>
        </w:r>
      </w:hyperlink>
      <w:r w:rsidR="00ED6E4C">
        <w:rPr>
          <w:lang w:val="es-ES"/>
        </w:rPr>
        <w:t xml:space="preserve">), </w:t>
      </w:r>
      <w:r>
        <w:rPr>
          <w:lang w:val="es-ES"/>
        </w:rPr>
        <w:t>Fundación Vida Silvestre</w:t>
      </w:r>
      <w:r w:rsidR="00ED6E4C">
        <w:rPr>
          <w:lang w:val="es-ES"/>
        </w:rPr>
        <w:t xml:space="preserve"> (</w:t>
      </w:r>
      <w:hyperlink r:id="rId2" w:history="1">
        <w:r w:rsidR="00ED6E4C" w:rsidRPr="00CE20A8">
          <w:rPr>
            <w:rStyle w:val="Hyperlink"/>
            <w:lang w:val="es-ES"/>
          </w:rPr>
          <w:t>https://www.vidasilvestre.org.ar/</w:t>
        </w:r>
      </w:hyperlink>
      <w:r w:rsidR="00ED6E4C">
        <w:rPr>
          <w:lang w:val="es-ES"/>
        </w:rPr>
        <w:t>), y el Ministerio de Ecología y Recursos Naturales Renovables de la provincia de Misiones (</w:t>
      </w:r>
      <w:hyperlink r:id="rId3" w:history="1">
        <w:r w:rsidR="00ED6E4C" w:rsidRPr="00CE20A8">
          <w:rPr>
            <w:rStyle w:val="Hyperlink"/>
            <w:lang w:val="es-ES"/>
          </w:rPr>
          <w:t>https://ecologia.misiones.gob.ar/</w:t>
        </w:r>
      </w:hyperlink>
      <w:r w:rsidR="00ED6E4C">
        <w:rPr>
          <w:lang w:val="es-ES"/>
        </w:rPr>
        <w:t>)</w:t>
      </w:r>
      <w:r>
        <w:rPr>
          <w:lang w:val="es-ES"/>
        </w:rPr>
        <w:t xml:space="preserve">. </w:t>
      </w:r>
    </w:p>
  </w:footnote>
  <w:footnote w:id="2">
    <w:p w14:paraId="225F4D65" w14:textId="77777777" w:rsidR="003330CD" w:rsidRPr="003330CD" w:rsidRDefault="003330CD" w:rsidP="003330CD">
      <w:pPr>
        <w:pStyle w:val="FootnoteText"/>
        <w:rPr>
          <w:lang w:val="es-ES"/>
        </w:rPr>
      </w:pPr>
      <w:r>
        <w:rPr>
          <w:vertAlign w:val="superscript"/>
        </w:rPr>
        <w:footnoteRef/>
      </w:r>
      <w:r w:rsidRPr="003330CD">
        <w:rPr>
          <w:rFonts w:eastAsia="Arial Unicode MS" w:cs="Arial Unicode MS"/>
          <w:lang w:val="es-ES"/>
        </w:rPr>
        <w:t xml:space="preserve"> Según el Banco Central de la República Argentina (</w:t>
      </w:r>
      <w:hyperlink r:id="rId4" w:history="1">
        <w:r>
          <w:rPr>
            <w:rStyle w:val="Hyperlink0"/>
            <w:rFonts w:eastAsia="Arial Unicode MS" w:cs="Arial Unicode MS"/>
          </w:rPr>
          <w:t>http://www.bcra.gov.ar</w:t>
        </w:r>
      </w:hyperlink>
      <w:r w:rsidRPr="003330CD">
        <w:rPr>
          <w:rFonts w:eastAsia="Arial Unicode MS" w:cs="Arial Unicode MS"/>
          <w:lang w:val="es-ES"/>
        </w:rPr>
        <w:t>) estas son las diferentes situaciones:</w:t>
      </w:r>
    </w:p>
    <w:p w14:paraId="3D28D576" w14:textId="77777777" w:rsidR="003330CD" w:rsidRPr="003330CD" w:rsidRDefault="003330CD" w:rsidP="003330CD">
      <w:pPr>
        <w:pStyle w:val="FootnoteText"/>
        <w:rPr>
          <w:lang w:val="es-ES"/>
        </w:rPr>
      </w:pPr>
      <w:r w:rsidRPr="003330CD">
        <w:rPr>
          <w:rFonts w:eastAsia="Arial Unicode MS" w:cs="Arial Unicode MS"/>
          <w:lang w:val="es-ES"/>
        </w:rPr>
        <w:tab/>
        <w:t>1. Normal | Atraso en el pago que no supere los 91 días.</w:t>
      </w:r>
    </w:p>
    <w:p w14:paraId="6291EB6E" w14:textId="77777777" w:rsidR="003330CD" w:rsidRPr="003330CD" w:rsidRDefault="003330CD" w:rsidP="003330CD">
      <w:pPr>
        <w:pStyle w:val="FootnoteText"/>
        <w:rPr>
          <w:lang w:val="es-ES"/>
        </w:rPr>
      </w:pPr>
      <w:r w:rsidRPr="003330CD">
        <w:rPr>
          <w:rFonts w:eastAsia="Arial Unicode MS" w:cs="Arial Unicode MS"/>
          <w:lang w:val="es-ES"/>
        </w:rPr>
        <w:tab/>
        <w:t>2. Riesgo bajo | Atraso en el pago de más de 91 y hasta 150 días desde el vencimiento.</w:t>
      </w:r>
    </w:p>
    <w:p w14:paraId="1301B374" w14:textId="77777777" w:rsidR="003330CD" w:rsidRPr="003330CD" w:rsidRDefault="003330CD" w:rsidP="003330CD">
      <w:pPr>
        <w:pStyle w:val="FootnoteText"/>
        <w:rPr>
          <w:lang w:val="es-ES"/>
        </w:rPr>
      </w:pPr>
      <w:r w:rsidRPr="003330CD">
        <w:rPr>
          <w:rFonts w:eastAsia="Arial Unicode MS" w:cs="Arial Unicode MS"/>
          <w:lang w:val="es-ES"/>
        </w:rPr>
        <w:tab/>
        <w:t>3. Riesgo medio | Atraso en el pago de más de 150 y hasta 240 días.</w:t>
      </w:r>
    </w:p>
    <w:p w14:paraId="434E3079" w14:textId="77777777" w:rsidR="003330CD" w:rsidRPr="003330CD" w:rsidRDefault="003330CD" w:rsidP="003330CD">
      <w:pPr>
        <w:pStyle w:val="FootnoteText"/>
        <w:rPr>
          <w:lang w:val="es-ES"/>
        </w:rPr>
      </w:pPr>
      <w:r w:rsidRPr="003330CD">
        <w:rPr>
          <w:rFonts w:eastAsia="Arial Unicode MS" w:cs="Arial Unicode MS"/>
          <w:lang w:val="es-ES"/>
        </w:rPr>
        <w:tab/>
        <w:t>4. Riesgo alto | Atraso en el pago de más de 240 días hasta un año</w:t>
      </w:r>
    </w:p>
    <w:p w14:paraId="29A668CD" w14:textId="77777777" w:rsidR="003330CD" w:rsidRPr="003330CD" w:rsidRDefault="003330CD" w:rsidP="003330CD">
      <w:pPr>
        <w:pStyle w:val="FootnoteText"/>
        <w:rPr>
          <w:lang w:val="es-ES"/>
        </w:rPr>
      </w:pPr>
      <w:r w:rsidRPr="003330CD">
        <w:rPr>
          <w:rFonts w:eastAsia="Arial Unicode MS" w:cs="Arial Unicode MS"/>
          <w:lang w:val="es-ES"/>
        </w:rPr>
        <w:tab/>
        <w:t>5. Irrecuperable | Atrasos superiores a un año</w:t>
      </w:r>
    </w:p>
  </w:footnote>
  <w:footnote w:id="3">
    <w:p w14:paraId="700F47F4" w14:textId="77777777" w:rsidR="003330CD" w:rsidRPr="003330CD" w:rsidRDefault="003330CD" w:rsidP="003330CD">
      <w:pPr>
        <w:pStyle w:val="FootnoteText"/>
        <w:rPr>
          <w:lang w:val="es-ES"/>
        </w:rPr>
      </w:pPr>
      <w:r>
        <w:rPr>
          <w:vertAlign w:val="superscript"/>
        </w:rPr>
        <w:footnoteRef/>
      </w:r>
      <w:r w:rsidRPr="003330CD">
        <w:rPr>
          <w:rFonts w:eastAsia="Arial Unicode MS" w:cs="Arial Unicode MS"/>
          <w:lang w:val="es-ES"/>
        </w:rPr>
        <w:t xml:space="preserve"> Se excluyeron a las pistolas y revólveres por su muy minoritaria presencia.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05"/>
    <w:rsid w:val="00000BB6"/>
    <w:rsid w:val="00022218"/>
    <w:rsid w:val="000464D0"/>
    <w:rsid w:val="0008750F"/>
    <w:rsid w:val="00163205"/>
    <w:rsid w:val="001A16EE"/>
    <w:rsid w:val="001B45DA"/>
    <w:rsid w:val="001B4C50"/>
    <w:rsid w:val="001E048E"/>
    <w:rsid w:val="0026799D"/>
    <w:rsid w:val="00327FAD"/>
    <w:rsid w:val="003330CD"/>
    <w:rsid w:val="00375CAE"/>
    <w:rsid w:val="00390051"/>
    <w:rsid w:val="00411BD6"/>
    <w:rsid w:val="00416840"/>
    <w:rsid w:val="00462DF9"/>
    <w:rsid w:val="00492BD2"/>
    <w:rsid w:val="004A2932"/>
    <w:rsid w:val="004D4FBF"/>
    <w:rsid w:val="004D50E1"/>
    <w:rsid w:val="005E4934"/>
    <w:rsid w:val="006072A8"/>
    <w:rsid w:val="00622F2F"/>
    <w:rsid w:val="00696E6F"/>
    <w:rsid w:val="00700B05"/>
    <w:rsid w:val="0073283E"/>
    <w:rsid w:val="00734C78"/>
    <w:rsid w:val="00786690"/>
    <w:rsid w:val="0079149D"/>
    <w:rsid w:val="007D001E"/>
    <w:rsid w:val="00820CB0"/>
    <w:rsid w:val="008520EA"/>
    <w:rsid w:val="008B007F"/>
    <w:rsid w:val="008B5975"/>
    <w:rsid w:val="008C077C"/>
    <w:rsid w:val="00924AD8"/>
    <w:rsid w:val="00932A9D"/>
    <w:rsid w:val="00982C85"/>
    <w:rsid w:val="00997998"/>
    <w:rsid w:val="009A2112"/>
    <w:rsid w:val="009A23B2"/>
    <w:rsid w:val="009C0E13"/>
    <w:rsid w:val="009D2888"/>
    <w:rsid w:val="009D4968"/>
    <w:rsid w:val="009F118C"/>
    <w:rsid w:val="00A16BF6"/>
    <w:rsid w:val="00A31CB3"/>
    <w:rsid w:val="00A4477A"/>
    <w:rsid w:val="00A60210"/>
    <w:rsid w:val="00AA00F2"/>
    <w:rsid w:val="00B202DD"/>
    <w:rsid w:val="00B233DE"/>
    <w:rsid w:val="00B668D3"/>
    <w:rsid w:val="00B81F4F"/>
    <w:rsid w:val="00B940C2"/>
    <w:rsid w:val="00BA0A4B"/>
    <w:rsid w:val="00BA6DCF"/>
    <w:rsid w:val="00BF133F"/>
    <w:rsid w:val="00BF55D1"/>
    <w:rsid w:val="00BF77FA"/>
    <w:rsid w:val="00C21A3C"/>
    <w:rsid w:val="00C752FF"/>
    <w:rsid w:val="00C85FCE"/>
    <w:rsid w:val="00CA1669"/>
    <w:rsid w:val="00CD7C49"/>
    <w:rsid w:val="00CE60B7"/>
    <w:rsid w:val="00D050FD"/>
    <w:rsid w:val="00D12283"/>
    <w:rsid w:val="00D17A95"/>
    <w:rsid w:val="00D74988"/>
    <w:rsid w:val="00DA3354"/>
    <w:rsid w:val="00E10F0F"/>
    <w:rsid w:val="00E34F2B"/>
    <w:rsid w:val="00E77B5A"/>
    <w:rsid w:val="00E86142"/>
    <w:rsid w:val="00EA0CB4"/>
    <w:rsid w:val="00EC0170"/>
    <w:rsid w:val="00EC263C"/>
    <w:rsid w:val="00EC6E03"/>
    <w:rsid w:val="00ED6E4C"/>
    <w:rsid w:val="00F41024"/>
    <w:rsid w:val="00F97F9D"/>
    <w:rsid w:val="00FC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8CA9"/>
  <w15:chartTrackingRefBased/>
  <w15:docId w15:val="{0F40C51D-FFA1-AD4C-BCF5-EF98ED2F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05"/>
    <w:pPr>
      <w:spacing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C0E13"/>
    <w:pPr>
      <w:pBdr>
        <w:top w:val="nil"/>
        <w:left w:val="nil"/>
        <w:bottom w:val="nil"/>
        <w:right w:val="nil"/>
        <w:between w:val="nil"/>
        <w:bar w:val="nil"/>
      </w:pBdr>
      <w:spacing w:line="480" w:lineRule="auto"/>
      <w:jc w:val="both"/>
    </w:pPr>
    <w:rPr>
      <w:rFonts w:ascii="Times New Roman" w:eastAsia="Arial Unicode MS" w:hAnsi="Times New Roman" w:cs="Arial Unicode MS"/>
      <w:color w:val="000000"/>
      <w:u w:color="000000"/>
      <w:bdr w:val="nil"/>
      <w14:textOutline w14:w="0" w14:cap="flat" w14:cmpd="sng" w14:algn="ctr">
        <w14:noFill/>
        <w14:prstDash w14:val="solid"/>
        <w14:bevel/>
      </w14:textOutline>
    </w:rPr>
  </w:style>
  <w:style w:type="paragraph" w:styleId="FootnoteText">
    <w:name w:val="footnote text"/>
    <w:basedOn w:val="Normal"/>
    <w:link w:val="FootnoteTextChar"/>
    <w:unhideWhenUsed/>
    <w:rsid w:val="009D4968"/>
    <w:pPr>
      <w:spacing w:line="240" w:lineRule="auto"/>
    </w:pPr>
    <w:rPr>
      <w:sz w:val="20"/>
      <w:szCs w:val="20"/>
    </w:rPr>
  </w:style>
  <w:style w:type="character" w:customStyle="1" w:styleId="FootnoteTextChar">
    <w:name w:val="Footnote Text Char"/>
    <w:basedOn w:val="DefaultParagraphFont"/>
    <w:link w:val="FootnoteText"/>
    <w:rsid w:val="009D4968"/>
    <w:rPr>
      <w:rFonts w:ascii="Times New Roman" w:hAnsi="Times New Roman"/>
      <w:sz w:val="20"/>
      <w:szCs w:val="20"/>
    </w:rPr>
  </w:style>
  <w:style w:type="character" w:styleId="FootnoteReference">
    <w:name w:val="footnote reference"/>
    <w:basedOn w:val="DefaultParagraphFont"/>
    <w:uiPriority w:val="99"/>
    <w:semiHidden/>
    <w:unhideWhenUsed/>
    <w:rsid w:val="009D4968"/>
    <w:rPr>
      <w:vertAlign w:val="superscript"/>
    </w:rPr>
  </w:style>
  <w:style w:type="character" w:styleId="Hyperlink">
    <w:name w:val="Hyperlink"/>
    <w:basedOn w:val="DefaultParagraphFont"/>
    <w:uiPriority w:val="99"/>
    <w:unhideWhenUsed/>
    <w:rsid w:val="00ED6E4C"/>
    <w:rPr>
      <w:color w:val="0563C1" w:themeColor="hyperlink"/>
      <w:u w:val="single"/>
    </w:rPr>
  </w:style>
  <w:style w:type="character" w:styleId="UnresolvedMention">
    <w:name w:val="Unresolved Mention"/>
    <w:basedOn w:val="DefaultParagraphFont"/>
    <w:uiPriority w:val="99"/>
    <w:semiHidden/>
    <w:unhideWhenUsed/>
    <w:rsid w:val="00ED6E4C"/>
    <w:rPr>
      <w:color w:val="605E5C"/>
      <w:shd w:val="clear" w:color="auto" w:fill="E1DFDD"/>
    </w:rPr>
  </w:style>
  <w:style w:type="character" w:customStyle="1" w:styleId="Hyperlink0">
    <w:name w:val="Hyperlink.0"/>
    <w:basedOn w:val="DefaultParagraphFont"/>
    <w:rsid w:val="003330CD"/>
    <w:rPr>
      <w:rFonts w:ascii="Times New Roman" w:eastAsia="Times New Roman" w:hAnsi="Times New Roman" w:cs="Times New Roman"/>
      <w:outline w:val="0"/>
      <w:color w:val="0563C1"/>
      <w:u w:val="single" w:color="0563C1"/>
      <w:lang w:val="es-ES_tradnl"/>
    </w:rPr>
  </w:style>
  <w:style w:type="paragraph" w:styleId="Caption">
    <w:name w:val="caption"/>
    <w:next w:val="Body"/>
    <w:rsid w:val="003330CD"/>
    <w:pPr>
      <w:pBdr>
        <w:top w:val="nil"/>
        <w:left w:val="nil"/>
        <w:bottom w:val="nil"/>
        <w:right w:val="nil"/>
        <w:between w:val="nil"/>
        <w:bar w:val="nil"/>
      </w:pBdr>
      <w:spacing w:after="200" w:line="480" w:lineRule="auto"/>
      <w:jc w:val="both"/>
    </w:pPr>
    <w:rPr>
      <w:rFonts w:ascii="Times New Roman" w:eastAsia="Arial Unicode MS" w:hAnsi="Times New Roman" w:cs="Arial Unicode MS"/>
      <w:i/>
      <w:iCs/>
      <w:color w:val="44546A"/>
      <w:sz w:val="18"/>
      <w:szCs w:val="18"/>
      <w:u w:color="44546A"/>
      <w:bdr w:val="ni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cologia.misiones.gob.ar/" TargetMode="External"/><Relationship Id="rId2" Type="http://schemas.openxmlformats.org/officeDocument/2006/relationships/hyperlink" Target="https://www.vidasilvestre.org.ar/" TargetMode="External"/><Relationship Id="rId1" Type="http://schemas.openxmlformats.org/officeDocument/2006/relationships/hyperlink" Target="https://www.worldwildlife.org/" TargetMode="External"/><Relationship Id="rId4" Type="http://schemas.openxmlformats.org/officeDocument/2006/relationships/hyperlink" Target="http://www.bcra.go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F9E0-DF2D-F14B-B6A4-7C2F3744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1281</Words>
  <Characters>7304</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Gomez</dc:creator>
  <cp:keywords/>
  <dc:description/>
  <cp:lastModifiedBy>Elias Gomez</cp:lastModifiedBy>
  <cp:revision>73</cp:revision>
  <dcterms:created xsi:type="dcterms:W3CDTF">2021-05-14T12:51:00Z</dcterms:created>
  <dcterms:modified xsi:type="dcterms:W3CDTF">2021-06-12T14:33:00Z</dcterms:modified>
</cp:coreProperties>
</file>