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Information</w:t>
      </w:r>
    </w:p>
    <w:p>
      <w:r>
        <w:rPr>
          <w:b/>
          <w:i w:val="0"/>
        </w:rPr>
        <w:t>Article title:</w:t>
      </w:r>
      <w:r>
        <w:t xml:space="preserve"> Multi-dimensional decomposition of material extraction patterns: A stylised scenario analysis of the MERCOSUR-EU trade agreement</w:t>
      </w:r>
    </w:p>
    <w:p>
      <w:r>
        <w:rPr>
          <w:b/>
          <w:i w:val="0"/>
        </w:rPr>
        <w:t>Journal:</w:t>
      </w:r>
      <w:r>
        <w:t xml:space="preserve"> Journal of Industrial Ecology</w:t>
      </w:r>
    </w:p>
    <w:p>
      <w:r>
        <w:rPr>
          <w:b/>
          <w:i w:val="0"/>
        </w:rPr>
        <w:t>Author:</w:t>
      </w:r>
      <w:r>
        <w:t xml:space="preserve"> Raimundo Elías Gómez, National Scientific and Technical Research Council (CONICET), Faculty of Humanities and Social Sciences, National University of Misiones, Posadas, Argentina</w:t>
      </w:r>
    </w:p>
    <w:p>
      <w:r>
        <w:rPr>
          <w:b/>
          <w:i w:val="0"/>
        </w:rPr>
        <w:t>Corresponding author:</w:t>
      </w:r>
      <w:r>
        <w:t xml:space="preserve"> Raimundo Elías Gómez (elias.gomez@conicet.gov.ar)</w:t>
      </w:r>
    </w:p>
    <w:p>
      <w:pPr>
        <w:pStyle w:val="Heading2"/>
      </w:pPr>
      <w:r>
        <w:t>Table S1. GLORIA indicator classification</w:t>
      </w:r>
    </w:p>
    <w:p>
      <w:r>
        <w:t>Classification of 367 GLORIA material satellite indicators into four MFA categories and 15 subcategories following EUROSTAT/UNEP-IRP conventions (EUROSTAT, 2018).</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line="240" w:lineRule="auto"/>
            </w:pPr>
            <w:r>
              <w:rPr>
                <w:b/>
                <w:sz w:val="20"/>
              </w:rPr>
            </w:r>
            <w:r>
              <w:rPr>
                <w:b/>
                <w:sz w:val="20"/>
              </w:rPr>
              <w:t>MFA category</w:t>
            </w:r>
          </w:p>
        </w:tc>
        <w:tc>
          <w:tcPr>
            <w:tcW w:type="dxa" w:w="2880"/>
          </w:tcPr>
          <w:p>
            <w:pPr>
              <w:spacing w:after="40" w:line="240" w:lineRule="auto"/>
            </w:pPr>
            <w:r>
              <w:rPr>
                <w:b/>
                <w:sz w:val="20"/>
              </w:rPr>
            </w:r>
            <w:r>
              <w:rPr>
                <w:b/>
                <w:sz w:val="20"/>
              </w:rPr>
              <w:t>Subcategory</w:t>
            </w:r>
          </w:p>
        </w:tc>
        <w:tc>
          <w:tcPr>
            <w:tcW w:type="dxa" w:w="2880"/>
          </w:tcPr>
          <w:p>
            <w:pPr>
              <w:spacing w:after="40" w:line="240" w:lineRule="auto"/>
            </w:pPr>
            <w:r>
              <w:rPr>
                <w:b/>
                <w:sz w:val="20"/>
              </w:rPr>
            </w:r>
            <w:r>
              <w:rPr>
                <w:b/>
                <w:sz w:val="20"/>
              </w:rPr>
              <w:t>Number of indicators</w:t>
            </w:r>
          </w:p>
        </w:tc>
      </w:tr>
      <w:tr>
        <w:tc>
          <w:tcPr>
            <w:tcW w:type="dxa" w:w="2880"/>
          </w:tcPr>
          <w:p>
            <w:pPr>
              <w:spacing w:after="40" w:line="240" w:lineRule="auto"/>
            </w:pPr>
            <w:r>
              <w:rPr>
                <w:sz w:val="20"/>
              </w:rPr>
            </w:r>
            <w:r>
              <w:rPr>
                <w:sz w:val="20"/>
              </w:rPr>
              <w:t>Biomass</w:t>
            </w:r>
          </w:p>
        </w:tc>
        <w:tc>
          <w:tcPr>
            <w:tcW w:type="dxa" w:w="2880"/>
          </w:tcPr>
          <w:p>
            <w:pPr>
              <w:spacing w:after="40" w:line="240" w:lineRule="auto"/>
            </w:pPr>
            <w:r>
              <w:rPr>
                <w:sz w:val="20"/>
              </w:rPr>
            </w:r>
            <w:r>
              <w:rPr>
                <w:sz w:val="20"/>
              </w:rPr>
              <w:t>Crops</w:t>
            </w:r>
          </w:p>
        </w:tc>
        <w:tc>
          <w:tcPr>
            <w:tcW w:type="dxa" w:w="2880"/>
          </w:tcPr>
          <w:p>
            <w:pPr>
              <w:spacing w:after="40" w:line="240" w:lineRule="auto"/>
            </w:pPr>
            <w:r>
              <w:rPr>
                <w:sz w:val="20"/>
              </w:rPr>
            </w:r>
            <w:r>
              <w:rPr>
                <w:sz w:val="20"/>
              </w:rPr>
              <w:t>142</w:t>
            </w:r>
          </w:p>
        </w:tc>
      </w:tr>
      <w:tr>
        <w:tc>
          <w:tcPr>
            <w:tcW w:type="dxa" w:w="2880"/>
          </w:tcPr>
          <w:p>
            <w:pPr>
              <w:spacing w:after="40" w:line="240" w:lineRule="auto"/>
            </w:pPr>
            <w:r>
              <w:rPr>
                <w:sz w:val="20"/>
              </w:rPr>
            </w:r>
            <w:r>
              <w:rPr>
                <w:sz w:val="20"/>
              </w:rPr>
              <w:t>Biomass</w:t>
            </w:r>
          </w:p>
        </w:tc>
        <w:tc>
          <w:tcPr>
            <w:tcW w:type="dxa" w:w="2880"/>
          </w:tcPr>
          <w:p>
            <w:pPr>
              <w:spacing w:after="40" w:line="240" w:lineRule="auto"/>
            </w:pPr>
            <w:r>
              <w:rPr>
                <w:sz w:val="20"/>
              </w:rPr>
            </w:r>
            <w:r>
              <w:rPr>
                <w:sz w:val="20"/>
              </w:rPr>
              <w:t>Crop residues</w:t>
            </w:r>
          </w:p>
        </w:tc>
        <w:tc>
          <w:tcPr>
            <w:tcW w:type="dxa" w:w="2880"/>
          </w:tcPr>
          <w:p>
            <w:pPr>
              <w:spacing w:after="40" w:line="240" w:lineRule="auto"/>
            </w:pPr>
            <w:r>
              <w:rPr>
                <w:sz w:val="20"/>
              </w:rPr>
            </w:r>
            <w:r>
              <w:rPr>
                <w:sz w:val="20"/>
              </w:rPr>
              <w:t>89</w:t>
            </w:r>
          </w:p>
        </w:tc>
      </w:tr>
      <w:tr>
        <w:tc>
          <w:tcPr>
            <w:tcW w:type="dxa" w:w="2880"/>
          </w:tcPr>
          <w:p>
            <w:pPr>
              <w:spacing w:after="40" w:line="240" w:lineRule="auto"/>
            </w:pPr>
            <w:r>
              <w:rPr>
                <w:sz w:val="20"/>
              </w:rPr>
            </w:r>
            <w:r>
              <w:rPr>
                <w:sz w:val="20"/>
              </w:rPr>
              <w:t>Biomass</w:t>
            </w:r>
          </w:p>
        </w:tc>
        <w:tc>
          <w:tcPr>
            <w:tcW w:type="dxa" w:w="2880"/>
          </w:tcPr>
          <w:p>
            <w:pPr>
              <w:spacing w:after="40" w:line="240" w:lineRule="auto"/>
            </w:pPr>
            <w:r>
              <w:rPr>
                <w:sz w:val="20"/>
              </w:rPr>
            </w:r>
            <w:r>
              <w:rPr>
                <w:sz w:val="20"/>
              </w:rPr>
              <w:t>Grazed biomass</w:t>
            </w:r>
          </w:p>
        </w:tc>
        <w:tc>
          <w:tcPr>
            <w:tcW w:type="dxa" w:w="2880"/>
          </w:tcPr>
          <w:p>
            <w:pPr>
              <w:spacing w:after="40" w:line="240" w:lineRule="auto"/>
            </w:pPr>
            <w:r>
              <w:rPr>
                <w:sz w:val="20"/>
              </w:rPr>
            </w:r>
            <w:r>
              <w:rPr>
                <w:sz w:val="20"/>
              </w:rPr>
              <w:t>52</w:t>
            </w:r>
          </w:p>
        </w:tc>
      </w:tr>
      <w:tr>
        <w:tc>
          <w:tcPr>
            <w:tcW w:type="dxa" w:w="2880"/>
          </w:tcPr>
          <w:p>
            <w:pPr>
              <w:spacing w:after="40" w:line="240" w:lineRule="auto"/>
            </w:pPr>
            <w:r>
              <w:rPr>
                <w:sz w:val="20"/>
              </w:rPr>
            </w:r>
            <w:r>
              <w:rPr>
                <w:sz w:val="20"/>
              </w:rPr>
              <w:t>Biomass</w:t>
            </w:r>
          </w:p>
        </w:tc>
        <w:tc>
          <w:tcPr>
            <w:tcW w:type="dxa" w:w="2880"/>
          </w:tcPr>
          <w:p>
            <w:pPr>
              <w:spacing w:after="40" w:line="240" w:lineRule="auto"/>
            </w:pPr>
            <w:r>
              <w:rPr>
                <w:sz w:val="20"/>
              </w:rPr>
            </w:r>
            <w:r>
              <w:rPr>
                <w:sz w:val="20"/>
              </w:rPr>
              <w:t>Wood</w:t>
            </w:r>
          </w:p>
        </w:tc>
        <w:tc>
          <w:tcPr>
            <w:tcW w:type="dxa" w:w="2880"/>
          </w:tcPr>
          <w:p>
            <w:pPr>
              <w:spacing w:after="40" w:line="240" w:lineRule="auto"/>
            </w:pPr>
            <w:r>
              <w:rPr>
                <w:sz w:val="20"/>
              </w:rPr>
            </w:r>
            <w:r>
              <w:rPr>
                <w:sz w:val="20"/>
              </w:rPr>
              <w:t>31</w:t>
            </w:r>
          </w:p>
        </w:tc>
      </w:tr>
      <w:tr>
        <w:tc>
          <w:tcPr>
            <w:tcW w:type="dxa" w:w="2880"/>
          </w:tcPr>
          <w:p>
            <w:pPr>
              <w:spacing w:after="40" w:line="240" w:lineRule="auto"/>
            </w:pPr>
            <w:r>
              <w:rPr>
                <w:sz w:val="20"/>
              </w:rPr>
            </w:r>
            <w:r>
              <w:rPr>
                <w:sz w:val="20"/>
              </w:rPr>
              <w:t>Biomass</w:t>
            </w:r>
          </w:p>
        </w:tc>
        <w:tc>
          <w:tcPr>
            <w:tcW w:type="dxa" w:w="2880"/>
          </w:tcPr>
          <w:p>
            <w:pPr>
              <w:spacing w:after="40" w:line="240" w:lineRule="auto"/>
            </w:pPr>
            <w:r>
              <w:rPr>
                <w:sz w:val="20"/>
              </w:rPr>
            </w:r>
            <w:r>
              <w:rPr>
                <w:sz w:val="20"/>
              </w:rPr>
              <w:t>Fishery and aquatic products</w:t>
            </w:r>
          </w:p>
        </w:tc>
        <w:tc>
          <w:tcPr>
            <w:tcW w:type="dxa" w:w="2880"/>
          </w:tcPr>
          <w:p>
            <w:pPr>
              <w:spacing w:after="40" w:line="240" w:lineRule="auto"/>
            </w:pPr>
            <w:r>
              <w:rPr>
                <w:sz w:val="20"/>
              </w:rPr>
            </w:r>
            <w:r>
              <w:rPr>
                <w:sz w:val="20"/>
              </w:rPr>
              <w:t>14</w:t>
            </w:r>
          </w:p>
        </w:tc>
      </w:tr>
      <w:tr>
        <w:tc>
          <w:tcPr>
            <w:tcW w:type="dxa" w:w="2880"/>
          </w:tcPr>
          <w:p>
            <w:pPr>
              <w:spacing w:after="40" w:line="240" w:lineRule="auto"/>
            </w:pPr>
            <w:r>
              <w:rPr>
                <w:sz w:val="20"/>
              </w:rPr>
            </w:r>
            <w:r>
              <w:rPr>
                <w:sz w:val="20"/>
              </w:rPr>
              <w:t>Metal ores</w:t>
            </w:r>
          </w:p>
        </w:tc>
        <w:tc>
          <w:tcPr>
            <w:tcW w:type="dxa" w:w="2880"/>
          </w:tcPr>
          <w:p>
            <w:pPr>
              <w:spacing w:after="40" w:line="240" w:lineRule="auto"/>
            </w:pPr>
            <w:r>
              <w:rPr>
                <w:sz w:val="20"/>
              </w:rPr>
            </w:r>
            <w:r>
              <w:rPr>
                <w:sz w:val="20"/>
              </w:rPr>
              <w:t>Iron</w:t>
            </w:r>
          </w:p>
        </w:tc>
        <w:tc>
          <w:tcPr>
            <w:tcW w:type="dxa" w:w="2880"/>
          </w:tcPr>
          <w:p>
            <w:pPr>
              <w:spacing w:after="40" w:line="240" w:lineRule="auto"/>
            </w:pPr>
            <w:r>
              <w:rPr>
                <w:sz w:val="20"/>
              </w:rPr>
            </w:r>
            <w:r>
              <w:rPr>
                <w:sz w:val="20"/>
              </w:rPr>
              <w:t>3</w:t>
            </w:r>
          </w:p>
        </w:tc>
      </w:tr>
      <w:tr>
        <w:tc>
          <w:tcPr>
            <w:tcW w:type="dxa" w:w="2880"/>
          </w:tcPr>
          <w:p>
            <w:pPr>
              <w:spacing w:after="40" w:line="240" w:lineRule="auto"/>
            </w:pPr>
            <w:r>
              <w:rPr>
                <w:sz w:val="20"/>
              </w:rPr>
            </w:r>
            <w:r>
              <w:rPr>
                <w:sz w:val="20"/>
              </w:rPr>
              <w:t>Metal ores</w:t>
            </w:r>
          </w:p>
        </w:tc>
        <w:tc>
          <w:tcPr>
            <w:tcW w:type="dxa" w:w="2880"/>
          </w:tcPr>
          <w:p>
            <w:pPr>
              <w:spacing w:after="40" w:line="240" w:lineRule="auto"/>
            </w:pPr>
            <w:r>
              <w:rPr>
                <w:sz w:val="20"/>
              </w:rPr>
            </w:r>
            <w:r>
              <w:rPr>
                <w:sz w:val="20"/>
              </w:rPr>
              <w:t>Aluminium</w:t>
            </w:r>
          </w:p>
        </w:tc>
        <w:tc>
          <w:tcPr>
            <w:tcW w:type="dxa" w:w="2880"/>
          </w:tcPr>
          <w:p>
            <w:pPr>
              <w:spacing w:after="40" w:line="240" w:lineRule="auto"/>
            </w:pPr>
            <w:r>
              <w:rPr>
                <w:sz w:val="20"/>
              </w:rPr>
            </w:r>
            <w:r>
              <w:rPr>
                <w:sz w:val="20"/>
              </w:rPr>
              <w:t>2</w:t>
            </w:r>
          </w:p>
        </w:tc>
      </w:tr>
      <w:tr>
        <w:tc>
          <w:tcPr>
            <w:tcW w:type="dxa" w:w="2880"/>
          </w:tcPr>
          <w:p>
            <w:pPr>
              <w:spacing w:after="40" w:line="240" w:lineRule="auto"/>
            </w:pPr>
            <w:r>
              <w:rPr>
                <w:sz w:val="20"/>
              </w:rPr>
            </w:r>
            <w:r>
              <w:rPr>
                <w:sz w:val="20"/>
              </w:rPr>
              <w:t>Metal ores</w:t>
            </w:r>
          </w:p>
        </w:tc>
        <w:tc>
          <w:tcPr>
            <w:tcW w:type="dxa" w:w="2880"/>
          </w:tcPr>
          <w:p>
            <w:pPr>
              <w:spacing w:after="40" w:line="240" w:lineRule="auto"/>
            </w:pPr>
            <w:r>
              <w:rPr>
                <w:sz w:val="20"/>
              </w:rPr>
            </w:r>
            <w:r>
              <w:rPr>
                <w:sz w:val="20"/>
              </w:rPr>
              <w:t>Copper</w:t>
            </w:r>
          </w:p>
        </w:tc>
        <w:tc>
          <w:tcPr>
            <w:tcW w:type="dxa" w:w="2880"/>
          </w:tcPr>
          <w:p>
            <w:pPr>
              <w:spacing w:after="40" w:line="240" w:lineRule="auto"/>
            </w:pPr>
            <w:r>
              <w:rPr>
                <w:sz w:val="20"/>
              </w:rPr>
            </w:r>
            <w:r>
              <w:rPr>
                <w:sz w:val="20"/>
              </w:rPr>
              <w:t>2</w:t>
            </w:r>
          </w:p>
        </w:tc>
      </w:tr>
      <w:tr>
        <w:tc>
          <w:tcPr>
            <w:tcW w:type="dxa" w:w="2880"/>
          </w:tcPr>
          <w:p>
            <w:pPr>
              <w:spacing w:after="40" w:line="240" w:lineRule="auto"/>
            </w:pPr>
            <w:r>
              <w:rPr>
                <w:sz w:val="20"/>
              </w:rPr>
            </w:r>
            <w:r>
              <w:rPr>
                <w:sz w:val="20"/>
              </w:rPr>
              <w:t>Metal ores</w:t>
            </w:r>
          </w:p>
        </w:tc>
        <w:tc>
          <w:tcPr>
            <w:tcW w:type="dxa" w:w="2880"/>
          </w:tcPr>
          <w:p>
            <w:pPr>
              <w:spacing w:after="40" w:line="240" w:lineRule="auto"/>
            </w:pPr>
            <w:r>
              <w:rPr>
                <w:sz w:val="20"/>
              </w:rPr>
            </w:r>
            <w:r>
              <w:rPr>
                <w:sz w:val="20"/>
              </w:rPr>
              <w:t>Gold</w:t>
            </w:r>
          </w:p>
        </w:tc>
        <w:tc>
          <w:tcPr>
            <w:tcW w:type="dxa" w:w="2880"/>
          </w:tcPr>
          <w:p>
            <w:pPr>
              <w:spacing w:after="40" w:line="240" w:lineRule="auto"/>
            </w:pPr>
            <w:r>
              <w:rPr>
                <w:sz w:val="20"/>
              </w:rPr>
            </w:r>
            <w:r>
              <w:rPr>
                <w:sz w:val="20"/>
              </w:rPr>
              <w:t>2</w:t>
            </w:r>
          </w:p>
        </w:tc>
      </w:tr>
      <w:tr>
        <w:tc>
          <w:tcPr>
            <w:tcW w:type="dxa" w:w="2880"/>
          </w:tcPr>
          <w:p>
            <w:pPr>
              <w:spacing w:after="40" w:line="240" w:lineRule="auto"/>
            </w:pPr>
            <w:r>
              <w:rPr>
                <w:sz w:val="20"/>
              </w:rPr>
            </w:r>
            <w:r>
              <w:rPr>
                <w:sz w:val="20"/>
              </w:rPr>
              <w:t>Metal ores</w:t>
            </w:r>
          </w:p>
        </w:tc>
        <w:tc>
          <w:tcPr>
            <w:tcW w:type="dxa" w:w="2880"/>
          </w:tcPr>
          <w:p>
            <w:pPr>
              <w:spacing w:after="40" w:line="240" w:lineRule="auto"/>
            </w:pPr>
            <w:r>
              <w:rPr>
                <w:sz w:val="20"/>
              </w:rPr>
            </w:r>
            <w:r>
              <w:rPr>
                <w:sz w:val="20"/>
              </w:rPr>
              <w:t>Other metals</w:t>
            </w:r>
          </w:p>
        </w:tc>
        <w:tc>
          <w:tcPr>
            <w:tcW w:type="dxa" w:w="2880"/>
          </w:tcPr>
          <w:p>
            <w:pPr>
              <w:spacing w:after="40" w:line="240" w:lineRule="auto"/>
            </w:pPr>
            <w:r>
              <w:rPr>
                <w:sz w:val="20"/>
              </w:rPr>
            </w:r>
            <w:r>
              <w:rPr>
                <w:sz w:val="20"/>
              </w:rPr>
              <w:t>6</w:t>
            </w:r>
          </w:p>
        </w:tc>
      </w:tr>
      <w:tr>
        <w:tc>
          <w:tcPr>
            <w:tcW w:type="dxa" w:w="2880"/>
          </w:tcPr>
          <w:p>
            <w:pPr>
              <w:spacing w:after="40" w:line="240" w:lineRule="auto"/>
            </w:pPr>
            <w:r>
              <w:rPr>
                <w:sz w:val="20"/>
              </w:rPr>
            </w:r>
            <w:r>
              <w:rPr>
                <w:sz w:val="20"/>
              </w:rPr>
              <w:t>Non-metallic minerals</w:t>
            </w:r>
          </w:p>
        </w:tc>
        <w:tc>
          <w:tcPr>
            <w:tcW w:type="dxa" w:w="2880"/>
          </w:tcPr>
          <w:p>
            <w:pPr>
              <w:spacing w:after="40" w:line="240" w:lineRule="auto"/>
            </w:pPr>
            <w:r>
              <w:rPr>
                <w:sz w:val="20"/>
              </w:rPr>
            </w:r>
            <w:r>
              <w:rPr>
                <w:sz w:val="20"/>
              </w:rPr>
              <w:t>Construction minerals</w:t>
            </w:r>
          </w:p>
        </w:tc>
        <w:tc>
          <w:tcPr>
            <w:tcW w:type="dxa" w:w="2880"/>
          </w:tcPr>
          <w:p>
            <w:pPr>
              <w:spacing w:after="40" w:line="240" w:lineRule="auto"/>
            </w:pPr>
            <w:r>
              <w:rPr>
                <w:sz w:val="20"/>
              </w:rPr>
            </w:r>
            <w:r>
              <w:rPr>
                <w:sz w:val="20"/>
              </w:rPr>
              <w:t>8</w:t>
            </w:r>
          </w:p>
        </w:tc>
      </w:tr>
      <w:tr>
        <w:tc>
          <w:tcPr>
            <w:tcW w:type="dxa" w:w="2880"/>
          </w:tcPr>
          <w:p>
            <w:pPr>
              <w:spacing w:after="40" w:line="240" w:lineRule="auto"/>
            </w:pPr>
            <w:r>
              <w:rPr>
                <w:sz w:val="20"/>
              </w:rPr>
            </w:r>
            <w:r>
              <w:rPr>
                <w:sz w:val="20"/>
              </w:rPr>
              <w:t>Non-metallic minerals</w:t>
            </w:r>
          </w:p>
        </w:tc>
        <w:tc>
          <w:tcPr>
            <w:tcW w:type="dxa" w:w="2880"/>
          </w:tcPr>
          <w:p>
            <w:pPr>
              <w:spacing w:after="40" w:line="240" w:lineRule="auto"/>
            </w:pPr>
            <w:r>
              <w:rPr>
                <w:sz w:val="20"/>
              </w:rPr>
            </w:r>
            <w:r>
              <w:rPr>
                <w:sz w:val="20"/>
              </w:rPr>
              <w:t>Industrial minerals</w:t>
            </w:r>
          </w:p>
        </w:tc>
        <w:tc>
          <w:tcPr>
            <w:tcW w:type="dxa" w:w="2880"/>
          </w:tcPr>
          <w:p>
            <w:pPr>
              <w:spacing w:after="40" w:line="240" w:lineRule="auto"/>
            </w:pPr>
            <w:r>
              <w:rPr>
                <w:sz w:val="20"/>
              </w:rPr>
            </w:r>
            <w:r>
              <w:rPr>
                <w:sz w:val="20"/>
              </w:rPr>
              <w:t>6</w:t>
            </w:r>
          </w:p>
        </w:tc>
      </w:tr>
      <w:tr>
        <w:tc>
          <w:tcPr>
            <w:tcW w:type="dxa" w:w="2880"/>
          </w:tcPr>
          <w:p>
            <w:pPr>
              <w:spacing w:after="40" w:line="240" w:lineRule="auto"/>
            </w:pPr>
            <w:r>
              <w:rPr>
                <w:sz w:val="20"/>
              </w:rPr>
            </w:r>
            <w:r>
              <w:rPr>
                <w:sz w:val="20"/>
              </w:rPr>
              <w:t>Fossil fuels</w:t>
            </w:r>
          </w:p>
        </w:tc>
        <w:tc>
          <w:tcPr>
            <w:tcW w:type="dxa" w:w="2880"/>
          </w:tcPr>
          <w:p>
            <w:pPr>
              <w:spacing w:after="40" w:line="240" w:lineRule="auto"/>
            </w:pPr>
            <w:r>
              <w:rPr>
                <w:sz w:val="20"/>
              </w:rPr>
            </w:r>
            <w:r>
              <w:rPr>
                <w:sz w:val="20"/>
              </w:rPr>
              <w:t>Coal</w:t>
            </w:r>
          </w:p>
        </w:tc>
        <w:tc>
          <w:tcPr>
            <w:tcW w:type="dxa" w:w="2880"/>
          </w:tcPr>
          <w:p>
            <w:pPr>
              <w:spacing w:after="40" w:line="240" w:lineRule="auto"/>
            </w:pPr>
            <w:r>
              <w:rPr>
                <w:sz w:val="20"/>
              </w:rPr>
            </w:r>
            <w:r>
              <w:rPr>
                <w:sz w:val="20"/>
              </w:rPr>
              <w:t>3</w:t>
            </w:r>
          </w:p>
        </w:tc>
      </w:tr>
      <w:tr>
        <w:tc>
          <w:tcPr>
            <w:tcW w:type="dxa" w:w="2880"/>
          </w:tcPr>
          <w:p>
            <w:pPr>
              <w:spacing w:after="40" w:line="240" w:lineRule="auto"/>
            </w:pPr>
            <w:r>
              <w:rPr>
                <w:sz w:val="20"/>
              </w:rPr>
            </w:r>
            <w:r>
              <w:rPr>
                <w:sz w:val="20"/>
              </w:rPr>
              <w:t>Fossil fuels</w:t>
            </w:r>
          </w:p>
        </w:tc>
        <w:tc>
          <w:tcPr>
            <w:tcW w:type="dxa" w:w="2880"/>
          </w:tcPr>
          <w:p>
            <w:pPr>
              <w:spacing w:after="40" w:line="240" w:lineRule="auto"/>
            </w:pPr>
            <w:r>
              <w:rPr>
                <w:sz w:val="20"/>
              </w:rPr>
            </w:r>
            <w:r>
              <w:rPr>
                <w:sz w:val="20"/>
              </w:rPr>
              <w:t>Oil</w:t>
            </w:r>
          </w:p>
        </w:tc>
        <w:tc>
          <w:tcPr>
            <w:tcW w:type="dxa" w:w="2880"/>
          </w:tcPr>
          <w:p>
            <w:pPr>
              <w:spacing w:after="40" w:line="240" w:lineRule="auto"/>
            </w:pPr>
            <w:r>
              <w:rPr>
                <w:sz w:val="20"/>
              </w:rPr>
            </w:r>
            <w:r>
              <w:rPr>
                <w:sz w:val="20"/>
              </w:rPr>
              <w:t>3</w:t>
            </w:r>
          </w:p>
        </w:tc>
      </w:tr>
      <w:tr>
        <w:tc>
          <w:tcPr>
            <w:tcW w:type="dxa" w:w="2880"/>
          </w:tcPr>
          <w:p>
            <w:pPr>
              <w:spacing w:after="40" w:line="240" w:lineRule="auto"/>
            </w:pPr>
            <w:r>
              <w:rPr>
                <w:sz w:val="20"/>
              </w:rPr>
            </w:r>
            <w:r>
              <w:rPr>
                <w:sz w:val="20"/>
              </w:rPr>
              <w:t>Fossil fuels</w:t>
            </w:r>
          </w:p>
        </w:tc>
        <w:tc>
          <w:tcPr>
            <w:tcW w:type="dxa" w:w="2880"/>
          </w:tcPr>
          <w:p>
            <w:pPr>
              <w:spacing w:after="40" w:line="240" w:lineRule="auto"/>
            </w:pPr>
            <w:r>
              <w:rPr>
                <w:sz w:val="20"/>
              </w:rPr>
            </w:r>
            <w:r>
              <w:rPr>
                <w:sz w:val="20"/>
              </w:rPr>
              <w:t>Gas and peat</w:t>
            </w:r>
          </w:p>
        </w:tc>
        <w:tc>
          <w:tcPr>
            <w:tcW w:type="dxa" w:w="2880"/>
          </w:tcPr>
          <w:p>
            <w:pPr>
              <w:spacing w:after="40" w:line="240" w:lineRule="auto"/>
            </w:pPr>
            <w:r>
              <w:rPr>
                <w:sz w:val="20"/>
              </w:rPr>
            </w:r>
            <w:r>
              <w:rPr>
                <w:sz w:val="20"/>
              </w:rPr>
              <w:t>4</w:t>
            </w:r>
          </w:p>
        </w:tc>
      </w:tr>
      <w:tr>
        <w:tc>
          <w:tcPr>
            <w:tcW w:type="dxa" w:w="2880"/>
          </w:tcPr>
          <w:p>
            <w:pPr>
              <w:spacing w:after="40" w:line="240" w:lineRule="auto"/>
            </w:pPr>
            <w:r>
              <w:rPr>
                <w:sz w:val="20"/>
              </w:rPr>
            </w:r>
            <w:r>
              <w:rPr>
                <w:b/>
                <w:i w:val="0"/>
                <w:sz w:val="20"/>
              </w:rPr>
              <w:t>Total</w:t>
            </w:r>
          </w:p>
        </w:tc>
        <w:tc>
          <w:tcPr>
            <w:tcW w:type="dxa" w:w="2880"/>
          </w:tcPr>
          <w:p>
            <w:pPr>
              <w:spacing w:after="40" w:line="240" w:lineRule="auto"/>
            </w:pPr>
            <w:r>
              <w:rPr>
                <w:sz w:val="20"/>
              </w:rPr>
            </w:r>
          </w:p>
        </w:tc>
        <w:tc>
          <w:tcPr>
            <w:tcW w:type="dxa" w:w="2880"/>
          </w:tcPr>
          <w:p>
            <w:pPr>
              <w:spacing w:after="40" w:line="240" w:lineRule="auto"/>
            </w:pPr>
            <w:r>
              <w:rPr>
                <w:sz w:val="20"/>
              </w:rPr>
            </w:r>
            <w:r>
              <w:rPr>
                <w:b/>
                <w:i w:val="0"/>
                <w:sz w:val="20"/>
              </w:rPr>
              <w:t>367</w:t>
            </w:r>
          </w:p>
        </w:tc>
      </w:tr>
    </w:tbl>
    <w:p>
      <w:pPr>
        <w:pStyle w:val="Heading2"/>
      </w:pPr>
      <w:r>
        <w:t>Table S2. Rank selection diagnostics</w:t>
      </w:r>
    </w:p>
    <w:p>
      <w:r>
        <w:t xml:space="preserve">NTF rank selection diagnostics for </w:t>
      </w:r>
      <w:r>
        <w:rPr>
          <w:b w:val="0"/>
          <w:i/>
        </w:rPr>
        <w:t>K</w:t>
      </w:r>
      <w:r>
        <w:t xml:space="preserve"> = 2 to </w:t>
      </w:r>
      <w:r>
        <w:rPr>
          <w:b w:val="0"/>
          <w:i/>
        </w:rPr>
        <w:t>K</w:t>
      </w:r>
      <w:r>
        <w:t xml:space="preserve"> = 10, all screened under identical settings (three random initialisations per rank, 500 iterations, lowest-error solution retained) so that the values are directly comparable across ranks. For each rank: relative reconstruction error, variance explained (</w:t>
      </w:r>
      <w:r>
        <w:rPr>
          <w:b w:val="0"/>
          <w:i/>
        </w:rPr>
        <w:t>R</w:t>
      </w:r>
      <w:r>
        <w:t xml:space="preserve">²), marginal </w:t>
      </w:r>
      <w:r>
        <w:rPr>
          <w:b w:val="0"/>
          <w:i/>
        </w:rPr>
        <w:t>R</w:t>
      </w:r>
      <w:r>
        <w:t xml:space="preserve">² gain relative to </w:t>
      </w:r>
      <w:r>
        <w:rPr>
          <w:b w:val="0"/>
          <w:i/>
        </w:rPr>
        <w:t>K</w:t>
      </w:r>
      <w:r>
        <w:t xml:space="preserve"> − 1, and sparsity (proportion of loadings below 10⁻⁶).</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after="40" w:line="240" w:lineRule="auto"/>
            </w:pPr>
            <w:r>
              <w:rPr>
                <w:b/>
                <w:sz w:val="20"/>
              </w:rPr>
            </w:r>
            <w:r>
              <w:rPr>
                <w:b/>
                <w:i/>
                <w:sz w:val="20"/>
              </w:rPr>
              <w:t>K</w:t>
            </w:r>
          </w:p>
        </w:tc>
        <w:tc>
          <w:tcPr>
            <w:tcW w:type="dxa" w:w="1728"/>
          </w:tcPr>
          <w:p>
            <w:pPr>
              <w:spacing w:after="40" w:line="240" w:lineRule="auto"/>
            </w:pPr>
            <w:r>
              <w:rPr>
                <w:b/>
                <w:sz w:val="20"/>
              </w:rPr>
            </w:r>
            <w:r>
              <w:rPr>
                <w:b/>
                <w:sz w:val="20"/>
              </w:rPr>
              <w:t>Relative error</w:t>
            </w:r>
          </w:p>
        </w:tc>
        <w:tc>
          <w:tcPr>
            <w:tcW w:type="dxa" w:w="1728"/>
          </w:tcPr>
          <w:p>
            <w:pPr>
              <w:spacing w:after="40" w:line="240" w:lineRule="auto"/>
            </w:pPr>
            <w:r>
              <w:rPr>
                <w:b/>
                <w:sz w:val="20"/>
              </w:rPr>
            </w:r>
            <w:r>
              <w:rPr>
                <w:b/>
                <w:i/>
                <w:sz w:val="20"/>
              </w:rPr>
              <w:t>R</w:t>
            </w:r>
            <w:r>
              <w:rPr>
                <w:b/>
                <w:sz w:val="20"/>
              </w:rPr>
              <w:t>²</w:t>
            </w:r>
          </w:p>
        </w:tc>
        <w:tc>
          <w:tcPr>
            <w:tcW w:type="dxa" w:w="1728"/>
          </w:tcPr>
          <w:p>
            <w:pPr>
              <w:spacing w:after="40" w:line="240" w:lineRule="auto"/>
            </w:pPr>
            <w:r>
              <w:rPr>
                <w:b/>
                <w:sz w:val="20"/>
              </w:rPr>
            </w:r>
            <w:r>
              <w:rPr>
                <w:b/>
                <w:sz w:val="20"/>
              </w:rPr>
              <w:t xml:space="preserve">Marginal </w:t>
            </w:r>
            <w:r>
              <w:rPr>
                <w:b/>
                <w:i/>
                <w:sz w:val="20"/>
              </w:rPr>
              <w:t>R</w:t>
            </w:r>
            <w:r>
              <w:rPr>
                <w:b/>
                <w:sz w:val="20"/>
              </w:rPr>
              <w:t>² gain</w:t>
            </w:r>
          </w:p>
        </w:tc>
        <w:tc>
          <w:tcPr>
            <w:tcW w:type="dxa" w:w="1728"/>
          </w:tcPr>
          <w:p>
            <w:pPr>
              <w:spacing w:after="40" w:line="240" w:lineRule="auto"/>
            </w:pPr>
            <w:r>
              <w:rPr>
                <w:b/>
                <w:sz w:val="20"/>
              </w:rPr>
            </w:r>
            <w:r>
              <w:rPr>
                <w:b/>
                <w:sz w:val="20"/>
              </w:rPr>
              <w:t>Sparsity</w:t>
            </w:r>
          </w:p>
        </w:tc>
      </w:tr>
      <w:tr>
        <w:tc>
          <w:tcPr>
            <w:tcW w:type="dxa" w:w="1728"/>
          </w:tcPr>
          <w:p>
            <w:pPr>
              <w:spacing w:after="40" w:line="240" w:lineRule="auto"/>
            </w:pPr>
            <w:r>
              <w:rPr>
                <w:sz w:val="20"/>
              </w:rPr>
            </w:r>
            <w:r>
              <w:rPr>
                <w:sz w:val="20"/>
              </w:rPr>
              <w:t>2</w:t>
            </w:r>
          </w:p>
        </w:tc>
        <w:tc>
          <w:tcPr>
            <w:tcW w:type="dxa" w:w="1728"/>
          </w:tcPr>
          <w:p>
            <w:pPr>
              <w:spacing w:after="40" w:line="240" w:lineRule="auto"/>
            </w:pPr>
            <w:r>
              <w:rPr>
                <w:sz w:val="20"/>
              </w:rPr>
            </w:r>
            <w:r>
              <w:rPr>
                <w:sz w:val="20"/>
              </w:rPr>
              <w:t>0.723</w:t>
            </w:r>
          </w:p>
        </w:tc>
        <w:tc>
          <w:tcPr>
            <w:tcW w:type="dxa" w:w="1728"/>
          </w:tcPr>
          <w:p>
            <w:pPr>
              <w:spacing w:after="40" w:line="240" w:lineRule="auto"/>
            </w:pPr>
            <w:r>
              <w:rPr>
                <w:sz w:val="20"/>
              </w:rPr>
            </w:r>
            <w:r>
              <w:rPr>
                <w:sz w:val="20"/>
              </w:rPr>
              <w:t>0.467</w:t>
            </w:r>
          </w:p>
        </w:tc>
        <w:tc>
          <w:tcPr>
            <w:tcW w:type="dxa" w:w="1728"/>
          </w:tcPr>
          <w:p>
            <w:pPr>
              <w:spacing w:after="40" w:line="240" w:lineRule="auto"/>
            </w:pPr>
            <w:r>
              <w:rPr>
                <w:sz w:val="20"/>
              </w:rPr>
            </w:r>
            <w:r>
              <w:rPr>
                <w:sz w:val="20"/>
              </w:rPr>
              <w:t>—</w:t>
            </w:r>
          </w:p>
        </w:tc>
        <w:tc>
          <w:tcPr>
            <w:tcW w:type="dxa" w:w="1728"/>
          </w:tcPr>
          <w:p>
            <w:pPr>
              <w:spacing w:after="40" w:line="240" w:lineRule="auto"/>
            </w:pPr>
            <w:r>
              <w:rPr>
                <w:sz w:val="20"/>
              </w:rPr>
            </w:r>
            <w:r>
              <w:rPr>
                <w:sz w:val="20"/>
              </w:rPr>
              <w:t>0.394</w:t>
            </w:r>
          </w:p>
        </w:tc>
      </w:tr>
      <w:tr>
        <w:tc>
          <w:tcPr>
            <w:tcW w:type="dxa" w:w="1728"/>
          </w:tcPr>
          <w:p>
            <w:pPr>
              <w:spacing w:after="40" w:line="240" w:lineRule="auto"/>
            </w:pPr>
            <w:r>
              <w:rPr>
                <w:sz w:val="20"/>
              </w:rPr>
            </w:r>
            <w:r>
              <w:rPr>
                <w:sz w:val="20"/>
              </w:rPr>
              <w:t>3</w:t>
            </w:r>
          </w:p>
        </w:tc>
        <w:tc>
          <w:tcPr>
            <w:tcW w:type="dxa" w:w="1728"/>
          </w:tcPr>
          <w:p>
            <w:pPr>
              <w:spacing w:after="40" w:line="240" w:lineRule="auto"/>
            </w:pPr>
            <w:r>
              <w:rPr>
                <w:sz w:val="20"/>
              </w:rPr>
            </w:r>
            <w:r>
              <w:rPr>
                <w:sz w:val="20"/>
              </w:rPr>
              <w:t>0.613</w:t>
            </w:r>
          </w:p>
        </w:tc>
        <w:tc>
          <w:tcPr>
            <w:tcW w:type="dxa" w:w="1728"/>
          </w:tcPr>
          <w:p>
            <w:pPr>
              <w:spacing w:after="40" w:line="240" w:lineRule="auto"/>
            </w:pPr>
            <w:r>
              <w:rPr>
                <w:sz w:val="20"/>
              </w:rPr>
            </w:r>
            <w:r>
              <w:rPr>
                <w:sz w:val="20"/>
              </w:rPr>
              <w:t>0.618</w:t>
            </w:r>
          </w:p>
        </w:tc>
        <w:tc>
          <w:tcPr>
            <w:tcW w:type="dxa" w:w="1728"/>
          </w:tcPr>
          <w:p>
            <w:pPr>
              <w:spacing w:after="40" w:line="240" w:lineRule="auto"/>
            </w:pPr>
            <w:r>
              <w:rPr>
                <w:sz w:val="20"/>
              </w:rPr>
            </w:r>
            <w:r>
              <w:rPr>
                <w:sz w:val="20"/>
              </w:rPr>
              <w:t>0.151</w:t>
            </w:r>
          </w:p>
        </w:tc>
        <w:tc>
          <w:tcPr>
            <w:tcW w:type="dxa" w:w="1728"/>
          </w:tcPr>
          <w:p>
            <w:pPr>
              <w:spacing w:after="40" w:line="240" w:lineRule="auto"/>
            </w:pPr>
            <w:r>
              <w:rPr>
                <w:sz w:val="20"/>
              </w:rPr>
            </w:r>
            <w:r>
              <w:rPr>
                <w:sz w:val="20"/>
              </w:rPr>
              <w:t>0.383</w:t>
            </w:r>
          </w:p>
        </w:tc>
      </w:tr>
      <w:tr>
        <w:tc>
          <w:tcPr>
            <w:tcW w:type="dxa" w:w="1728"/>
          </w:tcPr>
          <w:p>
            <w:pPr>
              <w:spacing w:after="40" w:line="240" w:lineRule="auto"/>
            </w:pPr>
            <w:r>
              <w:rPr>
                <w:sz w:val="20"/>
              </w:rPr>
            </w:r>
            <w:r>
              <w:rPr>
                <w:sz w:val="20"/>
              </w:rPr>
              <w:t>4</w:t>
            </w:r>
          </w:p>
        </w:tc>
        <w:tc>
          <w:tcPr>
            <w:tcW w:type="dxa" w:w="1728"/>
          </w:tcPr>
          <w:p>
            <w:pPr>
              <w:spacing w:after="40" w:line="240" w:lineRule="auto"/>
            </w:pPr>
            <w:r>
              <w:rPr>
                <w:sz w:val="20"/>
              </w:rPr>
            </w:r>
            <w:r>
              <w:rPr>
                <w:sz w:val="20"/>
              </w:rPr>
              <w:t>0.556</w:t>
            </w:r>
          </w:p>
        </w:tc>
        <w:tc>
          <w:tcPr>
            <w:tcW w:type="dxa" w:w="1728"/>
          </w:tcPr>
          <w:p>
            <w:pPr>
              <w:spacing w:after="40" w:line="240" w:lineRule="auto"/>
            </w:pPr>
            <w:r>
              <w:rPr>
                <w:sz w:val="20"/>
              </w:rPr>
            </w:r>
            <w:r>
              <w:rPr>
                <w:sz w:val="20"/>
              </w:rPr>
              <w:t>0.685</w:t>
            </w:r>
          </w:p>
        </w:tc>
        <w:tc>
          <w:tcPr>
            <w:tcW w:type="dxa" w:w="1728"/>
          </w:tcPr>
          <w:p>
            <w:pPr>
              <w:spacing w:after="40" w:line="240" w:lineRule="auto"/>
            </w:pPr>
            <w:r>
              <w:rPr>
                <w:sz w:val="20"/>
              </w:rPr>
            </w:r>
            <w:r>
              <w:rPr>
                <w:sz w:val="20"/>
              </w:rPr>
              <w:t>0.068</w:t>
            </w:r>
          </w:p>
        </w:tc>
        <w:tc>
          <w:tcPr>
            <w:tcW w:type="dxa" w:w="1728"/>
          </w:tcPr>
          <w:p>
            <w:pPr>
              <w:spacing w:after="40" w:line="240" w:lineRule="auto"/>
            </w:pPr>
            <w:r>
              <w:rPr>
                <w:sz w:val="20"/>
              </w:rPr>
            </w:r>
            <w:r>
              <w:rPr>
                <w:sz w:val="20"/>
              </w:rPr>
              <w:t>0.430</w:t>
            </w:r>
          </w:p>
        </w:tc>
      </w:tr>
      <w:tr>
        <w:tc>
          <w:tcPr>
            <w:tcW w:type="dxa" w:w="1728"/>
          </w:tcPr>
          <w:p>
            <w:pPr>
              <w:spacing w:after="40" w:line="240" w:lineRule="auto"/>
            </w:pPr>
            <w:r>
              <w:rPr>
                <w:sz w:val="20"/>
              </w:rPr>
            </w:r>
            <w:r>
              <w:rPr>
                <w:sz w:val="20"/>
              </w:rPr>
              <w:t>5</w:t>
            </w:r>
          </w:p>
        </w:tc>
        <w:tc>
          <w:tcPr>
            <w:tcW w:type="dxa" w:w="1728"/>
          </w:tcPr>
          <w:p>
            <w:pPr>
              <w:spacing w:after="40" w:line="240" w:lineRule="auto"/>
            </w:pPr>
            <w:r>
              <w:rPr>
                <w:sz w:val="20"/>
              </w:rPr>
            </w:r>
            <w:r>
              <w:rPr>
                <w:sz w:val="20"/>
              </w:rPr>
              <w:t>0.537</w:t>
            </w:r>
          </w:p>
        </w:tc>
        <w:tc>
          <w:tcPr>
            <w:tcW w:type="dxa" w:w="1728"/>
          </w:tcPr>
          <w:p>
            <w:pPr>
              <w:spacing w:after="40" w:line="240" w:lineRule="auto"/>
            </w:pPr>
            <w:r>
              <w:rPr>
                <w:sz w:val="20"/>
              </w:rPr>
            </w:r>
            <w:r>
              <w:rPr>
                <w:sz w:val="20"/>
              </w:rPr>
              <w:t>0.707</w:t>
            </w:r>
          </w:p>
        </w:tc>
        <w:tc>
          <w:tcPr>
            <w:tcW w:type="dxa" w:w="1728"/>
          </w:tcPr>
          <w:p>
            <w:pPr>
              <w:spacing w:after="40" w:line="240" w:lineRule="auto"/>
            </w:pPr>
            <w:r>
              <w:rPr>
                <w:sz w:val="20"/>
              </w:rPr>
            </w:r>
            <w:r>
              <w:rPr>
                <w:sz w:val="20"/>
              </w:rPr>
              <w:t>0.021</w:t>
            </w:r>
          </w:p>
        </w:tc>
        <w:tc>
          <w:tcPr>
            <w:tcW w:type="dxa" w:w="1728"/>
          </w:tcPr>
          <w:p>
            <w:pPr>
              <w:spacing w:after="40" w:line="240" w:lineRule="auto"/>
            </w:pPr>
            <w:r>
              <w:rPr>
                <w:sz w:val="20"/>
              </w:rPr>
            </w:r>
            <w:r>
              <w:rPr>
                <w:sz w:val="20"/>
              </w:rPr>
              <w:t>0.449</w:t>
            </w:r>
          </w:p>
        </w:tc>
      </w:tr>
      <w:tr>
        <w:tc>
          <w:tcPr>
            <w:tcW w:type="dxa" w:w="1728"/>
          </w:tcPr>
          <w:p>
            <w:pPr>
              <w:spacing w:after="40" w:line="240" w:lineRule="auto"/>
            </w:pPr>
            <w:r>
              <w:rPr>
                <w:sz w:val="20"/>
              </w:rPr>
            </w:r>
            <w:r>
              <w:rPr>
                <w:sz w:val="20"/>
              </w:rPr>
              <w:t>6</w:t>
            </w:r>
          </w:p>
        </w:tc>
        <w:tc>
          <w:tcPr>
            <w:tcW w:type="dxa" w:w="1728"/>
          </w:tcPr>
          <w:p>
            <w:pPr>
              <w:spacing w:after="40" w:line="240" w:lineRule="auto"/>
            </w:pPr>
            <w:r>
              <w:rPr>
                <w:sz w:val="20"/>
              </w:rPr>
            </w:r>
            <w:r>
              <w:rPr>
                <w:sz w:val="20"/>
              </w:rPr>
              <w:t>0.502</w:t>
            </w:r>
          </w:p>
        </w:tc>
        <w:tc>
          <w:tcPr>
            <w:tcW w:type="dxa" w:w="1728"/>
          </w:tcPr>
          <w:p>
            <w:pPr>
              <w:spacing w:after="40" w:line="240" w:lineRule="auto"/>
            </w:pPr>
            <w:r>
              <w:rPr>
                <w:sz w:val="20"/>
              </w:rPr>
            </w:r>
            <w:r>
              <w:rPr>
                <w:sz w:val="20"/>
              </w:rPr>
              <w:t>0.744</w:t>
            </w:r>
          </w:p>
        </w:tc>
        <w:tc>
          <w:tcPr>
            <w:tcW w:type="dxa" w:w="1728"/>
          </w:tcPr>
          <w:p>
            <w:pPr>
              <w:spacing w:after="40" w:line="240" w:lineRule="auto"/>
            </w:pPr>
            <w:r>
              <w:rPr>
                <w:sz w:val="20"/>
              </w:rPr>
            </w:r>
            <w:r>
              <w:rPr>
                <w:sz w:val="20"/>
              </w:rPr>
              <w:t>0.037</w:t>
            </w:r>
          </w:p>
        </w:tc>
        <w:tc>
          <w:tcPr>
            <w:tcW w:type="dxa" w:w="1728"/>
          </w:tcPr>
          <w:p>
            <w:pPr>
              <w:spacing w:after="40" w:line="240" w:lineRule="auto"/>
            </w:pPr>
            <w:r>
              <w:rPr>
                <w:sz w:val="20"/>
              </w:rPr>
            </w:r>
            <w:r>
              <w:rPr>
                <w:sz w:val="20"/>
              </w:rPr>
              <w:t>0.452</w:t>
            </w:r>
          </w:p>
        </w:tc>
      </w:tr>
      <w:tr>
        <w:tc>
          <w:tcPr>
            <w:tcW w:type="dxa" w:w="1728"/>
          </w:tcPr>
          <w:p>
            <w:pPr>
              <w:spacing w:after="40" w:line="240" w:lineRule="auto"/>
            </w:pPr>
            <w:r>
              <w:rPr>
                <w:sz w:val="20"/>
              </w:rPr>
            </w:r>
            <w:r>
              <w:rPr>
                <w:sz w:val="20"/>
              </w:rPr>
              <w:t>7</w:t>
            </w:r>
          </w:p>
        </w:tc>
        <w:tc>
          <w:tcPr>
            <w:tcW w:type="dxa" w:w="1728"/>
          </w:tcPr>
          <w:p>
            <w:pPr>
              <w:spacing w:after="40" w:line="240" w:lineRule="auto"/>
            </w:pPr>
            <w:r>
              <w:rPr>
                <w:sz w:val="20"/>
              </w:rPr>
            </w:r>
            <w:r>
              <w:rPr>
                <w:sz w:val="20"/>
              </w:rPr>
              <w:t>0.469</w:t>
            </w:r>
          </w:p>
        </w:tc>
        <w:tc>
          <w:tcPr>
            <w:tcW w:type="dxa" w:w="1728"/>
          </w:tcPr>
          <w:p>
            <w:pPr>
              <w:spacing w:after="40" w:line="240" w:lineRule="auto"/>
            </w:pPr>
            <w:r>
              <w:rPr>
                <w:sz w:val="20"/>
              </w:rPr>
            </w:r>
            <w:r>
              <w:rPr>
                <w:sz w:val="20"/>
              </w:rPr>
              <w:t>0.776</w:t>
            </w:r>
          </w:p>
        </w:tc>
        <w:tc>
          <w:tcPr>
            <w:tcW w:type="dxa" w:w="1728"/>
          </w:tcPr>
          <w:p>
            <w:pPr>
              <w:spacing w:after="40" w:line="240" w:lineRule="auto"/>
            </w:pPr>
            <w:r>
              <w:rPr>
                <w:sz w:val="20"/>
              </w:rPr>
            </w:r>
            <w:r>
              <w:rPr>
                <w:sz w:val="20"/>
              </w:rPr>
              <w:t>0.032</w:t>
            </w:r>
          </w:p>
        </w:tc>
        <w:tc>
          <w:tcPr>
            <w:tcW w:type="dxa" w:w="1728"/>
          </w:tcPr>
          <w:p>
            <w:pPr>
              <w:spacing w:after="40" w:line="240" w:lineRule="auto"/>
            </w:pPr>
            <w:r>
              <w:rPr>
                <w:sz w:val="20"/>
              </w:rPr>
            </w:r>
            <w:r>
              <w:rPr>
                <w:sz w:val="20"/>
              </w:rPr>
              <w:t>0.447</w:t>
            </w:r>
          </w:p>
        </w:tc>
      </w:tr>
      <w:tr>
        <w:tc>
          <w:tcPr>
            <w:tcW w:type="dxa" w:w="1728"/>
          </w:tcPr>
          <w:p>
            <w:pPr>
              <w:spacing w:after="40" w:line="240" w:lineRule="auto"/>
            </w:pPr>
            <w:r>
              <w:rPr>
                <w:sz w:val="20"/>
              </w:rPr>
            </w:r>
            <w:r>
              <w:rPr>
                <w:sz w:val="20"/>
              </w:rPr>
              <w:t>8</w:t>
            </w:r>
          </w:p>
        </w:tc>
        <w:tc>
          <w:tcPr>
            <w:tcW w:type="dxa" w:w="1728"/>
          </w:tcPr>
          <w:p>
            <w:pPr>
              <w:spacing w:after="40" w:line="240" w:lineRule="auto"/>
            </w:pPr>
            <w:r>
              <w:rPr>
                <w:sz w:val="20"/>
              </w:rPr>
            </w:r>
            <w:r>
              <w:rPr>
                <w:sz w:val="20"/>
              </w:rPr>
              <w:t>0.458</w:t>
            </w:r>
          </w:p>
        </w:tc>
        <w:tc>
          <w:tcPr>
            <w:tcW w:type="dxa" w:w="1728"/>
          </w:tcPr>
          <w:p>
            <w:pPr>
              <w:spacing w:after="40" w:line="240" w:lineRule="auto"/>
            </w:pPr>
            <w:r>
              <w:rPr>
                <w:sz w:val="20"/>
              </w:rPr>
            </w:r>
            <w:r>
              <w:rPr>
                <w:sz w:val="20"/>
              </w:rPr>
              <w:t>0.787</w:t>
            </w:r>
          </w:p>
        </w:tc>
        <w:tc>
          <w:tcPr>
            <w:tcW w:type="dxa" w:w="1728"/>
          </w:tcPr>
          <w:p>
            <w:pPr>
              <w:spacing w:after="40" w:line="240" w:lineRule="auto"/>
            </w:pPr>
            <w:r>
              <w:rPr>
                <w:sz w:val="20"/>
              </w:rPr>
            </w:r>
            <w:r>
              <w:rPr>
                <w:sz w:val="20"/>
              </w:rPr>
              <w:t>0.011</w:t>
            </w:r>
          </w:p>
        </w:tc>
        <w:tc>
          <w:tcPr>
            <w:tcW w:type="dxa" w:w="1728"/>
          </w:tcPr>
          <w:p>
            <w:pPr>
              <w:spacing w:after="40" w:line="240" w:lineRule="auto"/>
            </w:pPr>
            <w:r>
              <w:rPr>
                <w:sz w:val="20"/>
              </w:rPr>
            </w:r>
            <w:r>
              <w:rPr>
                <w:sz w:val="20"/>
              </w:rPr>
              <w:t>0.457</w:t>
            </w:r>
          </w:p>
        </w:tc>
      </w:tr>
      <w:tr>
        <w:tc>
          <w:tcPr>
            <w:tcW w:type="dxa" w:w="1728"/>
          </w:tcPr>
          <w:p>
            <w:pPr>
              <w:spacing w:after="40" w:line="240" w:lineRule="auto"/>
            </w:pPr>
            <w:r>
              <w:rPr>
                <w:sz w:val="20"/>
              </w:rPr>
            </w:r>
            <w:r>
              <w:rPr>
                <w:sz w:val="20"/>
              </w:rPr>
              <w:t>9</w:t>
            </w:r>
          </w:p>
        </w:tc>
        <w:tc>
          <w:tcPr>
            <w:tcW w:type="dxa" w:w="1728"/>
          </w:tcPr>
          <w:p>
            <w:pPr>
              <w:spacing w:after="40" w:line="240" w:lineRule="auto"/>
            </w:pPr>
            <w:r>
              <w:rPr>
                <w:sz w:val="20"/>
              </w:rPr>
            </w:r>
            <w:r>
              <w:rPr>
                <w:sz w:val="20"/>
              </w:rPr>
              <w:t>0.438</w:t>
            </w:r>
          </w:p>
        </w:tc>
        <w:tc>
          <w:tcPr>
            <w:tcW w:type="dxa" w:w="1728"/>
          </w:tcPr>
          <w:p>
            <w:pPr>
              <w:spacing w:after="40" w:line="240" w:lineRule="auto"/>
            </w:pPr>
            <w:r>
              <w:rPr>
                <w:sz w:val="20"/>
              </w:rPr>
            </w:r>
            <w:r>
              <w:rPr>
                <w:sz w:val="20"/>
              </w:rPr>
              <w:t>0.805</w:t>
            </w:r>
          </w:p>
        </w:tc>
        <w:tc>
          <w:tcPr>
            <w:tcW w:type="dxa" w:w="1728"/>
          </w:tcPr>
          <w:p>
            <w:pPr>
              <w:spacing w:after="40" w:line="240" w:lineRule="auto"/>
            </w:pPr>
            <w:r>
              <w:rPr>
                <w:sz w:val="20"/>
              </w:rPr>
            </w:r>
            <w:r>
              <w:rPr>
                <w:sz w:val="20"/>
              </w:rPr>
              <w:t>0.018</w:t>
            </w:r>
          </w:p>
        </w:tc>
        <w:tc>
          <w:tcPr>
            <w:tcW w:type="dxa" w:w="1728"/>
          </w:tcPr>
          <w:p>
            <w:pPr>
              <w:spacing w:after="40" w:line="240" w:lineRule="auto"/>
            </w:pPr>
            <w:r>
              <w:rPr>
                <w:sz w:val="20"/>
              </w:rPr>
            </w:r>
            <w:r>
              <w:rPr>
                <w:sz w:val="20"/>
              </w:rPr>
              <w:t>0.474</w:t>
            </w:r>
          </w:p>
        </w:tc>
      </w:tr>
      <w:tr>
        <w:tc>
          <w:tcPr>
            <w:tcW w:type="dxa" w:w="1728"/>
          </w:tcPr>
          <w:p>
            <w:pPr>
              <w:spacing w:after="40" w:line="240" w:lineRule="auto"/>
            </w:pPr>
            <w:r>
              <w:rPr>
                <w:sz w:val="20"/>
              </w:rPr>
            </w:r>
            <w:r>
              <w:rPr>
                <w:sz w:val="20"/>
              </w:rPr>
              <w:t>10</w:t>
            </w:r>
          </w:p>
        </w:tc>
        <w:tc>
          <w:tcPr>
            <w:tcW w:type="dxa" w:w="1728"/>
          </w:tcPr>
          <w:p>
            <w:pPr>
              <w:spacing w:after="40" w:line="240" w:lineRule="auto"/>
            </w:pPr>
            <w:r>
              <w:rPr>
                <w:sz w:val="20"/>
              </w:rPr>
            </w:r>
            <w:r>
              <w:rPr>
                <w:sz w:val="20"/>
              </w:rPr>
              <w:t>0.420</w:t>
            </w:r>
          </w:p>
        </w:tc>
        <w:tc>
          <w:tcPr>
            <w:tcW w:type="dxa" w:w="1728"/>
          </w:tcPr>
          <w:p>
            <w:pPr>
              <w:spacing w:after="40" w:line="240" w:lineRule="auto"/>
            </w:pPr>
            <w:r>
              <w:rPr>
                <w:sz w:val="20"/>
              </w:rPr>
            </w:r>
            <w:r>
              <w:rPr>
                <w:sz w:val="20"/>
              </w:rPr>
              <w:t>0.820</w:t>
            </w:r>
          </w:p>
        </w:tc>
        <w:tc>
          <w:tcPr>
            <w:tcW w:type="dxa" w:w="1728"/>
          </w:tcPr>
          <w:p>
            <w:pPr>
              <w:spacing w:after="40" w:line="240" w:lineRule="auto"/>
            </w:pPr>
            <w:r>
              <w:rPr>
                <w:sz w:val="20"/>
              </w:rPr>
            </w:r>
            <w:r>
              <w:rPr>
                <w:sz w:val="20"/>
              </w:rPr>
              <w:t>0.015</w:t>
            </w:r>
          </w:p>
        </w:tc>
        <w:tc>
          <w:tcPr>
            <w:tcW w:type="dxa" w:w="1728"/>
          </w:tcPr>
          <w:p>
            <w:pPr>
              <w:spacing w:after="40" w:line="240" w:lineRule="auto"/>
            </w:pPr>
            <w:r>
              <w:rPr>
                <w:sz w:val="20"/>
              </w:rPr>
            </w:r>
            <w:r>
              <w:rPr>
                <w:sz w:val="20"/>
              </w:rPr>
              <w:t>0.466</w:t>
            </w:r>
          </w:p>
        </w:tc>
      </w:tr>
    </w:tbl>
    <w:p>
      <w:pPr>
        <w:spacing w:before="120" w:after="240"/>
        <w:jc w:val="both"/>
      </w:pPr>
      <w:r>
        <w:rPr>
          <w:i/>
          <w:sz w:val="20"/>
        </w:rPr>
        <w:t xml:space="preserve">Note: Variance explained increases smoothly with </w:t>
      </w:r>
      <w:r>
        <w:rPr>
          <w:b w:val="0"/>
          <w:i/>
          <w:sz w:val="20"/>
        </w:rPr>
        <w:t>K</w:t>
      </w:r>
      <w:r>
        <w:rPr>
          <w:i/>
          <w:sz w:val="20"/>
        </w:rPr>
        <w:t xml:space="preserve"> and the marginal gain does not isolate a single optimal rank (it is non-monotonic, with local values of 0.021 at </w:t>
      </w:r>
      <w:r>
        <w:rPr>
          <w:b w:val="0"/>
          <w:i/>
          <w:sz w:val="20"/>
        </w:rPr>
        <w:t>K</w:t>
      </w:r>
      <w:r>
        <w:rPr>
          <w:i/>
          <w:sz w:val="20"/>
        </w:rPr>
        <w:t xml:space="preserve"> = 5 and 0.037 at </w:t>
      </w:r>
      <w:r>
        <w:rPr>
          <w:b w:val="0"/>
          <w:i/>
          <w:sz w:val="20"/>
        </w:rPr>
        <w:t>K</w:t>
      </w:r>
      <w:r>
        <w:rPr>
          <w:i/>
          <w:sz w:val="20"/>
        </w:rPr>
        <w:t xml:space="preserve"> = 6): there is no sharp elbow. </w:t>
      </w:r>
      <w:r>
        <w:rPr>
          <w:b w:val="0"/>
          <w:i/>
          <w:sz w:val="20"/>
        </w:rPr>
        <w:t>K</w:t>
      </w:r>
      <w:r>
        <w:rPr>
          <w:i/>
          <w:sz w:val="20"/>
        </w:rPr>
        <w:t xml:space="preserve"> = 6 is therefore selected on interpretability grounds rather than from a statistical break (Section 3.4.2). The production </w:t>
      </w:r>
      <w:r>
        <w:rPr>
          <w:b w:val="0"/>
          <w:i/>
          <w:sz w:val="20"/>
        </w:rPr>
        <w:t>K</w:t>
      </w:r>
      <w:r>
        <w:rPr>
          <w:i/>
          <w:sz w:val="20"/>
        </w:rPr>
        <w:t xml:space="preserve"> = 6 model reported in the main text was subsequently refitted with ten random initialisations, yielding </w:t>
      </w:r>
      <w:r>
        <w:rPr>
          <w:b w:val="0"/>
          <w:i/>
          <w:sz w:val="20"/>
        </w:rPr>
        <w:t>R</w:t>
      </w:r>
      <w:r>
        <w:rPr>
          <w:i/>
          <w:sz w:val="20"/>
        </w:rPr>
        <w:t>² = 0.752, marginally above the 0.744 screening value tabulated here; this refit affects only the final model, not the comparison across ranks.</w:t>
      </w:r>
    </w:p>
    <w:p>
      <w:pPr>
        <w:pStyle w:val="Heading2"/>
      </w:pPr>
      <w:r>
        <w:t>Table S3. Augmented Dickey-Fuller test results</w:t>
      </w:r>
    </w:p>
    <w:p>
      <w:r>
        <w:t>Augmented Dickey-Fuller (ADF) tests for unit root in the six NTF temporal loading series. Three specifications: constant only, constant plus linear trend, and constant plus quadratic trend. Rejection of the null hypothesis confirms trend-stationarity, supporting the use of quadratic trend extrapolation for the scenario projections.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after="40" w:line="240" w:lineRule="auto"/>
            </w:pPr>
            <w:r>
              <w:rPr>
                <w:b/>
                <w:sz w:val="20"/>
              </w:rPr>
            </w:r>
            <w:r>
              <w:rPr>
                <w:b/>
                <w:sz w:val="20"/>
              </w:rPr>
              <w:t>Component</w:t>
            </w:r>
          </w:p>
        </w:tc>
        <w:tc>
          <w:tcPr>
            <w:tcW w:type="dxa" w:w="1728"/>
          </w:tcPr>
          <w:p>
            <w:pPr>
              <w:spacing w:after="40" w:line="240" w:lineRule="auto"/>
            </w:pPr>
            <w:r>
              <w:rPr>
                <w:b/>
                <w:sz w:val="20"/>
              </w:rPr>
            </w:r>
            <w:r>
              <w:rPr>
                <w:b/>
                <w:sz w:val="20"/>
              </w:rPr>
              <w:t>Label</w:t>
            </w:r>
          </w:p>
        </w:tc>
        <w:tc>
          <w:tcPr>
            <w:tcW w:type="dxa" w:w="1728"/>
          </w:tcPr>
          <w:p>
            <w:pPr>
              <w:spacing w:after="40" w:line="240" w:lineRule="auto"/>
            </w:pPr>
            <w:r>
              <w:rPr>
                <w:b/>
                <w:sz w:val="20"/>
              </w:rPr>
            </w:r>
            <w:r>
              <w:rPr>
                <w:b/>
                <w:sz w:val="20"/>
              </w:rPr>
              <w:t>Constant</w:t>
            </w:r>
          </w:p>
        </w:tc>
        <w:tc>
          <w:tcPr>
            <w:tcW w:type="dxa" w:w="1728"/>
          </w:tcPr>
          <w:p>
            <w:pPr>
              <w:spacing w:after="40" w:line="240" w:lineRule="auto"/>
            </w:pPr>
            <w:r>
              <w:rPr>
                <w:b/>
                <w:sz w:val="20"/>
              </w:rPr>
            </w:r>
            <w:r>
              <w:rPr>
                <w:b/>
                <w:sz w:val="20"/>
              </w:rPr>
              <w:t>Constant + trend</w:t>
            </w:r>
          </w:p>
        </w:tc>
        <w:tc>
          <w:tcPr>
            <w:tcW w:type="dxa" w:w="1728"/>
          </w:tcPr>
          <w:p>
            <w:pPr>
              <w:spacing w:after="40" w:line="240" w:lineRule="auto"/>
            </w:pPr>
            <w:r>
              <w:rPr>
                <w:b/>
                <w:sz w:val="20"/>
              </w:rPr>
            </w:r>
            <w:r>
              <w:rPr>
                <w:b/>
                <w:sz w:val="20"/>
              </w:rPr>
              <w:t>Constant + quadratic</w:t>
            </w:r>
          </w:p>
        </w:tc>
      </w:tr>
      <w:tr>
        <w:tc>
          <w:tcPr>
            <w:tcW w:type="dxa" w:w="1728"/>
          </w:tcPr>
          <w:p>
            <w:pPr>
              <w:spacing w:after="40" w:line="240" w:lineRule="auto"/>
            </w:pPr>
            <w:r>
              <w:rPr>
                <w:sz w:val="20"/>
              </w:rPr>
            </w:r>
            <w:r>
              <w:rPr>
                <w:sz w:val="20"/>
              </w:rPr>
              <w:t>C1</w:t>
            </w:r>
          </w:p>
        </w:tc>
        <w:tc>
          <w:tcPr>
            <w:tcW w:type="dxa" w:w="1728"/>
          </w:tcPr>
          <w:p>
            <w:pPr>
              <w:spacing w:after="40" w:line="240" w:lineRule="auto"/>
            </w:pPr>
            <w:r>
              <w:rPr>
                <w:sz w:val="20"/>
              </w:rPr>
            </w:r>
            <w:r>
              <w:rPr>
                <w:sz w:val="20"/>
              </w:rPr>
              <w:t>Agricultural crops</w:t>
            </w:r>
          </w:p>
        </w:tc>
        <w:tc>
          <w:tcPr>
            <w:tcW w:type="dxa" w:w="1728"/>
          </w:tcPr>
          <w:p>
            <w:pPr>
              <w:spacing w:after="40" w:line="240" w:lineRule="auto"/>
            </w:pPr>
            <w:r>
              <w:rPr>
                <w:sz w:val="20"/>
              </w:rPr>
            </w:r>
            <w:r>
              <w:rPr>
                <w:b w:val="0"/>
                <w:i/>
                <w:sz w:val="20"/>
              </w:rPr>
              <w:t>p</w:t>
            </w:r>
            <w:r>
              <w:rPr>
                <w:sz w:val="20"/>
              </w:rPr>
              <w:t xml:space="preserve"> &lt; 0.01</w:t>
            </w:r>
          </w:p>
        </w:tc>
        <w:tc>
          <w:tcPr>
            <w:tcW w:type="dxa" w:w="1728"/>
          </w:tcPr>
          <w:p>
            <w:pPr>
              <w:spacing w:after="40" w:line="240" w:lineRule="auto"/>
            </w:pPr>
            <w:r>
              <w:rPr>
                <w:sz w:val="20"/>
              </w:rPr>
            </w:r>
            <w:r>
              <w:rPr>
                <w:b w:val="0"/>
                <w:i/>
                <w:sz w:val="20"/>
              </w:rPr>
              <w:t>p</w:t>
            </w:r>
            <w:r>
              <w:rPr>
                <w:sz w:val="20"/>
              </w:rPr>
              <w:t xml:space="preserve"> &lt; 0.01</w:t>
            </w:r>
          </w:p>
        </w:tc>
        <w:tc>
          <w:tcPr>
            <w:tcW w:type="dxa" w:w="1728"/>
          </w:tcPr>
          <w:p>
            <w:pPr>
              <w:spacing w:after="40" w:line="240" w:lineRule="auto"/>
            </w:pPr>
            <w:r>
              <w:rPr>
                <w:sz w:val="20"/>
              </w:rPr>
            </w:r>
            <w:r>
              <w:rPr>
                <w:b w:val="0"/>
                <w:i/>
                <w:sz w:val="20"/>
              </w:rPr>
              <w:t>p</w:t>
            </w:r>
            <w:r>
              <w:rPr>
                <w:sz w:val="20"/>
              </w:rPr>
              <w:t xml:space="preserve"> &lt; 0.01</w:t>
            </w:r>
          </w:p>
        </w:tc>
      </w:tr>
      <w:tr>
        <w:tc>
          <w:tcPr>
            <w:tcW w:type="dxa" w:w="1728"/>
          </w:tcPr>
          <w:p>
            <w:pPr>
              <w:spacing w:after="40" w:line="240" w:lineRule="auto"/>
            </w:pPr>
            <w:r>
              <w:rPr>
                <w:sz w:val="20"/>
              </w:rPr>
            </w:r>
            <w:r>
              <w:rPr>
                <w:sz w:val="20"/>
              </w:rPr>
              <w:t>C2</w:t>
            </w:r>
          </w:p>
        </w:tc>
        <w:tc>
          <w:tcPr>
            <w:tcW w:type="dxa" w:w="1728"/>
          </w:tcPr>
          <w:p>
            <w:pPr>
              <w:spacing w:after="40" w:line="240" w:lineRule="auto"/>
            </w:pPr>
            <w:r>
              <w:rPr>
                <w:sz w:val="20"/>
              </w:rPr>
            </w:r>
            <w:r>
              <w:rPr>
                <w:sz w:val="20"/>
              </w:rPr>
              <w:t>Forestry and wood</w:t>
            </w:r>
          </w:p>
        </w:tc>
        <w:tc>
          <w:tcPr>
            <w:tcW w:type="dxa" w:w="1728"/>
          </w:tcPr>
          <w:p>
            <w:pPr>
              <w:spacing w:after="40" w:line="240" w:lineRule="auto"/>
            </w:pPr>
            <w:r>
              <w:rPr>
                <w:sz w:val="20"/>
              </w:rPr>
            </w:r>
            <w:r>
              <w:rPr>
                <w:b w:val="0"/>
                <w:i/>
                <w:sz w:val="20"/>
              </w:rPr>
              <w:t>p</w:t>
            </w:r>
            <w:r>
              <w:rPr>
                <w:sz w:val="20"/>
              </w:rPr>
              <w:t xml:space="preserve"> &lt; 0.01</w:t>
            </w:r>
          </w:p>
        </w:tc>
        <w:tc>
          <w:tcPr>
            <w:tcW w:type="dxa" w:w="1728"/>
          </w:tcPr>
          <w:p>
            <w:pPr>
              <w:spacing w:after="40" w:line="240" w:lineRule="auto"/>
            </w:pPr>
            <w:r>
              <w:rPr>
                <w:sz w:val="20"/>
              </w:rPr>
            </w:r>
            <w:r>
              <w:rPr>
                <w:b w:val="0"/>
                <w:i/>
                <w:sz w:val="20"/>
              </w:rPr>
              <w:t>p</w:t>
            </w:r>
            <w:r>
              <w:rPr>
                <w:sz w:val="20"/>
              </w:rPr>
              <w:t xml:space="preserve"> &lt; 0.05</w:t>
            </w:r>
          </w:p>
        </w:tc>
        <w:tc>
          <w:tcPr>
            <w:tcW w:type="dxa" w:w="1728"/>
          </w:tcPr>
          <w:p>
            <w:pPr>
              <w:spacing w:after="40" w:line="240" w:lineRule="auto"/>
            </w:pPr>
            <w:r>
              <w:rPr>
                <w:sz w:val="20"/>
              </w:rPr>
            </w:r>
            <w:r>
              <w:rPr>
                <w:b w:val="0"/>
                <w:i/>
                <w:sz w:val="20"/>
              </w:rPr>
              <w:t>p</w:t>
            </w:r>
            <w:r>
              <w:rPr>
                <w:sz w:val="20"/>
              </w:rPr>
              <w:t xml:space="preserve"> &lt; 0.01</w:t>
            </w:r>
          </w:p>
        </w:tc>
      </w:tr>
      <w:tr>
        <w:tc>
          <w:tcPr>
            <w:tcW w:type="dxa" w:w="1728"/>
          </w:tcPr>
          <w:p>
            <w:pPr>
              <w:spacing w:after="40" w:line="240" w:lineRule="auto"/>
            </w:pPr>
            <w:r>
              <w:rPr>
                <w:sz w:val="20"/>
              </w:rPr>
            </w:r>
            <w:r>
              <w:rPr>
                <w:sz w:val="20"/>
              </w:rPr>
              <w:t>C3</w:t>
            </w:r>
          </w:p>
        </w:tc>
        <w:tc>
          <w:tcPr>
            <w:tcW w:type="dxa" w:w="1728"/>
          </w:tcPr>
          <w:p>
            <w:pPr>
              <w:spacing w:after="40" w:line="240" w:lineRule="auto"/>
            </w:pPr>
            <w:r>
              <w:rPr>
                <w:sz w:val="20"/>
              </w:rPr>
            </w:r>
            <w:r>
              <w:rPr>
                <w:sz w:val="20"/>
              </w:rPr>
              <w:t>Fishery and aquatic</w:t>
            </w:r>
          </w:p>
        </w:tc>
        <w:tc>
          <w:tcPr>
            <w:tcW w:type="dxa" w:w="1728"/>
          </w:tcPr>
          <w:p>
            <w:pPr>
              <w:spacing w:after="40" w:line="240" w:lineRule="auto"/>
            </w:pPr>
            <w:r>
              <w:rPr>
                <w:sz w:val="20"/>
              </w:rPr>
            </w:r>
            <w:r>
              <w:rPr>
                <w:b w:val="0"/>
                <w:i/>
                <w:sz w:val="20"/>
              </w:rPr>
              <w:t>p</w:t>
            </w:r>
            <w:r>
              <w:rPr>
                <w:sz w:val="20"/>
              </w:rPr>
              <w:t xml:space="preserve"> &lt; 0.01</w:t>
            </w:r>
          </w:p>
        </w:tc>
        <w:tc>
          <w:tcPr>
            <w:tcW w:type="dxa" w:w="1728"/>
          </w:tcPr>
          <w:p>
            <w:pPr>
              <w:spacing w:after="40" w:line="240" w:lineRule="auto"/>
            </w:pPr>
            <w:r>
              <w:rPr>
                <w:sz w:val="20"/>
              </w:rPr>
            </w:r>
            <w:r>
              <w:rPr>
                <w:b w:val="0"/>
                <w:i/>
                <w:sz w:val="20"/>
              </w:rPr>
              <w:t>p</w:t>
            </w:r>
            <w:r>
              <w:rPr>
                <w:sz w:val="20"/>
              </w:rPr>
              <w:t xml:space="preserve"> &lt; 0.01</w:t>
            </w:r>
          </w:p>
        </w:tc>
        <w:tc>
          <w:tcPr>
            <w:tcW w:type="dxa" w:w="1728"/>
          </w:tcPr>
          <w:p>
            <w:pPr>
              <w:spacing w:after="40" w:line="240" w:lineRule="auto"/>
            </w:pPr>
            <w:r>
              <w:rPr>
                <w:sz w:val="20"/>
              </w:rPr>
            </w:r>
            <w:r>
              <w:rPr>
                <w:b w:val="0"/>
                <w:i/>
                <w:sz w:val="20"/>
              </w:rPr>
              <w:t>p</w:t>
            </w:r>
            <w:r>
              <w:rPr>
                <w:sz w:val="20"/>
              </w:rPr>
              <w:t xml:space="preserve"> &lt; 0.01</w:t>
            </w:r>
          </w:p>
        </w:tc>
      </w:tr>
      <w:tr>
        <w:tc>
          <w:tcPr>
            <w:tcW w:type="dxa" w:w="1728"/>
          </w:tcPr>
          <w:p>
            <w:pPr>
              <w:spacing w:after="40" w:line="240" w:lineRule="auto"/>
            </w:pPr>
            <w:r>
              <w:rPr>
                <w:sz w:val="20"/>
              </w:rPr>
            </w:r>
            <w:r>
              <w:rPr>
                <w:sz w:val="20"/>
              </w:rPr>
              <w:t>C4</w:t>
            </w:r>
          </w:p>
        </w:tc>
        <w:tc>
          <w:tcPr>
            <w:tcW w:type="dxa" w:w="1728"/>
          </w:tcPr>
          <w:p>
            <w:pPr>
              <w:spacing w:after="40" w:line="240" w:lineRule="auto"/>
            </w:pPr>
            <w:r>
              <w:rPr>
                <w:sz w:val="20"/>
              </w:rPr>
            </w:r>
            <w:r>
              <w:rPr>
                <w:sz w:val="20"/>
              </w:rPr>
              <w:t>Non-metallic minerals</w:t>
            </w:r>
          </w:p>
        </w:tc>
        <w:tc>
          <w:tcPr>
            <w:tcW w:type="dxa" w:w="1728"/>
          </w:tcPr>
          <w:p>
            <w:pPr>
              <w:spacing w:after="40" w:line="240" w:lineRule="auto"/>
            </w:pPr>
            <w:r>
              <w:rPr>
                <w:sz w:val="20"/>
              </w:rPr>
            </w:r>
            <w:r>
              <w:rPr>
                <w:b w:val="0"/>
                <w:i/>
                <w:sz w:val="20"/>
              </w:rPr>
              <w:t>p</w:t>
            </w:r>
            <w:r>
              <w:rPr>
                <w:sz w:val="20"/>
              </w:rPr>
              <w:t xml:space="preserve"> &lt; 0.01</w:t>
            </w:r>
          </w:p>
        </w:tc>
        <w:tc>
          <w:tcPr>
            <w:tcW w:type="dxa" w:w="1728"/>
          </w:tcPr>
          <w:p>
            <w:pPr>
              <w:spacing w:after="40" w:line="240" w:lineRule="auto"/>
            </w:pPr>
            <w:r>
              <w:rPr>
                <w:sz w:val="20"/>
              </w:rPr>
            </w:r>
            <w:r>
              <w:rPr>
                <w:b w:val="0"/>
                <w:i/>
                <w:sz w:val="20"/>
              </w:rPr>
              <w:t>p</w:t>
            </w:r>
            <w:r>
              <w:rPr>
                <w:sz w:val="20"/>
              </w:rPr>
              <w:t xml:space="preserve"> &lt; 0.05</w:t>
            </w:r>
          </w:p>
        </w:tc>
        <w:tc>
          <w:tcPr>
            <w:tcW w:type="dxa" w:w="1728"/>
          </w:tcPr>
          <w:p>
            <w:pPr>
              <w:spacing w:after="40" w:line="240" w:lineRule="auto"/>
            </w:pPr>
            <w:r>
              <w:rPr>
                <w:sz w:val="20"/>
              </w:rPr>
            </w:r>
            <w:r>
              <w:rPr>
                <w:b w:val="0"/>
                <w:i/>
                <w:sz w:val="20"/>
              </w:rPr>
              <w:t>p</w:t>
            </w:r>
            <w:r>
              <w:rPr>
                <w:sz w:val="20"/>
              </w:rPr>
              <w:t xml:space="preserve"> &lt; 0.01</w:t>
            </w:r>
          </w:p>
        </w:tc>
      </w:tr>
      <w:tr>
        <w:tc>
          <w:tcPr>
            <w:tcW w:type="dxa" w:w="1728"/>
          </w:tcPr>
          <w:p>
            <w:pPr>
              <w:spacing w:after="40" w:line="240" w:lineRule="auto"/>
            </w:pPr>
            <w:r>
              <w:rPr>
                <w:sz w:val="20"/>
              </w:rPr>
            </w:r>
            <w:r>
              <w:rPr>
                <w:sz w:val="20"/>
              </w:rPr>
              <w:t>C5</w:t>
            </w:r>
          </w:p>
        </w:tc>
        <w:tc>
          <w:tcPr>
            <w:tcW w:type="dxa" w:w="1728"/>
          </w:tcPr>
          <w:p>
            <w:pPr>
              <w:spacing w:after="40" w:line="240" w:lineRule="auto"/>
            </w:pPr>
            <w:r>
              <w:rPr>
                <w:sz w:val="20"/>
              </w:rPr>
            </w:r>
            <w:r>
              <w:rPr>
                <w:sz w:val="20"/>
              </w:rPr>
              <w:t>Livestock and grazing</w:t>
            </w:r>
          </w:p>
        </w:tc>
        <w:tc>
          <w:tcPr>
            <w:tcW w:type="dxa" w:w="1728"/>
          </w:tcPr>
          <w:p>
            <w:pPr>
              <w:spacing w:after="40" w:line="240" w:lineRule="auto"/>
            </w:pPr>
            <w:r>
              <w:rPr>
                <w:sz w:val="20"/>
              </w:rPr>
            </w:r>
            <w:r>
              <w:rPr>
                <w:b w:val="0"/>
                <w:i/>
                <w:sz w:val="20"/>
              </w:rPr>
              <w:t>p</w:t>
            </w:r>
            <w:r>
              <w:rPr>
                <w:sz w:val="20"/>
              </w:rPr>
              <w:t xml:space="preserve"> &lt; 0.01</w:t>
            </w:r>
          </w:p>
        </w:tc>
        <w:tc>
          <w:tcPr>
            <w:tcW w:type="dxa" w:w="1728"/>
          </w:tcPr>
          <w:p>
            <w:pPr>
              <w:spacing w:after="40" w:line="240" w:lineRule="auto"/>
            </w:pPr>
            <w:r>
              <w:rPr>
                <w:sz w:val="20"/>
              </w:rPr>
            </w:r>
            <w:r>
              <w:rPr>
                <w:b w:val="0"/>
                <w:i/>
                <w:sz w:val="20"/>
              </w:rPr>
              <w:t>p</w:t>
            </w:r>
            <w:r>
              <w:rPr>
                <w:sz w:val="20"/>
              </w:rPr>
              <w:t xml:space="preserve"> &lt; 0.01</w:t>
            </w:r>
          </w:p>
        </w:tc>
        <w:tc>
          <w:tcPr>
            <w:tcW w:type="dxa" w:w="1728"/>
          </w:tcPr>
          <w:p>
            <w:pPr>
              <w:spacing w:after="40" w:line="240" w:lineRule="auto"/>
            </w:pPr>
            <w:r>
              <w:rPr>
                <w:sz w:val="20"/>
              </w:rPr>
            </w:r>
            <w:r>
              <w:rPr>
                <w:b w:val="0"/>
                <w:i/>
                <w:sz w:val="20"/>
              </w:rPr>
              <w:t>p</w:t>
            </w:r>
            <w:r>
              <w:rPr>
                <w:sz w:val="20"/>
              </w:rPr>
              <w:t xml:space="preserve"> &lt; 0.01</w:t>
            </w:r>
          </w:p>
        </w:tc>
      </w:tr>
      <w:tr>
        <w:tc>
          <w:tcPr>
            <w:tcW w:type="dxa" w:w="1728"/>
          </w:tcPr>
          <w:p>
            <w:pPr>
              <w:spacing w:after="40" w:line="240" w:lineRule="auto"/>
            </w:pPr>
            <w:r>
              <w:rPr>
                <w:sz w:val="20"/>
              </w:rPr>
            </w:r>
            <w:r>
              <w:rPr>
                <w:sz w:val="20"/>
              </w:rPr>
              <w:t>C6</w:t>
            </w:r>
          </w:p>
        </w:tc>
        <w:tc>
          <w:tcPr>
            <w:tcW w:type="dxa" w:w="1728"/>
          </w:tcPr>
          <w:p>
            <w:pPr>
              <w:spacing w:after="40" w:line="240" w:lineRule="auto"/>
            </w:pPr>
            <w:r>
              <w:rPr>
                <w:sz w:val="20"/>
              </w:rPr>
            </w:r>
            <w:r>
              <w:rPr>
                <w:sz w:val="20"/>
              </w:rPr>
              <w:t>Metal ores</w:t>
            </w:r>
          </w:p>
        </w:tc>
        <w:tc>
          <w:tcPr>
            <w:tcW w:type="dxa" w:w="1728"/>
          </w:tcPr>
          <w:p>
            <w:pPr>
              <w:spacing w:after="40" w:line="240" w:lineRule="auto"/>
            </w:pPr>
            <w:r>
              <w:rPr>
                <w:sz w:val="20"/>
              </w:rPr>
            </w:r>
            <w:r>
              <w:rPr>
                <w:b w:val="0"/>
                <w:i/>
                <w:sz w:val="20"/>
              </w:rPr>
              <w:t>p</w:t>
            </w:r>
            <w:r>
              <w:rPr>
                <w:sz w:val="20"/>
              </w:rPr>
              <w:t xml:space="preserve"> &lt; 0.05</w:t>
            </w:r>
          </w:p>
        </w:tc>
        <w:tc>
          <w:tcPr>
            <w:tcW w:type="dxa" w:w="1728"/>
          </w:tcPr>
          <w:p>
            <w:pPr>
              <w:spacing w:after="40" w:line="240" w:lineRule="auto"/>
            </w:pPr>
            <w:r>
              <w:rPr>
                <w:sz w:val="20"/>
              </w:rPr>
            </w:r>
            <w:r>
              <w:rPr>
                <w:b w:val="0"/>
                <w:i/>
                <w:sz w:val="20"/>
              </w:rPr>
              <w:t>p</w:t>
            </w:r>
            <w:r>
              <w:rPr>
                <w:sz w:val="20"/>
              </w:rPr>
              <w:t xml:space="preserve"> = 0.079</w:t>
            </w:r>
          </w:p>
        </w:tc>
        <w:tc>
          <w:tcPr>
            <w:tcW w:type="dxa" w:w="1728"/>
          </w:tcPr>
          <w:p>
            <w:pPr>
              <w:spacing w:after="40" w:line="240" w:lineRule="auto"/>
            </w:pPr>
            <w:r>
              <w:rPr>
                <w:sz w:val="20"/>
              </w:rPr>
            </w:r>
            <w:r>
              <w:rPr>
                <w:b w:val="0"/>
                <w:i/>
                <w:sz w:val="20"/>
              </w:rPr>
              <w:t>p</w:t>
            </w:r>
            <w:r>
              <w:rPr>
                <w:sz w:val="20"/>
              </w:rPr>
              <w:t xml:space="preserve"> &lt; 0.05</w:t>
            </w:r>
          </w:p>
        </w:tc>
      </w:tr>
    </w:tbl>
    <w:p>
      <w:pPr>
        <w:spacing w:before="120" w:after="240"/>
        <w:jc w:val="both"/>
      </w:pPr>
      <w:r>
        <w:rPr>
          <w:i/>
          <w:sz w:val="20"/>
        </w:rPr>
        <w:t>Note: All series reject the unit root null at the 5% level under at least two of three specifications. C6 under constant-plus-trend (</w:t>
      </w:r>
      <w:r>
        <w:rPr>
          <w:b w:val="0"/>
          <w:i/>
          <w:sz w:val="20"/>
        </w:rPr>
        <w:t>p</w:t>
      </w:r>
      <w:r>
        <w:rPr>
          <w:i/>
          <w:sz w:val="20"/>
        </w:rPr>
        <w:t xml:space="preserve"> = 0.079) is the only marginal case; rejection under constant and quadratic specifications confirms trend-stationarity.</w:t>
      </w:r>
    </w:p>
    <w:p>
      <w:pPr>
        <w:pStyle w:val="Heading2"/>
      </w:pPr>
      <w:r>
        <w:t>Table S4. Tariff shock calibration rationale</w:t>
      </w:r>
    </w:p>
    <w:p>
      <w:r>
        <w:t>For each NTF component, the principal tariff concessions were identified from the agreement's factsheets — quota volumes, applicable tariff rates, and the magnitude of the tariff reduction. The component receiving the largest combined concession — C5 (livestock), with a beef quota representing approximately a 32 percentage point reduction from the prevailing tariff (European Commission, 2024b) — was assigned the highest shock parameter (δ = +15% for MERCOSUR exports to EU). The remaining components were scaled relative to C5 in proportion to the magnitude and tradability of their respective concessions.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after="40" w:line="240" w:lineRule="auto"/>
            </w:pPr>
            <w:r>
              <w:rPr>
                <w:b/>
                <w:sz w:val="20"/>
              </w:rPr>
            </w:r>
            <w:r>
              <w:rPr>
                <w:b/>
                <w:sz w:val="20"/>
              </w:rPr>
              <w:t>Component</w:t>
            </w:r>
          </w:p>
        </w:tc>
        <w:tc>
          <w:tcPr>
            <w:tcW w:type="dxa" w:w="1440"/>
          </w:tcPr>
          <w:p>
            <w:pPr>
              <w:spacing w:after="40" w:line="240" w:lineRule="auto"/>
            </w:pPr>
            <w:r>
              <w:rPr>
                <w:b/>
                <w:sz w:val="20"/>
              </w:rPr>
            </w:r>
            <w:r>
              <w:rPr>
                <w:b/>
                <w:sz w:val="20"/>
              </w:rPr>
              <w:t>Label</w:t>
            </w:r>
          </w:p>
        </w:tc>
        <w:tc>
          <w:tcPr>
            <w:tcW w:type="dxa" w:w="1440"/>
          </w:tcPr>
          <w:p>
            <w:pPr>
              <w:spacing w:after="40" w:line="240" w:lineRule="auto"/>
            </w:pPr>
            <w:r>
              <w:rPr>
                <w:b/>
                <w:sz w:val="20"/>
              </w:rPr>
            </w:r>
            <w:r>
              <w:rPr>
                <w:b/>
                <w:sz w:val="20"/>
              </w:rPr>
              <w:t>Key concession</w:t>
            </w:r>
          </w:p>
        </w:tc>
        <w:tc>
          <w:tcPr>
            <w:tcW w:type="dxa" w:w="1440"/>
          </w:tcPr>
          <w:p>
            <w:pPr>
              <w:spacing w:after="40" w:line="240" w:lineRule="auto"/>
            </w:pPr>
            <w:r>
              <w:rPr>
                <w:b/>
                <w:sz w:val="20"/>
              </w:rPr>
            </w:r>
            <w:r>
              <w:rPr>
                <w:b/>
                <w:sz w:val="20"/>
              </w:rPr>
              <w:t>Tariff reduction magnitude</w:t>
            </w:r>
          </w:p>
        </w:tc>
        <w:tc>
          <w:tcPr>
            <w:tcW w:type="dxa" w:w="1440"/>
          </w:tcPr>
          <w:p>
            <w:pPr>
              <w:spacing w:after="40" w:line="240" w:lineRule="auto"/>
            </w:pPr>
            <w:r>
              <w:rPr>
                <w:b/>
                <w:sz w:val="20"/>
              </w:rPr>
            </w:r>
            <w:r>
              <w:rPr>
                <w:b/>
                <w:sz w:val="20"/>
              </w:rPr>
              <w:t>Assigned δ (MERC → EU)</w:t>
            </w:r>
          </w:p>
        </w:tc>
        <w:tc>
          <w:tcPr>
            <w:tcW w:type="dxa" w:w="1440"/>
          </w:tcPr>
          <w:p>
            <w:pPr>
              <w:spacing w:after="40" w:line="240" w:lineRule="auto"/>
            </w:pPr>
            <w:r>
              <w:rPr>
                <w:b/>
                <w:sz w:val="20"/>
              </w:rPr>
            </w:r>
            <w:r>
              <w:rPr>
                <w:b/>
                <w:sz w:val="20"/>
              </w:rPr>
              <w:t>Rationale</w:t>
            </w:r>
          </w:p>
        </w:tc>
      </w:tr>
      <w:tr>
        <w:tc>
          <w:tcPr>
            <w:tcW w:type="dxa" w:w="1440"/>
          </w:tcPr>
          <w:p>
            <w:pPr>
              <w:spacing w:after="40" w:line="240" w:lineRule="auto"/>
            </w:pPr>
            <w:r>
              <w:rPr>
                <w:sz w:val="20"/>
              </w:rPr>
            </w:r>
            <w:r>
              <w:rPr>
                <w:sz w:val="20"/>
              </w:rPr>
              <w:t>C5</w:t>
            </w:r>
          </w:p>
        </w:tc>
        <w:tc>
          <w:tcPr>
            <w:tcW w:type="dxa" w:w="1440"/>
          </w:tcPr>
          <w:p>
            <w:pPr>
              <w:spacing w:after="40" w:line="240" w:lineRule="auto"/>
            </w:pPr>
            <w:r>
              <w:rPr>
                <w:sz w:val="20"/>
              </w:rPr>
            </w:r>
            <w:r>
              <w:rPr>
                <w:sz w:val="20"/>
              </w:rPr>
              <w:t>Livestock</w:t>
            </w:r>
          </w:p>
        </w:tc>
        <w:tc>
          <w:tcPr>
            <w:tcW w:type="dxa" w:w="1440"/>
          </w:tcPr>
          <w:p>
            <w:pPr>
              <w:spacing w:after="40" w:line="240" w:lineRule="auto"/>
            </w:pPr>
            <w:r>
              <w:rPr>
                <w:sz w:val="20"/>
              </w:rPr>
            </w:r>
            <w:r>
              <w:rPr>
                <w:sz w:val="20"/>
              </w:rPr>
              <w:t>Beef 99,000 t at 7.5%; poultry 180,000 t</w:t>
            </w:r>
          </w:p>
        </w:tc>
        <w:tc>
          <w:tcPr>
            <w:tcW w:type="dxa" w:w="1440"/>
          </w:tcPr>
          <w:p>
            <w:pPr>
              <w:spacing w:after="40" w:line="240" w:lineRule="auto"/>
            </w:pPr>
            <w:r>
              <w:rPr>
                <w:sz w:val="20"/>
              </w:rPr>
            </w:r>
            <w:r>
              <w:rPr>
                <w:sz w:val="20"/>
              </w:rPr>
              <w:t>~32 pp from MFN rate</w:t>
            </w:r>
          </w:p>
        </w:tc>
        <w:tc>
          <w:tcPr>
            <w:tcW w:type="dxa" w:w="1440"/>
          </w:tcPr>
          <w:p>
            <w:pPr>
              <w:spacing w:after="40" w:line="240" w:lineRule="auto"/>
            </w:pPr>
            <w:r>
              <w:rPr>
                <w:sz w:val="20"/>
              </w:rPr>
            </w:r>
            <w:r>
              <w:rPr>
                <w:sz w:val="20"/>
              </w:rPr>
              <w:t>+15%</w:t>
            </w:r>
          </w:p>
        </w:tc>
        <w:tc>
          <w:tcPr>
            <w:tcW w:type="dxa" w:w="1440"/>
          </w:tcPr>
          <w:p>
            <w:pPr>
              <w:spacing w:after="40" w:line="240" w:lineRule="auto"/>
            </w:pPr>
            <w:r>
              <w:rPr>
                <w:sz w:val="20"/>
              </w:rPr>
            </w:r>
            <w:r>
              <w:rPr>
                <w:sz w:val="20"/>
              </w:rPr>
              <w:t>Largest quota + deepest tariff cut</w:t>
            </w:r>
          </w:p>
        </w:tc>
      </w:tr>
      <w:tr>
        <w:tc>
          <w:tcPr>
            <w:tcW w:type="dxa" w:w="1440"/>
          </w:tcPr>
          <w:p>
            <w:pPr>
              <w:spacing w:after="40" w:line="240" w:lineRule="auto"/>
            </w:pPr>
            <w:r>
              <w:rPr>
                <w:sz w:val="20"/>
              </w:rPr>
            </w:r>
            <w:r>
              <w:rPr>
                <w:sz w:val="20"/>
              </w:rPr>
              <w:t>C1</w:t>
            </w:r>
          </w:p>
        </w:tc>
        <w:tc>
          <w:tcPr>
            <w:tcW w:type="dxa" w:w="1440"/>
          </w:tcPr>
          <w:p>
            <w:pPr>
              <w:spacing w:after="40" w:line="240" w:lineRule="auto"/>
            </w:pPr>
            <w:r>
              <w:rPr>
                <w:sz w:val="20"/>
              </w:rPr>
            </w:r>
            <w:r>
              <w:rPr>
                <w:sz w:val="20"/>
              </w:rPr>
              <w:t>Crops</w:t>
            </w:r>
          </w:p>
        </w:tc>
        <w:tc>
          <w:tcPr>
            <w:tcW w:type="dxa" w:w="1440"/>
          </w:tcPr>
          <w:p>
            <w:pPr>
              <w:spacing w:after="40" w:line="240" w:lineRule="auto"/>
            </w:pPr>
            <w:r>
              <w:rPr>
                <w:sz w:val="20"/>
              </w:rPr>
            </w:r>
            <w:r>
              <w:rPr>
                <w:sz w:val="20"/>
              </w:rPr>
              <w:t>Sugar 190,000 t duty-free; rice 60,000 t</w:t>
            </w:r>
          </w:p>
        </w:tc>
        <w:tc>
          <w:tcPr>
            <w:tcW w:type="dxa" w:w="1440"/>
          </w:tcPr>
          <w:p>
            <w:pPr>
              <w:spacing w:after="40" w:line="240" w:lineRule="auto"/>
            </w:pPr>
            <w:r>
              <w:rPr>
                <w:sz w:val="20"/>
              </w:rPr>
            </w:r>
            <w:r>
              <w:rPr>
                <w:sz w:val="20"/>
              </w:rPr>
              <w:t>~20–25 pp on sugar/rice</w:t>
            </w:r>
          </w:p>
        </w:tc>
        <w:tc>
          <w:tcPr>
            <w:tcW w:type="dxa" w:w="1440"/>
          </w:tcPr>
          <w:p>
            <w:pPr>
              <w:spacing w:after="40" w:line="240" w:lineRule="auto"/>
            </w:pPr>
            <w:r>
              <w:rPr>
                <w:sz w:val="20"/>
              </w:rPr>
            </w:r>
            <w:r>
              <w:rPr>
                <w:sz w:val="20"/>
              </w:rPr>
              <w:t>+12%</w:t>
            </w:r>
          </w:p>
        </w:tc>
        <w:tc>
          <w:tcPr>
            <w:tcW w:type="dxa" w:w="1440"/>
          </w:tcPr>
          <w:p>
            <w:pPr>
              <w:spacing w:after="40" w:line="240" w:lineRule="auto"/>
            </w:pPr>
            <w:r>
              <w:rPr>
                <w:sz w:val="20"/>
              </w:rPr>
            </w:r>
            <w:r>
              <w:rPr>
                <w:sz w:val="20"/>
              </w:rPr>
              <w:t>Second-largest; high volume quotas</w:t>
            </w:r>
          </w:p>
        </w:tc>
      </w:tr>
      <w:tr>
        <w:tc>
          <w:tcPr>
            <w:tcW w:type="dxa" w:w="1440"/>
          </w:tcPr>
          <w:p>
            <w:pPr>
              <w:spacing w:after="40" w:line="240" w:lineRule="auto"/>
            </w:pPr>
            <w:r>
              <w:rPr>
                <w:sz w:val="20"/>
              </w:rPr>
            </w:r>
            <w:r>
              <w:rPr>
                <w:sz w:val="20"/>
              </w:rPr>
              <w:t>C6</w:t>
            </w:r>
          </w:p>
        </w:tc>
        <w:tc>
          <w:tcPr>
            <w:tcW w:type="dxa" w:w="1440"/>
          </w:tcPr>
          <w:p>
            <w:pPr>
              <w:spacing w:after="40" w:line="240" w:lineRule="auto"/>
            </w:pPr>
            <w:r>
              <w:rPr>
                <w:sz w:val="20"/>
              </w:rPr>
            </w:r>
            <w:r>
              <w:rPr>
                <w:sz w:val="20"/>
              </w:rPr>
              <w:t>Metal ores</w:t>
            </w:r>
          </w:p>
        </w:tc>
        <w:tc>
          <w:tcPr>
            <w:tcW w:type="dxa" w:w="1440"/>
          </w:tcPr>
          <w:p>
            <w:pPr>
              <w:spacing w:after="40" w:line="240" w:lineRule="auto"/>
            </w:pPr>
            <w:r>
              <w:rPr>
                <w:sz w:val="20"/>
              </w:rPr>
            </w:r>
            <w:r>
              <w:rPr>
                <w:sz w:val="20"/>
              </w:rPr>
              <w:t>Critical minerals clause: Nb, Li, Ta</w:t>
            </w:r>
          </w:p>
        </w:tc>
        <w:tc>
          <w:tcPr>
            <w:tcW w:type="dxa" w:w="1440"/>
          </w:tcPr>
          <w:p>
            <w:pPr>
              <w:spacing w:after="40" w:line="240" w:lineRule="auto"/>
            </w:pPr>
            <w:r>
              <w:rPr>
                <w:sz w:val="20"/>
              </w:rPr>
            </w:r>
            <w:r>
              <w:rPr>
                <w:sz w:val="20"/>
              </w:rPr>
              <w:t>Variable; strategic access</w:t>
            </w:r>
          </w:p>
        </w:tc>
        <w:tc>
          <w:tcPr>
            <w:tcW w:type="dxa" w:w="1440"/>
          </w:tcPr>
          <w:p>
            <w:pPr>
              <w:spacing w:after="40" w:line="240" w:lineRule="auto"/>
            </w:pPr>
            <w:r>
              <w:rPr>
                <w:sz w:val="20"/>
              </w:rPr>
            </w:r>
            <w:r>
              <w:rPr>
                <w:sz w:val="20"/>
              </w:rPr>
              <w:t>+10%</w:t>
            </w:r>
          </w:p>
        </w:tc>
        <w:tc>
          <w:tcPr>
            <w:tcW w:type="dxa" w:w="1440"/>
          </w:tcPr>
          <w:p>
            <w:pPr>
              <w:spacing w:after="40" w:line="240" w:lineRule="auto"/>
            </w:pPr>
            <w:r>
              <w:rPr>
                <w:sz w:val="20"/>
              </w:rPr>
            </w:r>
            <w:r>
              <w:rPr>
                <w:sz w:val="20"/>
              </w:rPr>
              <w:t>Strategic clause; moderate volume</w:t>
            </w:r>
          </w:p>
        </w:tc>
      </w:tr>
      <w:tr>
        <w:tc>
          <w:tcPr>
            <w:tcW w:type="dxa" w:w="1440"/>
          </w:tcPr>
          <w:p>
            <w:pPr>
              <w:spacing w:after="40" w:line="240" w:lineRule="auto"/>
            </w:pPr>
            <w:r>
              <w:rPr>
                <w:sz w:val="20"/>
              </w:rPr>
            </w:r>
            <w:r>
              <w:rPr>
                <w:sz w:val="20"/>
              </w:rPr>
              <w:t>C3</w:t>
            </w:r>
          </w:p>
        </w:tc>
        <w:tc>
          <w:tcPr>
            <w:tcW w:type="dxa" w:w="1440"/>
          </w:tcPr>
          <w:p>
            <w:pPr>
              <w:spacing w:after="40" w:line="240" w:lineRule="auto"/>
            </w:pPr>
            <w:r>
              <w:rPr>
                <w:sz w:val="20"/>
              </w:rPr>
            </w:r>
            <w:r>
              <w:rPr>
                <w:sz w:val="20"/>
              </w:rPr>
              <w:t>Fishery</w:t>
            </w:r>
          </w:p>
        </w:tc>
        <w:tc>
          <w:tcPr>
            <w:tcW w:type="dxa" w:w="1440"/>
          </w:tcPr>
          <w:p>
            <w:pPr>
              <w:spacing w:after="40" w:line="240" w:lineRule="auto"/>
            </w:pPr>
            <w:r>
              <w:rPr>
                <w:sz w:val="20"/>
              </w:rPr>
            </w:r>
            <w:r>
              <w:rPr>
                <w:sz w:val="20"/>
              </w:rPr>
              <w:t>Shrimp and fish quota expansion</w:t>
            </w:r>
          </w:p>
        </w:tc>
        <w:tc>
          <w:tcPr>
            <w:tcW w:type="dxa" w:w="1440"/>
          </w:tcPr>
          <w:p>
            <w:pPr>
              <w:spacing w:after="40" w:line="240" w:lineRule="auto"/>
            </w:pPr>
            <w:r>
              <w:rPr>
                <w:sz w:val="20"/>
              </w:rPr>
            </w:r>
            <w:r>
              <w:rPr>
                <w:sz w:val="20"/>
              </w:rPr>
              <w:t>~10–15 pp</w:t>
            </w:r>
          </w:p>
        </w:tc>
        <w:tc>
          <w:tcPr>
            <w:tcW w:type="dxa" w:w="1440"/>
          </w:tcPr>
          <w:p>
            <w:pPr>
              <w:spacing w:after="40" w:line="240" w:lineRule="auto"/>
            </w:pPr>
            <w:r>
              <w:rPr>
                <w:sz w:val="20"/>
              </w:rPr>
            </w:r>
            <w:r>
              <w:rPr>
                <w:sz w:val="20"/>
              </w:rPr>
              <w:t>+8%</w:t>
            </w:r>
          </w:p>
        </w:tc>
        <w:tc>
          <w:tcPr>
            <w:tcW w:type="dxa" w:w="1440"/>
          </w:tcPr>
          <w:p>
            <w:pPr>
              <w:spacing w:after="40" w:line="240" w:lineRule="auto"/>
            </w:pPr>
            <w:r>
              <w:rPr>
                <w:sz w:val="20"/>
              </w:rPr>
            </w:r>
            <w:r>
              <w:rPr>
                <w:sz w:val="20"/>
              </w:rPr>
              <w:t>Moderate; limited tradable volume</w:t>
            </w:r>
          </w:p>
        </w:tc>
      </w:tr>
      <w:tr>
        <w:tc>
          <w:tcPr>
            <w:tcW w:type="dxa" w:w="1440"/>
          </w:tcPr>
          <w:p>
            <w:pPr>
              <w:spacing w:after="40" w:line="240" w:lineRule="auto"/>
            </w:pPr>
            <w:r>
              <w:rPr>
                <w:sz w:val="20"/>
              </w:rPr>
            </w:r>
            <w:r>
              <w:rPr>
                <w:sz w:val="20"/>
              </w:rPr>
              <w:t>C2</w:t>
            </w:r>
          </w:p>
        </w:tc>
        <w:tc>
          <w:tcPr>
            <w:tcW w:type="dxa" w:w="1440"/>
          </w:tcPr>
          <w:p>
            <w:pPr>
              <w:spacing w:after="40" w:line="240" w:lineRule="auto"/>
            </w:pPr>
            <w:r>
              <w:rPr>
                <w:sz w:val="20"/>
              </w:rPr>
            </w:r>
            <w:r>
              <w:rPr>
                <w:sz w:val="20"/>
              </w:rPr>
              <w:t>Forestry</w:t>
            </w:r>
          </w:p>
        </w:tc>
        <w:tc>
          <w:tcPr>
            <w:tcW w:type="dxa" w:w="1440"/>
          </w:tcPr>
          <w:p>
            <w:pPr>
              <w:spacing w:after="40" w:line="240" w:lineRule="auto"/>
            </w:pPr>
            <w:r>
              <w:rPr>
                <w:sz w:val="20"/>
              </w:rPr>
            </w:r>
            <w:r>
              <w:rPr>
                <w:sz w:val="20"/>
              </w:rPr>
              <w:t>Bilateral liberalisation</w:t>
            </w:r>
          </w:p>
        </w:tc>
        <w:tc>
          <w:tcPr>
            <w:tcW w:type="dxa" w:w="1440"/>
          </w:tcPr>
          <w:p>
            <w:pPr>
              <w:spacing w:after="40" w:line="240" w:lineRule="auto"/>
            </w:pPr>
            <w:r>
              <w:rPr>
                <w:sz w:val="20"/>
              </w:rPr>
            </w:r>
            <w:r>
              <w:rPr>
                <w:sz w:val="20"/>
              </w:rPr>
              <w:t>~5–10 pp</w:t>
            </w:r>
          </w:p>
        </w:tc>
        <w:tc>
          <w:tcPr>
            <w:tcW w:type="dxa" w:w="1440"/>
          </w:tcPr>
          <w:p>
            <w:pPr>
              <w:spacing w:after="40" w:line="240" w:lineRule="auto"/>
            </w:pPr>
            <w:r>
              <w:rPr>
                <w:sz w:val="20"/>
              </w:rPr>
            </w:r>
            <w:r>
              <w:rPr>
                <w:sz w:val="20"/>
              </w:rPr>
              <w:t>+6%</w:t>
            </w:r>
          </w:p>
        </w:tc>
        <w:tc>
          <w:tcPr>
            <w:tcW w:type="dxa" w:w="1440"/>
          </w:tcPr>
          <w:p>
            <w:pPr>
              <w:spacing w:after="40" w:line="240" w:lineRule="auto"/>
            </w:pPr>
            <w:r>
              <w:rPr>
                <w:sz w:val="20"/>
              </w:rPr>
            </w:r>
            <w:r>
              <w:rPr>
                <w:sz w:val="20"/>
              </w:rPr>
              <w:t>Moderate; already low barriers</w:t>
            </w:r>
          </w:p>
        </w:tc>
      </w:tr>
      <w:tr>
        <w:tc>
          <w:tcPr>
            <w:tcW w:type="dxa" w:w="1440"/>
          </w:tcPr>
          <w:p>
            <w:pPr>
              <w:spacing w:after="40" w:line="240" w:lineRule="auto"/>
            </w:pPr>
            <w:r>
              <w:rPr>
                <w:sz w:val="20"/>
              </w:rPr>
            </w:r>
            <w:r>
              <w:rPr>
                <w:sz w:val="20"/>
              </w:rPr>
              <w:t>C4</w:t>
            </w:r>
          </w:p>
        </w:tc>
        <w:tc>
          <w:tcPr>
            <w:tcW w:type="dxa" w:w="1440"/>
          </w:tcPr>
          <w:p>
            <w:pPr>
              <w:spacing w:after="40" w:line="240" w:lineRule="auto"/>
            </w:pPr>
            <w:r>
              <w:rPr>
                <w:sz w:val="20"/>
              </w:rPr>
            </w:r>
            <w:r>
              <w:rPr>
                <w:sz w:val="20"/>
              </w:rPr>
              <w:t>Non-metallic</w:t>
            </w:r>
          </w:p>
        </w:tc>
        <w:tc>
          <w:tcPr>
            <w:tcW w:type="dxa" w:w="1440"/>
          </w:tcPr>
          <w:p>
            <w:pPr>
              <w:spacing w:after="40" w:line="240" w:lineRule="auto"/>
            </w:pPr>
            <w:r>
              <w:rPr>
                <w:sz w:val="20"/>
              </w:rPr>
            </w:r>
            <w:r>
              <w:rPr>
                <w:sz w:val="20"/>
              </w:rPr>
              <w:t>Minimal</w:t>
            </w:r>
          </w:p>
        </w:tc>
        <w:tc>
          <w:tcPr>
            <w:tcW w:type="dxa" w:w="1440"/>
          </w:tcPr>
          <w:p>
            <w:pPr>
              <w:spacing w:after="40" w:line="240" w:lineRule="auto"/>
            </w:pPr>
            <w:r>
              <w:rPr>
                <w:sz w:val="20"/>
              </w:rPr>
            </w:r>
            <w:r>
              <w:rPr>
                <w:sz w:val="20"/>
              </w:rPr>
              <w:t>~0–2 pp</w:t>
            </w:r>
          </w:p>
        </w:tc>
        <w:tc>
          <w:tcPr>
            <w:tcW w:type="dxa" w:w="1440"/>
          </w:tcPr>
          <w:p>
            <w:pPr>
              <w:spacing w:after="40" w:line="240" w:lineRule="auto"/>
            </w:pPr>
            <w:r>
              <w:rPr>
                <w:sz w:val="20"/>
              </w:rPr>
            </w:r>
            <w:r>
              <w:rPr>
                <w:sz w:val="20"/>
              </w:rPr>
              <w:t>+2%</w:t>
            </w:r>
          </w:p>
        </w:tc>
        <w:tc>
          <w:tcPr>
            <w:tcW w:type="dxa" w:w="1440"/>
          </w:tcPr>
          <w:p>
            <w:pPr>
              <w:spacing w:after="40" w:line="240" w:lineRule="auto"/>
            </w:pPr>
            <w:r>
              <w:rPr>
                <w:sz w:val="20"/>
              </w:rPr>
            </w:r>
            <w:r>
              <w:rPr>
                <w:sz w:val="20"/>
              </w:rPr>
              <w:t>Construction minerals rarely traded</w:t>
            </w:r>
          </w:p>
        </w:tc>
      </w:tr>
    </w:tbl>
    <w:p>
      <w:pPr>
        <w:spacing w:before="120" w:after="240"/>
        <w:jc w:val="both"/>
      </w:pPr>
      <w:r>
        <w:rPr>
          <w:i/>
          <w:sz w:val="20"/>
        </w:rPr>
        <w:t>EU → MERCOSUR shocks are lower, reflecting the smaller material extraction impact of MERCOSUR's tariff reductions on EU manufactures. The absolute values are uncertain; the ordinal ranking (C5 &gt; C1 &gt; C6 &gt; C3 &gt; C2 &gt; C4) reflects the relative magnitude of the published concessions, and the ordering of the resulting category effects follows from it rather than from the decomposition (Section 4.5.3).</w:t>
      </w:r>
    </w:p>
    <w:p>
      <w:pPr>
        <w:pStyle w:val="Heading2"/>
      </w:pPr>
      <w:r>
        <w:t>Table S5. Sector-level effect under the central scenario</w:t>
      </w:r>
    </w:p>
    <w:p>
      <w:r>
        <w:t>Sector-level increase in territorial material extraction under the central illustrative scenario, in tonnage terms (Section 3.5), computed as the component-loading-weighted mean of the per-component shocks. Representative sectors are listed to span the six components; percentage effects are symmetric across blocs because the shock operates on shared temporal loadings. The values are conditional on the central shocks (Table 1) and scale with them (Table S7); they are illustrative, not estimated agreement effects.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line="240" w:lineRule="auto"/>
            </w:pPr>
            <w:r>
              <w:rPr>
                <w:b/>
                <w:sz w:val="20"/>
              </w:rPr>
            </w:r>
            <w:r>
              <w:rPr>
                <w:b/>
                <w:sz w:val="20"/>
              </w:rPr>
              <w:t>Sector</w:t>
            </w:r>
          </w:p>
        </w:tc>
        <w:tc>
          <w:tcPr>
            <w:tcW w:type="dxa" w:w="2880"/>
          </w:tcPr>
          <w:p>
            <w:pPr>
              <w:spacing w:after="40" w:line="240" w:lineRule="auto"/>
            </w:pPr>
            <w:r>
              <w:rPr>
                <w:b/>
                <w:sz w:val="20"/>
              </w:rPr>
            </w:r>
            <w:r>
              <w:rPr>
                <w:b/>
                <w:sz w:val="20"/>
              </w:rPr>
              <w:t>Central-scenario increase (%)</w:t>
            </w:r>
          </w:p>
        </w:tc>
        <w:tc>
          <w:tcPr>
            <w:tcW w:type="dxa" w:w="2880"/>
          </w:tcPr>
          <w:p>
            <w:pPr>
              <w:spacing w:after="40" w:line="240" w:lineRule="auto"/>
            </w:pPr>
            <w:r>
              <w:rPr>
                <w:b/>
                <w:sz w:val="20"/>
              </w:rPr>
            </w:r>
            <w:r>
              <w:rPr>
                <w:b/>
                <w:sz w:val="20"/>
              </w:rPr>
              <w:t>Dominant NTF component</w:t>
            </w:r>
          </w:p>
        </w:tc>
      </w:tr>
      <w:tr>
        <w:tc>
          <w:tcPr>
            <w:tcW w:type="dxa" w:w="2880"/>
          </w:tcPr>
          <w:p>
            <w:pPr>
              <w:spacing w:after="40" w:line="240" w:lineRule="auto"/>
            </w:pPr>
            <w:r>
              <w:rPr>
                <w:sz w:val="20"/>
              </w:rPr>
            </w:r>
            <w:r>
              <w:rPr>
                <w:sz w:val="20"/>
              </w:rPr>
              <w:t>Raising of cattle</w:t>
            </w:r>
          </w:p>
        </w:tc>
        <w:tc>
          <w:tcPr>
            <w:tcW w:type="dxa" w:w="2880"/>
          </w:tcPr>
          <w:p>
            <w:pPr>
              <w:spacing w:after="40" w:line="240" w:lineRule="auto"/>
            </w:pPr>
            <w:r>
              <w:rPr>
                <w:sz w:val="20"/>
              </w:rPr>
            </w:r>
            <w:r>
              <w:rPr>
                <w:sz w:val="20"/>
              </w:rPr>
              <w:t>+10.8</w:t>
            </w:r>
          </w:p>
        </w:tc>
        <w:tc>
          <w:tcPr>
            <w:tcW w:type="dxa" w:w="2880"/>
          </w:tcPr>
          <w:p>
            <w:pPr>
              <w:spacing w:after="40" w:line="240" w:lineRule="auto"/>
            </w:pPr>
            <w:r>
              <w:rPr>
                <w:sz w:val="20"/>
              </w:rPr>
            </w:r>
            <w:r>
              <w:rPr>
                <w:sz w:val="20"/>
              </w:rPr>
              <w:t>C5 Livestock</w:t>
            </w:r>
          </w:p>
        </w:tc>
      </w:tr>
      <w:tr>
        <w:tc>
          <w:tcPr>
            <w:tcW w:type="dxa" w:w="2880"/>
          </w:tcPr>
          <w:p>
            <w:pPr>
              <w:spacing w:after="40" w:line="240" w:lineRule="auto"/>
            </w:pPr>
            <w:r>
              <w:rPr>
                <w:sz w:val="20"/>
              </w:rPr>
            </w:r>
            <w:r>
              <w:rPr>
                <w:sz w:val="20"/>
              </w:rPr>
              <w:t>Raising of sheep and goats</w:t>
            </w:r>
          </w:p>
        </w:tc>
        <w:tc>
          <w:tcPr>
            <w:tcW w:type="dxa" w:w="2880"/>
          </w:tcPr>
          <w:p>
            <w:pPr>
              <w:spacing w:after="40" w:line="240" w:lineRule="auto"/>
            </w:pPr>
            <w:r>
              <w:rPr>
                <w:sz w:val="20"/>
              </w:rPr>
            </w:r>
            <w:r>
              <w:rPr>
                <w:sz w:val="20"/>
              </w:rPr>
              <w:t>+10.8</w:t>
            </w:r>
          </w:p>
        </w:tc>
        <w:tc>
          <w:tcPr>
            <w:tcW w:type="dxa" w:w="2880"/>
          </w:tcPr>
          <w:p>
            <w:pPr>
              <w:spacing w:after="40" w:line="240" w:lineRule="auto"/>
            </w:pPr>
            <w:r>
              <w:rPr>
                <w:sz w:val="20"/>
              </w:rPr>
            </w:r>
            <w:r>
              <w:rPr>
                <w:sz w:val="20"/>
              </w:rPr>
              <w:t>C5 Livestock</w:t>
            </w:r>
          </w:p>
        </w:tc>
      </w:tr>
      <w:tr>
        <w:tc>
          <w:tcPr>
            <w:tcW w:type="dxa" w:w="2880"/>
          </w:tcPr>
          <w:p>
            <w:pPr>
              <w:spacing w:after="40" w:line="240" w:lineRule="auto"/>
            </w:pPr>
            <w:r>
              <w:rPr>
                <w:sz w:val="20"/>
              </w:rPr>
            </w:r>
            <w:r>
              <w:rPr>
                <w:sz w:val="20"/>
              </w:rPr>
              <w:t>Growing of cereals n.e.c.</w:t>
            </w:r>
          </w:p>
        </w:tc>
        <w:tc>
          <w:tcPr>
            <w:tcW w:type="dxa" w:w="2880"/>
          </w:tcPr>
          <w:p>
            <w:pPr>
              <w:spacing w:after="40" w:line="240" w:lineRule="auto"/>
            </w:pPr>
            <w:r>
              <w:rPr>
                <w:sz w:val="20"/>
              </w:rPr>
            </w:r>
            <w:r>
              <w:rPr>
                <w:sz w:val="20"/>
              </w:rPr>
              <w:t>+9.6</w:t>
            </w:r>
          </w:p>
        </w:tc>
        <w:tc>
          <w:tcPr>
            <w:tcW w:type="dxa" w:w="2880"/>
          </w:tcPr>
          <w:p>
            <w:pPr>
              <w:spacing w:after="40" w:line="240" w:lineRule="auto"/>
            </w:pPr>
            <w:r>
              <w:rPr>
                <w:sz w:val="20"/>
              </w:rPr>
            </w:r>
            <w:r>
              <w:rPr>
                <w:sz w:val="20"/>
              </w:rPr>
              <w:t>C1 Crops</w:t>
            </w:r>
          </w:p>
        </w:tc>
      </w:tr>
      <w:tr>
        <w:tc>
          <w:tcPr>
            <w:tcW w:type="dxa" w:w="2880"/>
          </w:tcPr>
          <w:p>
            <w:pPr>
              <w:spacing w:after="40" w:line="240" w:lineRule="auto"/>
            </w:pPr>
            <w:r>
              <w:rPr>
                <w:sz w:val="20"/>
              </w:rPr>
            </w:r>
            <w:r>
              <w:rPr>
                <w:sz w:val="20"/>
              </w:rPr>
              <w:t>Food products and feeds n.e.c.</w:t>
            </w:r>
          </w:p>
        </w:tc>
        <w:tc>
          <w:tcPr>
            <w:tcW w:type="dxa" w:w="2880"/>
          </w:tcPr>
          <w:p>
            <w:pPr>
              <w:spacing w:after="40" w:line="240" w:lineRule="auto"/>
            </w:pPr>
            <w:r>
              <w:rPr>
                <w:sz w:val="20"/>
              </w:rPr>
            </w:r>
            <w:r>
              <w:rPr>
                <w:sz w:val="20"/>
              </w:rPr>
              <w:t>+8.6</w:t>
            </w:r>
          </w:p>
        </w:tc>
        <w:tc>
          <w:tcPr>
            <w:tcW w:type="dxa" w:w="2880"/>
          </w:tcPr>
          <w:p>
            <w:pPr>
              <w:spacing w:after="40" w:line="240" w:lineRule="auto"/>
            </w:pPr>
            <w:r>
              <w:rPr>
                <w:sz w:val="20"/>
              </w:rPr>
            </w:r>
            <w:r>
              <w:rPr>
                <w:sz w:val="20"/>
              </w:rPr>
              <w:t>C1/C5</w:t>
            </w:r>
          </w:p>
        </w:tc>
      </w:tr>
      <w:tr>
        <w:tc>
          <w:tcPr>
            <w:tcW w:type="dxa" w:w="2880"/>
          </w:tcPr>
          <w:p>
            <w:pPr>
              <w:spacing w:after="40" w:line="240" w:lineRule="auto"/>
            </w:pPr>
            <w:r>
              <w:rPr>
                <w:sz w:val="20"/>
              </w:rPr>
            </w:r>
            <w:r>
              <w:rPr>
                <w:sz w:val="20"/>
              </w:rPr>
              <w:t>Growing of wheat</w:t>
            </w:r>
          </w:p>
        </w:tc>
        <w:tc>
          <w:tcPr>
            <w:tcW w:type="dxa" w:w="2880"/>
          </w:tcPr>
          <w:p>
            <w:pPr>
              <w:spacing w:after="40" w:line="240" w:lineRule="auto"/>
            </w:pPr>
            <w:r>
              <w:rPr>
                <w:sz w:val="20"/>
              </w:rPr>
            </w:r>
            <w:r>
              <w:rPr>
                <w:sz w:val="20"/>
              </w:rPr>
              <w:t>+8.6</w:t>
            </w:r>
          </w:p>
        </w:tc>
        <w:tc>
          <w:tcPr>
            <w:tcW w:type="dxa" w:w="2880"/>
          </w:tcPr>
          <w:p>
            <w:pPr>
              <w:spacing w:after="40" w:line="240" w:lineRule="auto"/>
            </w:pPr>
            <w:r>
              <w:rPr>
                <w:sz w:val="20"/>
              </w:rPr>
            </w:r>
            <w:r>
              <w:rPr>
                <w:sz w:val="20"/>
              </w:rPr>
              <w:t>C1 Crops</w:t>
            </w:r>
          </w:p>
        </w:tc>
      </w:tr>
      <w:tr>
        <w:tc>
          <w:tcPr>
            <w:tcW w:type="dxa" w:w="2880"/>
          </w:tcPr>
          <w:p>
            <w:pPr>
              <w:spacing w:after="40" w:line="240" w:lineRule="auto"/>
            </w:pPr>
            <w:r>
              <w:rPr>
                <w:sz w:val="20"/>
              </w:rPr>
            </w:r>
            <w:r>
              <w:rPr>
                <w:sz w:val="20"/>
              </w:rPr>
              <w:t>Growing of rice</w:t>
            </w:r>
          </w:p>
        </w:tc>
        <w:tc>
          <w:tcPr>
            <w:tcW w:type="dxa" w:w="2880"/>
          </w:tcPr>
          <w:p>
            <w:pPr>
              <w:spacing w:after="40" w:line="240" w:lineRule="auto"/>
            </w:pPr>
            <w:r>
              <w:rPr>
                <w:sz w:val="20"/>
              </w:rPr>
            </w:r>
            <w:r>
              <w:rPr>
                <w:sz w:val="20"/>
              </w:rPr>
              <w:t>+8.6</w:t>
            </w:r>
          </w:p>
        </w:tc>
        <w:tc>
          <w:tcPr>
            <w:tcW w:type="dxa" w:w="2880"/>
          </w:tcPr>
          <w:p>
            <w:pPr>
              <w:spacing w:after="40" w:line="240" w:lineRule="auto"/>
            </w:pPr>
            <w:r>
              <w:rPr>
                <w:sz w:val="20"/>
              </w:rPr>
            </w:r>
            <w:r>
              <w:rPr>
                <w:sz w:val="20"/>
              </w:rPr>
              <w:t>C1 Crops</w:t>
            </w:r>
          </w:p>
        </w:tc>
      </w:tr>
      <w:tr>
        <w:tc>
          <w:tcPr>
            <w:tcW w:type="dxa" w:w="2880"/>
          </w:tcPr>
          <w:p>
            <w:pPr>
              <w:spacing w:after="40" w:line="240" w:lineRule="auto"/>
            </w:pPr>
            <w:r>
              <w:rPr>
                <w:sz w:val="20"/>
              </w:rPr>
            </w:r>
            <w:r>
              <w:rPr>
                <w:sz w:val="20"/>
              </w:rPr>
              <w:t>Growing of sugar cane/beet</w:t>
            </w:r>
          </w:p>
        </w:tc>
        <w:tc>
          <w:tcPr>
            <w:tcW w:type="dxa" w:w="2880"/>
          </w:tcPr>
          <w:p>
            <w:pPr>
              <w:spacing w:after="40" w:line="240" w:lineRule="auto"/>
            </w:pPr>
            <w:r>
              <w:rPr>
                <w:sz w:val="20"/>
              </w:rPr>
            </w:r>
            <w:r>
              <w:rPr>
                <w:sz w:val="20"/>
              </w:rPr>
              <w:t>+8.6</w:t>
            </w:r>
          </w:p>
        </w:tc>
        <w:tc>
          <w:tcPr>
            <w:tcW w:type="dxa" w:w="2880"/>
          </w:tcPr>
          <w:p>
            <w:pPr>
              <w:spacing w:after="40" w:line="240" w:lineRule="auto"/>
            </w:pPr>
            <w:r>
              <w:rPr>
                <w:sz w:val="20"/>
              </w:rPr>
            </w:r>
            <w:r>
              <w:rPr>
                <w:sz w:val="20"/>
              </w:rPr>
              <w:t>C1 Crops</w:t>
            </w:r>
          </w:p>
        </w:tc>
      </w:tr>
      <w:tr>
        <w:tc>
          <w:tcPr>
            <w:tcW w:type="dxa" w:w="2880"/>
          </w:tcPr>
          <w:p>
            <w:pPr>
              <w:spacing w:after="40" w:line="240" w:lineRule="auto"/>
            </w:pPr>
            <w:r>
              <w:rPr>
                <w:sz w:val="20"/>
              </w:rPr>
            </w:r>
            <w:r>
              <w:rPr>
                <w:sz w:val="20"/>
              </w:rPr>
              <w:t>Vegetable oils and fats</w:t>
            </w:r>
          </w:p>
        </w:tc>
        <w:tc>
          <w:tcPr>
            <w:tcW w:type="dxa" w:w="2880"/>
          </w:tcPr>
          <w:p>
            <w:pPr>
              <w:spacing w:after="40" w:line="240" w:lineRule="auto"/>
            </w:pPr>
            <w:r>
              <w:rPr>
                <w:sz w:val="20"/>
              </w:rPr>
            </w:r>
            <w:r>
              <w:rPr>
                <w:sz w:val="20"/>
              </w:rPr>
              <w:t>+8.6</w:t>
            </w:r>
          </w:p>
        </w:tc>
        <w:tc>
          <w:tcPr>
            <w:tcW w:type="dxa" w:w="2880"/>
          </w:tcPr>
          <w:p>
            <w:pPr>
              <w:spacing w:after="40" w:line="240" w:lineRule="auto"/>
            </w:pPr>
            <w:r>
              <w:rPr>
                <w:sz w:val="20"/>
              </w:rPr>
            </w:r>
            <w:r>
              <w:rPr>
                <w:sz w:val="20"/>
              </w:rPr>
              <w:t>C1 Crops</w:t>
            </w:r>
          </w:p>
        </w:tc>
      </w:tr>
      <w:tr>
        <w:tc>
          <w:tcPr>
            <w:tcW w:type="dxa" w:w="2880"/>
          </w:tcPr>
          <w:p>
            <w:pPr>
              <w:spacing w:after="40" w:line="240" w:lineRule="auto"/>
            </w:pPr>
            <w:r>
              <w:rPr>
                <w:sz w:val="20"/>
              </w:rPr>
            </w:r>
            <w:r>
              <w:rPr>
                <w:sz w:val="20"/>
              </w:rPr>
              <w:t>Growing of vegetables, roots, tubers</w:t>
            </w:r>
          </w:p>
        </w:tc>
        <w:tc>
          <w:tcPr>
            <w:tcW w:type="dxa" w:w="2880"/>
          </w:tcPr>
          <w:p>
            <w:pPr>
              <w:spacing w:after="40" w:line="240" w:lineRule="auto"/>
            </w:pPr>
            <w:r>
              <w:rPr>
                <w:sz w:val="20"/>
              </w:rPr>
            </w:r>
            <w:r>
              <w:rPr>
                <w:sz w:val="20"/>
              </w:rPr>
              <w:t>+8.6</w:t>
            </w:r>
          </w:p>
        </w:tc>
        <w:tc>
          <w:tcPr>
            <w:tcW w:type="dxa" w:w="2880"/>
          </w:tcPr>
          <w:p>
            <w:pPr>
              <w:spacing w:after="40" w:line="240" w:lineRule="auto"/>
            </w:pPr>
            <w:r>
              <w:rPr>
                <w:sz w:val="20"/>
              </w:rPr>
            </w:r>
            <w:r>
              <w:rPr>
                <w:sz w:val="20"/>
              </w:rPr>
              <w:t>C1 Crops</w:t>
            </w:r>
          </w:p>
        </w:tc>
      </w:tr>
      <w:tr>
        <w:tc>
          <w:tcPr>
            <w:tcW w:type="dxa" w:w="2880"/>
          </w:tcPr>
          <w:p>
            <w:pPr>
              <w:spacing w:after="40" w:line="240" w:lineRule="auto"/>
            </w:pPr>
            <w:r>
              <w:rPr>
                <w:sz w:val="20"/>
              </w:rPr>
            </w:r>
            <w:r>
              <w:rPr>
                <w:sz w:val="20"/>
              </w:rPr>
              <w:t>Growing of fruits and nuts</w:t>
            </w:r>
          </w:p>
        </w:tc>
        <w:tc>
          <w:tcPr>
            <w:tcW w:type="dxa" w:w="2880"/>
          </w:tcPr>
          <w:p>
            <w:pPr>
              <w:spacing w:after="40" w:line="240" w:lineRule="auto"/>
            </w:pPr>
            <w:r>
              <w:rPr>
                <w:sz w:val="20"/>
              </w:rPr>
            </w:r>
            <w:r>
              <w:rPr>
                <w:sz w:val="20"/>
              </w:rPr>
              <w:t>+8.6</w:t>
            </w:r>
          </w:p>
        </w:tc>
        <w:tc>
          <w:tcPr>
            <w:tcW w:type="dxa" w:w="2880"/>
          </w:tcPr>
          <w:p>
            <w:pPr>
              <w:spacing w:after="40" w:line="240" w:lineRule="auto"/>
            </w:pPr>
            <w:r>
              <w:rPr>
                <w:sz w:val="20"/>
              </w:rPr>
            </w:r>
            <w:r>
              <w:rPr>
                <w:sz w:val="20"/>
              </w:rPr>
              <w:t>C1 Crops</w:t>
            </w:r>
          </w:p>
        </w:tc>
      </w:tr>
      <w:tr>
        <w:tc>
          <w:tcPr>
            <w:tcW w:type="dxa" w:w="2880"/>
          </w:tcPr>
          <w:p>
            <w:pPr>
              <w:spacing w:after="40" w:line="240" w:lineRule="auto"/>
            </w:pPr>
            <w:r>
              <w:rPr>
                <w:sz w:val="20"/>
              </w:rPr>
            </w:r>
            <w:r>
              <w:rPr>
                <w:sz w:val="20"/>
              </w:rPr>
              <w:t>Growing of fibre crops</w:t>
            </w:r>
          </w:p>
        </w:tc>
        <w:tc>
          <w:tcPr>
            <w:tcW w:type="dxa" w:w="2880"/>
          </w:tcPr>
          <w:p>
            <w:pPr>
              <w:spacing w:after="40" w:line="240" w:lineRule="auto"/>
            </w:pPr>
            <w:r>
              <w:rPr>
                <w:sz w:val="20"/>
              </w:rPr>
            </w:r>
            <w:r>
              <w:rPr>
                <w:sz w:val="20"/>
              </w:rPr>
              <w:t>+8.6</w:t>
            </w:r>
          </w:p>
        </w:tc>
        <w:tc>
          <w:tcPr>
            <w:tcW w:type="dxa" w:w="2880"/>
          </w:tcPr>
          <w:p>
            <w:pPr>
              <w:spacing w:after="40" w:line="240" w:lineRule="auto"/>
            </w:pPr>
            <w:r>
              <w:rPr>
                <w:sz w:val="20"/>
              </w:rPr>
            </w:r>
            <w:r>
              <w:rPr>
                <w:sz w:val="20"/>
              </w:rPr>
              <w:t>C1 Crops</w:t>
            </w:r>
          </w:p>
        </w:tc>
      </w:tr>
      <w:tr>
        <w:tc>
          <w:tcPr>
            <w:tcW w:type="dxa" w:w="2880"/>
          </w:tcPr>
          <w:p>
            <w:pPr>
              <w:spacing w:after="40" w:line="240" w:lineRule="auto"/>
            </w:pPr>
            <w:r>
              <w:rPr>
                <w:sz w:val="20"/>
              </w:rPr>
            </w:r>
            <w:r>
              <w:rPr>
                <w:sz w:val="20"/>
              </w:rPr>
              <w:t>Raising of animals n.e.c.</w:t>
            </w:r>
          </w:p>
        </w:tc>
        <w:tc>
          <w:tcPr>
            <w:tcW w:type="dxa" w:w="2880"/>
          </w:tcPr>
          <w:p>
            <w:pPr>
              <w:spacing w:after="40" w:line="240" w:lineRule="auto"/>
            </w:pPr>
            <w:r>
              <w:rPr>
                <w:sz w:val="20"/>
              </w:rPr>
            </w:r>
            <w:r>
              <w:rPr>
                <w:sz w:val="20"/>
              </w:rPr>
              <w:t>+7.8</w:t>
            </w:r>
          </w:p>
        </w:tc>
        <w:tc>
          <w:tcPr>
            <w:tcW w:type="dxa" w:w="2880"/>
          </w:tcPr>
          <w:p>
            <w:pPr>
              <w:spacing w:after="40" w:line="240" w:lineRule="auto"/>
            </w:pPr>
            <w:r>
              <w:rPr>
                <w:sz w:val="20"/>
              </w:rPr>
            </w:r>
            <w:r>
              <w:rPr>
                <w:sz w:val="20"/>
              </w:rPr>
              <w:t>C5 Livestock</w:t>
            </w:r>
          </w:p>
        </w:tc>
      </w:tr>
      <w:tr>
        <w:tc>
          <w:tcPr>
            <w:tcW w:type="dxa" w:w="2880"/>
          </w:tcPr>
          <w:p>
            <w:pPr>
              <w:spacing w:after="40" w:line="240" w:lineRule="auto"/>
            </w:pPr>
            <w:r>
              <w:rPr>
                <w:sz w:val="20"/>
              </w:rPr>
            </w:r>
            <w:r>
              <w:rPr>
                <w:sz w:val="20"/>
              </w:rPr>
              <w:t>Lead/zinc/silver ores</w:t>
            </w:r>
          </w:p>
        </w:tc>
        <w:tc>
          <w:tcPr>
            <w:tcW w:type="dxa" w:w="2880"/>
          </w:tcPr>
          <w:p>
            <w:pPr>
              <w:spacing w:after="40" w:line="240" w:lineRule="auto"/>
            </w:pPr>
            <w:r>
              <w:rPr>
                <w:sz w:val="20"/>
              </w:rPr>
            </w:r>
            <w:r>
              <w:rPr>
                <w:sz w:val="20"/>
              </w:rPr>
              <w:t>+5.8</w:t>
            </w:r>
          </w:p>
        </w:tc>
        <w:tc>
          <w:tcPr>
            <w:tcW w:type="dxa" w:w="2880"/>
          </w:tcPr>
          <w:p>
            <w:pPr>
              <w:spacing w:after="40" w:line="240" w:lineRule="auto"/>
            </w:pPr>
            <w:r>
              <w:rPr>
                <w:sz w:val="20"/>
              </w:rPr>
            </w:r>
            <w:r>
              <w:rPr>
                <w:sz w:val="20"/>
              </w:rPr>
              <w:t>C6 Metal ores</w:t>
            </w:r>
          </w:p>
        </w:tc>
      </w:tr>
      <w:tr>
        <w:tc>
          <w:tcPr>
            <w:tcW w:type="dxa" w:w="2880"/>
          </w:tcPr>
          <w:p>
            <w:pPr>
              <w:spacing w:after="40" w:line="240" w:lineRule="auto"/>
            </w:pPr>
            <w:r>
              <w:rPr>
                <w:sz w:val="20"/>
              </w:rPr>
            </w:r>
            <w:r>
              <w:rPr>
                <w:sz w:val="20"/>
              </w:rPr>
              <w:t>Other non-ferrous ores</w:t>
            </w:r>
          </w:p>
        </w:tc>
        <w:tc>
          <w:tcPr>
            <w:tcW w:type="dxa" w:w="2880"/>
          </w:tcPr>
          <w:p>
            <w:pPr>
              <w:spacing w:after="40" w:line="240" w:lineRule="auto"/>
            </w:pPr>
            <w:r>
              <w:rPr>
                <w:sz w:val="20"/>
              </w:rPr>
            </w:r>
            <w:r>
              <w:rPr>
                <w:sz w:val="20"/>
              </w:rPr>
              <w:t>+5.8</w:t>
            </w:r>
          </w:p>
        </w:tc>
        <w:tc>
          <w:tcPr>
            <w:tcW w:type="dxa" w:w="2880"/>
          </w:tcPr>
          <w:p>
            <w:pPr>
              <w:spacing w:after="40" w:line="240" w:lineRule="auto"/>
            </w:pPr>
            <w:r>
              <w:rPr>
                <w:sz w:val="20"/>
              </w:rPr>
            </w:r>
            <w:r>
              <w:rPr>
                <w:sz w:val="20"/>
              </w:rPr>
              <w:t>C6 Metal ores</w:t>
            </w:r>
          </w:p>
        </w:tc>
      </w:tr>
      <w:tr>
        <w:tc>
          <w:tcPr>
            <w:tcW w:type="dxa" w:w="2880"/>
          </w:tcPr>
          <w:p>
            <w:pPr>
              <w:spacing w:after="40" w:line="240" w:lineRule="auto"/>
            </w:pPr>
            <w:r>
              <w:rPr>
                <w:sz w:val="20"/>
              </w:rPr>
            </w:r>
            <w:r>
              <w:rPr>
                <w:sz w:val="20"/>
              </w:rPr>
              <w:t>Dairy products</w:t>
            </w:r>
          </w:p>
        </w:tc>
        <w:tc>
          <w:tcPr>
            <w:tcW w:type="dxa" w:w="2880"/>
          </w:tcPr>
          <w:p>
            <w:pPr>
              <w:spacing w:after="40" w:line="240" w:lineRule="auto"/>
            </w:pPr>
            <w:r>
              <w:rPr>
                <w:sz w:val="20"/>
              </w:rPr>
            </w:r>
            <w:r>
              <w:rPr>
                <w:sz w:val="20"/>
              </w:rPr>
              <w:t>+4.9</w:t>
            </w:r>
          </w:p>
        </w:tc>
        <w:tc>
          <w:tcPr>
            <w:tcW w:type="dxa" w:w="2880"/>
          </w:tcPr>
          <w:p>
            <w:pPr>
              <w:spacing w:after="40" w:line="240" w:lineRule="auto"/>
            </w:pPr>
            <w:r>
              <w:rPr>
                <w:sz w:val="20"/>
              </w:rPr>
            </w:r>
            <w:r>
              <w:rPr>
                <w:sz w:val="20"/>
              </w:rPr>
              <w:t>C5/C1</w:t>
            </w:r>
          </w:p>
        </w:tc>
      </w:tr>
      <w:tr>
        <w:tc>
          <w:tcPr>
            <w:tcW w:type="dxa" w:w="2880"/>
          </w:tcPr>
          <w:p>
            <w:pPr>
              <w:spacing w:after="40" w:line="240" w:lineRule="auto"/>
            </w:pPr>
            <w:r>
              <w:rPr>
                <w:sz w:val="20"/>
              </w:rPr>
            </w:r>
            <w:r>
              <w:rPr>
                <w:sz w:val="20"/>
              </w:rPr>
              <w:t>Forestry and logging</w:t>
            </w:r>
          </w:p>
        </w:tc>
        <w:tc>
          <w:tcPr>
            <w:tcW w:type="dxa" w:w="2880"/>
          </w:tcPr>
          <w:p>
            <w:pPr>
              <w:spacing w:after="40" w:line="240" w:lineRule="auto"/>
            </w:pPr>
            <w:r>
              <w:rPr>
                <w:sz w:val="20"/>
              </w:rPr>
            </w:r>
            <w:r>
              <w:rPr>
                <w:sz w:val="20"/>
              </w:rPr>
              <w:t>+4.4</w:t>
            </w:r>
          </w:p>
        </w:tc>
        <w:tc>
          <w:tcPr>
            <w:tcW w:type="dxa" w:w="2880"/>
          </w:tcPr>
          <w:p>
            <w:pPr>
              <w:spacing w:after="40" w:line="240" w:lineRule="auto"/>
            </w:pPr>
            <w:r>
              <w:rPr>
                <w:sz w:val="20"/>
              </w:rPr>
            </w:r>
            <w:r>
              <w:rPr>
                <w:sz w:val="20"/>
              </w:rPr>
              <w:t>C2 Forestry</w:t>
            </w:r>
          </w:p>
        </w:tc>
      </w:tr>
      <w:tr>
        <w:tc>
          <w:tcPr>
            <w:tcW w:type="dxa" w:w="2880"/>
          </w:tcPr>
          <w:p>
            <w:pPr>
              <w:spacing w:after="40" w:line="240" w:lineRule="auto"/>
            </w:pPr>
            <w:r>
              <w:rPr>
                <w:sz w:val="20"/>
              </w:rPr>
            </w:r>
            <w:r>
              <w:rPr>
                <w:sz w:val="20"/>
              </w:rPr>
              <w:t>Sawmilling and wood</w:t>
            </w:r>
          </w:p>
        </w:tc>
        <w:tc>
          <w:tcPr>
            <w:tcW w:type="dxa" w:w="2880"/>
          </w:tcPr>
          <w:p>
            <w:pPr>
              <w:spacing w:after="40" w:line="240" w:lineRule="auto"/>
            </w:pPr>
            <w:r>
              <w:rPr>
                <w:sz w:val="20"/>
              </w:rPr>
            </w:r>
            <w:r>
              <w:rPr>
                <w:sz w:val="20"/>
              </w:rPr>
              <w:t>+4.3</w:t>
            </w:r>
          </w:p>
        </w:tc>
        <w:tc>
          <w:tcPr>
            <w:tcW w:type="dxa" w:w="2880"/>
          </w:tcPr>
          <w:p>
            <w:pPr>
              <w:spacing w:after="40" w:line="240" w:lineRule="auto"/>
            </w:pPr>
            <w:r>
              <w:rPr>
                <w:sz w:val="20"/>
              </w:rPr>
            </w:r>
            <w:r>
              <w:rPr>
                <w:sz w:val="20"/>
              </w:rPr>
              <w:t>C2 Forestry</w:t>
            </w:r>
          </w:p>
        </w:tc>
      </w:tr>
      <w:tr>
        <w:tc>
          <w:tcPr>
            <w:tcW w:type="dxa" w:w="2880"/>
          </w:tcPr>
          <w:p>
            <w:pPr>
              <w:spacing w:after="40" w:line="240" w:lineRule="auto"/>
            </w:pPr>
            <w:r>
              <w:rPr>
                <w:sz w:val="20"/>
              </w:rPr>
            </w:r>
            <w:r>
              <w:rPr>
                <w:sz w:val="20"/>
              </w:rPr>
              <w:t>Fishing</w:t>
            </w:r>
          </w:p>
        </w:tc>
        <w:tc>
          <w:tcPr>
            <w:tcW w:type="dxa" w:w="2880"/>
          </w:tcPr>
          <w:p>
            <w:pPr>
              <w:spacing w:after="40" w:line="240" w:lineRule="auto"/>
            </w:pPr>
            <w:r>
              <w:rPr>
                <w:sz w:val="20"/>
              </w:rPr>
            </w:r>
            <w:r>
              <w:rPr>
                <w:sz w:val="20"/>
              </w:rPr>
              <w:t>+3.8</w:t>
            </w:r>
          </w:p>
        </w:tc>
        <w:tc>
          <w:tcPr>
            <w:tcW w:type="dxa" w:w="2880"/>
          </w:tcPr>
          <w:p>
            <w:pPr>
              <w:spacing w:after="40" w:line="240" w:lineRule="auto"/>
            </w:pPr>
            <w:r>
              <w:rPr>
                <w:sz w:val="20"/>
              </w:rPr>
            </w:r>
            <w:r>
              <w:rPr>
                <w:sz w:val="20"/>
              </w:rPr>
              <w:t>C3 Fishery</w:t>
            </w:r>
          </w:p>
        </w:tc>
      </w:tr>
      <w:tr>
        <w:tc>
          <w:tcPr>
            <w:tcW w:type="dxa" w:w="2880"/>
          </w:tcPr>
          <w:p>
            <w:pPr>
              <w:spacing w:after="40" w:line="240" w:lineRule="auto"/>
            </w:pPr>
            <w:r>
              <w:rPr>
                <w:sz w:val="20"/>
              </w:rPr>
            </w:r>
            <w:r>
              <w:rPr>
                <w:sz w:val="20"/>
              </w:rPr>
              <w:t>Crustaceans and molluscs</w:t>
            </w:r>
          </w:p>
        </w:tc>
        <w:tc>
          <w:tcPr>
            <w:tcW w:type="dxa" w:w="2880"/>
          </w:tcPr>
          <w:p>
            <w:pPr>
              <w:spacing w:after="40" w:line="240" w:lineRule="auto"/>
            </w:pPr>
            <w:r>
              <w:rPr>
                <w:sz w:val="20"/>
              </w:rPr>
            </w:r>
            <w:r>
              <w:rPr>
                <w:sz w:val="20"/>
              </w:rPr>
              <w:t>+3.8</w:t>
            </w:r>
          </w:p>
        </w:tc>
        <w:tc>
          <w:tcPr>
            <w:tcW w:type="dxa" w:w="2880"/>
          </w:tcPr>
          <w:p>
            <w:pPr>
              <w:spacing w:after="40" w:line="240" w:lineRule="auto"/>
            </w:pPr>
            <w:r>
              <w:rPr>
                <w:sz w:val="20"/>
              </w:rPr>
            </w:r>
            <w:r>
              <w:rPr>
                <w:sz w:val="20"/>
              </w:rPr>
              <w:t>C3 Fishery</w:t>
            </w:r>
          </w:p>
        </w:tc>
      </w:tr>
      <w:tr>
        <w:tc>
          <w:tcPr>
            <w:tcW w:type="dxa" w:w="2880"/>
          </w:tcPr>
          <w:p>
            <w:pPr>
              <w:spacing w:after="40" w:line="240" w:lineRule="auto"/>
            </w:pPr>
            <w:r>
              <w:rPr>
                <w:sz w:val="20"/>
              </w:rPr>
            </w:r>
            <w:r>
              <w:rPr>
                <w:sz w:val="20"/>
              </w:rPr>
              <w:t>Quarrying of stone and sand</w:t>
            </w:r>
          </w:p>
        </w:tc>
        <w:tc>
          <w:tcPr>
            <w:tcW w:type="dxa" w:w="2880"/>
          </w:tcPr>
          <w:p>
            <w:pPr>
              <w:spacing w:after="40" w:line="240" w:lineRule="auto"/>
            </w:pPr>
            <w:r>
              <w:rPr>
                <w:sz w:val="20"/>
              </w:rPr>
            </w:r>
            <w:r>
              <w:rPr>
                <w:sz w:val="20"/>
              </w:rPr>
              <w:t>+2.0</w:t>
            </w:r>
          </w:p>
        </w:tc>
        <w:tc>
          <w:tcPr>
            <w:tcW w:type="dxa" w:w="2880"/>
          </w:tcPr>
          <w:p>
            <w:pPr>
              <w:spacing w:after="40" w:line="240" w:lineRule="auto"/>
            </w:pPr>
            <w:r>
              <w:rPr>
                <w:sz w:val="20"/>
              </w:rPr>
            </w:r>
            <w:r>
              <w:rPr>
                <w:sz w:val="20"/>
              </w:rPr>
              <w:t>C4 Non-metallic</w:t>
            </w:r>
          </w:p>
        </w:tc>
      </w:tr>
    </w:tbl>
    <w:p>
      <w:pPr>
        <w:spacing w:before="120" w:after="240"/>
        <w:jc w:val="both"/>
      </w:pPr>
      <w:r>
        <w:rPr>
          <w:i/>
          <w:sz w:val="20"/>
        </w:rPr>
        <w:t>Note: The sector effect is bounded within the range of the component shocks. Sectors loading purely on the crops component (C1) share its +8.6% shock; the ordering across the resource sectors (metal ores +5.8% &gt; forestry +4.4% &gt; fishery +3.8% &gt; non-metallic minerals +2.0%) follows the assumed ranking of the component shocks (Table 1).</w:t>
      </w:r>
    </w:p>
    <w:p>
      <w:pPr>
        <w:pStyle w:val="Heading2"/>
      </w:pPr>
      <w:r>
        <w:t>Table S6. Comparison of LMDI and NTF decomposition results, 1990–2022</w:t>
      </w:r>
    </w:p>
    <w:p>
      <w:r>
        <w:t>To illustrate how NTF and a standard two-dimensional method provide complementary information, the table below presents an LMDI (Log Mean Divisia Index) additive decomposition of the change in material extraction between 1990 and 2022, alongside the corresponding NTF component-level detail. The LMDI decomposes the total change into a scale effect (proportional growth of aggregate extraction) and a structure effect (shift in the composition across MFA categories), following the standard formulation in Ang (2015). NTF operates on the full four-dimensional tensor and identifies six latent extraction systems with country, sector, material, and temporal loadings.</w:t>
      </w:r>
    </w:p>
    <w:p>
      <w:pPr>
        <w:pStyle w:val="Heading3"/>
      </w:pPr>
      <w:r>
        <w:t>Panel A. LMDI additive decomposition by bloc and MFA category</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after="40" w:line="240" w:lineRule="auto"/>
            </w:pPr>
            <w:r>
              <w:rPr>
                <w:b/>
                <w:sz w:val="20"/>
              </w:rPr>
            </w:r>
            <w:r>
              <w:rPr>
                <w:b/>
                <w:sz w:val="20"/>
              </w:rPr>
              <w:t>Bloc</w:t>
            </w:r>
          </w:p>
        </w:tc>
        <w:tc>
          <w:tcPr>
            <w:tcW w:type="dxa" w:w="1234"/>
          </w:tcPr>
          <w:p>
            <w:pPr>
              <w:spacing w:after="40" w:line="240" w:lineRule="auto"/>
            </w:pPr>
            <w:r>
              <w:rPr>
                <w:b/>
                <w:sz w:val="20"/>
              </w:rPr>
            </w:r>
            <w:r>
              <w:rPr>
                <w:b/>
                <w:sz w:val="20"/>
              </w:rPr>
              <w:t>MFA category</w:t>
            </w:r>
          </w:p>
        </w:tc>
        <w:tc>
          <w:tcPr>
            <w:tcW w:type="dxa" w:w="1234"/>
          </w:tcPr>
          <w:p>
            <w:pPr>
              <w:spacing w:after="40" w:line="240" w:lineRule="auto"/>
            </w:pPr>
            <w:r>
              <w:rPr>
                <w:b/>
                <w:sz w:val="20"/>
              </w:rPr>
            </w:r>
            <w:r>
              <w:rPr>
                <w:b/>
                <w:sz w:val="20"/>
              </w:rPr>
              <w:t>1990 (Mt)</w:t>
            </w:r>
          </w:p>
        </w:tc>
        <w:tc>
          <w:tcPr>
            <w:tcW w:type="dxa" w:w="1234"/>
          </w:tcPr>
          <w:p>
            <w:pPr>
              <w:spacing w:after="40" w:line="240" w:lineRule="auto"/>
            </w:pPr>
            <w:r>
              <w:rPr>
                <w:b/>
                <w:sz w:val="20"/>
              </w:rPr>
            </w:r>
            <w:r>
              <w:rPr>
                <w:b/>
                <w:sz w:val="20"/>
              </w:rPr>
              <w:t>2022 (Mt)</w:t>
            </w:r>
          </w:p>
        </w:tc>
        <w:tc>
          <w:tcPr>
            <w:tcW w:type="dxa" w:w="1234"/>
          </w:tcPr>
          <w:p>
            <w:pPr>
              <w:spacing w:after="40" w:line="240" w:lineRule="auto"/>
            </w:pPr>
            <w:r>
              <w:rPr>
                <w:b/>
                <w:sz w:val="20"/>
              </w:rPr>
            </w:r>
            <w:r>
              <w:rPr>
                <w:b/>
                <w:sz w:val="20"/>
              </w:rPr>
              <w:t>Change (Mt)</w:t>
            </w:r>
          </w:p>
        </w:tc>
        <w:tc>
          <w:tcPr>
            <w:tcW w:type="dxa" w:w="1234"/>
          </w:tcPr>
          <w:p>
            <w:pPr>
              <w:spacing w:after="40" w:line="240" w:lineRule="auto"/>
            </w:pPr>
            <w:r>
              <w:rPr>
                <w:b/>
                <w:sz w:val="20"/>
              </w:rPr>
            </w:r>
            <w:r>
              <w:rPr>
                <w:b/>
                <w:sz w:val="20"/>
              </w:rPr>
              <w:t>Scale effect (Mt)</w:t>
            </w:r>
          </w:p>
        </w:tc>
        <w:tc>
          <w:tcPr>
            <w:tcW w:type="dxa" w:w="1234"/>
          </w:tcPr>
          <w:p>
            <w:pPr>
              <w:spacing w:after="40" w:line="240" w:lineRule="auto"/>
            </w:pPr>
            <w:r>
              <w:rPr>
                <w:b/>
                <w:sz w:val="20"/>
              </w:rPr>
            </w:r>
            <w:r>
              <w:rPr>
                <w:b/>
                <w:sz w:val="20"/>
              </w:rPr>
              <w:t>Structure effect (Mt)</w:t>
            </w:r>
          </w:p>
        </w:tc>
      </w:tr>
      <w:tr>
        <w:tc>
          <w:tcPr>
            <w:tcW w:type="dxa" w:w="1234"/>
          </w:tcPr>
          <w:p>
            <w:pPr>
              <w:spacing w:after="40" w:line="240" w:lineRule="auto"/>
            </w:pPr>
            <w:r>
              <w:rPr>
                <w:sz w:val="20"/>
              </w:rPr>
            </w:r>
            <w:r>
              <w:rPr>
                <w:sz w:val="20"/>
              </w:rPr>
              <w:t>MERCOSUR</w:t>
            </w:r>
          </w:p>
        </w:tc>
        <w:tc>
          <w:tcPr>
            <w:tcW w:type="dxa" w:w="1234"/>
          </w:tcPr>
          <w:p>
            <w:pPr>
              <w:spacing w:after="40" w:line="240" w:lineRule="auto"/>
            </w:pPr>
            <w:r>
              <w:rPr>
                <w:sz w:val="20"/>
              </w:rPr>
            </w:r>
            <w:r>
              <w:rPr>
                <w:sz w:val="20"/>
              </w:rPr>
              <w:t>Biomass</w:t>
            </w:r>
          </w:p>
        </w:tc>
        <w:tc>
          <w:tcPr>
            <w:tcW w:type="dxa" w:w="1234"/>
          </w:tcPr>
          <w:p>
            <w:pPr>
              <w:spacing w:after="40" w:line="240" w:lineRule="auto"/>
            </w:pPr>
            <w:r>
              <w:rPr>
                <w:sz w:val="20"/>
              </w:rPr>
            </w:r>
            <w:r>
              <w:rPr>
                <w:sz w:val="20"/>
              </w:rPr>
              <w:t>1,811</w:t>
            </w:r>
          </w:p>
        </w:tc>
        <w:tc>
          <w:tcPr>
            <w:tcW w:type="dxa" w:w="1234"/>
          </w:tcPr>
          <w:p>
            <w:pPr>
              <w:spacing w:after="40" w:line="240" w:lineRule="auto"/>
            </w:pPr>
            <w:r>
              <w:rPr>
                <w:sz w:val="20"/>
              </w:rPr>
            </w:r>
            <w:r>
              <w:rPr>
                <w:sz w:val="20"/>
              </w:rPr>
              <w:t>3,826</w:t>
            </w:r>
          </w:p>
        </w:tc>
        <w:tc>
          <w:tcPr>
            <w:tcW w:type="dxa" w:w="1234"/>
          </w:tcPr>
          <w:p>
            <w:pPr>
              <w:spacing w:after="40" w:line="240" w:lineRule="auto"/>
            </w:pPr>
            <w:r>
              <w:rPr>
                <w:sz w:val="20"/>
              </w:rPr>
            </w:r>
            <w:r>
              <w:rPr>
                <w:sz w:val="20"/>
              </w:rPr>
              <w:t>+2,015</w:t>
            </w:r>
          </w:p>
        </w:tc>
        <w:tc>
          <w:tcPr>
            <w:tcW w:type="dxa" w:w="1234"/>
          </w:tcPr>
          <w:p>
            <w:pPr>
              <w:spacing w:after="40" w:line="240" w:lineRule="auto"/>
            </w:pPr>
            <w:r>
              <w:rPr>
                <w:sz w:val="20"/>
              </w:rPr>
            </w:r>
            <w:r>
              <w:rPr>
                <w:sz w:val="20"/>
              </w:rPr>
              <w:t>+2,248 (112%)</w:t>
            </w:r>
          </w:p>
        </w:tc>
        <w:tc>
          <w:tcPr>
            <w:tcW w:type="dxa" w:w="1234"/>
          </w:tcPr>
          <w:p>
            <w:pPr>
              <w:spacing w:after="40" w:line="240" w:lineRule="auto"/>
            </w:pPr>
            <w:r>
              <w:rPr>
                <w:sz w:val="20"/>
              </w:rPr>
            </w:r>
            <w:r>
              <w:rPr>
                <w:sz w:val="20"/>
              </w:rPr>
              <w:t>−233 (−12%)</w:t>
            </w:r>
          </w:p>
        </w:tc>
      </w:tr>
      <w:tr>
        <w:tc>
          <w:tcPr>
            <w:tcW w:type="dxa" w:w="1234"/>
          </w:tcPr>
          <w:p>
            <w:pPr>
              <w:spacing w:after="40" w:line="240" w:lineRule="auto"/>
            </w:pPr>
            <w:r>
              <w:rPr>
                <w:sz w:val="20"/>
              </w:rPr>
            </w:r>
            <w:r>
              <w:rPr>
                <w:sz w:val="20"/>
              </w:rPr>
              <w:t>MERCOSUR</w:t>
            </w:r>
          </w:p>
        </w:tc>
        <w:tc>
          <w:tcPr>
            <w:tcW w:type="dxa" w:w="1234"/>
          </w:tcPr>
          <w:p>
            <w:pPr>
              <w:spacing w:after="40" w:line="240" w:lineRule="auto"/>
            </w:pPr>
            <w:r>
              <w:rPr>
                <w:sz w:val="20"/>
              </w:rPr>
            </w:r>
            <w:r>
              <w:rPr>
                <w:sz w:val="20"/>
              </w:rPr>
              <w:t>Metal ores</w:t>
            </w:r>
          </w:p>
        </w:tc>
        <w:tc>
          <w:tcPr>
            <w:tcW w:type="dxa" w:w="1234"/>
          </w:tcPr>
          <w:p>
            <w:pPr>
              <w:spacing w:after="40" w:line="240" w:lineRule="auto"/>
            </w:pPr>
            <w:r>
              <w:rPr>
                <w:sz w:val="20"/>
              </w:rPr>
            </w:r>
            <w:r>
              <w:rPr>
                <w:sz w:val="20"/>
              </w:rPr>
              <w:t>268</w:t>
            </w:r>
          </w:p>
        </w:tc>
        <w:tc>
          <w:tcPr>
            <w:tcW w:type="dxa" w:w="1234"/>
          </w:tcPr>
          <w:p>
            <w:pPr>
              <w:spacing w:after="40" w:line="240" w:lineRule="auto"/>
            </w:pPr>
            <w:r>
              <w:rPr>
                <w:sz w:val="20"/>
              </w:rPr>
            </w:r>
            <w:r>
              <w:rPr>
                <w:sz w:val="20"/>
              </w:rPr>
              <w:t>657</w:t>
            </w:r>
          </w:p>
        </w:tc>
        <w:tc>
          <w:tcPr>
            <w:tcW w:type="dxa" w:w="1234"/>
          </w:tcPr>
          <w:p>
            <w:pPr>
              <w:spacing w:after="40" w:line="240" w:lineRule="auto"/>
            </w:pPr>
            <w:r>
              <w:rPr>
                <w:sz w:val="20"/>
              </w:rPr>
            </w:r>
            <w:r>
              <w:rPr>
                <w:sz w:val="20"/>
              </w:rPr>
              <w:t>+388</w:t>
            </w:r>
          </w:p>
        </w:tc>
        <w:tc>
          <w:tcPr>
            <w:tcW w:type="dxa" w:w="1234"/>
          </w:tcPr>
          <w:p>
            <w:pPr>
              <w:spacing w:after="40" w:line="240" w:lineRule="auto"/>
            </w:pPr>
            <w:r>
              <w:rPr>
                <w:sz w:val="20"/>
              </w:rPr>
            </w:r>
            <w:r>
              <w:rPr>
                <w:sz w:val="20"/>
              </w:rPr>
              <w:t>+362 (93%)</w:t>
            </w:r>
          </w:p>
        </w:tc>
        <w:tc>
          <w:tcPr>
            <w:tcW w:type="dxa" w:w="1234"/>
          </w:tcPr>
          <w:p>
            <w:pPr>
              <w:spacing w:after="40" w:line="240" w:lineRule="auto"/>
            </w:pPr>
            <w:r>
              <w:rPr>
                <w:sz w:val="20"/>
              </w:rPr>
            </w:r>
            <w:r>
              <w:rPr>
                <w:sz w:val="20"/>
              </w:rPr>
              <w:t>+26 (7%)</w:t>
            </w:r>
          </w:p>
        </w:tc>
      </w:tr>
      <w:tr>
        <w:tc>
          <w:tcPr>
            <w:tcW w:type="dxa" w:w="1234"/>
          </w:tcPr>
          <w:p>
            <w:pPr>
              <w:spacing w:after="40" w:line="240" w:lineRule="auto"/>
            </w:pPr>
            <w:r>
              <w:rPr>
                <w:sz w:val="20"/>
              </w:rPr>
            </w:r>
            <w:r>
              <w:rPr>
                <w:sz w:val="20"/>
              </w:rPr>
              <w:t>MERCOSUR</w:t>
            </w:r>
          </w:p>
        </w:tc>
        <w:tc>
          <w:tcPr>
            <w:tcW w:type="dxa" w:w="1234"/>
          </w:tcPr>
          <w:p>
            <w:pPr>
              <w:spacing w:after="40" w:line="240" w:lineRule="auto"/>
            </w:pPr>
            <w:r>
              <w:rPr>
                <w:sz w:val="20"/>
              </w:rPr>
            </w:r>
            <w:r>
              <w:rPr>
                <w:sz w:val="20"/>
              </w:rPr>
              <w:t>Non-metallic minerals</w:t>
            </w:r>
          </w:p>
        </w:tc>
        <w:tc>
          <w:tcPr>
            <w:tcW w:type="dxa" w:w="1234"/>
          </w:tcPr>
          <w:p>
            <w:pPr>
              <w:spacing w:after="40" w:line="240" w:lineRule="auto"/>
            </w:pPr>
            <w:r>
              <w:rPr>
                <w:sz w:val="20"/>
              </w:rPr>
            </w:r>
            <w:r>
              <w:rPr>
                <w:sz w:val="20"/>
              </w:rPr>
              <w:t>509</w:t>
            </w:r>
          </w:p>
        </w:tc>
        <w:tc>
          <w:tcPr>
            <w:tcW w:type="dxa" w:w="1234"/>
          </w:tcPr>
          <w:p>
            <w:pPr>
              <w:spacing w:after="40" w:line="240" w:lineRule="auto"/>
            </w:pPr>
            <w:r>
              <w:rPr>
                <w:sz w:val="20"/>
              </w:rPr>
            </w:r>
            <w:r>
              <w:rPr>
                <w:sz w:val="20"/>
              </w:rPr>
              <w:t>1,414</w:t>
            </w:r>
          </w:p>
        </w:tc>
        <w:tc>
          <w:tcPr>
            <w:tcW w:type="dxa" w:w="1234"/>
          </w:tcPr>
          <w:p>
            <w:pPr>
              <w:spacing w:after="40" w:line="240" w:lineRule="auto"/>
            </w:pPr>
            <w:r>
              <w:rPr>
                <w:sz w:val="20"/>
              </w:rPr>
            </w:r>
            <w:r>
              <w:rPr>
                <w:sz w:val="20"/>
              </w:rPr>
              <w:t>+904</w:t>
            </w:r>
          </w:p>
        </w:tc>
        <w:tc>
          <w:tcPr>
            <w:tcW w:type="dxa" w:w="1234"/>
          </w:tcPr>
          <w:p>
            <w:pPr>
              <w:spacing w:after="40" w:line="240" w:lineRule="auto"/>
            </w:pPr>
            <w:r>
              <w:rPr>
                <w:sz w:val="20"/>
              </w:rPr>
            </w:r>
            <w:r>
              <w:rPr>
                <w:sz w:val="20"/>
              </w:rPr>
              <w:t>+739 (82%)</w:t>
            </w:r>
          </w:p>
        </w:tc>
        <w:tc>
          <w:tcPr>
            <w:tcW w:type="dxa" w:w="1234"/>
          </w:tcPr>
          <w:p>
            <w:pPr>
              <w:spacing w:after="40" w:line="240" w:lineRule="auto"/>
            </w:pPr>
            <w:r>
              <w:rPr>
                <w:sz w:val="20"/>
              </w:rPr>
            </w:r>
            <w:r>
              <w:rPr>
                <w:sz w:val="20"/>
              </w:rPr>
              <w:t>+165 (18%)</w:t>
            </w:r>
          </w:p>
        </w:tc>
      </w:tr>
      <w:tr>
        <w:tc>
          <w:tcPr>
            <w:tcW w:type="dxa" w:w="1234"/>
          </w:tcPr>
          <w:p>
            <w:pPr>
              <w:spacing w:after="40" w:line="240" w:lineRule="auto"/>
            </w:pPr>
            <w:r>
              <w:rPr>
                <w:sz w:val="20"/>
              </w:rPr>
            </w:r>
            <w:r>
              <w:rPr>
                <w:sz w:val="20"/>
              </w:rPr>
              <w:t>MERCOSUR</w:t>
            </w:r>
          </w:p>
        </w:tc>
        <w:tc>
          <w:tcPr>
            <w:tcW w:type="dxa" w:w="1234"/>
          </w:tcPr>
          <w:p>
            <w:pPr>
              <w:spacing w:after="40" w:line="240" w:lineRule="auto"/>
            </w:pPr>
            <w:r>
              <w:rPr>
                <w:sz w:val="20"/>
              </w:rPr>
            </w:r>
            <w:r>
              <w:rPr>
                <w:sz w:val="20"/>
              </w:rPr>
              <w:t>Fossil fuels</w:t>
            </w:r>
          </w:p>
        </w:tc>
        <w:tc>
          <w:tcPr>
            <w:tcW w:type="dxa" w:w="1234"/>
          </w:tcPr>
          <w:p>
            <w:pPr>
              <w:spacing w:after="40" w:line="240" w:lineRule="auto"/>
            </w:pPr>
            <w:r>
              <w:rPr>
                <w:sz w:val="20"/>
              </w:rPr>
            </w:r>
            <w:r>
              <w:rPr>
                <w:sz w:val="20"/>
              </w:rPr>
              <w:t>80</w:t>
            </w:r>
          </w:p>
        </w:tc>
        <w:tc>
          <w:tcPr>
            <w:tcW w:type="dxa" w:w="1234"/>
          </w:tcPr>
          <w:p>
            <w:pPr>
              <w:spacing w:after="40" w:line="240" w:lineRule="auto"/>
            </w:pPr>
            <w:r>
              <w:rPr>
                <w:sz w:val="20"/>
              </w:rPr>
            </w:r>
            <w:r>
              <w:rPr>
                <w:sz w:val="20"/>
              </w:rPr>
              <w:t>250</w:t>
            </w:r>
          </w:p>
        </w:tc>
        <w:tc>
          <w:tcPr>
            <w:tcW w:type="dxa" w:w="1234"/>
          </w:tcPr>
          <w:p>
            <w:pPr>
              <w:spacing w:after="40" w:line="240" w:lineRule="auto"/>
            </w:pPr>
            <w:r>
              <w:rPr>
                <w:sz w:val="20"/>
              </w:rPr>
            </w:r>
            <w:r>
              <w:rPr>
                <w:sz w:val="20"/>
              </w:rPr>
              <w:t>+170</w:t>
            </w:r>
          </w:p>
        </w:tc>
        <w:tc>
          <w:tcPr>
            <w:tcW w:type="dxa" w:w="1234"/>
          </w:tcPr>
          <w:p>
            <w:pPr>
              <w:spacing w:after="40" w:line="240" w:lineRule="auto"/>
            </w:pPr>
            <w:r>
              <w:rPr>
                <w:sz w:val="20"/>
              </w:rPr>
            </w:r>
            <w:r>
              <w:rPr>
                <w:sz w:val="20"/>
              </w:rPr>
              <w:t>+125 (73%)</w:t>
            </w:r>
          </w:p>
        </w:tc>
        <w:tc>
          <w:tcPr>
            <w:tcW w:type="dxa" w:w="1234"/>
          </w:tcPr>
          <w:p>
            <w:pPr>
              <w:spacing w:after="40" w:line="240" w:lineRule="auto"/>
            </w:pPr>
            <w:r>
              <w:rPr>
                <w:sz w:val="20"/>
              </w:rPr>
            </w:r>
            <w:r>
              <w:rPr>
                <w:sz w:val="20"/>
              </w:rPr>
              <w:t>+46 (27%)</w:t>
            </w:r>
          </w:p>
        </w:tc>
      </w:tr>
      <w:tr>
        <w:tc>
          <w:tcPr>
            <w:tcW w:type="dxa" w:w="1234"/>
          </w:tcPr>
          <w:p>
            <w:pPr>
              <w:spacing w:after="40" w:line="240" w:lineRule="auto"/>
            </w:pPr>
            <w:r>
              <w:rPr>
                <w:sz w:val="20"/>
              </w:rPr>
            </w:r>
            <w:r>
              <w:rPr>
                <w:sz w:val="20"/>
              </w:rPr>
              <w:t>EU-27</w:t>
            </w:r>
          </w:p>
        </w:tc>
        <w:tc>
          <w:tcPr>
            <w:tcW w:type="dxa" w:w="1234"/>
          </w:tcPr>
          <w:p>
            <w:pPr>
              <w:spacing w:after="40" w:line="240" w:lineRule="auto"/>
            </w:pPr>
            <w:r>
              <w:rPr>
                <w:sz w:val="20"/>
              </w:rPr>
            </w:r>
            <w:r>
              <w:rPr>
                <w:sz w:val="20"/>
              </w:rPr>
              <w:t>Biomass</w:t>
            </w:r>
          </w:p>
        </w:tc>
        <w:tc>
          <w:tcPr>
            <w:tcW w:type="dxa" w:w="1234"/>
          </w:tcPr>
          <w:p>
            <w:pPr>
              <w:spacing w:after="40" w:line="240" w:lineRule="auto"/>
            </w:pPr>
            <w:r>
              <w:rPr>
                <w:sz w:val="20"/>
              </w:rPr>
            </w:r>
            <w:r>
              <w:rPr>
                <w:sz w:val="20"/>
              </w:rPr>
              <w:t>1,780</w:t>
            </w:r>
          </w:p>
        </w:tc>
        <w:tc>
          <w:tcPr>
            <w:tcW w:type="dxa" w:w="1234"/>
          </w:tcPr>
          <w:p>
            <w:pPr>
              <w:spacing w:after="40" w:line="240" w:lineRule="auto"/>
            </w:pPr>
            <w:r>
              <w:rPr>
                <w:sz w:val="20"/>
              </w:rPr>
            </w:r>
            <w:r>
              <w:rPr>
                <w:sz w:val="20"/>
              </w:rPr>
              <w:t>1,781</w:t>
            </w:r>
          </w:p>
        </w:tc>
        <w:tc>
          <w:tcPr>
            <w:tcW w:type="dxa" w:w="1234"/>
          </w:tcPr>
          <w:p>
            <w:pPr>
              <w:spacing w:after="40" w:line="240" w:lineRule="auto"/>
            </w:pPr>
            <w:r>
              <w:rPr>
                <w:sz w:val="20"/>
              </w:rPr>
            </w:r>
            <w:r>
              <w:rPr>
                <w:sz w:val="20"/>
              </w:rPr>
              <w:t>+1</w:t>
            </w:r>
          </w:p>
        </w:tc>
        <w:tc>
          <w:tcPr>
            <w:tcW w:type="dxa" w:w="1234"/>
          </w:tcPr>
          <w:p>
            <w:pPr>
              <w:spacing w:after="40" w:line="240" w:lineRule="auto"/>
            </w:pPr>
            <w:r>
              <w:rPr>
                <w:sz w:val="20"/>
              </w:rPr>
            </w:r>
            <w:r>
              <w:rPr>
                <w:sz w:val="20"/>
              </w:rPr>
              <w:t>−103</w:t>
            </w:r>
          </w:p>
        </w:tc>
        <w:tc>
          <w:tcPr>
            <w:tcW w:type="dxa" w:w="1234"/>
          </w:tcPr>
          <w:p>
            <w:pPr>
              <w:spacing w:after="40" w:line="240" w:lineRule="auto"/>
            </w:pPr>
            <w:r>
              <w:rPr>
                <w:sz w:val="20"/>
              </w:rPr>
            </w:r>
            <w:r>
              <w:rPr>
                <w:sz w:val="20"/>
              </w:rPr>
              <w:t>+104</w:t>
            </w:r>
          </w:p>
        </w:tc>
      </w:tr>
      <w:tr>
        <w:tc>
          <w:tcPr>
            <w:tcW w:type="dxa" w:w="1234"/>
          </w:tcPr>
          <w:p>
            <w:pPr>
              <w:spacing w:after="40" w:line="240" w:lineRule="auto"/>
            </w:pPr>
            <w:r>
              <w:rPr>
                <w:sz w:val="20"/>
              </w:rPr>
            </w:r>
            <w:r>
              <w:rPr>
                <w:sz w:val="20"/>
              </w:rPr>
              <w:t>EU-27</w:t>
            </w:r>
          </w:p>
        </w:tc>
        <w:tc>
          <w:tcPr>
            <w:tcW w:type="dxa" w:w="1234"/>
          </w:tcPr>
          <w:p>
            <w:pPr>
              <w:spacing w:after="40" w:line="240" w:lineRule="auto"/>
            </w:pPr>
            <w:r>
              <w:rPr>
                <w:sz w:val="20"/>
              </w:rPr>
            </w:r>
            <w:r>
              <w:rPr>
                <w:sz w:val="20"/>
              </w:rPr>
              <w:t>Metal ores</w:t>
            </w:r>
          </w:p>
        </w:tc>
        <w:tc>
          <w:tcPr>
            <w:tcW w:type="dxa" w:w="1234"/>
          </w:tcPr>
          <w:p>
            <w:pPr>
              <w:spacing w:after="40" w:line="240" w:lineRule="auto"/>
            </w:pPr>
            <w:r>
              <w:rPr>
                <w:sz w:val="20"/>
              </w:rPr>
            </w:r>
            <w:r>
              <w:rPr>
                <w:sz w:val="20"/>
              </w:rPr>
              <w:t>167</w:t>
            </w:r>
          </w:p>
        </w:tc>
        <w:tc>
          <w:tcPr>
            <w:tcW w:type="dxa" w:w="1234"/>
          </w:tcPr>
          <w:p>
            <w:pPr>
              <w:spacing w:after="40" w:line="240" w:lineRule="auto"/>
            </w:pPr>
            <w:r>
              <w:rPr>
                <w:sz w:val="20"/>
              </w:rPr>
            </w:r>
            <w:r>
              <w:rPr>
                <w:sz w:val="20"/>
              </w:rPr>
              <w:t>199</w:t>
            </w:r>
          </w:p>
        </w:tc>
        <w:tc>
          <w:tcPr>
            <w:tcW w:type="dxa" w:w="1234"/>
          </w:tcPr>
          <w:p>
            <w:pPr>
              <w:spacing w:after="40" w:line="240" w:lineRule="auto"/>
            </w:pPr>
            <w:r>
              <w:rPr>
                <w:sz w:val="20"/>
              </w:rPr>
            </w:r>
            <w:r>
              <w:rPr>
                <w:sz w:val="20"/>
              </w:rPr>
              <w:t>+33</w:t>
            </w:r>
          </w:p>
        </w:tc>
        <w:tc>
          <w:tcPr>
            <w:tcW w:type="dxa" w:w="1234"/>
          </w:tcPr>
          <w:p>
            <w:pPr>
              <w:spacing w:after="40" w:line="240" w:lineRule="auto"/>
            </w:pPr>
            <w:r>
              <w:rPr>
                <w:sz w:val="20"/>
              </w:rPr>
            </w:r>
            <w:r>
              <w:rPr>
                <w:sz w:val="20"/>
              </w:rPr>
              <w:t>−11</w:t>
            </w:r>
          </w:p>
        </w:tc>
        <w:tc>
          <w:tcPr>
            <w:tcW w:type="dxa" w:w="1234"/>
          </w:tcPr>
          <w:p>
            <w:pPr>
              <w:spacing w:after="40" w:line="240" w:lineRule="auto"/>
            </w:pPr>
            <w:r>
              <w:rPr>
                <w:sz w:val="20"/>
              </w:rPr>
            </w:r>
            <w:r>
              <w:rPr>
                <w:sz w:val="20"/>
              </w:rPr>
              <w:t>+43</w:t>
            </w:r>
          </w:p>
        </w:tc>
      </w:tr>
      <w:tr>
        <w:tc>
          <w:tcPr>
            <w:tcW w:type="dxa" w:w="1234"/>
          </w:tcPr>
          <w:p>
            <w:pPr>
              <w:spacing w:after="40" w:line="240" w:lineRule="auto"/>
            </w:pPr>
            <w:r>
              <w:rPr>
                <w:sz w:val="20"/>
              </w:rPr>
            </w:r>
            <w:r>
              <w:rPr>
                <w:sz w:val="20"/>
              </w:rPr>
              <w:t>EU-27</w:t>
            </w:r>
          </w:p>
        </w:tc>
        <w:tc>
          <w:tcPr>
            <w:tcW w:type="dxa" w:w="1234"/>
          </w:tcPr>
          <w:p>
            <w:pPr>
              <w:spacing w:after="40" w:line="240" w:lineRule="auto"/>
            </w:pPr>
            <w:r>
              <w:rPr>
                <w:sz w:val="20"/>
              </w:rPr>
            </w:r>
            <w:r>
              <w:rPr>
                <w:sz w:val="20"/>
              </w:rPr>
              <w:t>Non-metallic minerals</w:t>
            </w:r>
          </w:p>
        </w:tc>
        <w:tc>
          <w:tcPr>
            <w:tcW w:type="dxa" w:w="1234"/>
          </w:tcPr>
          <w:p>
            <w:pPr>
              <w:spacing w:after="40" w:line="240" w:lineRule="auto"/>
            </w:pPr>
            <w:r>
              <w:rPr>
                <w:sz w:val="20"/>
              </w:rPr>
            </w:r>
            <w:r>
              <w:rPr>
                <w:sz w:val="20"/>
              </w:rPr>
              <w:t>2,729</w:t>
            </w:r>
          </w:p>
        </w:tc>
        <w:tc>
          <w:tcPr>
            <w:tcW w:type="dxa" w:w="1234"/>
          </w:tcPr>
          <w:p>
            <w:pPr>
              <w:spacing w:after="40" w:line="240" w:lineRule="auto"/>
            </w:pPr>
            <w:r>
              <w:rPr>
                <w:sz w:val="20"/>
              </w:rPr>
            </w:r>
            <w:r>
              <w:rPr>
                <w:sz w:val="20"/>
              </w:rPr>
              <w:t>3,091</w:t>
            </w:r>
          </w:p>
        </w:tc>
        <w:tc>
          <w:tcPr>
            <w:tcW w:type="dxa" w:w="1234"/>
          </w:tcPr>
          <w:p>
            <w:pPr>
              <w:spacing w:after="40" w:line="240" w:lineRule="auto"/>
            </w:pPr>
            <w:r>
              <w:rPr>
                <w:sz w:val="20"/>
              </w:rPr>
            </w:r>
            <w:r>
              <w:rPr>
                <w:sz w:val="20"/>
              </w:rPr>
              <w:t>+363</w:t>
            </w:r>
          </w:p>
        </w:tc>
        <w:tc>
          <w:tcPr>
            <w:tcW w:type="dxa" w:w="1234"/>
          </w:tcPr>
          <w:p>
            <w:pPr>
              <w:spacing w:after="40" w:line="240" w:lineRule="auto"/>
            </w:pPr>
            <w:r>
              <w:rPr>
                <w:sz w:val="20"/>
              </w:rPr>
            </w:r>
            <w:r>
              <w:rPr>
                <w:sz w:val="20"/>
              </w:rPr>
              <w:t>−167</w:t>
            </w:r>
          </w:p>
        </w:tc>
        <w:tc>
          <w:tcPr>
            <w:tcW w:type="dxa" w:w="1234"/>
          </w:tcPr>
          <w:p>
            <w:pPr>
              <w:spacing w:after="40" w:line="240" w:lineRule="auto"/>
            </w:pPr>
            <w:r>
              <w:rPr>
                <w:sz w:val="20"/>
              </w:rPr>
            </w:r>
            <w:r>
              <w:rPr>
                <w:sz w:val="20"/>
              </w:rPr>
              <w:t>+530</w:t>
            </w:r>
          </w:p>
        </w:tc>
      </w:tr>
      <w:tr>
        <w:tc>
          <w:tcPr>
            <w:tcW w:type="dxa" w:w="1234"/>
          </w:tcPr>
          <w:p>
            <w:pPr>
              <w:spacing w:after="40" w:line="240" w:lineRule="auto"/>
            </w:pPr>
            <w:r>
              <w:rPr>
                <w:sz w:val="20"/>
              </w:rPr>
            </w:r>
            <w:r>
              <w:rPr>
                <w:sz w:val="20"/>
              </w:rPr>
              <w:t>EU-27</w:t>
            </w:r>
          </w:p>
        </w:tc>
        <w:tc>
          <w:tcPr>
            <w:tcW w:type="dxa" w:w="1234"/>
          </w:tcPr>
          <w:p>
            <w:pPr>
              <w:spacing w:after="40" w:line="240" w:lineRule="auto"/>
            </w:pPr>
            <w:r>
              <w:rPr>
                <w:sz w:val="20"/>
              </w:rPr>
            </w:r>
            <w:r>
              <w:rPr>
                <w:sz w:val="20"/>
              </w:rPr>
              <w:t>Fossil fuels</w:t>
            </w:r>
          </w:p>
        </w:tc>
        <w:tc>
          <w:tcPr>
            <w:tcW w:type="dxa" w:w="1234"/>
          </w:tcPr>
          <w:p>
            <w:pPr>
              <w:spacing w:after="40" w:line="240" w:lineRule="auto"/>
            </w:pPr>
            <w:r>
              <w:rPr>
                <w:sz w:val="20"/>
              </w:rPr>
            </w:r>
            <w:r>
              <w:rPr>
                <w:sz w:val="20"/>
              </w:rPr>
              <w:t>1,104</w:t>
            </w:r>
          </w:p>
        </w:tc>
        <w:tc>
          <w:tcPr>
            <w:tcW w:type="dxa" w:w="1234"/>
          </w:tcPr>
          <w:p>
            <w:pPr>
              <w:spacing w:after="40" w:line="240" w:lineRule="auto"/>
            </w:pPr>
            <w:r>
              <w:rPr>
                <w:sz w:val="20"/>
              </w:rPr>
            </w:r>
            <w:r>
              <w:rPr>
                <w:sz w:val="20"/>
              </w:rPr>
              <w:t>384</w:t>
            </w:r>
          </w:p>
        </w:tc>
        <w:tc>
          <w:tcPr>
            <w:tcW w:type="dxa" w:w="1234"/>
          </w:tcPr>
          <w:p>
            <w:pPr>
              <w:spacing w:after="40" w:line="240" w:lineRule="auto"/>
            </w:pPr>
            <w:r>
              <w:rPr>
                <w:sz w:val="20"/>
              </w:rPr>
            </w:r>
            <w:r>
              <w:rPr>
                <w:sz w:val="20"/>
              </w:rPr>
              <w:t>−720</w:t>
            </w:r>
          </w:p>
        </w:tc>
        <w:tc>
          <w:tcPr>
            <w:tcW w:type="dxa" w:w="1234"/>
          </w:tcPr>
          <w:p>
            <w:pPr>
              <w:spacing w:after="40" w:line="240" w:lineRule="auto"/>
            </w:pPr>
            <w:r>
              <w:rPr>
                <w:sz w:val="20"/>
              </w:rPr>
            </w:r>
            <w:r>
              <w:rPr>
                <w:sz w:val="20"/>
              </w:rPr>
              <w:t>−39 (5%)</w:t>
            </w:r>
          </w:p>
        </w:tc>
        <w:tc>
          <w:tcPr>
            <w:tcW w:type="dxa" w:w="1234"/>
          </w:tcPr>
          <w:p>
            <w:pPr>
              <w:spacing w:after="40" w:line="240" w:lineRule="auto"/>
            </w:pPr>
            <w:r>
              <w:rPr>
                <w:sz w:val="20"/>
              </w:rPr>
            </w:r>
            <w:r>
              <w:rPr>
                <w:sz w:val="20"/>
              </w:rPr>
              <w:t>−681 (95%)</w:t>
            </w:r>
          </w:p>
        </w:tc>
      </w:tr>
    </w:tbl>
    <w:p>
      <w:pPr>
        <w:spacing w:before="120" w:after="240"/>
        <w:jc w:val="both"/>
      </w:pPr>
      <w:r>
        <w:rPr>
          <w:i/>
          <w:sz w:val="20"/>
        </w:rPr>
        <w:t>Note: Percentages in parentheses indicate each effect's share of the total change. The LMDI decomposition satisfies perfect decomposition (scale + structure = total change, zero residual). The method attributes MERCOSUR's biomass growth overwhelmingly to scale (+2,248 Mt, 112%) with a negative structural shift (−233 Mt), indicating that biomass grew slightly less than proportionally to total extraction. For the EU-27, the near-zero net change in biomass (+1 Mt) masks offsetting scale and structure effects.</w:t>
      </w:r>
    </w:p>
    <w:p>
      <w:pPr>
        <w:pStyle w:val="Heading3"/>
      </w:pPr>
      <w:r>
        <w:t>Panel B. Comparison of decomposition granularity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line="240" w:lineRule="auto"/>
            </w:pPr>
            <w:r>
              <w:rPr>
                <w:b/>
                <w:sz w:val="20"/>
              </w:rPr>
            </w:r>
            <w:r>
              <w:rPr>
                <w:b/>
                <w:sz w:val="20"/>
              </w:rPr>
              <w:t>Aspect</w:t>
            </w:r>
          </w:p>
        </w:tc>
        <w:tc>
          <w:tcPr>
            <w:tcW w:type="dxa" w:w="2880"/>
          </w:tcPr>
          <w:p>
            <w:pPr>
              <w:spacing w:after="40" w:line="240" w:lineRule="auto"/>
            </w:pPr>
            <w:r>
              <w:rPr>
                <w:b/>
                <w:sz w:val="20"/>
              </w:rPr>
            </w:r>
            <w:r>
              <w:rPr>
                <w:b/>
                <w:sz w:val="20"/>
              </w:rPr>
              <w:t>LMDI (Ang, 2015)</w:t>
            </w:r>
          </w:p>
        </w:tc>
        <w:tc>
          <w:tcPr>
            <w:tcW w:type="dxa" w:w="2880"/>
          </w:tcPr>
          <w:p>
            <w:pPr>
              <w:spacing w:after="40" w:line="240" w:lineRule="auto"/>
            </w:pPr>
            <w:r>
              <w:rPr>
                <w:b/>
                <w:sz w:val="20"/>
              </w:rPr>
            </w:r>
            <w:r>
              <w:rPr>
                <w:b/>
                <w:sz w:val="20"/>
              </w:rPr>
              <w:t>NTF (this study)</w:t>
            </w:r>
          </w:p>
        </w:tc>
      </w:tr>
      <w:tr>
        <w:tc>
          <w:tcPr>
            <w:tcW w:type="dxa" w:w="2880"/>
          </w:tcPr>
          <w:p>
            <w:pPr>
              <w:spacing w:after="40" w:line="240" w:lineRule="auto"/>
            </w:pPr>
            <w:r>
              <w:rPr>
                <w:sz w:val="20"/>
              </w:rPr>
            </w:r>
            <w:r>
              <w:rPr>
                <w:sz w:val="20"/>
              </w:rPr>
              <w:t>Input dimensions</w:t>
            </w:r>
          </w:p>
        </w:tc>
        <w:tc>
          <w:tcPr>
            <w:tcW w:type="dxa" w:w="2880"/>
          </w:tcPr>
          <w:p>
            <w:pPr>
              <w:spacing w:after="40" w:line="240" w:lineRule="auto"/>
            </w:pPr>
            <w:r>
              <w:rPr>
                <w:sz w:val="20"/>
              </w:rPr>
            </w:r>
            <w:r>
              <w:rPr>
                <w:sz w:val="20"/>
              </w:rPr>
              <w:t>2-way (bloc × MFA category)</w:t>
            </w:r>
          </w:p>
        </w:tc>
        <w:tc>
          <w:tcPr>
            <w:tcW w:type="dxa" w:w="2880"/>
          </w:tcPr>
          <w:p>
            <w:pPr>
              <w:spacing w:after="40" w:line="240" w:lineRule="auto"/>
            </w:pPr>
            <w:r>
              <w:rPr>
                <w:sz w:val="20"/>
              </w:rPr>
            </w:r>
            <w:r>
              <w:rPr>
                <w:sz w:val="20"/>
              </w:rPr>
              <w:t>4-way (31 countries × 120 sectors × 15 materials × 33 years)</w:t>
            </w:r>
          </w:p>
        </w:tc>
      </w:tr>
      <w:tr>
        <w:tc>
          <w:tcPr>
            <w:tcW w:type="dxa" w:w="2880"/>
          </w:tcPr>
          <w:p>
            <w:pPr>
              <w:spacing w:after="40" w:line="240" w:lineRule="auto"/>
            </w:pPr>
            <w:r>
              <w:rPr>
                <w:sz w:val="20"/>
              </w:rPr>
            </w:r>
            <w:r>
              <w:rPr>
                <w:sz w:val="20"/>
              </w:rPr>
              <w:t>Factors identified</w:t>
            </w:r>
          </w:p>
        </w:tc>
        <w:tc>
          <w:tcPr>
            <w:tcW w:type="dxa" w:w="2880"/>
          </w:tcPr>
          <w:p>
            <w:pPr>
              <w:spacing w:after="40" w:line="240" w:lineRule="auto"/>
            </w:pPr>
            <w:r>
              <w:rPr>
                <w:sz w:val="20"/>
              </w:rPr>
            </w:r>
            <w:r>
              <w:rPr>
                <w:sz w:val="20"/>
              </w:rPr>
              <w:t>2 (scale + structure)</w:t>
            </w:r>
          </w:p>
        </w:tc>
        <w:tc>
          <w:tcPr>
            <w:tcW w:type="dxa" w:w="2880"/>
          </w:tcPr>
          <w:p>
            <w:pPr>
              <w:spacing w:after="40" w:line="240" w:lineRule="auto"/>
            </w:pPr>
            <w:r>
              <w:rPr>
                <w:sz w:val="20"/>
              </w:rPr>
            </w:r>
            <w:r>
              <w:rPr>
                <w:sz w:val="20"/>
              </w:rPr>
              <w:t>6 latent extraction systems</w:t>
            </w:r>
          </w:p>
        </w:tc>
      </w:tr>
      <w:tr>
        <w:tc>
          <w:tcPr>
            <w:tcW w:type="dxa" w:w="2880"/>
          </w:tcPr>
          <w:p>
            <w:pPr>
              <w:spacing w:after="40" w:line="240" w:lineRule="auto"/>
            </w:pPr>
            <w:r>
              <w:rPr>
                <w:sz w:val="20"/>
              </w:rPr>
            </w:r>
            <w:r>
              <w:rPr>
                <w:sz w:val="20"/>
              </w:rPr>
              <w:t>Sector attribution</w:t>
            </w:r>
          </w:p>
        </w:tc>
        <w:tc>
          <w:tcPr>
            <w:tcW w:type="dxa" w:w="2880"/>
          </w:tcPr>
          <w:p>
            <w:pPr>
              <w:spacing w:after="40" w:line="240" w:lineRule="auto"/>
            </w:pPr>
            <w:r>
              <w:rPr>
                <w:sz w:val="20"/>
              </w:rPr>
            </w:r>
            <w:r>
              <w:rPr>
                <w:sz w:val="20"/>
              </w:rPr>
              <w:t>Not available</w:t>
            </w:r>
          </w:p>
        </w:tc>
        <w:tc>
          <w:tcPr>
            <w:tcW w:type="dxa" w:w="2880"/>
          </w:tcPr>
          <w:p>
            <w:pPr>
              <w:spacing w:after="40" w:line="240" w:lineRule="auto"/>
            </w:pPr>
            <w:r>
              <w:rPr>
                <w:sz w:val="20"/>
              </w:rPr>
            </w:r>
            <w:r>
              <w:rPr>
                <w:sz w:val="20"/>
              </w:rPr>
              <w:t>120 sectors with loadings per component</w:t>
            </w:r>
          </w:p>
        </w:tc>
      </w:tr>
      <w:tr>
        <w:tc>
          <w:tcPr>
            <w:tcW w:type="dxa" w:w="2880"/>
          </w:tcPr>
          <w:p>
            <w:pPr>
              <w:spacing w:after="40" w:line="240" w:lineRule="auto"/>
            </w:pPr>
            <w:r>
              <w:rPr>
                <w:sz w:val="20"/>
              </w:rPr>
            </w:r>
            <w:r>
              <w:rPr>
                <w:sz w:val="20"/>
              </w:rPr>
              <w:t>Country attribution</w:t>
            </w:r>
          </w:p>
        </w:tc>
        <w:tc>
          <w:tcPr>
            <w:tcW w:type="dxa" w:w="2880"/>
          </w:tcPr>
          <w:p>
            <w:pPr>
              <w:spacing w:after="40" w:line="240" w:lineRule="auto"/>
            </w:pPr>
            <w:r>
              <w:rPr>
                <w:sz w:val="20"/>
              </w:rPr>
            </w:r>
            <w:r>
              <w:rPr>
                <w:sz w:val="20"/>
              </w:rPr>
              <w:t>Separate analysis per bloc</w:t>
            </w:r>
          </w:p>
        </w:tc>
        <w:tc>
          <w:tcPr>
            <w:tcW w:type="dxa" w:w="2880"/>
          </w:tcPr>
          <w:p>
            <w:pPr>
              <w:spacing w:after="40" w:line="240" w:lineRule="auto"/>
            </w:pPr>
            <w:r>
              <w:rPr>
                <w:sz w:val="20"/>
              </w:rPr>
            </w:r>
            <w:r>
              <w:rPr>
                <w:sz w:val="20"/>
              </w:rPr>
              <w:t>Simultaneous; 31 country loadings per component</w:t>
            </w:r>
          </w:p>
        </w:tc>
      </w:tr>
      <w:tr>
        <w:tc>
          <w:tcPr>
            <w:tcW w:type="dxa" w:w="2880"/>
          </w:tcPr>
          <w:p>
            <w:pPr>
              <w:spacing w:after="40" w:line="240" w:lineRule="auto"/>
            </w:pPr>
            <w:r>
              <w:rPr>
                <w:sz w:val="20"/>
              </w:rPr>
            </w:r>
            <w:r>
              <w:rPr>
                <w:sz w:val="20"/>
              </w:rPr>
              <w:t>Cross-dimensional interactions</w:t>
            </w:r>
          </w:p>
        </w:tc>
        <w:tc>
          <w:tcPr>
            <w:tcW w:type="dxa" w:w="2880"/>
          </w:tcPr>
          <w:p>
            <w:pPr>
              <w:spacing w:after="40" w:line="240" w:lineRule="auto"/>
            </w:pPr>
            <w:r>
              <w:rPr>
                <w:sz w:val="20"/>
              </w:rPr>
            </w:r>
            <w:r>
              <w:rPr>
                <w:sz w:val="20"/>
              </w:rPr>
              <w:t>Aggregated by flattening</w:t>
            </w:r>
          </w:p>
        </w:tc>
        <w:tc>
          <w:tcPr>
            <w:tcW w:type="dxa" w:w="2880"/>
          </w:tcPr>
          <w:p>
            <w:pPr>
              <w:spacing w:after="40" w:line="240" w:lineRule="auto"/>
            </w:pPr>
            <w:r>
              <w:rPr>
                <w:sz w:val="20"/>
              </w:rPr>
            </w:r>
            <w:r>
              <w:rPr>
                <w:sz w:val="20"/>
              </w:rPr>
              <w:t>Preserved (e.g., C5 couples livestock sectors with crop residues and grazed biomass)</w:t>
            </w:r>
          </w:p>
        </w:tc>
      </w:tr>
      <w:tr>
        <w:tc>
          <w:tcPr>
            <w:tcW w:type="dxa" w:w="2880"/>
          </w:tcPr>
          <w:p>
            <w:pPr>
              <w:spacing w:after="40" w:line="240" w:lineRule="auto"/>
            </w:pPr>
            <w:r>
              <w:rPr>
                <w:sz w:val="20"/>
              </w:rPr>
            </w:r>
            <w:r>
              <w:rPr>
                <w:sz w:val="20"/>
              </w:rPr>
              <w:t>Interpretation of MERCOSUR biomass growth</w:t>
            </w:r>
          </w:p>
        </w:tc>
        <w:tc>
          <w:tcPr>
            <w:tcW w:type="dxa" w:w="2880"/>
          </w:tcPr>
          <w:p>
            <w:pPr>
              <w:spacing w:after="40" w:line="240" w:lineRule="auto"/>
            </w:pPr>
            <w:r>
              <w:rPr>
                <w:sz w:val="20"/>
              </w:rPr>
            </w:r>
            <w:r>
              <w:rPr>
                <w:sz w:val="20"/>
              </w:rPr>
              <w:t>Scale effect: +2,248 Mt</w:t>
            </w:r>
          </w:p>
        </w:tc>
        <w:tc>
          <w:tcPr>
            <w:tcW w:type="dxa" w:w="2880"/>
          </w:tcPr>
          <w:p>
            <w:pPr>
              <w:spacing w:after="40" w:line="240" w:lineRule="auto"/>
            </w:pPr>
            <w:r>
              <w:rPr>
                <w:sz w:val="20"/>
              </w:rPr>
            </w:r>
            <w:r>
              <w:rPr>
                <w:sz w:val="20"/>
              </w:rPr>
              <w:t>C1 (agricultural crops, +0.31/yr): cereals, vegetables, wheat; C5 (livestock, +0.41/yr): cattle raising, sheep — the fastest-growing component</w:t>
            </w:r>
          </w:p>
        </w:tc>
      </w:tr>
      <w:tr>
        <w:tc>
          <w:tcPr>
            <w:tcW w:type="dxa" w:w="2880"/>
          </w:tcPr>
          <w:p>
            <w:pPr>
              <w:spacing w:after="40" w:line="240" w:lineRule="auto"/>
            </w:pPr>
            <w:r>
              <w:rPr>
                <w:sz w:val="20"/>
              </w:rPr>
            </w:r>
            <w:r>
              <w:rPr>
                <w:sz w:val="20"/>
              </w:rPr>
              <w:t>Interpretation of EU-27 metal ores</w:t>
            </w:r>
          </w:p>
        </w:tc>
        <w:tc>
          <w:tcPr>
            <w:tcW w:type="dxa" w:w="2880"/>
          </w:tcPr>
          <w:p>
            <w:pPr>
              <w:spacing w:after="40" w:line="240" w:lineRule="auto"/>
            </w:pPr>
            <w:r>
              <w:rPr>
                <w:sz w:val="20"/>
              </w:rPr>
            </w:r>
            <w:r>
              <w:rPr>
                <w:sz w:val="20"/>
              </w:rPr>
              <w:t>Structure effect: +43 Mt</w:t>
            </w:r>
          </w:p>
        </w:tc>
        <w:tc>
          <w:tcPr>
            <w:tcW w:type="dxa" w:w="2880"/>
          </w:tcPr>
          <w:p>
            <w:pPr>
              <w:spacing w:after="40" w:line="240" w:lineRule="auto"/>
            </w:pPr>
            <w:r>
              <w:rPr>
                <w:sz w:val="20"/>
              </w:rPr>
            </w:r>
            <w:r>
              <w:rPr>
                <w:sz w:val="20"/>
              </w:rPr>
              <w:t>C6 (metal ores, −0.03/yr): declining trend dominated by Brazil (loading 0.42), Finland (0.34), Spain (0.31)</w:t>
            </w:r>
          </w:p>
        </w:tc>
      </w:tr>
      <w:tr>
        <w:tc>
          <w:tcPr>
            <w:tcW w:type="dxa" w:w="2880"/>
          </w:tcPr>
          <w:p>
            <w:pPr>
              <w:spacing w:after="40" w:line="240" w:lineRule="auto"/>
            </w:pPr>
            <w:r>
              <w:rPr>
                <w:sz w:val="20"/>
              </w:rPr>
            </w:r>
            <w:r>
              <w:rPr>
                <w:sz w:val="20"/>
              </w:rPr>
              <w:t>Prospective analysis</w:t>
            </w:r>
          </w:p>
        </w:tc>
        <w:tc>
          <w:tcPr>
            <w:tcW w:type="dxa" w:w="2880"/>
          </w:tcPr>
          <w:p>
            <w:pPr>
              <w:spacing w:after="40" w:line="240" w:lineRule="auto"/>
            </w:pPr>
            <w:r>
              <w:rPr>
                <w:sz w:val="20"/>
              </w:rPr>
            </w:r>
            <w:r>
              <w:rPr>
                <w:sz w:val="20"/>
              </w:rPr>
              <w:t>Requires external projection model</w:t>
            </w:r>
          </w:p>
        </w:tc>
        <w:tc>
          <w:tcPr>
            <w:tcW w:type="dxa" w:w="2880"/>
          </w:tcPr>
          <w:p>
            <w:pPr>
              <w:spacing w:after="40" w:line="240" w:lineRule="auto"/>
            </w:pPr>
            <w:r>
              <w:rPr>
                <w:sz w:val="20"/>
              </w:rPr>
            </w:r>
            <w:r>
              <w:rPr>
                <w:sz w:val="20"/>
              </w:rPr>
              <w:t>Temporal loadings directly projectable with scenario shocks</w:t>
            </w:r>
          </w:p>
        </w:tc>
      </w:tr>
    </w:tbl>
    <w:p>
      <w:pPr>
        <w:spacing w:before="120" w:after="240"/>
        <w:jc w:val="both"/>
      </w:pPr>
      <w:r>
        <w:rPr>
          <w:i/>
          <w:sz w:val="20"/>
        </w:rPr>
        <w:t xml:space="preserve">Note: LMDI identifies </w:t>
      </w:r>
      <w:r>
        <w:rPr>
          <w:b w:val="0"/>
          <w:i/>
          <w:sz w:val="20"/>
        </w:rPr>
        <w:t>how much</w:t>
      </w:r>
      <w:r>
        <w:rPr>
          <w:i/>
          <w:sz w:val="20"/>
        </w:rPr>
        <w:t xml:space="preserve"> of the change is attributable to scale versus structural composition, providing exact decomposition with zero residual. NTF identifies six interpretable extraction systems that simultaneously reveal country, sector, material, and temporal detail. The comparison demonstrates that NTF and LMDI answer complementary questions: LMDI for aggregate driver attribution, NTF for the identification of latent multi-dimensional extraction patterns</w:t>
      </w:r>
    </w:p>
    <w:p>
      <w:pPr>
        <w:pStyle w:val="Heading2"/>
      </w:pPr>
      <w:r>
        <w:t>Table S7. Ordinal robustness under independent variation of the component shocks</w:t>
      </w:r>
    </w:p>
    <w:p>
      <w:r>
        <w:t xml:space="preserve">MFA-category effect at 2034 (tonnage percentage, Section 3.5) under independent perturbation of the component shocks. Each of 2,000 </w:t>
      </w:r>
      <w:r>
        <w:rPr>
          <w:b w:val="0"/>
          <w:i/>
        </w:rPr>
        <w:t>tariff-anchored</w:t>
      </w:r>
      <w:r>
        <w:t xml:space="preserve"> draws perturbs every component shock independently by up to ±60% of its central value; each of 2,000 </w:t>
      </w:r>
      <w:r>
        <w:rPr>
          <w:b w:val="0"/>
          <w:i/>
        </w:rPr>
        <w:t>unanchored</w:t>
      </w:r>
      <w:r>
        <w:t xml:space="preserve"> draws samples every component shock independently from a uniform distribution over [0, 0.15], with no reference to the tariff schedule, so that the relative ordering of the shocks may itself change. Ranges are 5th–95th percentiles.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after="40" w:line="240" w:lineRule="auto"/>
            </w:pPr>
            <w:r>
              <w:rPr>
                <w:b/>
                <w:sz w:val="20"/>
              </w:rPr>
            </w:r>
            <w:r>
              <w:rPr>
                <w:b/>
                <w:sz w:val="20"/>
              </w:rPr>
              <w:t>Configuration</w:t>
            </w:r>
          </w:p>
        </w:tc>
        <w:tc>
          <w:tcPr>
            <w:tcW w:type="dxa" w:w="1728"/>
          </w:tcPr>
          <w:p>
            <w:pPr>
              <w:spacing w:after="40" w:line="240" w:lineRule="auto"/>
            </w:pPr>
            <w:r>
              <w:rPr>
                <w:b/>
                <w:sz w:val="20"/>
              </w:rPr>
            </w:r>
            <w:r>
              <w:rPr>
                <w:b/>
                <w:sz w:val="20"/>
              </w:rPr>
              <w:t>Biomass (%)</w:t>
            </w:r>
          </w:p>
        </w:tc>
        <w:tc>
          <w:tcPr>
            <w:tcW w:type="dxa" w:w="1728"/>
          </w:tcPr>
          <w:p>
            <w:pPr>
              <w:spacing w:after="40" w:line="240" w:lineRule="auto"/>
            </w:pPr>
            <w:r>
              <w:rPr>
                <w:b/>
                <w:sz w:val="20"/>
              </w:rPr>
            </w:r>
            <w:r>
              <w:rPr>
                <w:b/>
                <w:sz w:val="20"/>
              </w:rPr>
              <w:t>Metal ores (%)</w:t>
            </w:r>
          </w:p>
        </w:tc>
        <w:tc>
          <w:tcPr>
            <w:tcW w:type="dxa" w:w="1728"/>
          </w:tcPr>
          <w:p>
            <w:pPr>
              <w:spacing w:after="40" w:line="240" w:lineRule="auto"/>
            </w:pPr>
            <w:r>
              <w:rPr>
                <w:b/>
                <w:sz w:val="20"/>
              </w:rPr>
            </w:r>
            <w:r>
              <w:rPr>
                <w:b/>
                <w:sz w:val="20"/>
              </w:rPr>
              <w:t>Non-metallic minerals (%)</w:t>
            </w:r>
          </w:p>
        </w:tc>
        <w:tc>
          <w:tcPr>
            <w:tcW w:type="dxa" w:w="1728"/>
          </w:tcPr>
          <w:p>
            <w:pPr>
              <w:spacing w:after="40" w:line="240" w:lineRule="auto"/>
            </w:pPr>
            <w:r>
              <w:rPr>
                <w:b/>
                <w:sz w:val="20"/>
              </w:rPr>
            </w:r>
            <w:r>
              <w:rPr>
                <w:b/>
                <w:sz w:val="20"/>
              </w:rPr>
              <w:t>Ordering preserved</w:t>
            </w:r>
          </w:p>
        </w:tc>
      </w:tr>
      <w:tr>
        <w:tc>
          <w:tcPr>
            <w:tcW w:type="dxa" w:w="1728"/>
          </w:tcPr>
          <w:p>
            <w:pPr>
              <w:spacing w:after="40" w:line="240" w:lineRule="auto"/>
            </w:pPr>
            <w:r>
              <w:rPr>
                <w:sz w:val="20"/>
              </w:rPr>
            </w:r>
            <w:r>
              <w:rPr>
                <w:sz w:val="20"/>
              </w:rPr>
              <w:t>Central scenario</w:t>
            </w:r>
          </w:p>
        </w:tc>
        <w:tc>
          <w:tcPr>
            <w:tcW w:type="dxa" w:w="1728"/>
          </w:tcPr>
          <w:p>
            <w:pPr>
              <w:spacing w:after="40" w:line="240" w:lineRule="auto"/>
            </w:pPr>
            <w:r>
              <w:rPr>
                <w:sz w:val="20"/>
              </w:rPr>
            </w:r>
            <w:r>
              <w:rPr>
                <w:sz w:val="20"/>
              </w:rPr>
              <w:t>+9.2</w:t>
            </w:r>
          </w:p>
        </w:tc>
        <w:tc>
          <w:tcPr>
            <w:tcW w:type="dxa" w:w="1728"/>
          </w:tcPr>
          <w:p>
            <w:pPr>
              <w:spacing w:after="40" w:line="240" w:lineRule="auto"/>
            </w:pPr>
            <w:r>
              <w:rPr>
                <w:sz w:val="20"/>
              </w:rPr>
            </w:r>
            <w:r>
              <w:rPr>
                <w:sz w:val="20"/>
              </w:rPr>
              <w:t>+5.8</w:t>
            </w:r>
          </w:p>
        </w:tc>
        <w:tc>
          <w:tcPr>
            <w:tcW w:type="dxa" w:w="1728"/>
          </w:tcPr>
          <w:p>
            <w:pPr>
              <w:spacing w:after="40" w:line="240" w:lineRule="auto"/>
            </w:pPr>
            <w:r>
              <w:rPr>
                <w:sz w:val="20"/>
              </w:rPr>
            </w:r>
            <w:r>
              <w:rPr>
                <w:sz w:val="20"/>
              </w:rPr>
              <w:t>+2.0</w:t>
            </w:r>
          </w:p>
        </w:tc>
        <w:tc>
          <w:tcPr>
            <w:tcW w:type="dxa" w:w="1728"/>
          </w:tcPr>
          <w:p>
            <w:pPr>
              <w:spacing w:after="40" w:line="240" w:lineRule="auto"/>
            </w:pPr>
            <w:r>
              <w:rPr>
                <w:sz w:val="20"/>
              </w:rPr>
            </w:r>
            <w:r>
              <w:rPr>
                <w:sz w:val="20"/>
              </w:rPr>
              <w:t>—</w:t>
            </w:r>
          </w:p>
        </w:tc>
      </w:tr>
      <w:tr>
        <w:tc>
          <w:tcPr>
            <w:tcW w:type="dxa" w:w="1728"/>
          </w:tcPr>
          <w:p>
            <w:pPr>
              <w:spacing w:after="40" w:line="240" w:lineRule="auto"/>
            </w:pPr>
            <w:r>
              <w:rPr>
                <w:sz w:val="20"/>
              </w:rPr>
            </w:r>
            <w:r>
              <w:rPr>
                <w:sz w:val="20"/>
              </w:rPr>
              <w:t>Tariff-anchored draws (5th–95th)</w:t>
            </w:r>
          </w:p>
        </w:tc>
        <w:tc>
          <w:tcPr>
            <w:tcW w:type="dxa" w:w="1728"/>
          </w:tcPr>
          <w:p>
            <w:pPr>
              <w:spacing w:after="40" w:line="240" w:lineRule="auto"/>
            </w:pPr>
            <w:r>
              <w:rPr>
                <w:sz w:val="20"/>
              </w:rPr>
            </w:r>
            <w:r>
              <w:rPr>
                <w:sz w:val="20"/>
              </w:rPr>
              <w:t>+5.4 to +12.8</w:t>
            </w:r>
          </w:p>
        </w:tc>
        <w:tc>
          <w:tcPr>
            <w:tcW w:type="dxa" w:w="1728"/>
          </w:tcPr>
          <w:p>
            <w:pPr>
              <w:spacing w:after="40" w:line="240" w:lineRule="auto"/>
            </w:pPr>
            <w:r>
              <w:rPr>
                <w:sz w:val="20"/>
              </w:rPr>
            </w:r>
            <w:r>
              <w:rPr>
                <w:sz w:val="20"/>
              </w:rPr>
              <w:t>+2.7 to +9.0</w:t>
            </w:r>
          </w:p>
        </w:tc>
        <w:tc>
          <w:tcPr>
            <w:tcW w:type="dxa" w:w="1728"/>
          </w:tcPr>
          <w:p>
            <w:pPr>
              <w:spacing w:after="40" w:line="240" w:lineRule="auto"/>
            </w:pPr>
            <w:r>
              <w:rPr>
                <w:sz w:val="20"/>
              </w:rPr>
            </w:r>
            <w:r>
              <w:rPr>
                <w:sz w:val="20"/>
              </w:rPr>
              <w:t>+0.9 to +3.1</w:t>
            </w:r>
          </w:p>
        </w:tc>
        <w:tc>
          <w:tcPr>
            <w:tcW w:type="dxa" w:w="1728"/>
          </w:tcPr>
          <w:p>
            <w:pPr>
              <w:spacing w:after="40" w:line="240" w:lineRule="auto"/>
            </w:pPr>
            <w:r>
              <w:rPr>
                <w:sz w:val="20"/>
              </w:rPr>
            </w:r>
            <w:r>
              <w:rPr>
                <w:sz w:val="20"/>
              </w:rPr>
              <w:t>84% (biomass leads 86%)</w:t>
            </w:r>
          </w:p>
        </w:tc>
      </w:tr>
      <w:tr>
        <w:tc>
          <w:tcPr>
            <w:tcW w:type="dxa" w:w="1728"/>
          </w:tcPr>
          <w:p>
            <w:pPr>
              <w:spacing w:after="40" w:line="240" w:lineRule="auto"/>
            </w:pPr>
            <w:r>
              <w:rPr>
                <w:sz w:val="20"/>
              </w:rPr>
            </w:r>
            <w:r>
              <w:rPr>
                <w:sz w:val="20"/>
              </w:rPr>
              <w:t>Unanchored draws (5th–95th)</w:t>
            </w:r>
          </w:p>
        </w:tc>
        <w:tc>
          <w:tcPr>
            <w:tcW w:type="dxa" w:w="1728"/>
          </w:tcPr>
          <w:p>
            <w:pPr>
              <w:spacing w:after="40" w:line="240" w:lineRule="auto"/>
            </w:pPr>
            <w:r>
              <w:rPr>
                <w:sz w:val="20"/>
              </w:rPr>
            </w:r>
            <w:r>
              <w:rPr>
                <w:sz w:val="20"/>
              </w:rPr>
              <w:t>+2.6 to +12.3</w:t>
            </w:r>
          </w:p>
        </w:tc>
        <w:tc>
          <w:tcPr>
            <w:tcW w:type="dxa" w:w="1728"/>
          </w:tcPr>
          <w:p>
            <w:pPr>
              <w:spacing w:after="40" w:line="240" w:lineRule="auto"/>
            </w:pPr>
            <w:r>
              <w:rPr>
                <w:sz w:val="20"/>
              </w:rPr>
            </w:r>
            <w:r>
              <w:rPr>
                <w:sz w:val="20"/>
              </w:rPr>
              <w:t>+0.7 to +14.2</w:t>
            </w:r>
          </w:p>
        </w:tc>
        <w:tc>
          <w:tcPr>
            <w:tcW w:type="dxa" w:w="1728"/>
          </w:tcPr>
          <w:p>
            <w:pPr>
              <w:spacing w:after="40" w:line="240" w:lineRule="auto"/>
            </w:pPr>
            <w:r>
              <w:rPr>
                <w:sz w:val="20"/>
              </w:rPr>
            </w:r>
            <w:r>
              <w:rPr>
                <w:sz w:val="20"/>
              </w:rPr>
              <w:t>+0.7 to +14.1</w:t>
            </w:r>
          </w:p>
        </w:tc>
        <w:tc>
          <w:tcPr>
            <w:tcW w:type="dxa" w:w="1728"/>
          </w:tcPr>
          <w:p>
            <w:pPr>
              <w:spacing w:after="40" w:line="240" w:lineRule="auto"/>
            </w:pPr>
            <w:r>
              <w:rPr>
                <w:sz w:val="20"/>
              </w:rPr>
            </w:r>
            <w:r>
              <w:rPr>
                <w:sz w:val="20"/>
              </w:rPr>
              <w:t>15% (biomass leads 28%)</w:t>
            </w:r>
          </w:p>
        </w:tc>
      </w:tr>
      <w:tr>
        <w:tc>
          <w:tcPr>
            <w:tcW w:type="dxa" w:w="1728"/>
          </w:tcPr>
          <w:p>
            <w:pPr>
              <w:spacing w:after="40" w:line="240" w:lineRule="auto"/>
            </w:pPr>
            <w:r>
              <w:rPr>
                <w:sz w:val="20"/>
              </w:rPr>
            </w:r>
            <w:r>
              <w:rPr>
                <w:sz w:val="20"/>
              </w:rPr>
              <w:t>Equal shocks across components</w:t>
            </w:r>
          </w:p>
        </w:tc>
        <w:tc>
          <w:tcPr>
            <w:tcW w:type="dxa" w:w="1728"/>
          </w:tcPr>
          <w:p>
            <w:pPr>
              <w:spacing w:after="40" w:line="240" w:lineRule="auto"/>
            </w:pPr>
            <w:r>
              <w:rPr>
                <w:sz w:val="20"/>
              </w:rPr>
            </w:r>
            <w:r>
              <w:rPr>
                <w:sz w:val="20"/>
              </w:rPr>
              <w:t>+5.9</w:t>
            </w:r>
          </w:p>
        </w:tc>
        <w:tc>
          <w:tcPr>
            <w:tcW w:type="dxa" w:w="1728"/>
          </w:tcPr>
          <w:p>
            <w:pPr>
              <w:spacing w:after="40" w:line="240" w:lineRule="auto"/>
            </w:pPr>
            <w:r>
              <w:rPr>
                <w:sz w:val="20"/>
              </w:rPr>
            </w:r>
            <w:r>
              <w:rPr>
                <w:sz w:val="20"/>
              </w:rPr>
              <w:t>+5.9</w:t>
            </w:r>
          </w:p>
        </w:tc>
        <w:tc>
          <w:tcPr>
            <w:tcW w:type="dxa" w:w="1728"/>
          </w:tcPr>
          <w:p>
            <w:pPr>
              <w:spacing w:after="40" w:line="240" w:lineRule="auto"/>
            </w:pPr>
            <w:r>
              <w:rPr>
                <w:sz w:val="20"/>
              </w:rPr>
            </w:r>
            <w:r>
              <w:rPr>
                <w:sz w:val="20"/>
              </w:rPr>
              <w:t>+5.9</w:t>
            </w:r>
          </w:p>
        </w:tc>
        <w:tc>
          <w:tcPr>
            <w:tcW w:type="dxa" w:w="1728"/>
          </w:tcPr>
          <w:p>
            <w:pPr>
              <w:spacing w:after="40" w:line="240" w:lineRule="auto"/>
            </w:pPr>
            <w:r>
              <w:rPr>
                <w:sz w:val="20"/>
              </w:rPr>
            </w:r>
            <w:r>
              <w:rPr>
                <w:sz w:val="20"/>
              </w:rPr>
              <w:t>n.a.</w:t>
            </w:r>
          </w:p>
        </w:tc>
      </w:tr>
    </w:tbl>
    <w:p>
      <w:pPr>
        <w:spacing w:before="120" w:after="240"/>
        <w:jc w:val="both"/>
      </w:pPr>
      <w:r>
        <w:rPr>
          <w:i/>
          <w:sz w:val="20"/>
        </w:rPr>
        <w:t>Note: Under the tariff-anchored draws the ordering biomass &gt; metal ores &gt; non-metallic minerals is preserved in 84% of cases (biomass leads in 86%). Under the unanchored draws, in which the relative sizes of the component shocks can change, the ordering survives in only 15% (biomass leads in 28%); the wide, overlapping ranges for metal ores and non-metallic minerals reflect draws in which those categories overtake biomass. The ordering is therefore a consequence of the assumed ranking of concessions — itself grounded in the published tariff schedules (Table 1) — rather than a property of the decomposition. The equal-shock calibration, in which the cross-category differentiation collapses to a common value, confirms the same point. The magnitudes scale approximately linearly with the assumed shock and carry no independent empirical content.</w:t>
      </w:r>
    </w:p>
    <w:p>
      <w:pPr>
        <w:pStyle w:val="Heading2"/>
      </w:pPr>
      <w:r>
        <w:t>Table S8. NTF components versus a naive table of MFA subcategory totals</w:t>
      </w:r>
    </w:p>
    <w:p>
      <w:r>
        <w:t>For each of the 15 material subcategories, the table reports the NTF component on which it loads most strongly and the additional country, sector, and temporal structure that the decomposition attaches — information that a static table of subcategory tonnage totals cannot convey. This addresses whether the near-diagonal material heatmap (Fig. 3) merely reproduces the input classification.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after="40" w:line="240" w:lineRule="auto"/>
            </w:pPr>
            <w:r>
              <w:rPr>
                <w:b/>
                <w:sz w:val="20"/>
              </w:rPr>
            </w:r>
            <w:r>
              <w:rPr>
                <w:b/>
                <w:sz w:val="20"/>
              </w:rPr>
              <w:t>Subcategory</w:t>
            </w:r>
          </w:p>
        </w:tc>
        <w:tc>
          <w:tcPr>
            <w:tcW w:type="dxa" w:w="2160"/>
          </w:tcPr>
          <w:p>
            <w:pPr>
              <w:spacing w:after="40" w:line="240" w:lineRule="auto"/>
            </w:pPr>
            <w:r>
              <w:rPr>
                <w:b/>
                <w:sz w:val="20"/>
              </w:rPr>
            </w:r>
            <w:r>
              <w:rPr>
                <w:b/>
                <w:sz w:val="20"/>
              </w:rPr>
              <w:t>Peak component (loading)</w:t>
            </w:r>
          </w:p>
        </w:tc>
        <w:tc>
          <w:tcPr>
            <w:tcW w:type="dxa" w:w="2160"/>
          </w:tcPr>
          <w:p>
            <w:pPr>
              <w:spacing w:after="40" w:line="240" w:lineRule="auto"/>
            </w:pPr>
            <w:r>
              <w:rPr>
                <w:b/>
                <w:sz w:val="20"/>
              </w:rPr>
            </w:r>
            <w:r>
              <w:rPr>
                <w:b/>
                <w:sz w:val="20"/>
              </w:rPr>
              <w:t>Secondary loading</w:t>
            </w:r>
          </w:p>
        </w:tc>
        <w:tc>
          <w:tcPr>
            <w:tcW w:type="dxa" w:w="2160"/>
          </w:tcPr>
          <w:p>
            <w:pPr>
              <w:spacing w:after="40" w:line="240" w:lineRule="auto"/>
            </w:pPr>
            <w:r>
              <w:rPr>
                <w:b/>
                <w:sz w:val="20"/>
              </w:rPr>
            </w:r>
            <w:r>
              <w:rPr>
                <w:b/>
                <w:sz w:val="20"/>
              </w:rPr>
              <w:t>Structure NTF adds beyond a subcategory total</w:t>
            </w:r>
          </w:p>
        </w:tc>
      </w:tr>
      <w:tr>
        <w:tc>
          <w:tcPr>
            <w:tcW w:type="dxa" w:w="2160"/>
          </w:tcPr>
          <w:p>
            <w:pPr>
              <w:spacing w:after="40" w:line="240" w:lineRule="auto"/>
            </w:pPr>
            <w:r>
              <w:rPr>
                <w:sz w:val="20"/>
              </w:rPr>
            </w:r>
            <w:r>
              <w:rPr>
                <w:sz w:val="20"/>
              </w:rPr>
              <w:t>Crops</w:t>
            </w:r>
          </w:p>
        </w:tc>
        <w:tc>
          <w:tcPr>
            <w:tcW w:type="dxa" w:w="2160"/>
          </w:tcPr>
          <w:p>
            <w:pPr>
              <w:spacing w:after="40" w:line="240" w:lineRule="auto"/>
            </w:pPr>
            <w:r>
              <w:rPr>
                <w:sz w:val="20"/>
              </w:rPr>
            </w:r>
            <w:r>
              <w:rPr>
                <w:sz w:val="20"/>
              </w:rPr>
              <w:t>C1 (0.998)</w:t>
            </w:r>
          </w:p>
        </w:tc>
        <w:tc>
          <w:tcPr>
            <w:tcW w:type="dxa" w:w="2160"/>
          </w:tcPr>
          <w:p>
            <w:pPr>
              <w:spacing w:after="40" w:line="240" w:lineRule="auto"/>
            </w:pPr>
            <w:r>
              <w:rPr>
                <w:sz w:val="20"/>
              </w:rPr>
            </w:r>
            <w:r>
              <w:rPr>
                <w:sz w:val="20"/>
              </w:rPr>
              <w:t>—</w:t>
            </w:r>
          </w:p>
        </w:tc>
        <w:tc>
          <w:tcPr>
            <w:tcW w:type="dxa" w:w="2160"/>
          </w:tcPr>
          <w:p>
            <w:pPr>
              <w:spacing w:after="40" w:line="240" w:lineRule="auto"/>
            </w:pPr>
            <w:r>
              <w:rPr>
                <w:sz w:val="20"/>
              </w:rPr>
            </w:r>
            <w:r>
              <w:rPr>
                <w:sz w:val="20"/>
              </w:rPr>
              <w:t>Country spread (BRA, FRA, ARG); +0.31/yr trend</w:t>
            </w:r>
          </w:p>
        </w:tc>
      </w:tr>
      <w:tr>
        <w:tc>
          <w:tcPr>
            <w:tcW w:type="dxa" w:w="2160"/>
          </w:tcPr>
          <w:p>
            <w:pPr>
              <w:spacing w:after="40" w:line="240" w:lineRule="auto"/>
            </w:pPr>
            <w:r>
              <w:rPr>
                <w:sz w:val="20"/>
              </w:rPr>
            </w:r>
            <w:r>
              <w:rPr>
                <w:sz w:val="20"/>
              </w:rPr>
              <w:t>Crop residues</w:t>
            </w:r>
          </w:p>
        </w:tc>
        <w:tc>
          <w:tcPr>
            <w:tcW w:type="dxa" w:w="2160"/>
          </w:tcPr>
          <w:p>
            <w:pPr>
              <w:spacing w:after="40" w:line="240" w:lineRule="auto"/>
            </w:pPr>
            <w:r>
              <w:rPr>
                <w:sz w:val="20"/>
              </w:rPr>
            </w:r>
            <w:r>
              <w:rPr>
                <w:sz w:val="20"/>
              </w:rPr>
              <w:t>C5 (0.711)</w:t>
            </w:r>
          </w:p>
        </w:tc>
        <w:tc>
          <w:tcPr>
            <w:tcW w:type="dxa" w:w="2160"/>
          </w:tcPr>
          <w:p>
            <w:pPr>
              <w:spacing w:after="40" w:line="240" w:lineRule="auto"/>
            </w:pPr>
            <w:r>
              <w:rPr>
                <w:sz w:val="20"/>
              </w:rPr>
            </w:r>
            <w:r>
              <w:rPr>
                <w:sz w:val="20"/>
              </w:rPr>
              <w:t>C1 (0.066)</w:t>
            </w:r>
          </w:p>
        </w:tc>
        <w:tc>
          <w:tcPr>
            <w:tcW w:type="dxa" w:w="2160"/>
          </w:tcPr>
          <w:p>
            <w:pPr>
              <w:spacing w:after="40" w:line="240" w:lineRule="auto"/>
            </w:pPr>
            <w:r>
              <w:rPr>
                <w:sz w:val="20"/>
              </w:rPr>
            </w:r>
            <w:r>
              <w:rPr>
                <w:sz w:val="20"/>
              </w:rPr>
              <w:t>Coupled with grazed biomass and livestock sectors</w:t>
            </w:r>
          </w:p>
        </w:tc>
      </w:tr>
      <w:tr>
        <w:tc>
          <w:tcPr>
            <w:tcW w:type="dxa" w:w="2160"/>
          </w:tcPr>
          <w:p>
            <w:pPr>
              <w:spacing w:after="40" w:line="240" w:lineRule="auto"/>
            </w:pPr>
            <w:r>
              <w:rPr>
                <w:sz w:val="20"/>
              </w:rPr>
            </w:r>
            <w:r>
              <w:rPr>
                <w:sz w:val="20"/>
              </w:rPr>
              <w:t>Grazed biomass</w:t>
            </w:r>
          </w:p>
        </w:tc>
        <w:tc>
          <w:tcPr>
            <w:tcW w:type="dxa" w:w="2160"/>
          </w:tcPr>
          <w:p>
            <w:pPr>
              <w:spacing w:after="40" w:line="240" w:lineRule="auto"/>
            </w:pPr>
            <w:r>
              <w:rPr>
                <w:sz w:val="20"/>
              </w:rPr>
            </w:r>
            <w:r>
              <w:rPr>
                <w:sz w:val="20"/>
              </w:rPr>
              <w:t>C5 (0.704)</w:t>
            </w:r>
          </w:p>
        </w:tc>
        <w:tc>
          <w:tcPr>
            <w:tcW w:type="dxa" w:w="2160"/>
          </w:tcPr>
          <w:p>
            <w:pPr>
              <w:spacing w:after="40" w:line="240" w:lineRule="auto"/>
            </w:pPr>
            <w:r>
              <w:rPr>
                <w:sz w:val="20"/>
              </w:rPr>
            </w:r>
            <w:r>
              <w:rPr>
                <w:sz w:val="20"/>
              </w:rPr>
              <w:t>C3 (0.035)</w:t>
            </w:r>
          </w:p>
        </w:tc>
        <w:tc>
          <w:tcPr>
            <w:tcW w:type="dxa" w:w="2160"/>
          </w:tcPr>
          <w:p>
            <w:pPr>
              <w:spacing w:after="40" w:line="240" w:lineRule="auto"/>
            </w:pPr>
            <w:r>
              <w:rPr>
                <w:sz w:val="20"/>
              </w:rPr>
            </w:r>
            <w:r>
              <w:rPr>
                <w:sz w:val="20"/>
              </w:rPr>
              <w:t>Coupled with crop residues and cattle/sheep sectors</w:t>
            </w:r>
          </w:p>
        </w:tc>
      </w:tr>
      <w:tr>
        <w:tc>
          <w:tcPr>
            <w:tcW w:type="dxa" w:w="2160"/>
          </w:tcPr>
          <w:p>
            <w:pPr>
              <w:spacing w:after="40" w:line="240" w:lineRule="auto"/>
            </w:pPr>
            <w:r>
              <w:rPr>
                <w:sz w:val="20"/>
              </w:rPr>
            </w:r>
            <w:r>
              <w:rPr>
                <w:sz w:val="20"/>
              </w:rPr>
              <w:t>Wood</w:t>
            </w:r>
          </w:p>
        </w:tc>
        <w:tc>
          <w:tcPr>
            <w:tcW w:type="dxa" w:w="2160"/>
          </w:tcPr>
          <w:p>
            <w:pPr>
              <w:spacing w:after="40" w:line="240" w:lineRule="auto"/>
            </w:pPr>
            <w:r>
              <w:rPr>
                <w:sz w:val="20"/>
              </w:rPr>
            </w:r>
            <w:r>
              <w:rPr>
                <w:sz w:val="20"/>
              </w:rPr>
              <w:t>C2 (1.000)</w:t>
            </w:r>
          </w:p>
        </w:tc>
        <w:tc>
          <w:tcPr>
            <w:tcW w:type="dxa" w:w="2160"/>
          </w:tcPr>
          <w:p>
            <w:pPr>
              <w:spacing w:after="40" w:line="240" w:lineRule="auto"/>
            </w:pPr>
            <w:r>
              <w:rPr>
                <w:sz w:val="20"/>
              </w:rPr>
            </w:r>
            <w:r>
              <w:rPr>
                <w:sz w:val="20"/>
              </w:rPr>
              <w:t>—</w:t>
            </w:r>
          </w:p>
        </w:tc>
        <w:tc>
          <w:tcPr>
            <w:tcW w:type="dxa" w:w="2160"/>
          </w:tcPr>
          <w:p>
            <w:pPr>
              <w:spacing w:after="40" w:line="240" w:lineRule="auto"/>
            </w:pPr>
            <w:r>
              <w:rPr>
                <w:sz w:val="20"/>
              </w:rPr>
            </w:r>
            <w:r>
              <w:rPr>
                <w:sz w:val="20"/>
              </w:rPr>
              <w:t>Forestry + sawmill sectors; BRA/SWE/DEU</w:t>
            </w:r>
          </w:p>
        </w:tc>
      </w:tr>
      <w:tr>
        <w:tc>
          <w:tcPr>
            <w:tcW w:type="dxa" w:w="2160"/>
          </w:tcPr>
          <w:p>
            <w:pPr>
              <w:spacing w:after="40" w:line="240" w:lineRule="auto"/>
            </w:pPr>
            <w:r>
              <w:rPr>
                <w:sz w:val="20"/>
              </w:rPr>
            </w:r>
            <w:r>
              <w:rPr>
                <w:sz w:val="20"/>
              </w:rPr>
              <w:t>Fishery and aquatic</w:t>
            </w:r>
          </w:p>
        </w:tc>
        <w:tc>
          <w:tcPr>
            <w:tcW w:type="dxa" w:w="2160"/>
          </w:tcPr>
          <w:p>
            <w:pPr>
              <w:spacing w:after="40" w:line="240" w:lineRule="auto"/>
            </w:pPr>
            <w:r>
              <w:rPr>
                <w:sz w:val="20"/>
              </w:rPr>
            </w:r>
            <w:r>
              <w:rPr>
                <w:sz w:val="20"/>
              </w:rPr>
              <w:t>C3 (0.999)</w:t>
            </w:r>
          </w:p>
        </w:tc>
        <w:tc>
          <w:tcPr>
            <w:tcW w:type="dxa" w:w="2160"/>
          </w:tcPr>
          <w:p>
            <w:pPr>
              <w:spacing w:after="40" w:line="240" w:lineRule="auto"/>
            </w:pPr>
            <w:r>
              <w:rPr>
                <w:sz w:val="20"/>
              </w:rPr>
            </w:r>
            <w:r>
              <w:rPr>
                <w:sz w:val="20"/>
              </w:rPr>
              <w:t>—</w:t>
            </w:r>
          </w:p>
        </w:tc>
        <w:tc>
          <w:tcPr>
            <w:tcW w:type="dxa" w:w="2160"/>
          </w:tcPr>
          <w:p>
            <w:pPr>
              <w:spacing w:after="40" w:line="240" w:lineRule="auto"/>
            </w:pPr>
            <w:r>
              <w:rPr>
                <w:sz w:val="20"/>
              </w:rPr>
            </w:r>
            <w:r>
              <w:rPr>
                <w:sz w:val="20"/>
              </w:rPr>
              <w:t>Fishing/crustacean sectors; ARG/DNK; flat trend</w:t>
            </w:r>
          </w:p>
        </w:tc>
      </w:tr>
      <w:tr>
        <w:tc>
          <w:tcPr>
            <w:tcW w:type="dxa" w:w="2160"/>
          </w:tcPr>
          <w:p>
            <w:pPr>
              <w:spacing w:after="40" w:line="240" w:lineRule="auto"/>
            </w:pPr>
            <w:r>
              <w:rPr>
                <w:sz w:val="20"/>
              </w:rPr>
            </w:r>
            <w:r>
              <w:rPr>
                <w:sz w:val="20"/>
              </w:rPr>
              <w:t>Other metals</w:t>
            </w:r>
          </w:p>
        </w:tc>
        <w:tc>
          <w:tcPr>
            <w:tcW w:type="dxa" w:w="2160"/>
          </w:tcPr>
          <w:p>
            <w:pPr>
              <w:spacing w:after="40" w:line="240" w:lineRule="auto"/>
            </w:pPr>
            <w:r>
              <w:rPr>
                <w:sz w:val="20"/>
              </w:rPr>
            </w:r>
            <w:r>
              <w:rPr>
                <w:sz w:val="20"/>
              </w:rPr>
              <w:t>C6 (1.000)</w:t>
            </w:r>
          </w:p>
        </w:tc>
        <w:tc>
          <w:tcPr>
            <w:tcW w:type="dxa" w:w="2160"/>
          </w:tcPr>
          <w:p>
            <w:pPr>
              <w:spacing w:after="40" w:line="240" w:lineRule="auto"/>
            </w:pPr>
            <w:r>
              <w:rPr>
                <w:sz w:val="20"/>
              </w:rPr>
            </w:r>
            <w:r>
              <w:rPr>
                <w:sz w:val="20"/>
              </w:rPr>
              <w:t>—</w:t>
            </w:r>
          </w:p>
        </w:tc>
        <w:tc>
          <w:tcPr>
            <w:tcW w:type="dxa" w:w="2160"/>
          </w:tcPr>
          <w:p>
            <w:pPr>
              <w:spacing w:after="40" w:line="240" w:lineRule="auto"/>
            </w:pPr>
            <w:r>
              <w:rPr>
                <w:sz w:val="20"/>
              </w:rPr>
            </w:r>
            <w:r>
              <w:rPr>
                <w:sz w:val="20"/>
              </w:rPr>
              <w:t>Brazil-dominated (0.42); declining trend (−0.03/yr)</w:t>
            </w:r>
          </w:p>
        </w:tc>
      </w:tr>
      <w:tr>
        <w:tc>
          <w:tcPr>
            <w:tcW w:type="dxa" w:w="2160"/>
          </w:tcPr>
          <w:p>
            <w:pPr>
              <w:spacing w:after="40" w:line="240" w:lineRule="auto"/>
            </w:pPr>
            <w:r>
              <w:rPr>
                <w:sz w:val="20"/>
              </w:rPr>
            </w:r>
            <w:r>
              <w:rPr>
                <w:sz w:val="20"/>
              </w:rPr>
              <w:t>Construction minerals</w:t>
            </w:r>
          </w:p>
        </w:tc>
        <w:tc>
          <w:tcPr>
            <w:tcW w:type="dxa" w:w="2160"/>
          </w:tcPr>
          <w:p>
            <w:pPr>
              <w:spacing w:after="40" w:line="240" w:lineRule="auto"/>
            </w:pPr>
            <w:r>
              <w:rPr>
                <w:sz w:val="20"/>
              </w:rPr>
            </w:r>
            <w:r>
              <w:rPr>
                <w:sz w:val="20"/>
              </w:rPr>
              <w:t>C4 (0.528)</w:t>
            </w:r>
          </w:p>
        </w:tc>
        <w:tc>
          <w:tcPr>
            <w:tcW w:type="dxa" w:w="2160"/>
          </w:tcPr>
          <w:p>
            <w:pPr>
              <w:spacing w:after="40" w:line="240" w:lineRule="auto"/>
            </w:pPr>
            <w:r>
              <w:rPr>
                <w:sz w:val="20"/>
              </w:rPr>
            </w:r>
            <w:r>
              <w:rPr>
                <w:sz w:val="20"/>
              </w:rPr>
              <w:t>—</w:t>
            </w:r>
          </w:p>
        </w:tc>
        <w:tc>
          <w:tcPr>
            <w:tcW w:type="dxa" w:w="2160"/>
          </w:tcPr>
          <w:p>
            <w:pPr>
              <w:spacing w:after="40" w:line="240" w:lineRule="auto"/>
            </w:pPr>
            <w:r>
              <w:rPr>
                <w:sz w:val="20"/>
              </w:rPr>
            </w:r>
            <w:r>
              <w:rPr>
                <w:sz w:val="20"/>
              </w:rPr>
              <w:t>Quarrying sector; ESP/DEU</w:t>
            </w:r>
          </w:p>
        </w:tc>
      </w:tr>
      <w:tr>
        <w:tc>
          <w:tcPr>
            <w:tcW w:type="dxa" w:w="2160"/>
          </w:tcPr>
          <w:p>
            <w:pPr>
              <w:spacing w:after="40" w:line="240" w:lineRule="auto"/>
            </w:pPr>
            <w:r>
              <w:rPr>
                <w:sz w:val="20"/>
              </w:rPr>
            </w:r>
            <w:r>
              <w:rPr>
                <w:sz w:val="20"/>
              </w:rPr>
              <w:t>Industrial minerals</w:t>
            </w:r>
          </w:p>
        </w:tc>
        <w:tc>
          <w:tcPr>
            <w:tcW w:type="dxa" w:w="2160"/>
          </w:tcPr>
          <w:p>
            <w:pPr>
              <w:spacing w:after="40" w:line="240" w:lineRule="auto"/>
            </w:pPr>
            <w:r>
              <w:rPr>
                <w:sz w:val="20"/>
              </w:rPr>
            </w:r>
            <w:r>
              <w:rPr>
                <w:sz w:val="20"/>
              </w:rPr>
              <w:t>C4 (0.849)</w:t>
            </w:r>
          </w:p>
        </w:tc>
        <w:tc>
          <w:tcPr>
            <w:tcW w:type="dxa" w:w="2160"/>
          </w:tcPr>
          <w:p>
            <w:pPr>
              <w:spacing w:after="40" w:line="240" w:lineRule="auto"/>
            </w:pPr>
            <w:r>
              <w:rPr>
                <w:sz w:val="20"/>
              </w:rPr>
            </w:r>
            <w:r>
              <w:rPr>
                <w:sz w:val="20"/>
              </w:rPr>
              <w:t>—</w:t>
            </w:r>
          </w:p>
        </w:tc>
        <w:tc>
          <w:tcPr>
            <w:tcW w:type="dxa" w:w="2160"/>
          </w:tcPr>
          <w:p>
            <w:pPr>
              <w:spacing w:after="40" w:line="240" w:lineRule="auto"/>
            </w:pPr>
            <w:r>
              <w:rPr>
                <w:sz w:val="20"/>
              </w:rPr>
            </w:r>
            <w:r>
              <w:rPr>
                <w:sz w:val="20"/>
              </w:rPr>
              <w:t>Shares C4 with construction minerals</w:t>
            </w:r>
          </w:p>
        </w:tc>
      </w:tr>
      <w:tr>
        <w:tc>
          <w:tcPr>
            <w:tcW w:type="dxa" w:w="2160"/>
          </w:tcPr>
          <w:p>
            <w:pPr>
              <w:spacing w:after="40" w:line="240" w:lineRule="auto"/>
            </w:pPr>
            <w:r>
              <w:rPr>
                <w:sz w:val="20"/>
              </w:rPr>
            </w:r>
            <w:r>
              <w:rPr>
                <w:sz w:val="20"/>
              </w:rPr>
              <w:t>Iron</w:t>
            </w:r>
          </w:p>
        </w:tc>
        <w:tc>
          <w:tcPr>
            <w:tcW w:type="dxa" w:w="2160"/>
          </w:tcPr>
          <w:p>
            <w:pPr>
              <w:spacing w:after="40" w:line="240" w:lineRule="auto"/>
            </w:pPr>
            <w:r>
              <w:rPr>
                <w:sz w:val="20"/>
              </w:rPr>
            </w:r>
            <w:r>
              <w:rPr>
                <w:sz w:val="20"/>
              </w:rPr>
              <w:t>— (&lt;10⁻³)</w:t>
            </w:r>
          </w:p>
        </w:tc>
        <w:tc>
          <w:tcPr>
            <w:tcW w:type="dxa" w:w="2160"/>
          </w:tcPr>
          <w:p>
            <w:pPr>
              <w:spacing w:after="40" w:line="240" w:lineRule="auto"/>
            </w:pPr>
            <w:r>
              <w:rPr>
                <w:sz w:val="20"/>
              </w:rPr>
            </w:r>
            <w:r>
              <w:rPr>
                <w:sz w:val="20"/>
              </w:rPr>
              <w:t>—</w:t>
            </w:r>
          </w:p>
        </w:tc>
        <w:tc>
          <w:tcPr>
            <w:tcW w:type="dxa" w:w="2160"/>
          </w:tcPr>
          <w:p>
            <w:pPr>
              <w:spacing w:after="40" w:line="240" w:lineRule="auto"/>
            </w:pPr>
            <w:r>
              <w:rPr>
                <w:sz w:val="20"/>
              </w:rPr>
            </w:r>
            <w:r>
              <w:rPr>
                <w:sz w:val="20"/>
              </w:rPr>
              <w:t>Not represented (localised; see Section 5.4)</w:t>
            </w:r>
          </w:p>
        </w:tc>
      </w:tr>
      <w:tr>
        <w:tc>
          <w:tcPr>
            <w:tcW w:type="dxa" w:w="2160"/>
          </w:tcPr>
          <w:p>
            <w:pPr>
              <w:spacing w:after="40" w:line="240" w:lineRule="auto"/>
            </w:pPr>
            <w:r>
              <w:rPr>
                <w:sz w:val="20"/>
              </w:rPr>
            </w:r>
            <w:r>
              <w:rPr>
                <w:sz w:val="20"/>
              </w:rPr>
              <w:t>Aluminium</w:t>
            </w:r>
          </w:p>
        </w:tc>
        <w:tc>
          <w:tcPr>
            <w:tcW w:type="dxa" w:w="2160"/>
          </w:tcPr>
          <w:p>
            <w:pPr>
              <w:spacing w:after="40" w:line="240" w:lineRule="auto"/>
            </w:pPr>
            <w:r>
              <w:rPr>
                <w:sz w:val="20"/>
              </w:rPr>
            </w:r>
            <w:r>
              <w:rPr>
                <w:sz w:val="20"/>
              </w:rPr>
              <w:t>— (&lt;10⁻³)</w:t>
            </w:r>
          </w:p>
        </w:tc>
        <w:tc>
          <w:tcPr>
            <w:tcW w:type="dxa" w:w="2160"/>
          </w:tcPr>
          <w:p>
            <w:pPr>
              <w:spacing w:after="40" w:line="240" w:lineRule="auto"/>
            </w:pPr>
            <w:r>
              <w:rPr>
                <w:sz w:val="20"/>
              </w:rPr>
            </w:r>
            <w:r>
              <w:rPr>
                <w:sz w:val="20"/>
              </w:rPr>
              <w:t>—</w:t>
            </w:r>
          </w:p>
        </w:tc>
        <w:tc>
          <w:tcPr>
            <w:tcW w:type="dxa" w:w="2160"/>
          </w:tcPr>
          <w:p>
            <w:pPr>
              <w:spacing w:after="40" w:line="240" w:lineRule="auto"/>
            </w:pPr>
            <w:r>
              <w:rPr>
                <w:sz w:val="20"/>
              </w:rPr>
            </w:r>
            <w:r>
              <w:rPr>
                <w:sz w:val="20"/>
              </w:rPr>
              <w:t>Not represented</w:t>
            </w:r>
          </w:p>
        </w:tc>
      </w:tr>
      <w:tr>
        <w:tc>
          <w:tcPr>
            <w:tcW w:type="dxa" w:w="2160"/>
          </w:tcPr>
          <w:p>
            <w:pPr>
              <w:spacing w:after="40" w:line="240" w:lineRule="auto"/>
            </w:pPr>
            <w:r>
              <w:rPr>
                <w:sz w:val="20"/>
              </w:rPr>
            </w:r>
            <w:r>
              <w:rPr>
                <w:sz w:val="20"/>
              </w:rPr>
              <w:t>Copper</w:t>
            </w:r>
          </w:p>
        </w:tc>
        <w:tc>
          <w:tcPr>
            <w:tcW w:type="dxa" w:w="2160"/>
          </w:tcPr>
          <w:p>
            <w:pPr>
              <w:spacing w:after="40" w:line="240" w:lineRule="auto"/>
            </w:pPr>
            <w:r>
              <w:rPr>
                <w:sz w:val="20"/>
              </w:rPr>
            </w:r>
            <w:r>
              <w:rPr>
                <w:sz w:val="20"/>
              </w:rPr>
              <w:t>— (&lt;10⁻³)</w:t>
            </w:r>
          </w:p>
        </w:tc>
        <w:tc>
          <w:tcPr>
            <w:tcW w:type="dxa" w:w="2160"/>
          </w:tcPr>
          <w:p>
            <w:pPr>
              <w:spacing w:after="40" w:line="240" w:lineRule="auto"/>
            </w:pPr>
            <w:r>
              <w:rPr>
                <w:sz w:val="20"/>
              </w:rPr>
            </w:r>
            <w:r>
              <w:rPr>
                <w:sz w:val="20"/>
              </w:rPr>
              <w:t>—</w:t>
            </w:r>
          </w:p>
        </w:tc>
        <w:tc>
          <w:tcPr>
            <w:tcW w:type="dxa" w:w="2160"/>
          </w:tcPr>
          <w:p>
            <w:pPr>
              <w:spacing w:after="40" w:line="240" w:lineRule="auto"/>
            </w:pPr>
            <w:r>
              <w:rPr>
                <w:sz w:val="20"/>
              </w:rPr>
            </w:r>
            <w:r>
              <w:rPr>
                <w:sz w:val="20"/>
              </w:rPr>
              <w:t>Not represented</w:t>
            </w:r>
          </w:p>
        </w:tc>
      </w:tr>
      <w:tr>
        <w:tc>
          <w:tcPr>
            <w:tcW w:type="dxa" w:w="2160"/>
          </w:tcPr>
          <w:p>
            <w:pPr>
              <w:spacing w:after="40" w:line="240" w:lineRule="auto"/>
            </w:pPr>
            <w:r>
              <w:rPr>
                <w:sz w:val="20"/>
              </w:rPr>
            </w:r>
            <w:r>
              <w:rPr>
                <w:sz w:val="20"/>
              </w:rPr>
              <w:t>Gold</w:t>
            </w:r>
          </w:p>
        </w:tc>
        <w:tc>
          <w:tcPr>
            <w:tcW w:type="dxa" w:w="2160"/>
          </w:tcPr>
          <w:p>
            <w:pPr>
              <w:spacing w:after="40" w:line="240" w:lineRule="auto"/>
            </w:pPr>
            <w:r>
              <w:rPr>
                <w:sz w:val="20"/>
              </w:rPr>
            </w:r>
            <w:r>
              <w:rPr>
                <w:sz w:val="20"/>
              </w:rPr>
              <w:t>— (&lt;10⁻³)</w:t>
            </w:r>
          </w:p>
        </w:tc>
        <w:tc>
          <w:tcPr>
            <w:tcW w:type="dxa" w:w="2160"/>
          </w:tcPr>
          <w:p>
            <w:pPr>
              <w:spacing w:after="40" w:line="240" w:lineRule="auto"/>
            </w:pPr>
            <w:r>
              <w:rPr>
                <w:sz w:val="20"/>
              </w:rPr>
            </w:r>
            <w:r>
              <w:rPr>
                <w:sz w:val="20"/>
              </w:rPr>
              <w:t>—</w:t>
            </w:r>
          </w:p>
        </w:tc>
        <w:tc>
          <w:tcPr>
            <w:tcW w:type="dxa" w:w="2160"/>
          </w:tcPr>
          <w:p>
            <w:pPr>
              <w:spacing w:after="40" w:line="240" w:lineRule="auto"/>
            </w:pPr>
            <w:r>
              <w:rPr>
                <w:sz w:val="20"/>
              </w:rPr>
            </w:r>
            <w:r>
              <w:rPr>
                <w:sz w:val="20"/>
              </w:rPr>
              <w:t>Not represented</w:t>
            </w:r>
          </w:p>
        </w:tc>
      </w:tr>
      <w:tr>
        <w:tc>
          <w:tcPr>
            <w:tcW w:type="dxa" w:w="2160"/>
          </w:tcPr>
          <w:p>
            <w:pPr>
              <w:spacing w:after="40" w:line="240" w:lineRule="auto"/>
            </w:pPr>
            <w:r>
              <w:rPr>
                <w:sz w:val="20"/>
              </w:rPr>
            </w:r>
            <w:r>
              <w:rPr>
                <w:sz w:val="20"/>
              </w:rPr>
              <w:t>Coal</w:t>
            </w:r>
          </w:p>
        </w:tc>
        <w:tc>
          <w:tcPr>
            <w:tcW w:type="dxa" w:w="2160"/>
          </w:tcPr>
          <w:p>
            <w:pPr>
              <w:spacing w:after="40" w:line="240" w:lineRule="auto"/>
            </w:pPr>
            <w:r>
              <w:rPr>
                <w:sz w:val="20"/>
              </w:rPr>
            </w:r>
            <w:r>
              <w:rPr>
                <w:sz w:val="20"/>
              </w:rPr>
              <w:t>— (&lt;10⁻³)</w:t>
            </w:r>
          </w:p>
        </w:tc>
        <w:tc>
          <w:tcPr>
            <w:tcW w:type="dxa" w:w="2160"/>
          </w:tcPr>
          <w:p>
            <w:pPr>
              <w:spacing w:after="40" w:line="240" w:lineRule="auto"/>
            </w:pPr>
            <w:r>
              <w:rPr>
                <w:sz w:val="20"/>
              </w:rPr>
            </w:r>
            <w:r>
              <w:rPr>
                <w:sz w:val="20"/>
              </w:rPr>
              <w:t>—</w:t>
            </w:r>
          </w:p>
        </w:tc>
        <w:tc>
          <w:tcPr>
            <w:tcW w:type="dxa" w:w="2160"/>
          </w:tcPr>
          <w:p>
            <w:pPr>
              <w:spacing w:after="40" w:line="240" w:lineRule="auto"/>
            </w:pPr>
            <w:r>
              <w:rPr>
                <w:sz w:val="20"/>
              </w:rPr>
            </w:r>
            <w:r>
              <w:rPr>
                <w:sz w:val="20"/>
              </w:rPr>
              <w:t>Not represented</w:t>
            </w:r>
          </w:p>
        </w:tc>
      </w:tr>
      <w:tr>
        <w:tc>
          <w:tcPr>
            <w:tcW w:type="dxa" w:w="2160"/>
          </w:tcPr>
          <w:p>
            <w:pPr>
              <w:spacing w:after="40" w:line="240" w:lineRule="auto"/>
            </w:pPr>
            <w:r>
              <w:rPr>
                <w:sz w:val="20"/>
              </w:rPr>
            </w:r>
            <w:r>
              <w:rPr>
                <w:sz w:val="20"/>
              </w:rPr>
              <w:t>Gas and peat</w:t>
            </w:r>
          </w:p>
        </w:tc>
        <w:tc>
          <w:tcPr>
            <w:tcW w:type="dxa" w:w="2160"/>
          </w:tcPr>
          <w:p>
            <w:pPr>
              <w:spacing w:after="40" w:line="240" w:lineRule="auto"/>
            </w:pPr>
            <w:r>
              <w:rPr>
                <w:sz w:val="20"/>
              </w:rPr>
            </w:r>
            <w:r>
              <w:rPr>
                <w:sz w:val="20"/>
              </w:rPr>
              <w:t>— (&lt;10⁻³)</w:t>
            </w:r>
          </w:p>
        </w:tc>
        <w:tc>
          <w:tcPr>
            <w:tcW w:type="dxa" w:w="2160"/>
          </w:tcPr>
          <w:p>
            <w:pPr>
              <w:spacing w:after="40" w:line="240" w:lineRule="auto"/>
            </w:pPr>
            <w:r>
              <w:rPr>
                <w:sz w:val="20"/>
              </w:rPr>
            </w:r>
            <w:r>
              <w:rPr>
                <w:sz w:val="20"/>
              </w:rPr>
              <w:t>—</w:t>
            </w:r>
          </w:p>
        </w:tc>
        <w:tc>
          <w:tcPr>
            <w:tcW w:type="dxa" w:w="2160"/>
          </w:tcPr>
          <w:p>
            <w:pPr>
              <w:spacing w:after="40" w:line="240" w:lineRule="auto"/>
            </w:pPr>
            <w:r>
              <w:rPr>
                <w:sz w:val="20"/>
              </w:rPr>
            </w:r>
            <w:r>
              <w:rPr>
                <w:sz w:val="20"/>
              </w:rPr>
              <w:t>Not represented</w:t>
            </w:r>
          </w:p>
        </w:tc>
      </w:tr>
      <w:tr>
        <w:tc>
          <w:tcPr>
            <w:tcW w:type="dxa" w:w="2160"/>
          </w:tcPr>
          <w:p>
            <w:pPr>
              <w:spacing w:after="40" w:line="240" w:lineRule="auto"/>
            </w:pPr>
            <w:r>
              <w:rPr>
                <w:sz w:val="20"/>
              </w:rPr>
            </w:r>
            <w:r>
              <w:rPr>
                <w:sz w:val="20"/>
              </w:rPr>
              <w:t>Oil</w:t>
            </w:r>
          </w:p>
        </w:tc>
        <w:tc>
          <w:tcPr>
            <w:tcW w:type="dxa" w:w="2160"/>
          </w:tcPr>
          <w:p>
            <w:pPr>
              <w:spacing w:after="40" w:line="240" w:lineRule="auto"/>
            </w:pPr>
            <w:r>
              <w:rPr>
                <w:sz w:val="20"/>
              </w:rPr>
            </w:r>
            <w:r>
              <w:rPr>
                <w:sz w:val="20"/>
              </w:rPr>
              <w:t>— (&lt;10⁻³)</w:t>
            </w:r>
          </w:p>
        </w:tc>
        <w:tc>
          <w:tcPr>
            <w:tcW w:type="dxa" w:w="2160"/>
          </w:tcPr>
          <w:p>
            <w:pPr>
              <w:spacing w:after="40" w:line="240" w:lineRule="auto"/>
            </w:pPr>
            <w:r>
              <w:rPr>
                <w:sz w:val="20"/>
              </w:rPr>
            </w:r>
            <w:r>
              <w:rPr>
                <w:sz w:val="20"/>
              </w:rPr>
              <w:t>—</w:t>
            </w:r>
          </w:p>
        </w:tc>
        <w:tc>
          <w:tcPr>
            <w:tcW w:type="dxa" w:w="2160"/>
          </w:tcPr>
          <w:p>
            <w:pPr>
              <w:spacing w:after="40" w:line="240" w:lineRule="auto"/>
            </w:pPr>
            <w:r>
              <w:rPr>
                <w:sz w:val="20"/>
              </w:rPr>
            </w:r>
            <w:r>
              <w:rPr>
                <w:sz w:val="20"/>
              </w:rPr>
              <w:t>Not represented</w:t>
            </w:r>
          </w:p>
        </w:tc>
      </w:tr>
    </w:tbl>
    <w:p>
      <w:pPr>
        <w:spacing w:before="120" w:after="240"/>
        <w:jc w:val="both"/>
      </w:pPr>
      <w:r>
        <w:rPr>
          <w:i/>
          <w:sz w:val="20"/>
        </w:rPr>
        <w:t>Note: Three features distinguish the decomposition from a subcategory total. (i) It does not span the classification: six of fifteen subcategories receive near-zero loadings, so the NTF isolates the high-variance systems rather than reproducing the full taxonomy. (ii) It attaches country and temporal structure to each system (e.g., Brazil's dominance of metal ores; the divergent trends in Table 2). (iii) Most diagnostically, C5 couples two materials (crop residues, grazed biomass) with specific livestock sectors (cattle, sheep and goats) into a single feed–livestock system — a cross-dimensional linkage that no static subcategory total can express.</w:t>
      </w:r>
    </w:p>
    <w:p>
      <w:pPr>
        <w:pStyle w:val="Heading2"/>
      </w:pPr>
      <w:r>
        <w:t>Table S9. Material specialisation of MERCOSUR, observed versus scenario</w:t>
      </w:r>
    </w:p>
    <w:p>
      <w:r>
        <w:t xml:space="preserve">Specialisation of MERCOSUR computed from observed 2022 extraction tonnage and re-computed after applying the scenario effect (Section 4.5.4). The </w:t>
      </w:r>
      <w:r>
        <w:rPr>
          <w:b w:val="0"/>
          <w:i/>
        </w:rPr>
        <w:t>within-bloc share</w:t>
      </w:r>
      <w:r>
        <w:t xml:space="preserve"> is the category's share of MERCOSUR's own extraction; the </w:t>
      </w:r>
      <w:r>
        <w:rPr>
          <w:b w:val="0"/>
          <w:i/>
        </w:rPr>
        <w:t>between-bloc share</w:t>
      </w:r>
      <w:r>
        <w:t xml:space="preserve"> is MERCOSUR's share of the two blocs' combined extraction of the category. The central scenario applies the bloc-symmetric category effect (biomass +9.2%, metal ores +5.8%, non-metallic minerals +2.0%); the bloc-specific variant assigns the MERCOSUR and EU export boosts of Table 1 separately, so that MERCOSUR receives the larger boost on most components.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after="40" w:line="240" w:lineRule="auto"/>
            </w:pPr>
            <w:r>
              <w:rPr>
                <w:b/>
                <w:sz w:val="20"/>
              </w:rPr>
            </w:r>
            <w:r>
              <w:rPr>
                <w:b/>
                <w:sz w:val="20"/>
              </w:rPr>
              <w:t>Measure</w:t>
            </w:r>
          </w:p>
        </w:tc>
        <w:tc>
          <w:tcPr>
            <w:tcW w:type="dxa" w:w="1728"/>
          </w:tcPr>
          <w:p>
            <w:pPr>
              <w:spacing w:after="40" w:line="240" w:lineRule="auto"/>
            </w:pPr>
            <w:r>
              <w:rPr>
                <w:b/>
                <w:sz w:val="20"/>
              </w:rPr>
            </w:r>
            <w:r>
              <w:rPr>
                <w:b/>
                <w:sz w:val="20"/>
              </w:rPr>
              <w:t>Category</w:t>
            </w:r>
          </w:p>
        </w:tc>
        <w:tc>
          <w:tcPr>
            <w:tcW w:type="dxa" w:w="1728"/>
          </w:tcPr>
          <w:p>
            <w:pPr>
              <w:spacing w:after="40" w:line="240" w:lineRule="auto"/>
            </w:pPr>
            <w:r>
              <w:rPr>
                <w:b/>
                <w:sz w:val="20"/>
              </w:rPr>
            </w:r>
            <w:r>
              <w:rPr>
                <w:b/>
                <w:sz w:val="20"/>
              </w:rPr>
              <w:t>Observed 2022</w:t>
            </w:r>
          </w:p>
        </w:tc>
        <w:tc>
          <w:tcPr>
            <w:tcW w:type="dxa" w:w="1728"/>
          </w:tcPr>
          <w:p>
            <w:pPr>
              <w:spacing w:after="40" w:line="240" w:lineRule="auto"/>
            </w:pPr>
            <w:r>
              <w:rPr>
                <w:b/>
                <w:sz w:val="20"/>
              </w:rPr>
            </w:r>
            <w:r>
              <w:rPr>
                <w:b/>
                <w:sz w:val="20"/>
              </w:rPr>
              <w:t>Central scenario</w:t>
            </w:r>
          </w:p>
        </w:tc>
        <w:tc>
          <w:tcPr>
            <w:tcW w:type="dxa" w:w="1728"/>
          </w:tcPr>
          <w:p>
            <w:pPr>
              <w:spacing w:after="40" w:line="240" w:lineRule="auto"/>
            </w:pPr>
            <w:r>
              <w:rPr>
                <w:b/>
                <w:sz w:val="20"/>
              </w:rPr>
            </w:r>
            <w:r>
              <w:rPr>
                <w:b/>
                <w:sz w:val="20"/>
              </w:rPr>
              <w:t>Bloc-specific variant</w:t>
            </w:r>
          </w:p>
        </w:tc>
      </w:tr>
      <w:tr>
        <w:tc>
          <w:tcPr>
            <w:tcW w:type="dxa" w:w="1728"/>
          </w:tcPr>
          <w:p>
            <w:pPr>
              <w:spacing w:after="40" w:line="240" w:lineRule="auto"/>
            </w:pPr>
            <w:r>
              <w:rPr>
                <w:sz w:val="20"/>
              </w:rPr>
            </w:r>
            <w:r>
              <w:rPr>
                <w:sz w:val="20"/>
              </w:rPr>
              <w:t>Within-bloc share (%)</w:t>
            </w:r>
          </w:p>
        </w:tc>
        <w:tc>
          <w:tcPr>
            <w:tcW w:type="dxa" w:w="1728"/>
          </w:tcPr>
          <w:p>
            <w:pPr>
              <w:spacing w:after="40" w:line="240" w:lineRule="auto"/>
            </w:pPr>
            <w:r>
              <w:rPr>
                <w:sz w:val="20"/>
              </w:rPr>
            </w:r>
            <w:r>
              <w:rPr>
                <w:sz w:val="20"/>
              </w:rPr>
              <w:t>Biomass</w:t>
            </w:r>
          </w:p>
        </w:tc>
        <w:tc>
          <w:tcPr>
            <w:tcW w:type="dxa" w:w="1728"/>
          </w:tcPr>
          <w:p>
            <w:pPr>
              <w:spacing w:after="40" w:line="240" w:lineRule="auto"/>
            </w:pPr>
            <w:r>
              <w:rPr>
                <w:sz w:val="20"/>
              </w:rPr>
            </w:r>
            <w:r>
              <w:rPr>
                <w:sz w:val="20"/>
              </w:rPr>
              <w:t>62.2</w:t>
            </w:r>
          </w:p>
        </w:tc>
        <w:tc>
          <w:tcPr>
            <w:tcW w:type="dxa" w:w="1728"/>
          </w:tcPr>
          <w:p>
            <w:pPr>
              <w:spacing w:after="40" w:line="240" w:lineRule="auto"/>
            </w:pPr>
            <w:r>
              <w:rPr>
                <w:sz w:val="20"/>
              </w:rPr>
            </w:r>
            <w:r>
              <w:rPr>
                <w:sz w:val="20"/>
              </w:rPr>
              <w:t>63.6</w:t>
            </w:r>
          </w:p>
        </w:tc>
        <w:tc>
          <w:tcPr>
            <w:tcW w:type="dxa" w:w="1728"/>
          </w:tcPr>
          <w:p>
            <w:pPr>
              <w:spacing w:after="40" w:line="240" w:lineRule="auto"/>
            </w:pPr>
            <w:r>
              <w:rPr>
                <w:sz w:val="20"/>
              </w:rPr>
            </w:r>
            <w:r>
              <w:rPr>
                <w:sz w:val="20"/>
              </w:rPr>
              <w:t>64.2</w:t>
            </w:r>
          </w:p>
        </w:tc>
      </w:tr>
      <w:tr>
        <w:tc>
          <w:tcPr>
            <w:tcW w:type="dxa" w:w="1728"/>
          </w:tcPr>
          <w:p>
            <w:pPr>
              <w:spacing w:after="40" w:line="240" w:lineRule="auto"/>
            </w:pPr>
            <w:r>
              <w:rPr>
                <w:sz w:val="20"/>
              </w:rPr>
            </w:r>
            <w:r>
              <w:rPr>
                <w:sz w:val="20"/>
              </w:rPr>
              <w:t>Within-bloc share (%)</w:t>
            </w:r>
          </w:p>
        </w:tc>
        <w:tc>
          <w:tcPr>
            <w:tcW w:type="dxa" w:w="1728"/>
          </w:tcPr>
          <w:p>
            <w:pPr>
              <w:spacing w:after="40" w:line="240" w:lineRule="auto"/>
            </w:pPr>
            <w:r>
              <w:rPr>
                <w:sz w:val="20"/>
              </w:rPr>
            </w:r>
            <w:r>
              <w:rPr>
                <w:sz w:val="20"/>
              </w:rPr>
              <w:t>Metal ores</w:t>
            </w:r>
          </w:p>
        </w:tc>
        <w:tc>
          <w:tcPr>
            <w:tcW w:type="dxa" w:w="1728"/>
          </w:tcPr>
          <w:p>
            <w:pPr>
              <w:spacing w:after="40" w:line="240" w:lineRule="auto"/>
            </w:pPr>
            <w:r>
              <w:rPr>
                <w:sz w:val="20"/>
              </w:rPr>
            </w:r>
            <w:r>
              <w:rPr>
                <w:sz w:val="20"/>
              </w:rPr>
              <w:t>10.7</w:t>
            </w:r>
          </w:p>
        </w:tc>
        <w:tc>
          <w:tcPr>
            <w:tcW w:type="dxa" w:w="1728"/>
          </w:tcPr>
          <w:p>
            <w:pPr>
              <w:spacing w:after="40" w:line="240" w:lineRule="auto"/>
            </w:pPr>
            <w:r>
              <w:rPr>
                <w:sz w:val="20"/>
              </w:rPr>
            </w:r>
            <w:r>
              <w:rPr>
                <w:sz w:val="20"/>
              </w:rPr>
              <w:t>10.6</w:t>
            </w:r>
          </w:p>
        </w:tc>
        <w:tc>
          <w:tcPr>
            <w:tcW w:type="dxa" w:w="1728"/>
          </w:tcPr>
          <w:p>
            <w:pPr>
              <w:spacing w:after="40" w:line="240" w:lineRule="auto"/>
            </w:pPr>
            <w:r>
              <w:rPr>
                <w:sz w:val="20"/>
              </w:rPr>
            </w:r>
            <w:r>
              <w:rPr>
                <w:sz w:val="20"/>
              </w:rPr>
              <w:t>10.7</w:t>
            </w:r>
          </w:p>
        </w:tc>
      </w:tr>
      <w:tr>
        <w:tc>
          <w:tcPr>
            <w:tcW w:type="dxa" w:w="1728"/>
          </w:tcPr>
          <w:p>
            <w:pPr>
              <w:spacing w:after="40" w:line="240" w:lineRule="auto"/>
            </w:pPr>
            <w:r>
              <w:rPr>
                <w:sz w:val="20"/>
              </w:rPr>
            </w:r>
            <w:r>
              <w:rPr>
                <w:sz w:val="20"/>
              </w:rPr>
              <w:t>Within-bloc share (%)</w:t>
            </w:r>
          </w:p>
        </w:tc>
        <w:tc>
          <w:tcPr>
            <w:tcW w:type="dxa" w:w="1728"/>
          </w:tcPr>
          <w:p>
            <w:pPr>
              <w:spacing w:after="40" w:line="240" w:lineRule="auto"/>
            </w:pPr>
            <w:r>
              <w:rPr>
                <w:sz w:val="20"/>
              </w:rPr>
            </w:r>
            <w:r>
              <w:rPr>
                <w:sz w:val="20"/>
              </w:rPr>
              <w:t>Non-metallic minerals</w:t>
            </w:r>
          </w:p>
        </w:tc>
        <w:tc>
          <w:tcPr>
            <w:tcW w:type="dxa" w:w="1728"/>
          </w:tcPr>
          <w:p>
            <w:pPr>
              <w:spacing w:after="40" w:line="240" w:lineRule="auto"/>
            </w:pPr>
            <w:r>
              <w:rPr>
                <w:sz w:val="20"/>
              </w:rPr>
            </w:r>
            <w:r>
              <w:rPr>
                <w:sz w:val="20"/>
              </w:rPr>
              <w:t>23.0</w:t>
            </w:r>
          </w:p>
        </w:tc>
        <w:tc>
          <w:tcPr>
            <w:tcW w:type="dxa" w:w="1728"/>
          </w:tcPr>
          <w:p>
            <w:pPr>
              <w:spacing w:after="40" w:line="240" w:lineRule="auto"/>
            </w:pPr>
            <w:r>
              <w:rPr>
                <w:sz w:val="20"/>
              </w:rPr>
            </w:r>
            <w:r>
              <w:rPr>
                <w:sz w:val="20"/>
              </w:rPr>
              <w:t>22.0</w:t>
            </w:r>
          </w:p>
        </w:tc>
        <w:tc>
          <w:tcPr>
            <w:tcW w:type="dxa" w:w="1728"/>
          </w:tcPr>
          <w:p>
            <w:pPr>
              <w:spacing w:after="40" w:line="240" w:lineRule="auto"/>
            </w:pPr>
            <w:r>
              <w:rPr>
                <w:sz w:val="20"/>
              </w:rPr>
            </w:r>
            <w:r>
              <w:rPr>
                <w:sz w:val="20"/>
              </w:rPr>
              <w:t>21.4</w:t>
            </w:r>
          </w:p>
        </w:tc>
      </w:tr>
      <w:tr>
        <w:tc>
          <w:tcPr>
            <w:tcW w:type="dxa" w:w="1728"/>
          </w:tcPr>
          <w:p>
            <w:pPr>
              <w:spacing w:after="40" w:line="240" w:lineRule="auto"/>
            </w:pPr>
            <w:r>
              <w:rPr>
                <w:sz w:val="20"/>
              </w:rPr>
            </w:r>
            <w:r>
              <w:rPr>
                <w:sz w:val="20"/>
              </w:rPr>
              <w:t>Between-bloc share (%)</w:t>
            </w:r>
          </w:p>
        </w:tc>
        <w:tc>
          <w:tcPr>
            <w:tcW w:type="dxa" w:w="1728"/>
          </w:tcPr>
          <w:p>
            <w:pPr>
              <w:spacing w:after="40" w:line="240" w:lineRule="auto"/>
            </w:pPr>
            <w:r>
              <w:rPr>
                <w:sz w:val="20"/>
              </w:rPr>
            </w:r>
            <w:r>
              <w:rPr>
                <w:sz w:val="20"/>
              </w:rPr>
              <w:t>Biomass</w:t>
            </w:r>
          </w:p>
        </w:tc>
        <w:tc>
          <w:tcPr>
            <w:tcW w:type="dxa" w:w="1728"/>
          </w:tcPr>
          <w:p>
            <w:pPr>
              <w:spacing w:after="40" w:line="240" w:lineRule="auto"/>
            </w:pPr>
            <w:r>
              <w:rPr>
                <w:sz w:val="20"/>
              </w:rPr>
            </w:r>
            <w:r>
              <w:rPr>
                <w:sz w:val="20"/>
              </w:rPr>
              <w:t>68.2</w:t>
            </w:r>
          </w:p>
        </w:tc>
        <w:tc>
          <w:tcPr>
            <w:tcW w:type="dxa" w:w="1728"/>
          </w:tcPr>
          <w:p>
            <w:pPr>
              <w:spacing w:after="40" w:line="240" w:lineRule="auto"/>
            </w:pPr>
            <w:r>
              <w:rPr>
                <w:sz w:val="20"/>
              </w:rPr>
            </w:r>
            <w:r>
              <w:rPr>
                <w:sz w:val="20"/>
              </w:rPr>
              <w:t>68.2</w:t>
            </w:r>
          </w:p>
        </w:tc>
        <w:tc>
          <w:tcPr>
            <w:tcW w:type="dxa" w:w="1728"/>
          </w:tcPr>
          <w:p>
            <w:pPr>
              <w:spacing w:after="40" w:line="240" w:lineRule="auto"/>
            </w:pPr>
            <w:r>
              <w:rPr>
                <w:sz w:val="20"/>
              </w:rPr>
            </w:r>
            <w:r>
              <w:rPr>
                <w:sz w:val="20"/>
              </w:rPr>
              <w:t>69.3</w:t>
            </w:r>
          </w:p>
        </w:tc>
      </w:tr>
      <w:tr>
        <w:tc>
          <w:tcPr>
            <w:tcW w:type="dxa" w:w="1728"/>
          </w:tcPr>
          <w:p>
            <w:pPr>
              <w:spacing w:after="40" w:line="240" w:lineRule="auto"/>
            </w:pPr>
            <w:r>
              <w:rPr>
                <w:sz w:val="20"/>
              </w:rPr>
            </w:r>
            <w:r>
              <w:rPr>
                <w:sz w:val="20"/>
              </w:rPr>
              <w:t>Between-bloc share (%)</w:t>
            </w:r>
          </w:p>
        </w:tc>
        <w:tc>
          <w:tcPr>
            <w:tcW w:type="dxa" w:w="1728"/>
          </w:tcPr>
          <w:p>
            <w:pPr>
              <w:spacing w:after="40" w:line="240" w:lineRule="auto"/>
            </w:pPr>
            <w:r>
              <w:rPr>
                <w:sz w:val="20"/>
              </w:rPr>
            </w:r>
            <w:r>
              <w:rPr>
                <w:sz w:val="20"/>
              </w:rPr>
              <w:t>Metal ores</w:t>
            </w:r>
          </w:p>
        </w:tc>
        <w:tc>
          <w:tcPr>
            <w:tcW w:type="dxa" w:w="1728"/>
          </w:tcPr>
          <w:p>
            <w:pPr>
              <w:spacing w:after="40" w:line="240" w:lineRule="auto"/>
            </w:pPr>
            <w:r>
              <w:rPr>
                <w:sz w:val="20"/>
              </w:rPr>
            </w:r>
            <w:r>
              <w:rPr>
                <w:sz w:val="20"/>
              </w:rPr>
              <w:t>76.7</w:t>
            </w:r>
          </w:p>
        </w:tc>
        <w:tc>
          <w:tcPr>
            <w:tcW w:type="dxa" w:w="1728"/>
          </w:tcPr>
          <w:p>
            <w:pPr>
              <w:spacing w:after="40" w:line="240" w:lineRule="auto"/>
            </w:pPr>
            <w:r>
              <w:rPr>
                <w:sz w:val="20"/>
              </w:rPr>
            </w:r>
            <w:r>
              <w:rPr>
                <w:sz w:val="20"/>
              </w:rPr>
              <w:t>76.7</w:t>
            </w:r>
          </w:p>
        </w:tc>
        <w:tc>
          <w:tcPr>
            <w:tcW w:type="dxa" w:w="1728"/>
          </w:tcPr>
          <w:p>
            <w:pPr>
              <w:spacing w:after="40" w:line="240" w:lineRule="auto"/>
            </w:pPr>
            <w:r>
              <w:rPr>
                <w:sz w:val="20"/>
              </w:rPr>
            </w:r>
            <w:r>
              <w:rPr>
                <w:sz w:val="20"/>
              </w:rPr>
              <w:t>77.5</w:t>
            </w:r>
          </w:p>
        </w:tc>
      </w:tr>
      <w:tr>
        <w:tc>
          <w:tcPr>
            <w:tcW w:type="dxa" w:w="1728"/>
          </w:tcPr>
          <w:p>
            <w:pPr>
              <w:spacing w:after="40" w:line="240" w:lineRule="auto"/>
            </w:pPr>
            <w:r>
              <w:rPr>
                <w:sz w:val="20"/>
              </w:rPr>
            </w:r>
            <w:r>
              <w:rPr>
                <w:sz w:val="20"/>
              </w:rPr>
              <w:t>Between-bloc share (%)</w:t>
            </w:r>
          </w:p>
        </w:tc>
        <w:tc>
          <w:tcPr>
            <w:tcW w:type="dxa" w:w="1728"/>
          </w:tcPr>
          <w:p>
            <w:pPr>
              <w:spacing w:after="40" w:line="240" w:lineRule="auto"/>
            </w:pPr>
            <w:r>
              <w:rPr>
                <w:sz w:val="20"/>
              </w:rPr>
            </w:r>
            <w:r>
              <w:rPr>
                <w:sz w:val="20"/>
              </w:rPr>
              <w:t>Non-metallic minerals</w:t>
            </w:r>
          </w:p>
        </w:tc>
        <w:tc>
          <w:tcPr>
            <w:tcW w:type="dxa" w:w="1728"/>
          </w:tcPr>
          <w:p>
            <w:pPr>
              <w:spacing w:after="40" w:line="240" w:lineRule="auto"/>
            </w:pPr>
            <w:r>
              <w:rPr>
                <w:sz w:val="20"/>
              </w:rPr>
            </w:r>
            <w:r>
              <w:rPr>
                <w:sz w:val="20"/>
              </w:rPr>
              <w:t>31.4</w:t>
            </w:r>
          </w:p>
        </w:tc>
        <w:tc>
          <w:tcPr>
            <w:tcW w:type="dxa" w:w="1728"/>
          </w:tcPr>
          <w:p>
            <w:pPr>
              <w:spacing w:after="40" w:line="240" w:lineRule="auto"/>
            </w:pPr>
            <w:r>
              <w:rPr>
                <w:sz w:val="20"/>
              </w:rPr>
            </w:r>
            <w:r>
              <w:rPr>
                <w:sz w:val="20"/>
              </w:rPr>
              <w:t>31.4</w:t>
            </w:r>
          </w:p>
        </w:tc>
        <w:tc>
          <w:tcPr>
            <w:tcW w:type="dxa" w:w="1728"/>
          </w:tcPr>
          <w:p>
            <w:pPr>
              <w:spacing w:after="40" w:line="240" w:lineRule="auto"/>
            </w:pPr>
            <w:r>
              <w:rPr>
                <w:sz w:val="20"/>
              </w:rPr>
            </w:r>
            <w:r>
              <w:rPr>
                <w:sz w:val="20"/>
              </w:rPr>
              <w:t>31.4</w:t>
            </w:r>
          </w:p>
        </w:tc>
      </w:tr>
    </w:tbl>
    <w:p>
      <w:pPr>
        <w:spacing w:before="120" w:after="240"/>
        <w:jc w:val="both"/>
      </w:pPr>
      <w:r>
        <w:rPr>
          <w:i/>
          <w:sz w:val="20"/>
        </w:rPr>
        <w:t>Note: Under the central (bloc-symmetric) scenario the between-bloc shares are invariant by construction: a proportional boost applied equally to both blocs cancels in the ratio, so the scenario cannot alter the distribution of a category between MERCOSUR and the EU-27 whilst the country loadings are held fixed. What moves is each bloc's internal composition: the biomass share of MERCOSUR's own extraction rises from 62.2% to 63.6% as the higher-shock categories grow faster, whilst the non-metallic-minerals share falls from 23.0% to 22.0%. Only when the bloc-specific export boosts are assigned do the between-bloc shares shift, and then only modestly (biomass 68.2% to 69.3%; metal ores 76.7% to 77.5%). The direction is consistent with a reinforcement of MERCOSUR's existing specialisation, but the magnitude is small and contingent on the assumed export-boost differential rather than on a modelled reallocation of extraction between the blocs.</w:t>
      </w:r>
    </w:p>
    <w:p>
      <w:pPr>
        <w:pStyle w:val="Heading2"/>
      </w:pPr>
      <w:r>
        <w:t>Fig. S1. Full component loading profiles</w:t>
      </w:r>
    </w:p>
    <w:p>
      <w:pPr>
        <w:jc w:val="center"/>
      </w:pPr>
      <w:r>
        <w:drawing>
          <wp:inline xmlns:a="http://schemas.openxmlformats.org/drawingml/2006/main" xmlns:pic="http://schemas.openxmlformats.org/drawingml/2006/picture">
            <wp:extent cx="5029200" cy="5484023"/>
            <wp:docPr id="1" name="Picture 1"/>
            <wp:cNvGraphicFramePr>
              <a:graphicFrameLocks noChangeAspect="1"/>
            </wp:cNvGraphicFramePr>
            <a:graphic>
              <a:graphicData uri="http://schemas.openxmlformats.org/drawingml/2006/picture">
                <pic:pic>
                  <pic:nvPicPr>
                    <pic:cNvPr id="0" name="fig_s1_component_loadings.png"/>
                    <pic:cNvPicPr/>
                  </pic:nvPicPr>
                  <pic:blipFill>
                    <a:blip r:embed="rId9"/>
                    <a:stretch>
                      <a:fillRect/>
                    </a:stretch>
                  </pic:blipFill>
                  <pic:spPr>
                    <a:xfrm>
                      <a:off x="0" y="0"/>
                      <a:ext cx="5029200" cy="5484023"/>
                    </a:xfrm>
                    <a:prstGeom prst="rect"/>
                  </pic:spPr>
                </pic:pic>
              </a:graphicData>
            </a:graphic>
          </wp:inline>
        </w:drawing>
      </w:r>
    </w:p>
    <w:p>
      <w:pPr>
        <w:spacing w:before="120" w:after="240"/>
        <w:jc w:val="both"/>
      </w:pPr>
      <w:r>
        <w:rPr>
          <w:b/>
          <w:i/>
          <w:sz w:val="20"/>
        </w:rPr>
        <w:t>Fig. S1</w:t>
      </w:r>
      <w:r>
        <w:rPr>
          <w:i/>
          <w:sz w:val="20"/>
        </w:rPr>
        <w:t xml:space="preserve"> Full loading profiles for all four dimensions (country, sector, material, year) across the six NTF components (</w:t>
      </w:r>
      <w:r>
        <w:rPr>
          <w:b w:val="0"/>
          <w:i/>
          <w:sz w:val="20"/>
        </w:rPr>
        <w:t>K</w:t>
      </w:r>
      <w:r>
        <w:rPr>
          <w:i/>
          <w:sz w:val="20"/>
        </w:rPr>
        <w:t xml:space="preserve"> = 6, </w:t>
      </w:r>
      <w:r>
        <w:rPr>
          <w:b w:val="0"/>
          <w:i/>
          <w:sz w:val="20"/>
        </w:rPr>
        <w:t>R</w:t>
      </w:r>
      <w:r>
        <w:rPr>
          <w:i/>
          <w:sz w:val="20"/>
        </w:rPr>
        <w:t>² = 0.75). Each row represents one component; columns display the country, sector, material subcategory, and temporal loadings, respectively. Loadings are unit-normalised</w:t>
      </w:r>
    </w:p>
    <w:p>
      <w:pPr>
        <w:pStyle w:val="Heading2"/>
      </w:pPr>
      <w:r>
        <w:t>Fig. S2. Sector loading comparison MERCOSUR vs EU-27</w:t>
      </w:r>
    </w:p>
    <w:p>
      <w:pPr>
        <w:jc w:val="center"/>
      </w:pPr>
      <w:r>
        <w:drawing>
          <wp:inline xmlns:a="http://schemas.openxmlformats.org/drawingml/2006/main" xmlns:pic="http://schemas.openxmlformats.org/drawingml/2006/picture">
            <wp:extent cx="5029200" cy="3028519"/>
            <wp:docPr id="2" name="Picture 2"/>
            <wp:cNvGraphicFramePr>
              <a:graphicFrameLocks noChangeAspect="1"/>
            </wp:cNvGraphicFramePr>
            <a:graphic>
              <a:graphicData uri="http://schemas.openxmlformats.org/drawingml/2006/picture">
                <pic:pic>
                  <pic:nvPicPr>
                    <pic:cNvPr id="0" name="fig_s2_sector_comparison.png"/>
                    <pic:cNvPicPr/>
                  </pic:nvPicPr>
                  <pic:blipFill>
                    <a:blip r:embed="rId10"/>
                    <a:stretch>
                      <a:fillRect/>
                    </a:stretch>
                  </pic:blipFill>
                  <pic:spPr>
                    <a:xfrm>
                      <a:off x="0" y="0"/>
                      <a:ext cx="5029200" cy="3028519"/>
                    </a:xfrm>
                    <a:prstGeom prst="rect"/>
                  </pic:spPr>
                </pic:pic>
              </a:graphicData>
            </a:graphic>
          </wp:inline>
        </w:drawing>
      </w:r>
    </w:p>
    <w:p>
      <w:pPr>
        <w:spacing w:before="120" w:after="240"/>
        <w:jc w:val="both"/>
      </w:pPr>
      <w:r>
        <w:rPr>
          <w:b/>
          <w:i/>
          <w:sz w:val="20"/>
        </w:rPr>
        <w:t>Fig. S2</w:t>
      </w:r>
      <w:r>
        <w:rPr>
          <w:i/>
          <w:sz w:val="20"/>
        </w:rPr>
        <w:t xml:space="preserve"> Comparison of sector loadings between MERCOSUR-4 and EU-27 countries for each of the six NTF components. Top 10 sectors per component, weighted by bloc, showing bilateral sector loading profiles</w:t>
      </w:r>
    </w:p>
    <w:p>
      <w:pPr>
        <w:pStyle w:val="Heading2"/>
      </w:pPr>
      <w:r>
        <w:t>Fig. S3. Rank selection diagnostics</w:t>
      </w:r>
    </w:p>
    <w:p>
      <w:pPr>
        <w:jc w:val="center"/>
      </w:pPr>
      <w:r>
        <w:drawing>
          <wp:inline xmlns:a="http://schemas.openxmlformats.org/drawingml/2006/main" xmlns:pic="http://schemas.openxmlformats.org/drawingml/2006/picture">
            <wp:extent cx="5029200" cy="2357850"/>
            <wp:docPr id="3" name="Picture 3"/>
            <wp:cNvGraphicFramePr>
              <a:graphicFrameLocks noChangeAspect="1"/>
            </wp:cNvGraphicFramePr>
            <a:graphic>
              <a:graphicData uri="http://schemas.openxmlformats.org/drawingml/2006/picture">
                <pic:pic>
                  <pic:nvPicPr>
                    <pic:cNvPr id="0" name="fig_s3_rank_selection.png"/>
                    <pic:cNvPicPr/>
                  </pic:nvPicPr>
                  <pic:blipFill>
                    <a:blip r:embed="rId11"/>
                    <a:stretch>
                      <a:fillRect/>
                    </a:stretch>
                  </pic:blipFill>
                  <pic:spPr>
                    <a:xfrm>
                      <a:off x="0" y="0"/>
                      <a:ext cx="5029200" cy="2357850"/>
                    </a:xfrm>
                    <a:prstGeom prst="rect"/>
                  </pic:spPr>
                </pic:pic>
              </a:graphicData>
            </a:graphic>
          </wp:inline>
        </w:drawing>
      </w:r>
    </w:p>
    <w:p>
      <w:pPr>
        <w:spacing w:before="120" w:after="240"/>
        <w:jc w:val="both"/>
      </w:pPr>
      <w:r>
        <w:rPr>
          <w:b/>
          <w:i/>
          <w:sz w:val="20"/>
        </w:rPr>
        <w:t>Fig. S3</w:t>
      </w:r>
      <w:r>
        <w:rPr>
          <w:i/>
          <w:sz w:val="20"/>
        </w:rPr>
        <w:t xml:space="preserve"> Rank selection diagnostic plots: (a) variance explained (</w:t>
      </w:r>
      <w:r>
        <w:rPr>
          <w:b w:val="0"/>
          <w:i/>
          <w:sz w:val="20"/>
        </w:rPr>
        <w:t>R</w:t>
      </w:r>
      <w:r>
        <w:rPr>
          <w:i/>
          <w:sz w:val="20"/>
        </w:rPr>
        <w:t xml:space="preserve">²) as a function of </w:t>
      </w:r>
      <w:r>
        <w:rPr>
          <w:b w:val="0"/>
          <w:i/>
          <w:sz w:val="20"/>
        </w:rPr>
        <w:t>K</w:t>
      </w:r>
      <w:r>
        <w:rPr>
          <w:i/>
          <w:sz w:val="20"/>
        </w:rPr>
        <w:t xml:space="preserve">; (b) marginal </w:t>
      </w:r>
      <w:r>
        <w:rPr>
          <w:b w:val="0"/>
          <w:i/>
          <w:sz w:val="20"/>
        </w:rPr>
        <w:t>R</w:t>
      </w:r>
      <w:r>
        <w:rPr>
          <w:i/>
          <w:sz w:val="20"/>
        </w:rPr>
        <w:t xml:space="preserve">² gain per additional component. Variance explained rises smoothly with </w:t>
      </w:r>
      <w:r>
        <w:rPr>
          <w:b w:val="0"/>
          <w:i/>
          <w:sz w:val="20"/>
        </w:rPr>
        <w:t>K</w:t>
      </w:r>
      <w:r>
        <w:rPr>
          <w:i/>
          <w:sz w:val="20"/>
        </w:rPr>
        <w:t xml:space="preserve"> and the marginal gain shows no sharp elbow; </w:t>
      </w:r>
      <w:r>
        <w:rPr>
          <w:b w:val="0"/>
          <w:i/>
          <w:sz w:val="20"/>
        </w:rPr>
        <w:t>K</w:t>
      </w:r>
      <w:r>
        <w:rPr>
          <w:i/>
          <w:sz w:val="20"/>
        </w:rPr>
        <w:t xml:space="preserve"> = 6 (</w:t>
      </w:r>
      <w:r>
        <w:rPr>
          <w:b w:val="0"/>
          <w:i/>
          <w:sz w:val="20"/>
        </w:rPr>
        <w:t>R</w:t>
      </w:r>
      <w:r>
        <w:rPr>
          <w:i/>
          <w:sz w:val="20"/>
        </w:rPr>
        <w:t>² = 0.75) is adopted as a parsimonious, interpretable rank rather than a statistically unique optimum (Section 3.4.2)</w:t>
      </w:r>
    </w:p>
    <w:p>
      <w:pPr>
        <w:pStyle w:val="Heading2"/>
      </w:pPr>
      <w:r>
        <w:t>Fig. S4. Temporal evolution of NTF components by bloc</w:t>
      </w:r>
    </w:p>
    <w:p>
      <w:pPr>
        <w:jc w:val="center"/>
      </w:pPr>
      <w:r>
        <w:drawing>
          <wp:inline xmlns:a="http://schemas.openxmlformats.org/drawingml/2006/main" xmlns:pic="http://schemas.openxmlformats.org/drawingml/2006/picture">
            <wp:extent cx="5029200" cy="2690688"/>
            <wp:docPr id="4" name="Picture 4"/>
            <wp:cNvGraphicFramePr>
              <a:graphicFrameLocks noChangeAspect="1"/>
            </wp:cNvGraphicFramePr>
            <a:graphic>
              <a:graphicData uri="http://schemas.openxmlformats.org/drawingml/2006/picture">
                <pic:pic>
                  <pic:nvPicPr>
                    <pic:cNvPr id="0" name="fig_s4_temporal_blocs.png"/>
                    <pic:cNvPicPr/>
                  </pic:nvPicPr>
                  <pic:blipFill>
                    <a:blip r:embed="rId12"/>
                    <a:stretch>
                      <a:fillRect/>
                    </a:stretch>
                  </pic:blipFill>
                  <pic:spPr>
                    <a:xfrm>
                      <a:off x="0" y="0"/>
                      <a:ext cx="5029200" cy="2690688"/>
                    </a:xfrm>
                    <a:prstGeom prst="rect"/>
                  </pic:spPr>
                </pic:pic>
              </a:graphicData>
            </a:graphic>
          </wp:inline>
        </w:drawing>
      </w:r>
    </w:p>
    <w:p>
      <w:pPr>
        <w:spacing w:before="120" w:after="240"/>
        <w:jc w:val="both"/>
      </w:pPr>
      <w:r>
        <w:rPr>
          <w:b/>
          <w:i/>
          <w:sz w:val="20"/>
        </w:rPr>
        <w:t>Fig. S4</w:t>
      </w:r>
      <w:r>
        <w:rPr>
          <w:i/>
          <w:sz w:val="20"/>
        </w:rPr>
        <w:t xml:space="preserve"> Temporal evolution of NTF components by bloc, 1990–2022. Each panel shows the year loading weighted by the mean country loading for MERCOSUR (red) and EU-27 (blue). C5 (livestock and grazing) displays the widest and most rapidly expanding inter-bloc divergence, whilst C3 (fishery and aquatic) remains essentially stable for both blocs</w:t>
      </w:r>
    </w:p>
    <w:sectPr w:rsidR="00FC693F" w:rsidRPr="0006063C" w:rsidSect="00034616">
      <w:footerReference w:type="default"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jc w:val="both"/>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