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Modelo de Machine Learning para la Proyección de la Demanda de Consumo Eléctrico al Año 2027 en función de la Evolución Demográfica en Tierra del Fuego.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Alumna:</w:t>
      </w:r>
      <w:r w:rsidDel="00000000" w:rsidR="00000000" w:rsidRPr="00000000">
        <w:rPr>
          <w:rtl w:val="0"/>
        </w:rPr>
        <w:t xml:space="preserve"> Débora Denis Macarena Calisaya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Entrega:</w:t>
      </w:r>
      <w:r w:rsidDel="00000000" w:rsidR="00000000" w:rsidRPr="00000000">
        <w:rPr>
          <w:rtl w:val="0"/>
        </w:rPr>
        <w:t xml:space="preserve"> Presentación Final del Modelo y Resultados.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sjln5b3mu2j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Origen de los Datos (Contexto Institucional)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Para garantizar la validez institucional y técnica de este desarrollo, la matriz de datos se consolidó unificando dos fuentes de dominio público de la Provincia de Tierra del Fuego: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Registro de Demanda Energética:</w:t>
      </w:r>
      <w:r w:rsidDel="00000000" w:rsidR="00000000" w:rsidRPr="00000000">
        <w:rPr>
          <w:rtl w:val="0"/>
        </w:rPr>
        <w:t xml:space="preserve"> Serie histórica mensualizada del consumo eléctrico total provincial medido en kilovatios-hora (kWh).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Registro Demográfico:</w:t>
      </w:r>
      <w:r w:rsidDel="00000000" w:rsidR="00000000" w:rsidRPr="00000000">
        <w:rPr>
          <w:rtl w:val="0"/>
        </w:rPr>
        <w:t xml:space="preserve"> Series anuales, estimaciones y proyecciones oficiales de población provistas por el </w:t>
      </w:r>
      <w:r w:rsidDel="00000000" w:rsidR="00000000" w:rsidRPr="00000000">
        <w:rPr>
          <w:b w:val="1"/>
          <w:bCs w:val="1"/>
          <w:rtl w:val="0"/>
        </w:rPr>
        <w:t xml:space="preserve">Instituto Provincial de Análisis Estadístico y Censos (IPIEC)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Ambas fuentes fueron integradas mediante un proceso de ETL en Pandas, indexando cronológicamente el consumo mensual con la evolución de habitantes.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cv1zpn9e809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Análisis Exploratorio de Datos (EDA) y Conclusiones Clave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Antes de proceder a la etapa de entrenamiento, se ejecutó un análisis estadístico y visual profundo de las variables para validar las hipótesis de comportamiento del sistema: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lineRule="auto"/>
        <w:ind w:left="720" w:hanging="36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Gráficos de Distribución (Histogramas con Curvas de Densidad):</w:t>
      </w:r>
      <w:r w:rsidDel="00000000" w:rsidR="00000000" w:rsidRPr="00000000">
        <w:rPr>
          <w:rtl w:val="0"/>
        </w:rPr>
        <w:t xml:space="preserve"> Revelaron una distribución con un marcado comportamiento bimodal en el consumo de energía. Esto refleja visualmente las dos realidades climáticas de la provincia: valles de consumo en las épocas estivales y mesetas elevadas</w:t>
      </w:r>
      <w:r w:rsidDel="00000000" w:rsidR="00000000" w:rsidRPr="00000000">
        <w:rPr/>
        <w:drawing>
          <wp:inline distB="114300" distT="114300" distL="114300" distR="114300">
            <wp:extent cx="3934272" cy="272918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4272" cy="2729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durante los meses fríos.</w:t>
      </w:r>
    </w:p>
    <w:p w:rsidR="00000000" w:rsidDel="00000000" w:rsidP="00000000" w:rsidRDefault="00000000" w:rsidRPr="00000000" w14:paraId="0000000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Gráficos de Dispersión y Coeficiente de Pearson:</w:t>
      </w:r>
      <w:r w:rsidDel="00000000" w:rsidR="00000000" w:rsidRPr="00000000">
        <w:rPr>
          <w:rtl w:val="0"/>
        </w:rPr>
        <w:t xml:space="preserve"> Al evaluar la relación matemática entre la </w:t>
      </w:r>
      <w:r w:rsidDel="00000000" w:rsidR="00000000" w:rsidRPr="00000000">
        <w:rPr>
          <w:color w:val="188038"/>
          <w:rtl w:val="0"/>
        </w:rPr>
        <w:t xml:space="preserve">Poblacion_Estimada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color w:val="188038"/>
          <w:rtl w:val="0"/>
        </w:rPr>
        <w:t xml:space="preserve">Consumo_Total_Provincial</w:t>
      </w:r>
      <w:r w:rsidDel="00000000" w:rsidR="00000000" w:rsidRPr="00000000">
        <w:rPr>
          <w:rtl w:val="0"/>
        </w:rPr>
        <w:t xml:space="preserve">, el </w:t>
      </w:r>
      <w:r w:rsidDel="00000000" w:rsidR="00000000" w:rsidRPr="00000000">
        <w:rPr>
          <w:b w:val="1"/>
          <w:bCs w:val="1"/>
          <w:rtl w:val="0"/>
        </w:rPr>
        <w:t xml:space="preserve">Coeficiente de Correlación de Pearson arrojó un valor de 0.61</w:t>
      </w:r>
      <w:r w:rsidDel="00000000" w:rsidR="00000000" w:rsidRPr="00000000">
        <w:rPr>
          <w:rtl w:val="0"/>
        </w:rPr>
        <w:t xml:space="preserve">. Esto demuestra una correlación lineal positiva moderada-fuerte, confirmando que el crecimiento poblacional de la isla empuja de forma directa y predecible el consumo base del sistema.</w:t>
      </w:r>
    </w:p>
    <w:p w:rsidR="00000000" w:rsidDel="00000000" w:rsidP="00000000" w:rsidRDefault="00000000" w:rsidRPr="00000000" w14:paraId="0000000F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8cxgyu588uw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Conclusiones clave del EDA: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consumo posee una fuerte componente inercial (el mes anterior condiciona al actual).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Existe un patrón estacional cíclico idéntico que se repite cada 12 meses debido a las condiciones climáticas y lumínicas extremas del invierno fueguino.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La población es un predictor exógeno válido y necesario para modelar la tendencia a largo plazo.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y0dk383nhki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Detalles del Modelo de Machine Learning Desarrollado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  <w:t xml:space="preserve">El sistema predictivo fue diseñado bajo un enfoque de </w:t>
      </w:r>
      <w:r w:rsidDel="00000000" w:rsidR="00000000" w:rsidRPr="00000000">
        <w:rPr>
          <w:b w:val="1"/>
          <w:bCs w:val="1"/>
          <w:rtl w:val="0"/>
        </w:rPr>
        <w:t xml:space="preserve">Aprendizaje Automático Supervisado</w:t>
      </w:r>
      <w:r w:rsidDel="00000000" w:rsidR="00000000" w:rsidRPr="00000000">
        <w:rPr>
          <w:rtl w:val="0"/>
        </w:rPr>
        <w:t xml:space="preserve"> enfocado en un problema de </w:t>
      </w:r>
      <w:r w:rsidDel="00000000" w:rsidR="00000000" w:rsidRPr="00000000">
        <w:rPr>
          <w:b w:val="1"/>
          <w:bCs w:val="1"/>
          <w:rtl w:val="0"/>
        </w:rPr>
        <w:t xml:space="preserve">Regresión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Algoritmo Utilizado:</w:t>
      </w:r>
      <w:r w:rsidDel="00000000" w:rsidR="00000000" w:rsidRPr="00000000">
        <w:rPr>
          <w:rtl w:val="0"/>
        </w:rPr>
        <w:t xml:space="preserve"> Regresión Lineal Múltiple.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Matriz de Diseño (5 Características Predictoras):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Poblacion_Estimada</w:t>
      </w:r>
      <w:r w:rsidDel="00000000" w:rsidR="00000000" w:rsidRPr="00000000">
        <w:rPr>
          <w:rtl w:val="0"/>
        </w:rPr>
        <w:t xml:space="preserve"> (Componente estructural exógena).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Total_Mes_Anterior (t-1)</w:t>
      </w:r>
      <w:r w:rsidDel="00000000" w:rsidR="00000000" w:rsidRPr="00000000">
        <w:rPr>
          <w:rtl w:val="0"/>
        </w:rPr>
        <w:t xml:space="preserve"> (Inercia de corto plazo).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Total_Hace_2Meses (t-2)</w:t>
      </w:r>
      <w:r w:rsidDel="00000000" w:rsidR="00000000" w:rsidRPr="00000000">
        <w:rPr>
          <w:rtl w:val="0"/>
        </w:rPr>
        <w:t xml:space="preserve"> (Inercia de corto plazo).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Total_Anio_Anterior (t-12)</w:t>
      </w:r>
      <w:r w:rsidDel="00000000" w:rsidR="00000000" w:rsidRPr="00000000">
        <w:rPr>
          <w:rtl w:val="0"/>
        </w:rPr>
        <w:t xml:space="preserve"> (Componente estacional anual).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Mes_Calendario</w:t>
      </w:r>
      <w:r w:rsidDel="00000000" w:rsidR="00000000" w:rsidRPr="00000000">
        <w:rPr>
          <w:rtl w:val="0"/>
        </w:rPr>
        <w:t xml:space="preserve"> (Variable de control estacional discreta).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Estrategia de Validación:</w:t>
      </w:r>
      <w:r w:rsidDel="00000000" w:rsidR="00000000" w:rsidRPr="00000000">
        <w:rPr>
          <w:rtl w:val="0"/>
        </w:rPr>
        <w:t xml:space="preserve"> División cronológica estricta (</w:t>
      </w:r>
      <w:r w:rsidDel="00000000" w:rsidR="00000000" w:rsidRPr="00000000">
        <w:rPr>
          <w:i w:val="1"/>
          <w:iCs w:val="1"/>
          <w:rtl w:val="0"/>
        </w:rPr>
        <w:t xml:space="preserve">Train-Test Split</w:t>
      </w:r>
      <w:r w:rsidDel="00000000" w:rsidR="00000000" w:rsidRPr="00000000">
        <w:rPr>
          <w:rtl w:val="0"/>
        </w:rPr>
        <w:t xml:space="preserve">) con una proporción de 80% para entrenamiento y 20% para testeo, aplicando la regla de control </w:t>
      </w:r>
      <w:r w:rsidDel="00000000" w:rsidR="00000000" w:rsidRPr="00000000">
        <w:rPr>
          <w:color w:val="188038"/>
          <w:rtl w:val="0"/>
        </w:rPr>
        <w:t xml:space="preserve">shuffle=False</w:t>
      </w:r>
      <w:r w:rsidDel="00000000" w:rsidR="00000000" w:rsidRPr="00000000">
        <w:rPr>
          <w:rtl w:val="0"/>
        </w:rPr>
        <w:t xml:space="preserve"> para evitar el filtrado de datos (</w:t>
      </w:r>
      <w:r w:rsidDel="00000000" w:rsidR="00000000" w:rsidRPr="00000000">
        <w:rPr>
          <w:i w:val="1"/>
          <w:iCs w:val="1"/>
          <w:rtl w:val="0"/>
        </w:rPr>
        <w:t xml:space="preserve">data leakage</w:t>
      </w:r>
      <w:r w:rsidDel="00000000" w:rsidR="00000000" w:rsidRPr="00000000">
        <w:rPr>
          <w:rtl w:val="0"/>
        </w:rPr>
        <w:t xml:space="preserve">) y garantizar una simulación predictiva real hacia el futuro.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ivriaqbxq03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Métricas de Evaluación del Modelo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  <w:t xml:space="preserve">Al tratarse de un problema de regresión (estimación de valores numéricos continuos) y no de clasificación, las métricas de evaluación adecuadas no son precision o recall, sino los indicadores de error global y variabilidad explicada. Los resultados exactos obtenidos por el modelo en la muestra de testeo no vista son: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Coeficiente de Determinación (R^2 Score):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0.4384</w:t>
      </w:r>
      <w:r w:rsidDel="00000000" w:rsidR="00000000" w:rsidRPr="00000000">
        <w:rPr>
          <w:rtl w:val="0"/>
        </w:rPr>
        <w:t xml:space="preserve"> (El modelo explica el </w:t>
      </w:r>
      <w:r w:rsidDel="00000000" w:rsidR="00000000" w:rsidRPr="00000000">
        <w:rPr>
          <w:b w:val="1"/>
          <w:bCs w:val="1"/>
          <w:rtl w:val="0"/>
        </w:rPr>
        <w:t xml:space="preserve">43.84%</w:t>
      </w:r>
      <w:r w:rsidDel="00000000" w:rsidR="00000000" w:rsidRPr="00000000">
        <w:rPr>
          <w:rtl w:val="0"/>
        </w:rPr>
        <w:t xml:space="preserve"> de la variabilidad futura de la demanda).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MAE (Error Absoluto Medio):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2,403,483.67 kWh</w:t>
      </w:r>
      <w:r w:rsidDel="00000000" w:rsidR="00000000" w:rsidRPr="00000000">
        <w:rPr>
          <w:rtl w:val="0"/>
        </w:rPr>
        <w:t xml:space="preserve"> (Desviación promedio mensual del modelo respecto a los valores reales).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RMSE (Raíz del Error Cuadrático Medio):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4,763,019.55 kWh</w:t>
      </w:r>
      <w:r w:rsidDel="00000000" w:rsidR="00000000" w:rsidRPr="00000000">
        <w:rPr>
          <w:rtl w:val="0"/>
        </w:rPr>
        <w:t xml:space="preserve"> (Métrica que penaliza con severidad los errores o desviaciones grandes).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qwqqfbmomm3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Interpretación de Resultados y Capacidad de Inferencia (2026 vs. 2027)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Al evaluar el gráfico de </w:t>
      </w:r>
      <w:r w:rsidDel="00000000" w:rsidR="00000000" w:rsidRPr="00000000">
        <w:rPr>
          <w:u w:val="single"/>
          <w:rtl w:val="0"/>
        </w:rPr>
        <w:t xml:space="preserve">Consumo Real vs. Predicción</w:t>
      </w:r>
      <w:r w:rsidDel="00000000" w:rsidR="00000000" w:rsidRPr="00000000">
        <w:rPr>
          <w:rtl w:val="0"/>
        </w:rPr>
        <w:t xml:space="preserve">, los resultados demuestran que el modelo es </w:t>
      </w:r>
      <w:r w:rsidDel="00000000" w:rsidR="00000000" w:rsidRPr="00000000">
        <w:rPr>
          <w:b w:val="1"/>
          <w:bCs w:val="1"/>
          <w:rtl w:val="0"/>
        </w:rPr>
        <w:t xml:space="preserve">altamente representativo para capturar la estructura inercial y ondulatoria de las estaciones</w:t>
      </w:r>
      <w:r w:rsidDel="00000000" w:rsidR="00000000" w:rsidRPr="00000000">
        <w:rPr>
          <w:rtl w:val="0"/>
        </w:rPr>
        <w:t xml:space="preserve"> (identifica con precisión cuándo sube y cuándo baja la demanda). Sin embargo, la diferencia cuantitativa donde el </w:t>
      </w:r>
      <w:r w:rsidDel="00000000" w:rsidR="00000000" w:rsidRPr="00000000">
        <w:rPr>
          <w:b w:val="1"/>
          <w:bCs w:val="1"/>
          <w:rtl w:val="0"/>
        </w:rPr>
        <w:t xml:space="preserve">RMSE es mayor que el MAE</w:t>
      </w:r>
      <w:r w:rsidDel="00000000" w:rsidR="00000000" w:rsidRPr="00000000">
        <w:rPr>
          <w:rtl w:val="0"/>
        </w:rPr>
        <w:t xml:space="preserve"> nos confirma que el error se concentra de forma aguda en los inviernos: al ser un modelo lineal, tiende a subestimar y achatar los picos de consumo extremo provocados por shocks de frío polar.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Para validar su condición como modelo de Machine Learning, se evaluó su </w:t>
      </w:r>
      <w:r w:rsidDel="00000000" w:rsidR="00000000" w:rsidRPr="00000000">
        <w:rPr>
          <w:b w:val="1"/>
          <w:bCs w:val="1"/>
          <w:rtl w:val="0"/>
        </w:rPr>
        <w:t xml:space="preserve">capacidad de inferencia en un escenario futuro simulado</w:t>
      </w:r>
      <w:r w:rsidDel="00000000" w:rsidR="00000000" w:rsidRPr="00000000">
        <w:rPr>
          <w:rtl w:val="0"/>
        </w:rPr>
        <w:t xml:space="preserve">, utilizando las proyecciones de habitantes del IPIEC para el mes crítico de julio: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Predicción Julio 2026</w:t>
      </w:r>
      <w:r w:rsidDel="00000000" w:rsidR="00000000" w:rsidRPr="00000000">
        <w:rPr>
          <w:rtl w:val="0"/>
        </w:rPr>
        <w:t xml:space="preserve"> (Población: 199,248 hab.): </w:t>
      </w:r>
      <w:r w:rsidDel="00000000" w:rsidR="00000000" w:rsidRPr="00000000">
        <w:rPr>
          <w:b w:val="1"/>
          <w:bCs w:val="1"/>
          <w:rtl w:val="0"/>
        </w:rPr>
        <w:t xml:space="preserve">44,511,623.51 kWh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Predicción Julio 2027</w:t>
      </w:r>
      <w:r w:rsidDel="00000000" w:rsidR="00000000" w:rsidRPr="00000000">
        <w:rPr>
          <w:rtl w:val="0"/>
        </w:rPr>
        <w:t xml:space="preserve"> (Población: 203,558 hab.): </w:t>
      </w:r>
      <w:r w:rsidDel="00000000" w:rsidR="00000000" w:rsidRPr="00000000">
        <w:rPr>
          <w:b w:val="1"/>
          <w:bCs w:val="1"/>
          <w:rtl w:val="0"/>
        </w:rPr>
        <w:t xml:space="preserve">46,220,015.10 kWh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Incremento absoluto proyectado: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1,608,391.59 kWh</w:t>
      </w:r>
      <w:r w:rsidDel="00000000" w:rsidR="00000000" w:rsidRPr="00000000">
        <w:rPr>
          <w:rtl w:val="0"/>
        </w:rPr>
        <w:t xml:space="preserve"> de aumento estructural.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  <w:t xml:space="preserve">El modelo abordó con éxito el problema formulado originalmente, transformándose en una herramienta analítica activa capaz de proyectar escenarios energéticos basados en la evolución demográfica de la provincia.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wdg5uj1pgpa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Conclusiones Finales y Trabajo Futuro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  <w:t xml:space="preserve">Como conclusión del proyecto, se valida la Regresión Lineal Múltiple como un excelente modelo base (</w:t>
      </w:r>
      <w:r w:rsidDel="00000000" w:rsidR="00000000" w:rsidRPr="00000000">
        <w:rPr>
          <w:i w:val="1"/>
          <w:iCs w:val="1"/>
          <w:rtl w:val="0"/>
        </w:rPr>
        <w:t xml:space="preserve">baseline</w:t>
      </w:r>
      <w:r w:rsidDel="00000000" w:rsidR="00000000" w:rsidRPr="00000000">
        <w:rPr>
          <w:rtl w:val="0"/>
        </w:rPr>
        <w:t xml:space="preserve">). Para superar el límite del 44% de variabilidad explicada y resolver el achatamiento de los picos invernales, se proponen dos líneas de desarrollo futuro: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Incorporación de la Variable Clima:</w:t>
      </w:r>
      <w:r w:rsidDel="00000000" w:rsidR="00000000" w:rsidRPr="00000000">
        <w:rPr>
          <w:rtl w:val="0"/>
        </w:rPr>
        <w:t xml:space="preserve"> Integrar registros de temperaturas mínimas mensuales o días de helada acumulados para dotar al modelo del disparador físico directo que genera el encendido masivo de calefacción periférica.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Migración a Modelos No Lineales:</w:t>
      </w:r>
      <w:r w:rsidDel="00000000" w:rsidR="00000000" w:rsidRPr="00000000">
        <w:rPr>
          <w:rtl w:val="0"/>
        </w:rPr>
        <w:t xml:space="preserve"> Evaluar algoritmos basados en ensambles de árboles de decisión (</w:t>
      </w:r>
      <w:r w:rsidDel="00000000" w:rsidR="00000000" w:rsidRPr="00000000">
        <w:rPr>
          <w:i w:val="1"/>
          <w:iCs w:val="1"/>
          <w:rtl w:val="0"/>
        </w:rPr>
        <w:t xml:space="preserve">Random Forest Regressor</w:t>
      </w:r>
      <w:r w:rsidDel="00000000" w:rsidR="00000000" w:rsidRPr="00000000">
        <w:rPr>
          <w:rtl w:val="0"/>
        </w:rPr>
        <w:t xml:space="preserve">), los cuales permiten segmentar de forma jerárquica el espacio de características, asimilando de manera precisa los shocks estacionales térmicos de un sistema eléctrico aislado como el de Tierra del Fuego.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