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sz w:val="28"/>
          <w:szCs w:val="28"/>
          <w:u w:val="single"/>
        </w:rPr>
      </w:pPr>
      <w:bookmarkStart w:colFirst="0" w:colLast="0" w:name="_jprhloggp7pi" w:id="0"/>
      <w:bookmarkEnd w:id="0"/>
      <w:r w:rsidDel="00000000" w:rsidR="00000000" w:rsidRPr="00000000">
        <w:rPr>
          <w:b w:val="1"/>
          <w:bCs w:val="1"/>
          <w:sz w:val="28"/>
          <w:szCs w:val="28"/>
          <w:rtl w:val="0"/>
        </w:rPr>
        <w:t xml:space="preserve">Proyecto:</w:t>
      </w:r>
      <w:r w:rsidDel="00000000" w:rsidR="00000000" w:rsidRPr="00000000">
        <w:rPr>
          <w:sz w:val="28"/>
          <w:szCs w:val="28"/>
          <w:rtl w:val="0"/>
        </w:rPr>
        <w:t xml:space="preserve"> </w:t>
      </w:r>
      <w:r w:rsidDel="00000000" w:rsidR="00000000" w:rsidRPr="00000000">
        <w:rPr>
          <w:sz w:val="28"/>
          <w:szCs w:val="28"/>
          <w:u w:val="single"/>
          <w:rtl w:val="0"/>
        </w:rPr>
        <w:t xml:space="preserve">Modelo de Machine Learning para la Proyección de la Demanda de Consumo Eléctrico al Año 2027 en función de la Evolución Demográfica en Tierra del Fuego. Entrega: Documentación y Especificación de la Matriz de Datos.</w:t>
      </w:r>
    </w:p>
    <w:p w:rsidR="00000000" w:rsidDel="00000000" w:rsidP="00000000" w:rsidRDefault="00000000" w:rsidRPr="00000000" w14:paraId="00000003">
      <w:pPr>
        <w:pStyle w:val="Heading3"/>
        <w:keepNext w:val="0"/>
        <w:keepLines w:val="0"/>
        <w:spacing w:before="0" w:lineRule="auto"/>
        <w:rPr>
          <w:b w:val="1"/>
          <w:bCs w:val="1"/>
          <w:color w:val="000000"/>
          <w:sz w:val="22"/>
          <w:szCs w:val="22"/>
        </w:rPr>
      </w:pPr>
      <w:bookmarkStart w:colFirst="0" w:colLast="0" w:name="_8nx41fcq24pf" w:id="1"/>
      <w:bookmarkEnd w:id="1"/>
      <w:r w:rsidDel="00000000" w:rsidR="00000000" w:rsidRPr="00000000">
        <w:rPr>
          <w:b w:val="1"/>
          <w:bCs w:val="1"/>
          <w:color w:val="000000"/>
          <w:sz w:val="22"/>
          <w:szCs w:val="22"/>
          <w:rtl w:val="0"/>
        </w:rPr>
        <w:t xml:space="preserve">1. Origen del Dataset y Proceso de Recopilación</w:t>
      </w:r>
    </w:p>
    <w:p w:rsidR="00000000" w:rsidDel="00000000" w:rsidP="00000000" w:rsidRDefault="00000000" w:rsidRPr="00000000" w14:paraId="00000004">
      <w:pPr>
        <w:spacing w:after="240" w:lineRule="auto"/>
        <w:rPr/>
      </w:pPr>
      <w:r w:rsidDel="00000000" w:rsidR="00000000" w:rsidRPr="00000000">
        <w:rPr>
          <w:rtl w:val="0"/>
        </w:rPr>
        <w:t xml:space="preserve">Los datos utilizados en este proyecto provienen de fuentes oficiales de dominio público y registros institucionales de la Provincia de Tierra del Fuego, Antártida e Islas del Atlántico Sur.</w:t>
      </w:r>
    </w:p>
    <w:p w:rsidR="00000000" w:rsidDel="00000000" w:rsidP="00000000" w:rsidRDefault="00000000" w:rsidRPr="00000000" w14:paraId="00000005">
      <w:pPr>
        <w:spacing w:after="240" w:lineRule="auto"/>
        <w:rPr/>
      </w:pPr>
      <w:r w:rsidDel="00000000" w:rsidR="00000000" w:rsidRPr="00000000">
        <w:rPr>
          <w:rtl w:val="0"/>
        </w:rPr>
        <w:t xml:space="preserve">URL:  https://ipiec.tierradelfuego.gob.ar/ </w:t>
      </w:r>
    </w:p>
    <w:p w:rsidR="00000000" w:rsidDel="00000000" w:rsidP="00000000" w:rsidRDefault="00000000" w:rsidRPr="00000000" w14:paraId="00000006">
      <w:pPr>
        <w:spacing w:after="240" w:lineRule="auto"/>
        <w:rPr/>
      </w:pPr>
      <w:r w:rsidDel="00000000" w:rsidR="00000000" w:rsidRPr="00000000">
        <w:rPr>
          <w:rtl w:val="0"/>
        </w:rPr>
        <w:t xml:space="preserve">La matriz de datos unificada es el resultado de la fusión de dos fuentes principales:</w:t>
      </w:r>
    </w:p>
    <w:p w:rsidR="00000000" w:rsidDel="00000000" w:rsidP="00000000" w:rsidRDefault="00000000" w:rsidRPr="00000000" w14:paraId="00000007">
      <w:pPr>
        <w:numPr>
          <w:ilvl w:val="0"/>
          <w:numId w:val="2"/>
        </w:numPr>
        <w:spacing w:after="0" w:afterAutospacing="0" w:lineRule="auto"/>
        <w:ind w:left="720" w:hanging="360"/>
        <w:rPr/>
      </w:pPr>
      <w:r w:rsidDel="00000000" w:rsidR="00000000" w:rsidRPr="00000000">
        <w:rPr>
          <w:rtl w:val="0"/>
        </w:rPr>
        <w:t xml:space="preserve">Datos de Demanda Energética: Registro histórico mensualizado del consumo eléctrico total provincial (expresado en kilovatios-hora, kWh).</w:t>
      </w:r>
    </w:p>
    <w:p w:rsidR="00000000" w:rsidDel="00000000" w:rsidP="00000000" w:rsidRDefault="00000000" w:rsidRPr="00000000" w14:paraId="00000008">
      <w:pPr>
        <w:numPr>
          <w:ilvl w:val="0"/>
          <w:numId w:val="2"/>
        </w:numPr>
        <w:spacing w:after="240" w:lineRule="auto"/>
        <w:ind w:left="720" w:hanging="360"/>
        <w:rPr/>
      </w:pPr>
      <w:r w:rsidDel="00000000" w:rsidR="00000000" w:rsidRPr="00000000">
        <w:rPr>
          <w:rtl w:val="0"/>
        </w:rPr>
        <w:t xml:space="preserve">Datos Demográficos: Series anuales históricas, estimaciones y proyecciones de crecimiento vegetativo de la población provincial publicadas oficialmente por el Instituto Provincial de Análisis Estadístico y Censos (IPIEC).</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Proceso de Preprocesamiento y Limpieza (ETL):</w:t>
      </w:r>
    </w:p>
    <w:p w:rsidR="00000000" w:rsidDel="00000000" w:rsidP="00000000" w:rsidRDefault="00000000" w:rsidRPr="00000000" w14:paraId="0000000A">
      <w:pPr>
        <w:spacing w:after="240" w:lineRule="auto"/>
        <w:rPr/>
      </w:pPr>
      <w:r w:rsidDel="00000000" w:rsidR="00000000" w:rsidRPr="00000000">
        <w:rPr>
          <w:rtl w:val="0"/>
        </w:rPr>
        <w:t xml:space="preserve">Los datos crudos de las dos fuentes fueron sometidos a un flujo de transformación en el entorno de desarrollo:</w:t>
      </w:r>
    </w:p>
    <w:p w:rsidR="00000000" w:rsidDel="00000000" w:rsidP="00000000" w:rsidRDefault="00000000" w:rsidRPr="00000000" w14:paraId="0000000B">
      <w:pPr>
        <w:numPr>
          <w:ilvl w:val="0"/>
          <w:numId w:val="4"/>
        </w:numPr>
        <w:spacing w:after="0" w:afterAutospacing="0" w:lineRule="auto"/>
        <w:ind w:left="720" w:hanging="360"/>
        <w:rPr/>
      </w:pPr>
      <w:r w:rsidDel="00000000" w:rsidR="00000000" w:rsidRPr="00000000">
        <w:rPr>
          <w:rtl w:val="0"/>
        </w:rPr>
        <w:t xml:space="preserve">Conversión de Tipos: Se estandarizó la variable temporal al formato nativo de series de tiempo de Pandas (</w:t>
      </w:r>
      <w:r w:rsidDel="00000000" w:rsidR="00000000" w:rsidRPr="00000000">
        <w:rPr>
          <w:color w:val="188038"/>
          <w:rtl w:val="0"/>
        </w:rPr>
        <w:t xml:space="preserve">datetime64[ns]</w:t>
      </w:r>
      <w:r w:rsidDel="00000000" w:rsidR="00000000" w:rsidRPr="00000000">
        <w:rPr>
          <w:rtl w:val="0"/>
        </w:rPr>
        <w:t xml:space="preserve">).</w:t>
      </w:r>
    </w:p>
    <w:p w:rsidR="00000000" w:rsidDel="00000000" w:rsidP="00000000" w:rsidRDefault="00000000" w:rsidRPr="00000000" w14:paraId="0000000C">
      <w:pPr>
        <w:numPr>
          <w:ilvl w:val="0"/>
          <w:numId w:val="4"/>
        </w:numPr>
        <w:spacing w:after="0" w:afterAutospacing="0" w:lineRule="auto"/>
        <w:ind w:left="720" w:hanging="360"/>
        <w:rPr/>
      </w:pPr>
      <w:r w:rsidDel="00000000" w:rsidR="00000000" w:rsidRPr="00000000">
        <w:rPr>
          <w:rtl w:val="0"/>
        </w:rPr>
        <w:t xml:space="preserve">Limpieza de Texto: Se detectaron y eliminaron caracteres de texto residuales en la columna de consumo, convirtiéndola en un formato numérico entero puro (</w:t>
      </w:r>
      <w:r w:rsidDel="00000000" w:rsidR="00000000" w:rsidRPr="00000000">
        <w:rPr>
          <w:color w:val="188038"/>
          <w:rtl w:val="0"/>
        </w:rPr>
        <w:t xml:space="preserve">int64</w:t>
      </w:r>
      <w:r w:rsidDel="00000000" w:rsidR="00000000" w:rsidRPr="00000000">
        <w:rPr>
          <w:rtl w:val="0"/>
        </w:rPr>
        <w:t xml:space="preserve">).</w:t>
      </w:r>
    </w:p>
    <w:p w:rsidR="00000000" w:rsidDel="00000000" w:rsidP="00000000" w:rsidRDefault="00000000" w:rsidRPr="00000000" w14:paraId="0000000D">
      <w:pPr>
        <w:numPr>
          <w:ilvl w:val="0"/>
          <w:numId w:val="4"/>
        </w:numPr>
        <w:spacing w:after="240" w:lineRule="auto"/>
        <w:ind w:left="720" w:hanging="360"/>
        <w:rPr/>
      </w:pPr>
      <w:r w:rsidDel="00000000" w:rsidR="00000000" w:rsidRPr="00000000">
        <w:rPr>
          <w:rtl w:val="0"/>
        </w:rPr>
        <w:t xml:space="preserve">Fusión de Estructuras (Merge): Se realizó un cruce indexado (</w:t>
      </w:r>
      <w:r w:rsidDel="00000000" w:rsidR="00000000" w:rsidRPr="00000000">
        <w:rPr>
          <w:i w:val="1"/>
          <w:iCs w:val="1"/>
          <w:rtl w:val="0"/>
        </w:rPr>
        <w:t xml:space="preserve">inner merge</w:t>
      </w:r>
      <w:r w:rsidDel="00000000" w:rsidR="00000000" w:rsidRPr="00000000">
        <w:rPr>
          <w:rtl w:val="0"/>
        </w:rPr>
        <w:t xml:space="preserve">) utilizando la variable temporal del año como clave de unión, eliminando columnas redundantes o intermedias generadas por el descalce de frecuencias de las fuentes (población anual vs. consumo mensual). Todo el proceso quedó libre de valores nulos o inconsistencias de combinación.</w:t>
      </w:r>
    </w:p>
    <w:p w:rsidR="00000000" w:rsidDel="00000000" w:rsidP="00000000" w:rsidRDefault="00000000" w:rsidRPr="00000000" w14:paraId="0000000E">
      <w:pPr>
        <w:pStyle w:val="Heading3"/>
        <w:keepNext w:val="0"/>
        <w:keepLines w:val="0"/>
        <w:spacing w:before="0" w:lineRule="auto"/>
        <w:rPr>
          <w:color w:val="000000"/>
          <w:sz w:val="22"/>
          <w:szCs w:val="22"/>
        </w:rPr>
      </w:pPr>
      <w:bookmarkStart w:colFirst="0" w:colLast="0" w:name="_lb79zrtovstm" w:id="2"/>
      <w:bookmarkEnd w:id="2"/>
      <w:r w:rsidDel="00000000" w:rsidR="00000000" w:rsidRPr="00000000">
        <w:rPr>
          <w:color w:val="000000"/>
          <w:sz w:val="22"/>
          <w:szCs w:val="22"/>
          <w:rtl w:val="0"/>
        </w:rPr>
        <w:t xml:space="preserve">2. Descripción Completa del Dataset</w:t>
      </w:r>
    </w:p>
    <w:p w:rsidR="00000000" w:rsidDel="00000000" w:rsidP="00000000" w:rsidRDefault="00000000" w:rsidRPr="00000000" w14:paraId="0000000F">
      <w:pPr>
        <w:spacing w:after="240" w:lineRule="auto"/>
        <w:rPr/>
      </w:pPr>
      <w:r w:rsidDel="00000000" w:rsidR="00000000" w:rsidRPr="00000000">
        <w:rPr>
          <w:rtl w:val="0"/>
        </w:rPr>
        <w:t xml:space="preserve">La matriz de datos resultante tras el proceso de unificación y la posterior tratamiento de características (</w:t>
      </w:r>
      <w:r w:rsidDel="00000000" w:rsidR="00000000" w:rsidRPr="00000000">
        <w:rPr>
          <w:i w:val="1"/>
          <w:iCs w:val="1"/>
          <w:rtl w:val="0"/>
        </w:rPr>
        <w:t xml:space="preserve">Feature Engineering</w:t>
      </w:r>
      <w:r w:rsidDel="00000000" w:rsidR="00000000" w:rsidRPr="00000000">
        <w:rPr>
          <w:rtl w:val="0"/>
        </w:rPr>
        <w:t xml:space="preserve">) está optimizada cronológicamente para el entrenamiento de modelos de series temporales supervisados.</w:t>
      </w:r>
    </w:p>
    <w:p w:rsidR="00000000" w:rsidDel="00000000" w:rsidP="00000000" w:rsidRDefault="00000000" w:rsidRPr="00000000" w14:paraId="00000010">
      <w:pPr>
        <w:pStyle w:val="Heading4"/>
        <w:keepNext w:val="0"/>
        <w:keepLines w:val="0"/>
        <w:spacing w:after="40" w:before="0" w:lineRule="auto"/>
        <w:rPr>
          <w:color w:val="000000"/>
          <w:sz w:val="22"/>
          <w:szCs w:val="22"/>
        </w:rPr>
      </w:pPr>
      <w:bookmarkStart w:colFirst="0" w:colLast="0" w:name="_hu9wqvlc5yqr" w:id="3"/>
      <w:bookmarkEnd w:id="3"/>
      <w:r w:rsidDel="00000000" w:rsidR="00000000" w:rsidRPr="00000000">
        <w:rPr>
          <w:color w:val="000000"/>
          <w:sz w:val="22"/>
          <w:szCs w:val="22"/>
          <w:rtl w:val="0"/>
        </w:rPr>
        <w:t xml:space="preserve">Volumen del Dataset:</w:t>
      </w:r>
    </w:p>
    <w:p w:rsidR="00000000" w:rsidDel="00000000" w:rsidP="00000000" w:rsidRDefault="00000000" w:rsidRPr="00000000" w14:paraId="00000011">
      <w:pPr>
        <w:numPr>
          <w:ilvl w:val="0"/>
          <w:numId w:val="5"/>
        </w:numPr>
        <w:spacing w:after="240" w:lineRule="auto"/>
        <w:ind w:left="720" w:hanging="360"/>
        <w:rPr/>
      </w:pPr>
      <w:r w:rsidDel="00000000" w:rsidR="00000000" w:rsidRPr="00000000">
        <w:rPr>
          <w:rtl w:val="0"/>
        </w:rPr>
        <w:t xml:space="preserve">Cantidad de Instancias (184): El dataset final consolidado para el modelo cuenta con las filas históricas completas listas para producción, habiéndo descartado los primeros 12 meses únicamente para la construcción de los rezagos estacionales de ciclo anual.</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w2troyxm8d9x" w:id="4"/>
      <w:bookmarkEnd w:id="4"/>
      <w:r w:rsidDel="00000000" w:rsidR="00000000" w:rsidRPr="00000000">
        <w:rPr>
          <w:b w:val="1"/>
          <w:bCs w:val="1"/>
          <w:color w:val="000000"/>
          <w:sz w:val="22"/>
          <w:szCs w:val="22"/>
          <w:rtl w:val="0"/>
        </w:rPr>
        <w:t xml:space="preserve">Características del Dataset (Columnas y Tipos de Datos):</w:t>
      </w:r>
    </w:p>
    <w:p w:rsidR="00000000" w:rsidDel="00000000" w:rsidP="00000000" w:rsidRDefault="00000000" w:rsidRPr="00000000" w14:paraId="00000013">
      <w:pPr>
        <w:spacing w:after="240" w:lineRule="auto"/>
        <w:rPr/>
      </w:pPr>
      <w:r w:rsidDel="00000000" w:rsidR="00000000" w:rsidRPr="00000000">
        <w:rPr>
          <w:rtl w:val="0"/>
        </w:rPr>
        <w:t xml:space="preserve">El dataset se compone de 7 características estructuradas, distribuidas en una variable temporal, una variable objetivo y cinco variables predictoras:</w:t>
      </w:r>
    </w:p>
    <w:p w:rsidR="00000000" w:rsidDel="00000000" w:rsidP="00000000" w:rsidRDefault="00000000" w:rsidRPr="00000000" w14:paraId="00000014">
      <w:pPr>
        <w:numPr>
          <w:ilvl w:val="0"/>
          <w:numId w:val="1"/>
        </w:numPr>
        <w:spacing w:after="0" w:afterAutospacing="0" w:lineRule="auto"/>
        <w:ind w:left="720" w:hanging="360"/>
        <w:rPr/>
      </w:pPr>
      <w:r w:rsidDel="00000000" w:rsidR="00000000" w:rsidRPr="00000000">
        <w:rPr>
          <w:color w:val="188038"/>
          <w:rtl w:val="0"/>
        </w:rPr>
        <w:t xml:space="preserve">Fecha</w:t>
      </w:r>
      <w:r w:rsidDel="00000000" w:rsidR="00000000" w:rsidRPr="00000000">
        <w:rPr>
          <w:rtl w:val="0"/>
        </w:rPr>
        <w:t xml:space="preserve"> [Type: </w:t>
      </w:r>
      <w:r w:rsidDel="00000000" w:rsidR="00000000" w:rsidRPr="00000000">
        <w:rPr>
          <w:color w:val="188038"/>
          <w:rtl w:val="0"/>
        </w:rPr>
        <w:t xml:space="preserve">datetime64[ns]</w:t>
      </w:r>
      <w:r w:rsidDel="00000000" w:rsidR="00000000" w:rsidRPr="00000000">
        <w:rPr>
          <w:rtl w:val="0"/>
        </w:rPr>
        <w:t xml:space="preserve">]: Variable de índice temporal que registra el año y mes correspondiente a la observación. No actúa como predictora directa en el algoritmo lineal, sino como eje de ordenamiento cronológico.</w:t>
      </w:r>
    </w:p>
    <w:p w:rsidR="00000000" w:rsidDel="00000000" w:rsidP="00000000" w:rsidRDefault="00000000" w:rsidRPr="00000000" w14:paraId="00000015">
      <w:pPr>
        <w:numPr>
          <w:ilvl w:val="0"/>
          <w:numId w:val="1"/>
        </w:numPr>
        <w:spacing w:after="0" w:afterAutospacing="0" w:lineRule="auto"/>
        <w:ind w:left="720" w:hanging="360"/>
        <w:rPr/>
      </w:pPr>
      <w:r w:rsidDel="00000000" w:rsidR="00000000" w:rsidRPr="00000000">
        <w:rPr>
          <w:color w:val="188038"/>
          <w:rtl w:val="0"/>
        </w:rPr>
        <w:t xml:space="preserve">Consumo_Total_Provincial</w:t>
      </w:r>
      <w:r w:rsidDel="00000000" w:rsidR="00000000" w:rsidRPr="00000000">
        <w:rPr>
          <w:rtl w:val="0"/>
        </w:rPr>
        <w:t xml:space="preserve"> [Type: </w:t>
      </w:r>
      <w:r w:rsidDel="00000000" w:rsidR="00000000" w:rsidRPr="00000000">
        <w:rPr>
          <w:color w:val="188038"/>
          <w:rtl w:val="0"/>
        </w:rPr>
        <w:t xml:space="preserve">int64</w:t>
      </w:r>
      <w:r w:rsidDel="00000000" w:rsidR="00000000" w:rsidRPr="00000000">
        <w:rPr>
          <w:rtl w:val="0"/>
        </w:rPr>
        <w:t xml:space="preserve">]: Variable Objetivo (Dependiente - $y$). Registra el volumen total de energía eléctrica demandado por la provincia en ese mes particular (medido en kWh).</w:t>
      </w:r>
    </w:p>
    <w:p w:rsidR="00000000" w:rsidDel="00000000" w:rsidP="00000000" w:rsidRDefault="00000000" w:rsidRPr="00000000" w14:paraId="00000016">
      <w:pPr>
        <w:numPr>
          <w:ilvl w:val="0"/>
          <w:numId w:val="1"/>
        </w:numPr>
        <w:spacing w:after="0" w:afterAutospacing="0" w:lineRule="auto"/>
        <w:ind w:left="720" w:hanging="360"/>
        <w:rPr/>
      </w:pPr>
      <w:r w:rsidDel="00000000" w:rsidR="00000000" w:rsidRPr="00000000">
        <w:rPr>
          <w:color w:val="188038"/>
          <w:rtl w:val="0"/>
        </w:rPr>
        <w:t xml:space="preserve">Poblacion_Estimada</w:t>
      </w:r>
      <w:r w:rsidDel="00000000" w:rsidR="00000000" w:rsidRPr="00000000">
        <w:rPr>
          <w:rtl w:val="0"/>
        </w:rPr>
        <w:t xml:space="preserve"> [Type: </w:t>
      </w:r>
      <w:r w:rsidDel="00000000" w:rsidR="00000000" w:rsidRPr="00000000">
        <w:rPr>
          <w:color w:val="188038"/>
          <w:rtl w:val="0"/>
        </w:rPr>
        <w:t xml:space="preserve">int64</w:t>
      </w:r>
      <w:r w:rsidDel="00000000" w:rsidR="00000000" w:rsidRPr="00000000">
        <w:rPr>
          <w:rtl w:val="0"/>
        </w:rPr>
        <w:t xml:space="preserve">]: Variable Predictora Exógena. Población estimada e interpolada de acuerdo a los registros del IPIEC. Aporta la tendencia de crecimiento estructural a largo plazo.</w:t>
      </w:r>
    </w:p>
    <w:p w:rsidR="00000000" w:rsidDel="00000000" w:rsidP="00000000" w:rsidRDefault="00000000" w:rsidRPr="00000000" w14:paraId="00000017">
      <w:pPr>
        <w:numPr>
          <w:ilvl w:val="0"/>
          <w:numId w:val="1"/>
        </w:numPr>
        <w:spacing w:after="0" w:afterAutospacing="0" w:lineRule="auto"/>
        <w:ind w:left="720" w:hanging="360"/>
        <w:rPr/>
      </w:pPr>
      <w:r w:rsidDel="00000000" w:rsidR="00000000" w:rsidRPr="00000000">
        <w:rPr>
          <w:color w:val="188038"/>
          <w:rtl w:val="0"/>
        </w:rPr>
        <w:t xml:space="preserve">Total_Mes_Anterior (t-1)</w:t>
      </w:r>
      <w:r w:rsidDel="00000000" w:rsidR="00000000" w:rsidRPr="00000000">
        <w:rPr>
          <w:rtl w:val="0"/>
        </w:rPr>
        <w:t xml:space="preserve"> [Type: </w:t>
      </w:r>
      <w:r w:rsidDel="00000000" w:rsidR="00000000" w:rsidRPr="00000000">
        <w:rPr>
          <w:color w:val="188038"/>
          <w:rtl w:val="0"/>
        </w:rPr>
        <w:t xml:space="preserve">float64</w:t>
      </w:r>
      <w:r w:rsidDel="00000000" w:rsidR="00000000" w:rsidRPr="00000000">
        <w:rPr>
          <w:rtl w:val="0"/>
        </w:rPr>
        <w:t xml:space="preserve">]: Variable Predictora Inercial. Rezago de primer orden que contiene el consumo eléctrico del mes inmediatamente anterior. Captura la inercia de corto plazo del sistema.</w:t>
      </w:r>
    </w:p>
    <w:p w:rsidR="00000000" w:rsidDel="00000000" w:rsidP="00000000" w:rsidRDefault="00000000" w:rsidRPr="00000000" w14:paraId="00000018">
      <w:pPr>
        <w:numPr>
          <w:ilvl w:val="0"/>
          <w:numId w:val="1"/>
        </w:numPr>
        <w:spacing w:after="0" w:afterAutospacing="0" w:lineRule="auto"/>
        <w:ind w:left="720" w:hanging="360"/>
        <w:rPr/>
      </w:pPr>
      <w:r w:rsidDel="00000000" w:rsidR="00000000" w:rsidRPr="00000000">
        <w:rPr>
          <w:color w:val="188038"/>
          <w:rtl w:val="0"/>
        </w:rPr>
        <w:t xml:space="preserve">Total_Hace_2Meses (t-2)</w:t>
      </w:r>
      <w:r w:rsidDel="00000000" w:rsidR="00000000" w:rsidRPr="00000000">
        <w:rPr>
          <w:rtl w:val="0"/>
        </w:rPr>
        <w:t xml:space="preserve"> [Type: </w:t>
      </w:r>
      <w:r w:rsidDel="00000000" w:rsidR="00000000" w:rsidRPr="00000000">
        <w:rPr>
          <w:color w:val="188038"/>
          <w:rtl w:val="0"/>
        </w:rPr>
        <w:t xml:space="preserve">float64</w:t>
      </w:r>
      <w:r w:rsidDel="00000000" w:rsidR="00000000" w:rsidRPr="00000000">
        <w:rPr>
          <w:rtl w:val="0"/>
        </w:rPr>
        <w:t xml:space="preserve">]: Variable Predictora Inercial. Rezago de segundo orden con el consumo de hace dos meses, reforzando la tendencia de la inercia inmediata.</w:t>
      </w:r>
    </w:p>
    <w:p w:rsidR="00000000" w:rsidDel="00000000" w:rsidP="00000000" w:rsidRDefault="00000000" w:rsidRPr="00000000" w14:paraId="00000019">
      <w:pPr>
        <w:numPr>
          <w:ilvl w:val="0"/>
          <w:numId w:val="1"/>
        </w:numPr>
        <w:spacing w:after="0" w:afterAutospacing="0" w:lineRule="auto"/>
        <w:ind w:left="720" w:hanging="360"/>
        <w:rPr/>
      </w:pPr>
      <w:r w:rsidDel="00000000" w:rsidR="00000000" w:rsidRPr="00000000">
        <w:rPr>
          <w:color w:val="188038"/>
          <w:rtl w:val="0"/>
        </w:rPr>
        <w:t xml:space="preserve">Total_Anio_Anterior (t-12)</w:t>
      </w:r>
      <w:r w:rsidDel="00000000" w:rsidR="00000000" w:rsidRPr="00000000">
        <w:rPr>
          <w:rtl w:val="0"/>
        </w:rPr>
        <w:t xml:space="preserve"> [Type: </w:t>
      </w:r>
      <w:r w:rsidDel="00000000" w:rsidR="00000000" w:rsidRPr="00000000">
        <w:rPr>
          <w:color w:val="188038"/>
          <w:rtl w:val="0"/>
        </w:rPr>
        <w:t xml:space="preserve">float64</w:t>
      </w:r>
      <w:r w:rsidDel="00000000" w:rsidR="00000000" w:rsidRPr="00000000">
        <w:rPr>
          <w:rtl w:val="0"/>
        </w:rPr>
        <w:t xml:space="preserve">]: Variable Predictora Estacional. Rezago de orden doce que almacena el consumo registrado en el mismo mes pero del año anterior. Es la variable clave para que el modelo simula el patrón cíclico estacional de los inviernos de la isla.</w:t>
      </w:r>
    </w:p>
    <w:p w:rsidR="00000000" w:rsidDel="00000000" w:rsidP="00000000" w:rsidRDefault="00000000" w:rsidRPr="00000000" w14:paraId="0000001A">
      <w:pPr>
        <w:numPr>
          <w:ilvl w:val="0"/>
          <w:numId w:val="1"/>
        </w:numPr>
        <w:spacing w:after="240" w:lineRule="auto"/>
        <w:ind w:left="720" w:hanging="360"/>
        <w:rPr/>
      </w:pPr>
      <w:r w:rsidDel="00000000" w:rsidR="00000000" w:rsidRPr="00000000">
        <w:rPr>
          <w:color w:val="188038"/>
          <w:rtl w:val="0"/>
        </w:rPr>
        <w:t xml:space="preserve">Mes_Calendario</w:t>
      </w:r>
      <w:r w:rsidDel="00000000" w:rsidR="00000000" w:rsidRPr="00000000">
        <w:rPr>
          <w:rtl w:val="0"/>
        </w:rPr>
        <w:t xml:space="preserve"> [Type: </w:t>
      </w:r>
      <w:r w:rsidDel="00000000" w:rsidR="00000000" w:rsidRPr="00000000">
        <w:rPr>
          <w:color w:val="188038"/>
          <w:rtl w:val="0"/>
        </w:rPr>
        <w:t xml:space="preserve">int32</w:t>
      </w:r>
      <w:r w:rsidDel="00000000" w:rsidR="00000000" w:rsidRPr="00000000">
        <w:rPr>
          <w:rtl w:val="0"/>
        </w:rPr>
        <w:t xml:space="preserve"> / </w:t>
      </w:r>
      <w:r w:rsidDel="00000000" w:rsidR="00000000" w:rsidRPr="00000000">
        <w:rPr>
          <w:color w:val="188038"/>
          <w:rtl w:val="0"/>
        </w:rPr>
        <w:t xml:space="preserve">int64</w:t>
      </w:r>
      <w:r w:rsidDel="00000000" w:rsidR="00000000" w:rsidRPr="00000000">
        <w:rPr>
          <w:rtl w:val="0"/>
        </w:rPr>
        <w:t xml:space="preserve">]: Variable Predictora Estacional. Identificador numérico del mes (del 1 al 12) extraído nativamente de la fecha, otorgándole al modelo una característica discreta para ponderar los meses fríos frente a los cálidos.</w:t>
      </w:r>
    </w:p>
    <w:p w:rsidR="00000000" w:rsidDel="00000000" w:rsidP="00000000" w:rsidRDefault="00000000" w:rsidRPr="00000000" w14:paraId="0000001B">
      <w:pPr>
        <w:pStyle w:val="Heading3"/>
        <w:keepNext w:val="0"/>
        <w:keepLines w:val="0"/>
        <w:spacing w:before="0" w:lineRule="auto"/>
        <w:rPr>
          <w:b w:val="1"/>
          <w:bCs w:val="1"/>
          <w:color w:val="000000"/>
          <w:sz w:val="22"/>
          <w:szCs w:val="22"/>
        </w:rPr>
      </w:pPr>
      <w:bookmarkStart w:colFirst="0" w:colLast="0" w:name="_ogs4eaqb61lh" w:id="5"/>
      <w:bookmarkEnd w:id="5"/>
      <w:r w:rsidDel="00000000" w:rsidR="00000000" w:rsidRPr="00000000">
        <w:rPr>
          <w:b w:val="1"/>
          <w:bCs w:val="1"/>
          <w:color w:val="000000"/>
          <w:sz w:val="22"/>
          <w:szCs w:val="22"/>
          <w:rtl w:val="0"/>
        </w:rPr>
        <w:t xml:space="preserve">3. Información Relevante sobre la Distribución de los Datos</w:t>
      </w:r>
    </w:p>
    <w:p w:rsidR="00000000" w:rsidDel="00000000" w:rsidP="00000000" w:rsidRDefault="00000000" w:rsidRPr="00000000" w14:paraId="0000001C">
      <w:pPr>
        <w:numPr>
          <w:ilvl w:val="0"/>
          <w:numId w:val="3"/>
        </w:numPr>
        <w:spacing w:after="0" w:afterAutospacing="0" w:lineRule="auto"/>
        <w:ind w:left="720" w:hanging="360"/>
        <w:rPr/>
      </w:pPr>
      <w:r w:rsidDel="00000000" w:rsidR="00000000" w:rsidRPr="00000000">
        <w:rPr>
          <w:rtl w:val="0"/>
        </w:rPr>
        <w:t xml:space="preserve">Ausencia de Valores Nulos: Todas las filas con valores nulos generadas por el desplazamiento temporal de los operadores </w:t>
      </w:r>
      <w:r w:rsidDel="00000000" w:rsidR="00000000" w:rsidRPr="00000000">
        <w:rPr>
          <w:color w:val="188038"/>
          <w:rtl w:val="0"/>
        </w:rPr>
        <w:t xml:space="preserve">.shift()</w:t>
      </w:r>
      <w:r w:rsidDel="00000000" w:rsidR="00000000" w:rsidRPr="00000000">
        <w:rPr>
          <w:rtl w:val="0"/>
        </w:rPr>
        <w:t xml:space="preserve"> fueron eliminadas del subset de entrenamiento mediante el método </w:t>
      </w:r>
      <w:r w:rsidDel="00000000" w:rsidR="00000000" w:rsidRPr="00000000">
        <w:rPr>
          <w:color w:val="188038"/>
          <w:rtl w:val="0"/>
        </w:rPr>
        <w:t xml:space="preserve">.dropna()</w:t>
      </w:r>
      <w:r w:rsidDel="00000000" w:rsidR="00000000" w:rsidRPr="00000000">
        <w:rPr>
          <w:rtl w:val="0"/>
        </w:rPr>
        <w:t xml:space="preserve">, garantizando que la matriz final de características esté completamente poblada.</w:t>
      </w:r>
    </w:p>
    <w:p w:rsidR="00000000" w:rsidDel="00000000" w:rsidP="00000000" w:rsidRDefault="00000000" w:rsidRPr="00000000" w14:paraId="0000001D">
      <w:pPr>
        <w:numPr>
          <w:ilvl w:val="0"/>
          <w:numId w:val="3"/>
        </w:numPr>
        <w:spacing w:after="0" w:afterAutospacing="0" w:lineRule="auto"/>
        <w:ind w:left="720" w:hanging="360"/>
        <w:rPr/>
      </w:pPr>
      <w:r w:rsidDel="00000000" w:rsidR="00000000" w:rsidRPr="00000000">
        <w:rPr>
          <w:rtl w:val="0"/>
        </w:rPr>
        <w:t xml:space="preserve">División cronológica: Para preservar la coherencia interna de la serie temporal y evitar el filtrado de información del futuro hacia el pasado (</w:t>
      </w:r>
      <w:r w:rsidDel="00000000" w:rsidR="00000000" w:rsidRPr="00000000">
        <w:rPr>
          <w:i w:val="1"/>
          <w:iCs w:val="1"/>
          <w:rtl w:val="0"/>
        </w:rPr>
        <w:t xml:space="preserve">data leakage</w:t>
      </w:r>
      <w:r w:rsidDel="00000000" w:rsidR="00000000" w:rsidRPr="00000000">
        <w:rPr>
          <w:rtl w:val="0"/>
        </w:rPr>
        <w:t xml:space="preserve">), el dataset se dividió de manera ordenada con una proporción de 80% para el subconjunto de entrenamiento (</w:t>
      </w:r>
      <w:r w:rsidDel="00000000" w:rsidR="00000000" w:rsidRPr="00000000">
        <w:rPr>
          <w:i w:val="1"/>
          <w:iCs w:val="1"/>
          <w:rtl w:val="0"/>
        </w:rPr>
        <w:t xml:space="preserve">train</w:t>
      </w:r>
      <w:r w:rsidDel="00000000" w:rsidR="00000000" w:rsidRPr="00000000">
        <w:rPr>
          <w:rtl w:val="0"/>
        </w:rPr>
        <w:t xml:space="preserve">) y un 20% reservado estrictamente para la evaluación del modelo (</w:t>
      </w:r>
      <w:r w:rsidDel="00000000" w:rsidR="00000000" w:rsidRPr="00000000">
        <w:rPr>
          <w:i w:val="1"/>
          <w:iCs w:val="1"/>
          <w:rtl w:val="0"/>
        </w:rPr>
        <w:t xml:space="preserve">test</w:t>
      </w:r>
      <w:r w:rsidDel="00000000" w:rsidR="00000000" w:rsidRPr="00000000">
        <w:rPr>
          <w:rtl w:val="0"/>
        </w:rPr>
        <w:t xml:space="preserve">), utilizando la configuración </w:t>
      </w:r>
      <w:r w:rsidDel="00000000" w:rsidR="00000000" w:rsidRPr="00000000">
        <w:rPr>
          <w:color w:val="188038"/>
          <w:rtl w:val="0"/>
        </w:rPr>
        <w:t xml:space="preserve">shuffle=False</w:t>
      </w:r>
      <w:r w:rsidDel="00000000" w:rsidR="00000000" w:rsidRPr="00000000">
        <w:rPr>
          <w:rtl w:val="0"/>
        </w:rPr>
        <w:t xml:space="preserve">.</w:t>
      </w:r>
    </w:p>
    <w:p w:rsidR="00000000" w:rsidDel="00000000" w:rsidP="00000000" w:rsidRDefault="00000000" w:rsidRPr="00000000" w14:paraId="0000001E">
      <w:pPr>
        <w:numPr>
          <w:ilvl w:val="0"/>
          <w:numId w:val="3"/>
        </w:numPr>
        <w:spacing w:after="240" w:lineRule="auto"/>
        <w:ind w:left="720" w:hanging="360"/>
        <w:rPr/>
      </w:pPr>
      <w:r w:rsidDel="00000000" w:rsidR="00000000" w:rsidRPr="00000000">
        <w:rPr>
          <w:rtl w:val="0"/>
        </w:rPr>
        <w:t xml:space="preserve">Escenarios de Inferencia Futura: Se integraron de forma exógena las proyecciones de población oficiales para los períodos fuera de la muestra histórica: 199.248 habitantes para 2026 y 203.558 habitantes para 2027, permitiendo probar la robustez del modelo ante horizontes futuros inéditos.</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