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evidence-directory"/>
    <w:p>
      <w:pPr>
        <w:pStyle w:val="Heading1"/>
      </w:pPr>
      <w:r>
        <w:t xml:space="preserve">Evidence Directory</w:t>
      </w:r>
    </w:p>
    <w:p>
      <w:pPr>
        <w:pStyle w:val="FirstParagraph"/>
      </w:pPr>
      <w:r>
        <w:t xml:space="preserve">This directory contains screenshots supporting the penetration-testing assessment.</w:t>
      </w:r>
    </w:p>
    <w:bookmarkStart w:id="16" w:name="evidence-list"/>
    <w:p>
      <w:pPr>
        <w:pStyle w:val="Heading2"/>
      </w:pPr>
      <w:r>
        <w:t xml:space="preserve">Evidence List</w:t>
      </w:r>
    </w:p>
    <w:bookmarkStart w:id="9" w:name="laboratory-environment"/>
    <w:p>
      <w:pPr>
        <w:pStyle w:val="Heading3"/>
      </w:pPr>
      <w:r>
        <w:t xml:space="preserve">01 — Laboratory Environment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01-lab-environment.png</w:t>
      </w:r>
    </w:p>
    <w:p>
      <w:pPr>
        <w:pStyle w:val="BodyText"/>
      </w:pPr>
      <w:r>
        <w:t xml:space="preserve">Shows:</w:t>
      </w:r>
    </w:p>
    <w:p>
      <w:pPr>
        <w:pStyle w:val="Compact"/>
        <w:numPr>
          <w:ilvl w:val="0"/>
          <w:numId w:val="1001"/>
        </w:numPr>
      </w:pPr>
      <w:r>
        <w:t xml:space="preserve">Kali Linux</w:t>
      </w:r>
    </w:p>
    <w:p>
      <w:pPr>
        <w:pStyle w:val="Compact"/>
        <w:numPr>
          <w:ilvl w:val="0"/>
          <w:numId w:val="1001"/>
        </w:numPr>
      </w:pPr>
      <w:r>
        <w:t xml:space="preserve">Metasploitable 2</w:t>
      </w:r>
    </w:p>
    <w:p>
      <w:pPr>
        <w:pStyle w:val="Compact"/>
        <w:numPr>
          <w:ilvl w:val="0"/>
          <w:numId w:val="1001"/>
        </w:numPr>
      </w:pPr>
      <w:r>
        <w:t xml:space="preserve">Isolated virtual environment</w:t>
      </w:r>
    </w:p>
    <w:p>
      <w:r>
        <w:pict>
          <v:rect style="width:0;height:1.5pt" o:hralign="center" o:hrstd="t" o:hr="t"/>
        </w:pict>
      </w:r>
    </w:p>
    <w:bookmarkEnd w:id="9"/>
    <w:bookmarkStart w:id="10" w:name="enumeration"/>
    <w:p>
      <w:pPr>
        <w:pStyle w:val="Heading3"/>
      </w:pPr>
      <w:r>
        <w:t xml:space="preserve">02 — Enumeration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02-nmap-enumeration.png</w:t>
      </w:r>
    </w:p>
    <w:p>
      <w:pPr>
        <w:pStyle w:val="BodyText"/>
      </w:pPr>
      <w:r>
        <w:t xml:space="preserve">Shows the target IP and discovered services.</w:t>
      </w:r>
    </w:p>
    <w:p>
      <w:r>
        <w:pict>
          <v:rect style="width:0;height:1.5pt" o:hralign="center" o:hrstd="t" o:hr="t"/>
        </w:pict>
      </w:r>
    </w:p>
    <w:bookmarkEnd w:id="10"/>
    <w:bookmarkStart w:id="11" w:name="exploit-configuration"/>
    <w:p>
      <w:pPr>
        <w:pStyle w:val="Heading3"/>
      </w:pPr>
      <w:r>
        <w:t xml:space="preserve">03 — Exploit Configuration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03-exploit-configuration.png</w:t>
      </w:r>
    </w:p>
    <w:p>
      <w:pPr>
        <w:pStyle w:val="BodyText"/>
      </w:pPr>
      <w:r>
        <w:t xml:space="preserve">Shows the selected exploitation module and configured target.</w:t>
      </w:r>
    </w:p>
    <w:p>
      <w:r>
        <w:pict>
          <v:rect style="width:0;height:1.5pt" o:hralign="center" o:hrstd="t" o:hr="t"/>
        </w:pict>
      </w:r>
    </w:p>
    <w:bookmarkEnd w:id="11"/>
    <w:bookmarkStart w:id="12" w:name="reverse-shell"/>
    <w:p>
      <w:pPr>
        <w:pStyle w:val="Heading3"/>
      </w:pPr>
      <w:r>
        <w:t xml:space="preserve">04 — Reverse Shell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04-reverse-shell.png</w:t>
      </w:r>
    </w:p>
    <w:p>
      <w:pPr>
        <w:pStyle w:val="BodyText"/>
      </w:pPr>
      <w:r>
        <w:t xml:space="preserve">Shows successful establishment of the remote session.</w:t>
      </w:r>
    </w:p>
    <w:p>
      <w:r>
        <w:pict>
          <v:rect style="width:0;height:1.5pt" o:hralign="center" o:hrstd="t" o:hr="t"/>
        </w:pict>
      </w:r>
    </w:p>
    <w:bookmarkEnd w:id="12"/>
    <w:bookmarkStart w:id="13" w:name="system-access"/>
    <w:p>
      <w:pPr>
        <w:pStyle w:val="Heading3"/>
      </w:pPr>
      <w:r>
        <w:t xml:space="preserve">05 — System Access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05-system-access.png</w:t>
      </w:r>
    </w:p>
    <w:p>
      <w:pPr>
        <w:pStyle w:val="BodyText"/>
      </w:pPr>
      <w:r>
        <w:t xml:space="preserve">Shows access verification such as:</w:t>
      </w:r>
    </w:p>
    <w:p>
      <w:pPr>
        <w:pStyle w:val="SourceCode"/>
      </w:pPr>
      <w:r>
        <w:rPr>
          <w:rStyle w:val="VerbatimChar"/>
        </w:rPr>
        <w:t xml:space="preserve">whoami</w:t>
      </w:r>
      <w:r>
        <w:br/>
      </w:r>
      <w:r>
        <w:rPr>
          <w:rStyle w:val="VerbatimChar"/>
        </w:rPr>
        <w:t xml:space="preserve">id</w:t>
      </w:r>
    </w:p>
    <w:p>
      <w:r>
        <w:pict>
          <v:rect style="width:0;height:1.5pt" o:hralign="center" o:hrstd="t" o:hr="t"/>
        </w:pict>
      </w:r>
    </w:p>
    <w:bookmarkEnd w:id="13"/>
    <w:bookmarkStart w:id="14" w:name="system-information"/>
    <w:p>
      <w:pPr>
        <w:pStyle w:val="Heading3"/>
      </w:pPr>
      <w:r>
        <w:t xml:space="preserve">06 — System Information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06-sysinfo.png</w:t>
      </w:r>
    </w:p>
    <w:p>
      <w:pPr>
        <w:pStyle w:val="BodyText"/>
      </w:pPr>
      <w:r>
        <w:t xml:space="preserve">Shows the</w:t>
      </w:r>
      <w:r>
        <w:t xml:space="preserve"> </w:t>
      </w:r>
      <w:r>
        <w:rPr>
          <w:rStyle w:val="VerbatimChar"/>
        </w:rPr>
        <w:t xml:space="preserve">sysinfo</w:t>
      </w:r>
      <w:r>
        <w:t xml:space="preserve"> </w:t>
      </w:r>
      <w:r>
        <w:t xml:space="preserve">output.</w:t>
      </w:r>
    </w:p>
    <w:p>
      <w:r>
        <w:pict>
          <v:rect style="width:0;height:1.5pt" o:hralign="center" o:hrstd="t" o:hr="t"/>
        </w:pict>
      </w:r>
    </w:p>
    <w:bookmarkEnd w:id="14"/>
    <w:bookmarkStart w:id="15" w:name="password-hash-demonstration"/>
    <w:p>
      <w:pPr>
        <w:pStyle w:val="Heading3"/>
      </w:pPr>
      <w:r>
        <w:t xml:space="preserve">07 — Password Hash Demonstration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07-hashdump.png</w:t>
      </w:r>
    </w:p>
    <w:p>
      <w:pPr>
        <w:pStyle w:val="BodyText"/>
      </w:pPr>
      <w:r>
        <w:t xml:space="preserve">Shows the controlled</w:t>
      </w:r>
      <w:r>
        <w:t xml:space="preserve"> </w:t>
      </w:r>
      <w:r>
        <w:rPr>
          <w:rStyle w:val="VerbatimChar"/>
        </w:rPr>
        <w:t xml:space="preserve">hashdump</w:t>
      </w:r>
      <w:r>
        <w:t xml:space="preserve"> </w:t>
      </w:r>
      <w:r>
        <w:t xml:space="preserve">result.</w:t>
      </w:r>
    </w:p>
    <w:p>
      <w:pPr>
        <w:pStyle w:val="BodyText"/>
      </w:pPr>
      <w:r>
        <w:t xml:space="preserve">Sensitive information should be redacted if required by the assessment or submission policy.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evidence-requirements"/>
    <w:p>
      <w:pPr>
        <w:pStyle w:val="Heading2"/>
      </w:pPr>
      <w:r>
        <w:t xml:space="preserve">Evidence Requirements</w:t>
      </w:r>
    </w:p>
    <w:p>
      <w:pPr>
        <w:pStyle w:val="FirstParagraph"/>
      </w:pPr>
      <w:r>
        <w:t xml:space="preserve">Each screenshot should:</w:t>
      </w:r>
    </w:p>
    <w:p>
      <w:pPr>
        <w:pStyle w:val="Compact"/>
        <w:numPr>
          <w:ilvl w:val="0"/>
          <w:numId w:val="1002"/>
        </w:numPr>
      </w:pPr>
      <w:r>
        <w:t xml:space="preserve">Clearly show the relevant command or application.</w:t>
      </w:r>
    </w:p>
    <w:p>
      <w:pPr>
        <w:pStyle w:val="Compact"/>
        <w:numPr>
          <w:ilvl w:val="0"/>
          <w:numId w:val="1002"/>
        </w:numPr>
      </w:pPr>
      <w:r>
        <w:t xml:space="preserve">Show enough context to establish what was performed.</w:t>
      </w:r>
    </w:p>
    <w:p>
      <w:pPr>
        <w:pStyle w:val="Compact"/>
        <w:numPr>
          <w:ilvl w:val="0"/>
          <w:numId w:val="1002"/>
        </w:numPr>
      </w:pPr>
      <w:r>
        <w:t xml:space="preserve">Avoid exposing unrelated personal information.</w:t>
      </w:r>
    </w:p>
    <w:p>
      <w:pPr>
        <w:pStyle w:val="Compact"/>
        <w:numPr>
          <w:ilvl w:val="0"/>
          <w:numId w:val="1002"/>
        </w:numPr>
      </w:pPr>
      <w:r>
        <w:t xml:space="preserve">Be labelled consistently.</w:t>
      </w:r>
    </w:p>
    <w:p>
      <w:pPr>
        <w:pStyle w:val="Compact"/>
        <w:numPr>
          <w:ilvl w:val="0"/>
          <w:numId w:val="1002"/>
        </w:numPr>
      </w:pPr>
      <w:r>
        <w:t xml:space="preserve">Correspond to a section in the penetration-testing report.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