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reverse-shell"/>
    <w:p>
      <w:pPr>
        <w:pStyle w:val="Heading1"/>
      </w:pPr>
      <w:r>
        <w:t xml:space="preserve">04 — Reverse Shell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Demonstrate establishment of a remote shell following successful exploitation.</w:t>
      </w:r>
    </w:p>
    <w:bookmarkEnd w:id="9"/>
    <w:bookmarkStart w:id="10" w:name="concept"/>
    <w:p>
      <w:pPr>
        <w:pStyle w:val="Heading2"/>
      </w:pPr>
      <w:r>
        <w:t xml:space="preserve">Concept</w:t>
      </w:r>
    </w:p>
    <w:p>
      <w:pPr>
        <w:pStyle w:val="FirstParagraph"/>
      </w:pPr>
      <w:r>
        <w:t xml:space="preserve">A reverse shell allows the compromised target to initiate a connection back to the attacker’s listening system.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        Kali Linux</w:t>
      </w:r>
      <w:r>
        <w:br/>
      </w:r>
      <w:r>
        <w:rPr>
          <w:rStyle w:val="VerbatimChar"/>
        </w:rPr>
        <w:t xml:space="preserve">        Attacker</w:t>
      </w:r>
      <w:r>
        <w:br/>
      </w:r>
      <w:r>
        <w:rPr>
          <w:rStyle w:val="VerbatimChar"/>
        </w:rPr>
        <w:t xml:space="preserve">            ▲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│ Reverse Connection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Metasploitable 2</w:t>
      </w:r>
      <w:r>
        <w:br/>
      </w:r>
      <w:r>
        <w:rPr>
          <w:rStyle w:val="VerbatimChar"/>
        </w:rPr>
        <w:t xml:space="preserve">          Target</w:t>
      </w:r>
    </w:p>
    <w:bookmarkEnd w:id="10"/>
    <w:bookmarkStart w:id="11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Following successful exploitation, a remote shell/session was established.</w:t>
      </w:r>
    </w:p>
    <w:p>
      <w:pPr>
        <w:pStyle w:val="BodyText"/>
      </w:pPr>
      <w:r>
        <w:t xml:space="preserve">The session provided the ability to execute commands on the target system.</w:t>
      </w:r>
    </w:p>
    <w:bookmarkEnd w:id="11"/>
    <w:bookmarkStart w:id="12" w:name="access-verification"/>
    <w:p>
      <w:pPr>
        <w:pStyle w:val="Heading2"/>
      </w:pPr>
      <w:r>
        <w:t xml:space="preserve">Access Verification</w:t>
      </w:r>
    </w:p>
    <w:p>
      <w:pPr>
        <w:pStyle w:val="FirstParagraph"/>
      </w:pPr>
      <w:r>
        <w:t xml:space="preserve">Basic identity and privilege information was checked using commands such as:</w:t>
      </w:r>
    </w:p>
    <w:p>
      <w:pPr>
        <w:pStyle w:val="SourceCode"/>
      </w:pPr>
      <w:r>
        <w:rPr>
          <w:rStyle w:val="FunctionTok"/>
        </w:rPr>
        <w:t xml:space="preserve">whoami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FunctionTok"/>
        </w:rPr>
        <w:t xml:space="preserve">id</w:t>
      </w:r>
    </w:p>
    <w:bookmarkEnd w:id="12"/>
    <w:bookmarkStart w:id="13" w:name="evidence"/>
    <w:p>
      <w:pPr>
        <w:pStyle w:val="Heading2"/>
      </w:pPr>
      <w:r>
        <w:t xml:space="preserve">Evidence</w:t>
      </w:r>
    </w:p>
    <w:p>
      <w:pPr>
        <w:pStyle w:val="BlockText"/>
      </w:pPr>
      <w:r>
        <w:rPr>
          <w:b/>
          <w:bCs/>
        </w:rPr>
        <w:t xml:space="preserve">[INSERT SCREENSHOT — Successful remote shell and access verification]</w:t>
      </w:r>
    </w:p>
    <w:p>
      <w:pPr>
        <w:pStyle w:val="FirstParagraph"/>
      </w:pP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evidence/05-system-access.png</w:t>
      </w:r>
    </w:p>
    <w:bookmarkEnd w:id="13"/>
    <w:bookmarkStart w:id="14" w:name="security-impact"/>
    <w:p>
      <w:pPr>
        <w:pStyle w:val="Heading2"/>
      </w:pPr>
      <w:r>
        <w:t xml:space="preserve">Security Impact</w:t>
      </w:r>
    </w:p>
    <w:p>
      <w:pPr>
        <w:pStyle w:val="FirstParagraph"/>
      </w:pPr>
      <w:r>
        <w:t xml:space="preserve">A remote shell represents a significant compromise because an attacker can potentially:</w:t>
      </w:r>
    </w:p>
    <w:p>
      <w:pPr>
        <w:pStyle w:val="Compact"/>
        <w:numPr>
          <w:ilvl w:val="0"/>
          <w:numId w:val="1001"/>
        </w:numPr>
      </w:pPr>
      <w:r>
        <w:t xml:space="preserve">Execute commands</w:t>
      </w:r>
    </w:p>
    <w:p>
      <w:pPr>
        <w:pStyle w:val="Compact"/>
        <w:numPr>
          <w:ilvl w:val="0"/>
          <w:numId w:val="1001"/>
        </w:numPr>
      </w:pPr>
      <w:r>
        <w:t xml:space="preserve">Enumerate the operating system</w:t>
      </w:r>
    </w:p>
    <w:p>
      <w:pPr>
        <w:pStyle w:val="Compact"/>
        <w:numPr>
          <w:ilvl w:val="0"/>
          <w:numId w:val="1001"/>
        </w:numPr>
      </w:pPr>
      <w:r>
        <w:t xml:space="preserve">Access files</w:t>
      </w:r>
    </w:p>
    <w:p>
      <w:pPr>
        <w:pStyle w:val="Compact"/>
        <w:numPr>
          <w:ilvl w:val="0"/>
          <w:numId w:val="1001"/>
        </w:numPr>
      </w:pPr>
      <w:r>
        <w:t xml:space="preserve">Discover credentials</w:t>
      </w:r>
    </w:p>
    <w:p>
      <w:pPr>
        <w:pStyle w:val="Compact"/>
        <w:numPr>
          <w:ilvl w:val="0"/>
          <w:numId w:val="1001"/>
        </w:numPr>
      </w:pPr>
      <w:r>
        <w:t xml:space="preserve">Modify system configuration</w:t>
      </w:r>
    </w:p>
    <w:p>
      <w:pPr>
        <w:pStyle w:val="Compact"/>
        <w:numPr>
          <w:ilvl w:val="0"/>
          <w:numId w:val="1001"/>
        </w:numPr>
      </w:pPr>
      <w:r>
        <w:t xml:space="preserve">Conduct additional attacks</w:t>
      </w:r>
    </w:p>
    <w:p>
      <w:pPr>
        <w:pStyle w:val="FirstParagraph"/>
      </w:pPr>
      <w:r>
        <w:t xml:space="preserve">The actual impact depends on the privileges associated with the compromised service.</w:t>
      </w:r>
    </w:p>
    <w:bookmarkEnd w:id="14"/>
    <w:bookmarkStart w:id="15" w:name="mitigation"/>
    <w:p>
      <w:pPr>
        <w:pStyle w:val="Heading2"/>
      </w:pPr>
      <w:r>
        <w:t xml:space="preserve">Mitigation</w:t>
      </w:r>
    </w:p>
    <w:p>
      <w:pPr>
        <w:pStyle w:val="FirstParagraph"/>
      </w:pPr>
      <w:r>
        <w:t xml:space="preserve">Recommended controls include:</w:t>
      </w:r>
    </w:p>
    <w:p>
      <w:pPr>
        <w:pStyle w:val="Compact"/>
        <w:numPr>
          <w:ilvl w:val="0"/>
          <w:numId w:val="1002"/>
        </w:numPr>
      </w:pPr>
      <w:r>
        <w:t xml:space="preserve">Patch vulnerable software.</w:t>
      </w:r>
    </w:p>
    <w:p>
      <w:pPr>
        <w:pStyle w:val="Compact"/>
        <w:numPr>
          <w:ilvl w:val="0"/>
          <w:numId w:val="1002"/>
        </w:numPr>
      </w:pPr>
      <w:r>
        <w:t xml:space="preserve">Restrict network exposure.</w:t>
      </w:r>
    </w:p>
    <w:p>
      <w:pPr>
        <w:pStyle w:val="Compact"/>
        <w:numPr>
          <w:ilvl w:val="0"/>
          <w:numId w:val="1002"/>
        </w:numPr>
      </w:pPr>
      <w:r>
        <w:t xml:space="preserve">Apply least privilege.</w:t>
      </w:r>
    </w:p>
    <w:p>
      <w:pPr>
        <w:pStyle w:val="Compact"/>
        <w:numPr>
          <w:ilvl w:val="0"/>
          <w:numId w:val="1002"/>
        </w:numPr>
      </w:pPr>
      <w:r>
        <w:t xml:space="preserve">Monitor unusual service activity.</w:t>
      </w:r>
    </w:p>
    <w:p>
      <w:pPr>
        <w:pStyle w:val="Compact"/>
        <w:numPr>
          <w:ilvl w:val="0"/>
          <w:numId w:val="1002"/>
        </w:numPr>
      </w:pPr>
      <w:r>
        <w:t xml:space="preserve">Implement network segmentation.</w:t>
      </w:r>
    </w:p>
    <w:p>
      <w:pPr>
        <w:pStyle w:val="Compact"/>
        <w:numPr>
          <w:ilvl w:val="0"/>
          <w:numId w:val="1002"/>
        </w:numPr>
      </w:pPr>
      <w:r>
        <w:t xml:space="preserve">Disable unnecessary services.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