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vulnerability-identification"/>
    <w:p>
      <w:pPr>
        <w:pStyle w:val="Heading1"/>
      </w:pPr>
      <w:r>
        <w:t xml:space="preserve">02 — Vulnerability Identification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Determine whether an exposed service is affected by a known vulnerability.</w:t>
      </w:r>
    </w:p>
    <w:bookmarkEnd w:id="9"/>
    <w:bookmarkStart w:id="10" w:name="process"/>
    <w:p>
      <w:pPr>
        <w:pStyle w:val="Heading2"/>
      </w:pPr>
      <w:r>
        <w:t xml:space="preserve">Process</w:t>
      </w:r>
    </w:p>
    <w:p>
      <w:pPr>
        <w:pStyle w:val="FirstParagraph"/>
      </w:pPr>
      <w:r>
        <w:t xml:space="preserve">The service information obtained during enumeration was compared with known vulnerability information.</w:t>
      </w:r>
    </w:p>
    <w:p>
      <w:pPr>
        <w:pStyle w:val="BodyText"/>
      </w:pPr>
      <w:r>
        <w:t xml:space="preserve">The assessment considered:</w:t>
      </w:r>
    </w:p>
    <w:p>
      <w:pPr>
        <w:pStyle w:val="Compact"/>
        <w:numPr>
          <w:ilvl w:val="0"/>
          <w:numId w:val="1001"/>
        </w:numPr>
      </w:pPr>
      <w:r>
        <w:t xml:space="preserve">Service name</w:t>
      </w:r>
    </w:p>
    <w:p>
      <w:pPr>
        <w:pStyle w:val="Compact"/>
        <w:numPr>
          <w:ilvl w:val="0"/>
          <w:numId w:val="1001"/>
        </w:numPr>
      </w:pPr>
      <w:r>
        <w:t xml:space="preserve">Service version</w:t>
      </w:r>
    </w:p>
    <w:p>
      <w:pPr>
        <w:pStyle w:val="Compact"/>
        <w:numPr>
          <w:ilvl w:val="0"/>
          <w:numId w:val="1001"/>
        </w:numPr>
      </w:pPr>
      <w:r>
        <w:t xml:space="preserve">Known vulnerabilities</w:t>
      </w:r>
    </w:p>
    <w:p>
      <w:pPr>
        <w:pStyle w:val="Compact"/>
        <w:numPr>
          <w:ilvl w:val="0"/>
          <w:numId w:val="1001"/>
        </w:numPr>
      </w:pPr>
      <w:r>
        <w:t xml:space="preserve">Availability of an appropriate Metasploit module</w:t>
      </w:r>
    </w:p>
    <w:p>
      <w:pPr>
        <w:pStyle w:val="Compact"/>
        <w:numPr>
          <w:ilvl w:val="0"/>
          <w:numId w:val="1001"/>
        </w:numPr>
      </w:pPr>
      <w:r>
        <w:t xml:space="preserve">Potential impact</w:t>
      </w:r>
    </w:p>
    <w:p>
      <w:pPr>
        <w:pStyle w:val="Compact"/>
        <w:numPr>
          <w:ilvl w:val="0"/>
          <w:numId w:val="1001"/>
        </w:numPr>
      </w:pPr>
      <w:r>
        <w:t xml:space="preserve">Suitability for controlled laboratory testing</w:t>
      </w:r>
    </w:p>
    <w:bookmarkEnd w:id="10"/>
    <w:bookmarkStart w:id="11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rPr>
          <w:b/>
          <w:bCs/>
        </w:rPr>
        <w:t xml:space="preserve">Finding ID:</w:t>
      </w:r>
      <w:r>
        <w:t xml:space="preserve"> </w:t>
      </w:r>
      <w:r>
        <w:t xml:space="preserve">MSF-001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Known Vulnerable Network Service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Category:</w:t>
      </w:r>
      <w:r>
        <w:t xml:space="preserve"> </w:t>
      </w:r>
      <w:r>
        <w:t xml:space="preserve">Remote Code Execution / Unauthorized Remote Access</w:t>
      </w:r>
    </w:p>
    <w:bookmarkEnd w:id="11"/>
    <w:bookmarkStart w:id="12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identified service contains a known vulnerability that may allow a remote attacker to execute commands on the target.</w:t>
      </w:r>
    </w:p>
    <w:p>
      <w:pPr>
        <w:pStyle w:val="BodyText"/>
      </w:pPr>
      <w:r>
        <w:t xml:space="preserve">Because the vulnerability affects a network-accessible service, an attacker may potentially exploit it without first obtaining legitimate credentials.</w:t>
      </w:r>
    </w:p>
    <w:bookmarkEnd w:id="12"/>
    <w:bookmarkStart w:id="13" w:name="evidence"/>
    <w:p>
      <w:pPr>
        <w:pStyle w:val="Heading2"/>
      </w:pPr>
      <w:r>
        <w:t xml:space="preserve">Evidence</w:t>
      </w:r>
    </w:p>
    <w:p>
      <w:pPr>
        <w:pStyle w:val="SourceCode"/>
      </w:pPr>
      <w:r>
        <w:rPr>
          <w:rStyle w:val="VerbatimChar"/>
        </w:rPr>
        <w:t xml:space="preserve">evidence/03-exploit-configuration.png</w:t>
      </w:r>
    </w:p>
    <w:p>
      <w:pPr>
        <w:pStyle w:val="BlockText"/>
      </w:pPr>
      <w:r>
        <w:rPr>
          <w:b/>
          <w:bCs/>
        </w:rPr>
        <w:t xml:space="preserve">[INSERT SCREENSHOT — Selected Metasploit module and target configuration]</w:t>
      </w:r>
    </w:p>
    <w:bookmarkEnd w:id="13"/>
    <w:bookmarkStart w:id="14" w:name="impact"/>
    <w:p>
      <w:pPr>
        <w:pStyle w:val="Heading2"/>
      </w:pPr>
      <w:r>
        <w:t xml:space="preserve">Impact</w:t>
      </w:r>
    </w:p>
    <w:p>
      <w:pPr>
        <w:pStyle w:val="FirstParagraph"/>
      </w:pPr>
      <w:r>
        <w:t xml:space="preserve">Successful exploitation can result in:</w:t>
      </w:r>
    </w:p>
    <w:p>
      <w:pPr>
        <w:pStyle w:val="Compact"/>
        <w:numPr>
          <w:ilvl w:val="0"/>
          <w:numId w:val="1002"/>
        </w:numPr>
      </w:pPr>
      <w:r>
        <w:t xml:space="preserve">Remote command execution</w:t>
      </w:r>
    </w:p>
    <w:p>
      <w:pPr>
        <w:pStyle w:val="Compact"/>
        <w:numPr>
          <w:ilvl w:val="0"/>
          <w:numId w:val="1002"/>
        </w:numPr>
      </w:pPr>
      <w:r>
        <w:t xml:space="preserve">Unauthorized system access</w:t>
      </w:r>
    </w:p>
    <w:p>
      <w:pPr>
        <w:pStyle w:val="Compact"/>
        <w:numPr>
          <w:ilvl w:val="0"/>
          <w:numId w:val="1002"/>
        </w:numPr>
      </w:pPr>
      <w:r>
        <w:t xml:space="preserve">Information disclosure</w:t>
      </w:r>
    </w:p>
    <w:p>
      <w:pPr>
        <w:pStyle w:val="Compact"/>
        <w:numPr>
          <w:ilvl w:val="0"/>
          <w:numId w:val="1002"/>
        </w:numPr>
      </w:pPr>
      <w:r>
        <w:t xml:space="preserve">Further post-exploitation activity</w:t>
      </w:r>
    </w:p>
    <w:p>
      <w:pPr>
        <w:pStyle w:val="Compact"/>
        <w:numPr>
          <w:ilvl w:val="0"/>
          <w:numId w:val="1002"/>
        </w:numPr>
      </w:pPr>
      <w:r>
        <w:t xml:space="preserve">Potential compromise of system confidentiality, integrity, and availability</w:t>
      </w:r>
    </w:p>
    <w:bookmarkEnd w:id="14"/>
    <w:bookmarkStart w:id="15" w:name="mitigation"/>
    <w:p>
      <w:pPr>
        <w:pStyle w:val="Heading2"/>
      </w:pPr>
      <w:r>
        <w:t xml:space="preserve">Mitigation</w:t>
      </w:r>
    </w:p>
    <w:p>
      <w:pPr>
        <w:pStyle w:val="FirstParagraph"/>
      </w:pPr>
      <w:r>
        <w:t xml:space="preserve">The affected software should be:</w:t>
      </w:r>
    </w:p>
    <w:p>
      <w:pPr>
        <w:pStyle w:val="Compact"/>
        <w:numPr>
          <w:ilvl w:val="0"/>
          <w:numId w:val="1003"/>
        </w:numPr>
      </w:pPr>
      <w:r>
        <w:t xml:space="preserve">Patched.</w:t>
      </w:r>
    </w:p>
    <w:p>
      <w:pPr>
        <w:pStyle w:val="Compact"/>
        <w:numPr>
          <w:ilvl w:val="0"/>
          <w:numId w:val="1003"/>
        </w:numPr>
      </w:pPr>
      <w:r>
        <w:t xml:space="preserve">Upgraded to a supported version.</w:t>
      </w:r>
    </w:p>
    <w:p>
      <w:pPr>
        <w:pStyle w:val="Compact"/>
        <w:numPr>
          <w:ilvl w:val="0"/>
          <w:numId w:val="1003"/>
        </w:numPr>
      </w:pPr>
      <w:r>
        <w:t xml:space="preserve">Disabled if not required.</w:t>
      </w:r>
    </w:p>
    <w:p>
      <w:pPr>
        <w:pStyle w:val="Compact"/>
        <w:numPr>
          <w:ilvl w:val="0"/>
          <w:numId w:val="1003"/>
        </w:numPr>
      </w:pPr>
      <w:r>
        <w:t xml:space="preserve">Restricted using firewall rules where appropriate.</w:t>
      </w:r>
    </w:p>
    <w:bookmarkEnd w:id="15"/>
    <w:bookmarkStart w:id="16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After remediation, the vulnerability should be retested to confirm that the original exploitation path is no longer successful.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