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0F4C5C"/>
          <w:sz w:val="56"/>
          <w:szCs w:val="56"/>
        </w:rPr>
        <w:t xml:space="preserve">BidyaSetu </w:t>
      </w:r>
      <w:r>
        <w:rPr>
          <w:color w:val="5A6570"/>
          <w:sz w:val="40"/>
          <w:szCs w:val="40"/>
        </w:rPr>
        <w:t xml:space="preserve">(विद्या सेतु)</w:t>
      </w:r>
    </w:p>
    <w:p>
      <w:pPr>
        <w:spacing w:after="80"/>
      </w:pPr>
      <w:r>
        <w:rPr>
          <w:b/>
          <w:bCs/>
          <w:color w:val="1F2328"/>
          <w:sz w:val="32"/>
          <w:szCs w:val="32"/>
        </w:rPr>
        <w:t xml:space="preserve">Full System Report — Version 3.3</w:t>
      </w:r>
    </w:p>
    <w:p>
      <w:pPr>
        <w:spacing w:after="140" w:line="276"/>
      </w:pPr>
      <w:r>
        <w:rPr>
          <w:i/>
          <w:iCs/>
          <w:color w:val="5A6570"/>
        </w:rPr>
        <w:t xml:space="preserve">The WhatsApp-first AI education platform for Nepal's private English-medium schools, Nursery through Grade 5 — built by the publisher, for the teachers who use its 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b/>
                <w:bCs/>
                <w:color w:val="1F2328"/>
                <w:sz w:val="20"/>
                <w:szCs w:val="20"/>
              </w:rPr>
              <w:t xml:space="preserve">Version</w:t>
            </w:r>
          </w:p>
        </w:tc>
        <w:tc>
          <w:tcPr>
            <w:tcW w:type="dxa" w:w="6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v3.3 — supersedes Full System Report v3.2 in full</w:t>
            </w:r>
          </w:p>
        </w:tc>
      </w:tr>
      <w:tr>
        <w:tc>
          <w:tcPr>
            <w:tcW w:type="dxa" w:w="2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b/>
                <w:bCs/>
                <w:color w:val="1F2328"/>
                <w:sz w:val="20"/>
                <w:szCs w:val="20"/>
              </w:rPr>
              <w:t xml:space="preserve">Date</w:t>
            </w:r>
          </w:p>
        </w:tc>
        <w:tc>
          <w:tcPr>
            <w:tcW w:type="dxa" w:w="6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23 July 2026</w:t>
            </w:r>
          </w:p>
        </w:tc>
      </w:tr>
      <w:tr>
        <w:tc>
          <w:tcPr>
            <w:tcW w:type="dxa" w:w="2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b/>
                <w:bCs/>
                <w:color w:val="1F2328"/>
                <w:sz w:val="20"/>
                <w:szCs w:val="20"/>
              </w:rPr>
              <w:t xml:space="preserve">Status</w:t>
            </w:r>
          </w:p>
        </w:tc>
        <w:tc>
          <w:tcPr>
            <w:tcW w:type="dxa" w:w="6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Confidential — internal strategy and freelancer handoff. Not for schools, parents, or investors.</w:t>
            </w:r>
          </w:p>
        </w:tc>
      </w:tr>
      <w:tr>
        <w:tc>
          <w:tcPr>
            <w:tcW w:type="dxa" w:w="2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b/>
                <w:bCs/>
                <w:color w:val="1F2328"/>
                <w:sz w:val="20"/>
                <w:szCs w:val="20"/>
              </w:rPr>
              <w:t xml:space="preserve">Scope</w:t>
            </w:r>
          </w:p>
        </w:tc>
        <w:tc>
          <w:tcPr>
            <w:tcW w:type="dxa" w:w="6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Full platform: five modules (TEACH · ASSESS · MANAGE · CONNECT · GROW), Nursery–Grade 5</w:t>
            </w:r>
          </w:p>
        </w:tc>
      </w:tr>
      <w:tr>
        <w:tc>
          <w:tcPr>
            <w:tcW w:type="dxa" w:w="2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b/>
                <w:bCs/>
                <w:color w:val="1F2328"/>
                <w:sz w:val="20"/>
                <w:szCs w:val="20"/>
              </w:rPr>
              <w:t xml:space="preserve">Brand note</w:t>
            </w:r>
          </w:p>
        </w:tc>
        <w:tc>
          <w:tcPr>
            <w:tcW w:type="dxa" w:w="6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“BidyaSetu” is the working name. “EduAI Nepal” survives only as a legacy placeholder in older internal documents, pending the final brand decision.</w:t>
            </w:r>
          </w:p>
        </w:tc>
      </w:tr>
    </w:tbl>
    <w:p>
      <w:pPr>
        <w:spacing w:after="60"/>
      </w:pPr>
      <w:r>
        <w:rPr>
          <w:color w:val="1F23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4C5C" w:sz="12"/>
              <w:left w:val="single" w:color="C7D2D6" w:sz="4"/>
              <w:bottom w:val="single" w:color="C7D2D6" w:sz="4"/>
              <w:right w:val="single" w:color="C7D2D6" w:sz="4"/>
            </w:tcBorders>
            <w:shd w:fill="EDF3F4" w:val="clear"/>
            <w:tcMar>
              <w:top w:type="dxa" w:w="160"/>
              <w:left w:type="dxa" w:w="200"/>
              <w:bottom w:type="dxa" w:w="100"/>
              <w:right w:type="dxa" w:w="200"/>
            </w:tcMar>
          </w:tcPr>
          <w:p>
            <w:pPr>
              <w:spacing w:after="100"/>
            </w:pPr>
            <w:r>
              <w:rPr>
                <w:b/>
                <w:bCs/>
                <w:color w:val="0F4C5C"/>
              </w:rPr>
              <w:t xml:space="preserve">What is new in v3.3</w:t>
            </w:r>
          </w:p>
          <w:p>
            <w:pPr>
              <w:spacing w:after="140" w:line="276"/>
            </w:pPr>
            <w:r>
              <w:rPr>
                <w:color w:val="1F2328"/>
              </w:rPr>
              <w:t xml:space="preserve">This version folds the </w:t>
            </w:r>
            <w:r>
              <w:rPr>
                <w:b/>
                <w:bCs/>
                <w:color w:val="1F2328"/>
              </w:rPr>
              <w:t xml:space="preserve">CDC National ECD&amp;E Curriculum 2077</w:t>
            </w:r>
            <w:r>
              <w:rPr>
                <w:color w:val="1F2328"/>
              </w:rPr>
              <w:t xml:space="preserve"> fully into the pre-primary assessment architecture (§5): the 11 skill areas become the system of record, rolling up to 6 parent-facing domains, with the 138-milestone bank tagged against them. It consolidates every Grades 1–5 correction from the Guideline 2083 annex analysis (§6), adds invariants I6–I9 (§7), resolves the 1–5 vs 1–4 scale contradiction with an explicit freelancer-facing statement (§8), and adopts the Assessment Pack dual-render rule as a standing design rule (§9). The Grade-1-up subject-rotation ground truth from v3.1 is retained (§4). New in this cycle: the extraction brief gotchas for अनुसूची ३(क–च) (§13) and the competitive note on Claude for Teachers (§14).</w:t>
            </w:r>
          </w:p>
          <w:p>
            <w:pPr>
              <w:spacing w:after="140" w:line="276"/>
            </w:pPr>
            <w:r>
              <w:rPr>
                <w:b/>
                <w:bCs/>
                <w:color w:val="8A5A00"/>
              </w:rPr>
              <w:t xml:space="preserve">Assembly note: </w:t>
            </w:r>
            <w:r>
              <w:rPr>
                <w:color w:val="1F2328"/>
              </w:rPr>
              <w:t xml:space="preserve">v3.3 was assembled in a fresh working session with the v3.2 file not present in the workspace. Every change introduced in this cycle is fully specified here. One carry-forward marker remains: the exact numbering of standing invariants I1–I5 must be verified against v3.2 before this document is handed to the freelancer (§7).</w:t>
            </w:r>
          </w:p>
        </w:tc>
      </w:tr>
    </w:tbl>
    <w:p>
      <w:pPr>
        <w:spacing w:after="60"/>
      </w:pPr>
      <w:r>
        <w:rPr>
          <w:color w:val="1F2328"/>
        </w:rPr>
        <w:t xml:space="preserve"/>
      </w:r>
    </w:p>
    <w:p>
      <w:pPr>
        <w:pStyle w:val="Heading1"/>
        <w:spacing w:after="160" w:before="340"/>
      </w:pPr>
      <w:r>
        <w:rPr>
          <w:b/>
          <w:bCs/>
          <w:color w:val="0F4C5C"/>
        </w:rPr>
        <w:t xml:space="preserve">Contents</w:t>
      </w:r>
    </w:p>
    <w:p>
      <w:pPr>
        <w:spacing w:after="40"/>
      </w:pPr>
      <w:r>
        <w:rPr>
          <w:color w:val="1F2328"/>
          <w:sz w:val="20"/>
          <w:szCs w:val="20"/>
        </w:rPr>
        <w:t xml:space="preserve">1.  The platform in one page</w:t>
      </w:r>
    </w:p>
    <w:p>
      <w:pPr>
        <w:spacing w:after="40"/>
      </w:pPr>
      <w:r>
        <w:rPr>
          <w:color w:val="1F2328"/>
          <w:sz w:val="20"/>
          <w:szCs w:val="20"/>
        </w:rPr>
        <w:t xml:space="preserve">2.  Binding design principles</w:t>
      </w:r>
    </w:p>
    <w:p>
      <w:pPr>
        <w:spacing w:after="40"/>
      </w:pPr>
      <w:r>
        <w:rPr>
          <w:color w:val="1F2328"/>
          <w:sz w:val="20"/>
          <w:szCs w:val="20"/>
        </w:rPr>
        <w:t xml:space="preserve">3.  The legal mandate stack</w:t>
      </w:r>
    </w:p>
    <w:p>
      <w:pPr>
        <w:spacing w:after="40"/>
      </w:pPr>
      <w:r>
        <w:rPr>
          <w:color w:val="1F2328"/>
          <w:sz w:val="20"/>
          <w:szCs w:val="20"/>
        </w:rPr>
        <w:t xml:space="preserve">4.  School structure — ground truth</w:t>
      </w:r>
    </w:p>
    <w:p>
      <w:pPr>
        <w:spacing w:after="40"/>
      </w:pPr>
      <w:r>
        <w:rPr>
          <w:color w:val="1F2328"/>
          <w:sz w:val="20"/>
          <w:szCs w:val="20"/>
        </w:rPr>
        <w:t xml:space="preserve">5.  Assessment architecture A — Pre-primary (ECD&amp;E Curriculum 2077)</w:t>
      </w:r>
    </w:p>
    <w:p>
      <w:pPr>
        <w:spacing w:after="40"/>
      </w:pPr>
      <w:r>
        <w:rPr>
          <w:color w:val="1F2328"/>
          <w:sz w:val="20"/>
          <w:szCs w:val="20"/>
        </w:rPr>
        <w:t xml:space="preserve">6.  Assessment architecture B — Grades 1–5 (Guideline 2083)</w:t>
      </w:r>
    </w:p>
    <w:p>
      <w:pPr>
        <w:spacing w:after="40"/>
      </w:pPr>
      <w:r>
        <w:rPr>
          <w:color w:val="1F2328"/>
          <w:sz w:val="20"/>
          <w:szCs w:val="20"/>
        </w:rPr>
        <w:t xml:space="preserve">7.  The nine invariants (I1–I9)</w:t>
      </w:r>
    </w:p>
    <w:p>
      <w:pPr>
        <w:spacing w:after="40"/>
      </w:pPr>
      <w:r>
        <w:rPr>
          <w:color w:val="1F2328"/>
          <w:sz w:val="20"/>
          <w:szCs w:val="20"/>
        </w:rPr>
        <w:t xml:space="preserve">8.  The scale contradiction — freelancer-facing statement</w:t>
      </w:r>
    </w:p>
    <w:p>
      <w:pPr>
        <w:spacing w:after="40"/>
      </w:pPr>
      <w:r>
        <w:rPr>
          <w:color w:val="1F2328"/>
          <w:sz w:val="20"/>
          <w:szCs w:val="20"/>
        </w:rPr>
        <w:t xml:space="preserve">9.  Assessment Pack dual-render rule (standing)</w:t>
      </w:r>
    </w:p>
    <w:p>
      <w:pPr>
        <w:spacing w:after="40"/>
      </w:pPr>
      <w:r>
        <w:rPr>
          <w:color w:val="1F2328"/>
          <w:sz w:val="20"/>
          <w:szCs w:val="20"/>
        </w:rPr>
        <w:t xml:space="preserve">10.  Language rule (standing)</w:t>
      </w:r>
    </w:p>
    <w:p>
      <w:pPr>
        <w:spacing w:after="40"/>
      </w:pPr>
      <w:r>
        <w:rPr>
          <w:color w:val="1F2328"/>
          <w:sz w:val="20"/>
          <w:szCs w:val="20"/>
        </w:rPr>
        <w:t xml:space="preserve">11.  The band descriptor bank — the moat</w:t>
      </w:r>
    </w:p>
    <w:p>
      <w:pPr>
        <w:spacing w:after="40"/>
      </w:pPr>
      <w:r>
        <w:rPr>
          <w:color w:val="1F2328"/>
          <w:sz w:val="20"/>
          <w:szCs w:val="20"/>
        </w:rPr>
        <w:t xml:space="preserve">12.  Data-layer deltas for the freelancer</w:t>
      </w:r>
    </w:p>
    <w:p>
      <w:pPr>
        <w:spacing w:after="40"/>
      </w:pPr>
      <w:r>
        <w:rPr>
          <w:color w:val="1F2328"/>
          <w:sz w:val="20"/>
          <w:szCs w:val="20"/>
        </w:rPr>
        <w:t xml:space="preserve">13.  Extraction brief — अनुसूची ३(क–च) gotchas</w:t>
      </w:r>
    </w:p>
    <w:p>
      <w:pPr>
        <w:spacing w:after="40"/>
      </w:pPr>
      <w:r>
        <w:rPr>
          <w:color w:val="1F2328"/>
          <w:sz w:val="20"/>
          <w:szCs w:val="20"/>
        </w:rPr>
        <w:t xml:space="preserve">14.  Competitive landscape update</w:t>
      </w:r>
    </w:p>
    <w:p>
      <w:pPr>
        <w:spacing w:after="40"/>
      </w:pPr>
      <w:r>
        <w:rPr>
          <w:color w:val="1F2328"/>
          <w:sz w:val="20"/>
          <w:szCs w:val="20"/>
        </w:rPr>
        <w:t xml:space="preserve">15.  Open questions and verification queue</w:t>
      </w:r>
    </w:p>
    <w:p>
      <w:pPr>
        <w:spacing w:after="40"/>
      </w:pPr>
      <w:r>
        <w:rPr>
          <w:color w:val="1F2328"/>
          <w:sz w:val="20"/>
          <w:szCs w:val="20"/>
        </w:rPr>
        <w:t xml:space="preserve">16.  Document register</w:t>
      </w:r>
    </w:p>
    <w:p>
      <w:pPr>
        <w:spacing w:after="40"/>
      </w:pPr>
      <w:r>
        <w:rPr>
          <w:color w:val="1F2328"/>
          <w:sz w:val="20"/>
          <w:szCs w:val="20"/>
        </w:rPr>
        <w:t xml:space="preserve">17.  Downstream actions triggered by v3.3</w:t>
      </w:r>
    </w:p>
    <w:p>
      <w:r>
        <w:br w:type="page"/>
      </w:r>
    </w:p>
    <w:p>
      <w:pPr>
        <w:pStyle w:val="Heading1"/>
        <w:spacing w:after="160" w:before="340"/>
      </w:pPr>
      <w:r>
        <w:rPr>
          <w:b/>
          <w:bCs/>
          <w:color w:val="0F4C5C"/>
        </w:rPr>
        <w:t xml:space="preserve">1.  The platform in one page</w:t>
      </w:r>
    </w:p>
    <w:p>
      <w:pPr>
        <w:spacing w:after="140" w:line="276"/>
      </w:pPr>
      <w:r>
        <w:rPr>
          <w:color w:val="1F2328"/>
        </w:rPr>
        <w:t xml:space="preserve">An established pre-primary textbook publisher (30,000 sets/year to 400+ private English-medium schools; ~NPR 4.4 crore at 65% margin) is adding a recurring AI platform on top of its books, delivered </w:t>
      </w:r>
      <w:r>
        <w:rPr>
          <w:b/>
          <w:bCs/>
          <w:color w:val="1F2328"/>
        </w:rPr>
        <w:t xml:space="preserve">WhatsApp-first with zero screen time for children</w:t>
      </w:r>
      <w:r>
        <w:rPr>
          <w:color w:val="1F2328"/>
        </w:rPr>
        <w:t xml:space="preserve">. Scope now spans Nursery through Grade 5 across five modules — TEACH, ASSESS, MANAGE, CONNECT, GROW.</w:t>
      </w:r>
    </w:p>
    <w:p>
      <w:pPr>
        <w:spacing w:after="140" w:line="276"/>
      </w:pPr>
      <w:r>
        <w:rPr>
          <w:b/>
          <w:bCs/>
          <w:color w:val="1F2328"/>
        </w:rPr>
        <w:t xml:space="preserve">The central thesis: </w:t>
      </w:r>
      <w:r>
        <w:rPr>
          <w:color w:val="1F2328"/>
        </w:rPr>
        <w:t xml:space="preserve">~80% of Nepal's private pre-primary teachers are undertrained, and turnover is chronic. The platform is not a productivity tool for skilled teachers — it is a </w:t>
      </w:r>
      <w:r>
        <w:rPr>
          <w:b/>
          <w:bCs/>
          <w:color w:val="1F2328"/>
        </w:rPr>
        <w:t xml:space="preserve">competence floor and an invisible training system</w:t>
      </w:r>
      <w:r>
        <w:rPr>
          <w:color w:val="1F2328"/>
        </w:rPr>
        <w:t xml:space="preserve"> that supplies the method a teacher was never taught, so she only has to execute. Adaptive depth scaffolds the novice and removes friction for the expert, without ever surfacing a competence label to either.</w:t>
      </w:r>
    </w:p>
    <w:p>
      <w:pPr>
        <w:spacing w:after="140" w:line="276"/>
      </w:pPr>
      <w:r>
        <w:rPr>
          <w:color w:val="1F2328"/>
        </w:rPr>
        <w:t xml:space="preserve">Stack: Node.js/Express (Railway) · Supabase PostgreSQL + Storage · Upstash Redis (SHA256-keyed cache) · Claude Haiku for generation, Sonnet for parent narratives · Meta WhatsApp Cloud API direct · eSewa · Bubble.io web (Phase 1–2). Phone number is identity everywhere; channels are thin skins over one backend.</w:t>
      </w:r>
    </w:p>
    <w:p>
      <w:pPr>
        <w:pStyle w:val="Heading1"/>
        <w:spacing w:after="160" w:before="340"/>
      </w:pPr>
      <w:r>
        <w:rPr>
          <w:b/>
          <w:bCs/>
          <w:color w:val="0F4C5C"/>
        </w:rPr>
        <w:t xml:space="preserve">2.  Binding design principles</w:t>
      </w:r>
    </w:p>
    <w:p>
      <w:pPr>
        <w:spacing w:after="140" w:line="276"/>
      </w:pPr>
      <w:r>
        <w:rPr>
          <w:color w:val="1F2328"/>
        </w:rPr>
        <w:t xml:space="preserve">These bind every feature, every spec, and every downstream document. A design that violates one of these is wrong by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Principle</w:t>
            </w:r>
          </w:p>
        </w:tc>
        <w:tc>
          <w:tcPr>
            <w:tcW w:type="dxa" w:w="63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Rule</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One action, three echoes</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 single teacher action simultaneously feeds the teacher's record, the parent report, and the admin dashboard. Nobody does extra work for anyone else.</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AI drafts, teacher decides</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No autonomous output reaches a parent or admin without teacher review. The system drafts; the human gates.</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Adaptive depth</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The system reads what each interaction needs from behavioural signals. It never labels a teacher; the read is invisible, reversible, and never exposed to admins as a ranking. Ambiguity defaults to more help.</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Zero screen time</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No child-facing interface, ever, for ages 3–5. Every benefit arrives through a better-equipped adult.</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Thin-channel rule</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WhatsApp for delivery and in-the-moment capture; web for review and sweep surfaces only. Logic never lives in a channel.</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Gravity rule</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Monitoring stops at the closest responsible person. Admins cannot surveil classrooms or read coach transcripts; the platform team sees schools only as aggregates.</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Persuasion line</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No streaks, guilt framing, variable rewards, or engagement optimisation anywhere in the product.</w:t>
            </w:r>
          </w:p>
        </w:tc>
      </w:tr>
      <w:tr>
        <w:tc>
          <w:tcPr>
            <w:tcW w:type="dxa" w:w="27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Generation parity</w:t>
            </w:r>
          </w:p>
        </w:tc>
        <w:tc>
          <w:tcPr>
            <w:tcW w:type="dxa" w:w="63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Full generation capability at every pricing tier. Tiers gate data and communication features, never the quality of what the AI produces.</w:t>
            </w:r>
          </w:p>
        </w:tc>
      </w:tr>
    </w:tbl>
    <w:p>
      <w:pPr>
        <w:pStyle w:val="Heading1"/>
        <w:spacing w:after="160" w:before="340"/>
      </w:pPr>
      <w:r>
        <w:rPr>
          <w:b/>
          <w:bCs/>
          <w:color w:val="0F4C5C"/>
        </w:rPr>
        <w:t xml:space="preserve">3.  The legal mandate stack</w:t>
      </w:r>
    </w:p>
    <w:p>
      <w:pPr>
        <w:spacing w:after="140" w:line="276"/>
      </w:pPr>
      <w:r>
        <w:rPr>
          <w:color w:val="1F2328"/>
        </w:rPr>
        <w:t xml:space="preserve">The ASSESS module is not a product philosophy — it is the practical delivery mechanism for a legal government mandate. Three instruments stack:</w:t>
      </w:r>
    </w:p>
    <w:p>
      <w:pPr>
        <w:pStyle w:val="ListParagraph"/>
        <w:numPr>
          <w:ilvl w:val="0"/>
          <w:numId w:val="2"/>
        </w:numPr>
        <w:spacing w:after="90" w:line="276"/>
      </w:pPr>
      <w:r>
        <w:rPr>
          <w:b/>
          <w:bCs/>
          <w:color w:val="1F2328"/>
        </w:rPr>
        <w:t xml:space="preserve">National ECD&amp;E Curriculum 2077 (CDC)</w:t>
      </w:r>
      <w:r>
        <w:rPr>
          <w:color w:val="1F2328"/>
        </w:rPr>
        <w:t xml:space="preserve"> — the document every pre-primary centre is legally required to follow. Its assessment sections (6, 9, 23) mandate continuous informal observation, no formal exams for children, a cumulative individual file per child, trimester parent reporting, and a year-end transition report handed to the school at enrolment. The pre-primary milestone tracker, monthly reports, and readiness/leaving pack are the operational instrument for precisely these requirements.</w:t>
      </w:r>
    </w:p>
    <w:p>
      <w:pPr>
        <w:pStyle w:val="ListParagraph"/>
        <w:numPr>
          <w:ilvl w:val="0"/>
          <w:numId w:val="2"/>
        </w:numPr>
        <w:spacing w:after="90" w:line="276"/>
      </w:pPr>
      <w:r>
        <w:rPr>
          <w:b/>
          <w:bCs/>
          <w:color w:val="1F2328"/>
        </w:rPr>
        <w:t xml:space="preserve">Cabinet decision 2082 Chaitra 13</w:t>
      </w:r>
      <w:r>
        <w:rPr>
          <w:color w:val="1F2328"/>
        </w:rPr>
        <w:t xml:space="preserve"> — abolishes internal examinations up to Grade 5. Every school in the segment must now run exam-free, continuous assessment for Grades 1–5 whether it knows how to or not.</w:t>
      </w:r>
    </w:p>
    <w:p>
      <w:pPr>
        <w:pStyle w:val="ListParagraph"/>
        <w:numPr>
          <w:ilvl w:val="0"/>
          <w:numId w:val="2"/>
        </w:numPr>
        <w:spacing w:after="90" w:line="276"/>
      </w:pPr>
      <w:r>
        <w:rPr>
          <w:b/>
          <w:bCs/>
          <w:color w:val="1F2328"/>
        </w:rPr>
        <w:t xml:space="preserve">Student Assessment Guideline 2083 (विद्यार्थी मूल्याङ्कन मार्गदर्शन २०८३, CDC)</w:t>
      </w:r>
      <w:r>
        <w:rPr>
          <w:color w:val="1F2328"/>
        </w:rPr>
        <w:t xml:space="preserve"> — operationalises continuous, exam-free formative assessment for Grades 4–5: the 1–4 rating scale, the two-stage recording forms in अनुसूची ३(क–च), and the report format in अनुसूची 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4C5C" w:sz="12"/>
              <w:left w:val="single" w:color="C7D2D6" w:sz="4"/>
              <w:bottom w:val="single" w:color="C7D2D6" w:sz="4"/>
              <w:right w:val="single" w:color="C7D2D6" w:sz="4"/>
            </w:tcBorders>
            <w:shd w:fill="EDF3F4" w:val="clear"/>
            <w:tcMar>
              <w:top w:type="dxa" w:w="160"/>
              <w:left w:type="dxa" w:w="200"/>
              <w:bottom w:type="dxa" w:w="100"/>
              <w:right w:type="dxa" w:w="200"/>
            </w:tcMar>
          </w:tcPr>
          <w:p>
            <w:pPr>
              <w:spacing w:after="100"/>
            </w:pPr>
            <w:r>
              <w:rPr>
                <w:b/>
                <w:bCs/>
                <w:color w:val="0F4C5C"/>
              </w:rPr>
              <w:t xml:space="preserve">The go-to-market anchor</w:t>
            </w:r>
          </w:p>
          <w:p>
            <w:pPr>
              <w:spacing w:after="0"/>
            </w:pPr>
            <w:r>
              <w:rPr>
                <w:color w:val="1F2328"/>
              </w:rPr>
              <w:t xml:space="preserve">Schools are legally required to deliver continuous, exam-free assessment they were never trained or tooled for. The platform is how they actually do it. This framing — operationalising a legal mandate, not selling a philosophy — leads every principal conversation.</w:t>
            </w:r>
          </w:p>
        </w:tc>
      </w:tr>
    </w:tbl>
    <w:p>
      <w:pPr>
        <w:pStyle w:val="Heading1"/>
        <w:spacing w:after="160" w:before="340"/>
      </w:pPr>
      <w:r>
        <w:rPr>
          <w:b/>
          <w:bCs/>
          <w:color w:val="0F4C5C"/>
        </w:rPr>
        <w:t xml:space="preserve">4.  School structure — ground truth</w:t>
      </w:r>
    </w:p>
    <w:p>
      <w:pPr>
        <w:spacing w:after="140" w:line="276"/>
      </w:pPr>
      <w:r>
        <w:rPr>
          <w:color w:val="1F2328"/>
        </w:rPr>
        <w:t xml:space="preserve">Confirmed at real schools, superseding earlier design assumptions (this was the correction that triggered the v3.1 revision):</w:t>
      </w:r>
    </w:p>
    <w:p>
      <w:pPr>
        <w:pStyle w:val="ListParagraph"/>
        <w:numPr>
          <w:ilvl w:val="0"/>
          <w:numId w:val="2"/>
        </w:numPr>
        <w:spacing w:after="90" w:line="276"/>
      </w:pPr>
      <w:r>
        <w:rPr>
          <w:b/>
          <w:bCs/>
          <w:color w:val="1F2328"/>
        </w:rPr>
        <w:t xml:space="preserve">Subject-teacher rotation begins at Grade 1</w:t>
      </w:r>
      <w:r>
        <w:rPr>
          <w:color w:val="1F2328"/>
        </w:rPr>
        <w:t xml:space="preserve">, not Grade 4 as earlier specs assumed. Multiple subject teachers write to one child's record from Grade 1 onward.</w:t>
      </w:r>
    </w:p>
    <w:p>
      <w:pPr>
        <w:pStyle w:val="ListParagraph"/>
        <w:numPr>
          <w:ilvl w:val="0"/>
          <w:numId w:val="2"/>
        </w:numPr>
        <w:spacing w:after="90" w:line="276"/>
      </w:pPr>
      <w:r>
        <w:rPr>
          <w:b/>
          <w:bCs/>
          <w:color w:val="1F2328"/>
        </w:rPr>
        <w:t xml:space="preserve">A dedicated class-teacher oversight role exists from Grade 1 upward</w:t>
      </w:r>
      <w:r>
        <w:rPr>
          <w:color w:val="1F2328"/>
        </w:rPr>
        <w:t xml:space="preserve">. The class teacher sees and approves everything for her section; subject teachers read all, write their own subject.</w:t>
      </w:r>
    </w:p>
    <w:p>
      <w:pPr>
        <w:spacing w:after="140" w:line="276"/>
      </w:pPr>
      <w:r>
        <w:rPr>
          <w:color w:val="1F2328"/>
        </w:rPr>
        <w:t xml:space="preserve">System-wide consequence: every Grades 1–5 surface (rating capture, report approval, dashboards, handover packs) is designed for multi-teacher input with single class-teacher approval — from Grade 1, not as a later add-on. Real-school verification precedes architectural decisions; this correction is the standing proof of why.</w:t>
      </w:r>
    </w:p>
    <w:p>
      <w:pPr>
        <w:pStyle w:val="Heading1"/>
        <w:spacing w:after="160" w:before="340"/>
      </w:pPr>
      <w:r>
        <w:rPr>
          <w:b/>
          <w:bCs/>
          <w:color w:val="0F4C5C"/>
        </w:rPr>
        <w:t xml:space="preserve">5.  Assessment architecture A — Pre-primary (Nursery–UKG), per ECD&amp;E Curriculum 2077</w:t>
      </w:r>
    </w:p>
    <w:p>
      <w:pPr>
        <w:spacing w:after="140" w:line="276"/>
      </w:pPr>
      <w:r>
        <w:rPr>
          <w:b/>
          <w:bCs/>
          <w:color w:val="1F2328"/>
        </w:rPr>
        <w:t xml:space="preserve">Pre-primary uses a distinct mechanism from Grades 1–5</w:t>
      </w:r>
      <w:r>
        <w:rPr>
          <w:color w:val="1F2328"/>
        </w:rPr>
        <w:t xml:space="preserve">: three-state developmental milestones, not 1–4 ratings. This section folds the CDC National ECD&amp;E Curriculum 2077 in fully — it supersedes both the original four-domain model (literacy/numeracy/motor/social-emotional) and the interim ELDS six-domain framing as the organising taxonomy.</w:t>
      </w:r>
    </w:p>
    <w:p>
      <w:pPr>
        <w:pStyle w:val="Heading2"/>
        <w:spacing w:after="120" w:before="240"/>
      </w:pPr>
      <w:r>
        <w:rPr>
          <w:b/>
          <w:bCs/>
          <w:color w:val="1F2328"/>
        </w:rPr>
        <w:t xml:space="preserve">5.1  The mechanism</w:t>
      </w:r>
    </w:p>
    <w:p>
      <w:pPr>
        <w:pStyle w:val="ListParagraph"/>
        <w:numPr>
          <w:ilvl w:val="0"/>
          <w:numId w:val="2"/>
        </w:numPr>
        <w:spacing w:after="90" w:line="276"/>
      </w:pPr>
      <w:r>
        <w:rPr>
          <w:color w:val="1F2328"/>
        </w:rPr>
        <w:t xml:space="preserve">Three states — </w:t>
      </w:r>
      <w:r>
        <w:rPr>
          <w:b/>
          <w:bCs/>
          <w:color w:val="1F2328"/>
        </w:rPr>
        <w:t xml:space="preserve">can do / developing / not yet</w:t>
      </w:r>
      <w:r>
        <w:rPr>
          <w:color w:val="1F2328"/>
        </w:rPr>
        <w:t xml:space="preserve"> — plus a hidden </w:t>
      </w:r>
      <w:r>
        <w:rPr>
          <w:b/>
          <w:bCs/>
          <w:color w:val="1F2328"/>
        </w:rPr>
        <w:t xml:space="preserve">not observed</w:t>
      </w:r>
      <w:r>
        <w:rPr>
          <w:color w:val="1F2328"/>
        </w:rPr>
        <w:t xml:space="preserve"> so honesty is never forced and a quiet child is never penalised. Never a numeric score for a 3–5 year old.</w:t>
      </w:r>
    </w:p>
    <w:p>
      <w:pPr>
        <w:pStyle w:val="ListParagraph"/>
        <w:numPr>
          <w:ilvl w:val="0"/>
          <w:numId w:val="2"/>
        </w:numPr>
        <w:spacing w:after="90" w:line="276"/>
      </w:pPr>
      <w:r>
        <w:rPr>
          <w:color w:val="1F2328"/>
        </w:rPr>
        <w:t xml:space="preserve">Every milestone is a single </w:t>
      </w:r>
      <w:r>
        <w:rPr>
          <w:b/>
          <w:bCs/>
          <w:color w:val="1F2328"/>
        </w:rPr>
        <w:t xml:space="preserve">observable behaviour</w:t>
      </w:r>
      <w:r>
        <w:rPr>
          <w:color w:val="1F2328"/>
        </w:rPr>
        <w:t xml:space="preserve"> grounded in the curriculum's own elaborated indicators, so two teachers rate the same child consistently. Wide typical age ranges, because development is wide.</w:t>
      </w:r>
    </w:p>
    <w:p>
      <w:pPr>
        <w:pStyle w:val="ListParagraph"/>
        <w:numPr>
          <w:ilvl w:val="0"/>
          <w:numId w:val="2"/>
        </w:numPr>
        <w:spacing w:after="90" w:line="276"/>
      </w:pPr>
      <w:r>
        <w:rPr>
          <w:color w:val="1F2328"/>
        </w:rPr>
        <w:t xml:space="preserve">No cross-area contamination: non-language items always offer a point-to/select response, so an L2-weak or shy child is never marked down on a different area's weakness.</w:t>
      </w:r>
    </w:p>
    <w:p>
      <w:pPr>
        <w:pStyle w:val="Heading2"/>
        <w:spacing w:after="120" w:before="240"/>
      </w:pPr>
      <w:r>
        <w:rPr>
          <w:b/>
          <w:bCs/>
          <w:color w:val="1F2328"/>
        </w:rPr>
        <w:t xml:space="preserve">5.2  The 138-milestone bank — 11 areas as system of record, 6 domains for parents</w:t>
      </w:r>
    </w:p>
    <w:p>
      <w:pPr>
        <w:spacing w:after="140" w:line="276"/>
      </w:pPr>
      <w:r>
        <w:rPr>
          <w:color w:val="1F2328"/>
        </w:rPr>
        <w:t xml:space="preserve">~46 milestones per level, 138 total, tagged against the curriculum's </w:t>
      </w:r>
      <w:r>
        <w:rPr>
          <w:b/>
          <w:bCs/>
          <w:color w:val="1F2328"/>
        </w:rPr>
        <w:t xml:space="preserve">11 skill areas</w:t>
      </w:r>
      <w:r>
        <w:rPr>
          <w:color w:val="1F2328"/>
        </w:rPr>
        <w:t xml:space="preserve"> (the system of record — every milestone carries its curriculum area) and rolled up to </w:t>
      </w:r>
      <w:r>
        <w:rPr>
          <w:b/>
          <w:bCs/>
          <w:color w:val="1F2328"/>
        </w:rPr>
        <w:t xml:space="preserve">6 parent-facing domains</w:t>
      </w:r>
      <w:r>
        <w:rPr>
          <w:color w:val="1F2328"/>
        </w:rPr>
        <w:t xml:space="preserve"> for reports. Teacher and admin views can show all 11 areas; parents and principals see the 6 domains. Foundational areas are weighted heavier (~67% of the curriculum's defined hours); ~8–14 milestones are active in a given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Parent-facing domain</w:t>
            </w:r>
          </w:p>
        </w:tc>
        <w:tc>
          <w:tcPr>
            <w:tcW w:type="dxa" w:w="57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Curriculum 2077 areas it rolls up (of 11)</w:t>
            </w:r>
          </w:p>
        </w:tc>
      </w:tr>
      <w:tr>
        <w:tc>
          <w:tcPr>
            <w:tcW w:type="dxa" w:w="3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D1 · Physical &amp; Well-being</w:t>
            </w:r>
          </w:p>
        </w:tc>
        <w:tc>
          <w:tcPr>
            <w:tcW w:type="dxa" w:w="57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Physical skills + Health, nutrition, safety &amp; environment</w:t>
            </w:r>
          </w:p>
        </w:tc>
      </w:tr>
      <w:tr>
        <w:tc>
          <w:tcPr>
            <w:tcW w:type="dxa" w:w="3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D2 · Language &amp; Communication</w:t>
            </w:r>
          </w:p>
        </w:tc>
        <w:tc>
          <w:tcPr>
            <w:tcW w:type="dxa" w:w="57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Language skills (oral, print awareness, pre-writing)</w:t>
            </w:r>
          </w:p>
        </w:tc>
      </w:tr>
      <w:tr>
        <w:tc>
          <w:tcPr>
            <w:tcW w:type="dxa" w:w="3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D3 · Thinking &amp; Early Maths</w:t>
            </w:r>
          </w:p>
        </w:tc>
        <w:tc>
          <w:tcPr>
            <w:tcW w:type="dxa" w:w="57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Intellectual &amp; mental skills + Pre-mathematics</w:t>
            </w:r>
          </w:p>
        </w:tc>
      </w:tr>
      <w:tr>
        <w:tc>
          <w:tcPr>
            <w:tcW w:type="dxa" w:w="3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D4 · Social &amp; Emotional</w:t>
            </w:r>
          </w:p>
        </w:tc>
        <w:tc>
          <w:tcPr>
            <w:tcW w:type="dxa" w:w="57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Emotional skills + Social, cultural &amp; moral skills</w:t>
            </w:r>
          </w:p>
        </w:tc>
      </w:tr>
      <w:tr>
        <w:tc>
          <w:tcPr>
            <w:tcW w:type="dxa" w:w="3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D5 · Creative &amp; Expressive</w:t>
            </w:r>
          </w:p>
        </w:tc>
        <w:tc>
          <w:tcPr>
            <w:tcW w:type="dxa" w:w="57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Creative skills + Visual arts, technique &amp; creativity</w:t>
            </w:r>
          </w:p>
        </w:tc>
      </w:tr>
      <w:tr>
        <w:tc>
          <w:tcPr>
            <w:tcW w:type="dxa" w:w="3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D6 · World Around Me</w:t>
            </w:r>
          </w:p>
        </w:tc>
        <w:tc>
          <w:tcPr>
            <w:tcW w:type="dxa" w:w="57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Environmental science + Social studies</w:t>
            </w:r>
          </w:p>
        </w:tc>
      </w:tr>
    </w:tbl>
    <w:p>
      <w:pPr>
        <w:spacing w:after="60"/>
      </w:pPr>
      <w:r>
        <w:rPr>
          <w:color w:val="1F2328"/>
        </w:rPr>
        <w:t xml:space="preserve"/>
      </w:r>
    </w:p>
    <w:p>
      <w:pPr>
        <w:pStyle w:val="ListParagraph"/>
        <w:numPr>
          <w:ilvl w:val="0"/>
          <w:numId w:val="2"/>
        </w:numPr>
        <w:spacing w:after="90" w:line="276"/>
      </w:pPr>
      <w:r>
        <w:rPr>
          <w:color w:val="1F2328"/>
        </w:rPr>
        <w:t xml:space="preserve">Books supply the academic strands: the phonics progression becomes the Language print/pre-writing sub-strands and the number sequence becomes the Pre-mathematics sub-strands — the content moat surfacing in the data layer. Phonics keeps its own signal as a literacy sub-strand tag inside the Language area.</w:t>
      </w:r>
    </w:p>
    <w:p>
      <w:pPr>
        <w:pStyle w:val="ListParagraph"/>
        <w:numPr>
          <w:ilvl w:val="0"/>
          <w:numId w:val="2"/>
        </w:numPr>
        <w:spacing w:after="90" w:line="276"/>
      </w:pPr>
      <w:r>
        <w:rPr>
          <w:color w:val="1F2328"/>
        </w:rPr>
        <w:t xml:space="preserve">Three-year span on a one-year curriculum: the curriculum targets the single pre-primary year, so its stated indicators are UKG / end-of-pre-primary expectations. UKG aligns directly; Nursery and LKG milestones are developmental precursors of the same skills.</w:t>
      </w:r>
    </w:p>
    <w:p>
      <w:pPr>
        <w:pStyle w:val="ListParagraph"/>
        <w:numPr>
          <w:ilvl w:val="0"/>
          <w:numId w:val="2"/>
        </w:numPr>
        <w:spacing w:after="90" w:line="276"/>
      </w:pPr>
      <w:r>
        <w:rPr>
          <w:b/>
          <w:bCs/>
          <w:color w:val="1F2328"/>
        </w:rPr>
        <w:t xml:space="preserve">Areas and domains are data, not code</w:t>
      </w:r>
      <w:r>
        <w:rPr>
          <w:color w:val="1F2328"/>
        </w:rPr>
        <w:t xml:space="preserve"> — a curriculum_areas table and a rollup_domains table, the same discipline that makes a new level an INSERT rather than a refactor.</w:t>
      </w:r>
    </w:p>
    <w:p>
      <w:pPr>
        <w:pStyle w:val="Heading2"/>
        <w:spacing w:after="120" w:before="240"/>
      </w:pPr>
      <w:r>
        <w:rPr>
          <w:b/>
          <w:bCs/>
          <w:color w:val="1F2328"/>
        </w:rPr>
        <w:t xml:space="preserve">5.3  Capture modes and the rule</w:t>
      </w:r>
    </w:p>
    <w:p>
      <w:pPr>
        <w:spacing w:after="140" w:line="276"/>
      </w:pPr>
      <w:r>
        <w:rPr>
          <w:color w:val="1F2328"/>
        </w:rPr>
        <w:t xml:space="preserve">Milestones are set four ways: batch sweep (the monthly web top-up), carry-forward (the default — last month holds), free-text observation (typed or voiced on WhatsApp; the system maps it), and assessment-driven (rubric auto-suggests). </w:t>
      </w:r>
      <w:r>
        <w:rPr>
          <w:b/>
          <w:bCs/>
          <w:color w:val="1F2328"/>
        </w:rPr>
        <w:t xml:space="preserve">The rule across all four: the system infers everything except the level.</w:t>
      </w:r>
      <w:r>
        <w:rPr>
          <w:color w:val="1F2328"/>
        </w:rPr>
        <w:t xml:space="preserve"> Identifying the child, recognising the skill, mapping the milestone, drafting a suggested state — all automatic. The actual can-do/developing/not-yet is always the teacher's tap, because judgments about children stay human. A single sighting holds at “developing” — one observation is not mastery.</w:t>
      </w:r>
    </w:p>
    <w:p>
      <w:pPr>
        <w:pStyle w:val="Heading2"/>
        <w:spacing w:after="120" w:before="240"/>
      </w:pPr>
      <w:r>
        <w:rPr>
          <w:b/>
          <w:bCs/>
          <w:color w:val="1F2328"/>
        </w:rPr>
        <w:t xml:space="preserve">5.4  The report contract</w:t>
      </w:r>
    </w:p>
    <w:p>
      <w:pPr>
        <w:spacing w:after="140" w:line="276"/>
      </w:pPr>
      <w:r>
        <w:rPr>
          <w:color w:val="1F2328"/>
        </w:rPr>
        <w:t xml:space="preserve">Fixed structure: celebration first (2–3 new “can do”), at most two “growing” items framed as movement, exactly three home activities, a reply invitation. No marks, no comparisons, no jargon, no personality adjectives; ~150 words; the school's name leads. Sonnet enforces the contract; the teacher reviews with the evidence beside the draft.</w:t>
      </w:r>
    </w:p>
    <w:p>
      <w:pPr>
        <w:pStyle w:val="Heading2"/>
        <w:spacing w:after="120" w:before="240"/>
      </w:pPr>
      <w:r>
        <w:rPr>
          <w:b/>
          <w:bCs/>
          <w:color w:val="1F2328"/>
        </w:rPr>
        <w:t xml:space="preserve">5.5  ELDS status note</w:t>
      </w:r>
    </w:p>
    <w:p>
      <w:pPr>
        <w:spacing w:after="140" w:line="276"/>
      </w:pPr>
      <w:r>
        <w:rPr>
          <w:color w:val="1F2328"/>
        </w:rPr>
        <w:t xml:space="preserve">Nepal's ELDS (ERO/UNICEF) is </w:t>
      </w:r>
      <w:r>
        <w:rPr>
          <w:b/>
          <w:bCs/>
          <w:color w:val="1F2328"/>
        </w:rPr>
        <w:t xml:space="preserve">retained as a validation and credibility anchor, superseded as the organising taxonomy</w:t>
      </w:r>
      <w:r>
        <w:rPr>
          <w:color w:val="1F2328"/>
        </w:rPr>
        <w:t xml:space="preserve">. What survives: the three-category scoring match (on track / progressing / struggling ↔ can do / developing / not yet, with the hidden non-response state), the 26 administration-script task templates feeding the assessment generator, and the five assessment design principles (no cross-domain contamination; standardised administration; non-redundant indicators; difficulty spread; area balance) baked into generation prompts. The taxonomy of record is Curriculum 2077's 11 areas.</w:t>
      </w:r>
    </w:p>
    <w:p>
      <w:pPr>
        <w:pStyle w:val="Heading2"/>
        <w:spacing w:after="120" w:before="240"/>
      </w:pPr>
      <w:r>
        <w:rPr>
          <w:b/>
          <w:bCs/>
          <w:color w:val="1F2328"/>
        </w:rPr>
        <w:t xml:space="preserve">5.6  Pending review</w:t>
      </w:r>
    </w:p>
    <w:p>
      <w:pPr>
        <w:spacing w:after="140" w:line="276"/>
      </w:pPr>
      <w:r>
        <w:rPr>
          <w:color w:val="1F2328"/>
        </w:rPr>
        <w:t xml:space="preserve">The pre-primary band descriptor / milestone bank (~138 entries) is </w:t>
      </w:r>
      <w:r>
        <w:rPr>
          <w:b/>
          <w:bCs/>
          <w:color w:val="1F2328"/>
        </w:rPr>
        <w:t xml:space="preserve">pending trainer and ECE-specialist review</w:t>
      </w:r>
      <w:r>
        <w:rPr>
          <w:color w:val="1F2328"/>
        </w:rPr>
        <w:t xml:space="preserve"> before it is treated as launch-ready. Authored judgment, not transcription — same standard as the Grades 4–5 descriptor bank (§11).</w:t>
      </w:r>
    </w:p>
    <w:p>
      <w:r>
        <w:br w:type="page"/>
      </w:r>
    </w:p>
    <w:p>
      <w:pPr>
        <w:pStyle w:val="Heading1"/>
        <w:spacing w:after="160" w:before="340"/>
      </w:pPr>
      <w:r>
        <w:rPr>
          <w:b/>
          <w:bCs/>
          <w:color w:val="0F4C5C"/>
        </w:rPr>
        <w:t xml:space="preserve">6.  Assessment architecture B — Grades 1–5, per Guideline 2083</w:t>
      </w:r>
    </w:p>
    <w:p>
      <w:pPr>
        <w:spacing w:after="140" w:line="276"/>
      </w:pPr>
      <w:r>
        <w:rPr>
          <w:color w:val="1F2328"/>
        </w:rPr>
        <w:t xml:space="preserve">One shared engine serves Grades 1–5 — same 1–4 scale, aggregation formula, remedial ladder, portfolio requirement, and methods toolkit — differing only in letter-grade mapping and subject structure. Everything below supersedes all prior specs where they conflict, including Crosswalk Addendum v1.0 §4 (now formally superseded, §16).</w:t>
      </w:r>
    </w:p>
    <w:p>
      <w:pPr>
        <w:pStyle w:val="Heading2"/>
        <w:spacing w:after="120" w:before="240"/>
      </w:pPr>
      <w:r>
        <w:rPr>
          <w:b/>
          <w:bCs/>
          <w:color w:val="1F2328"/>
        </w:rPr>
        <w:t xml:space="preserve">6.1  The assessable atom and the aggregation chain</w:t>
      </w:r>
    </w:p>
    <w:p>
      <w:pPr>
        <w:spacing w:after="140" w:line="276"/>
      </w:pPr>
      <w:r>
        <w:rPr>
          <w:color w:val="1F2328"/>
        </w:rPr>
        <w:t xml:space="preserve">The </w:t>
      </w:r>
      <w:r>
        <w:rPr>
          <w:b/>
          <w:bCs/>
          <w:color w:val="1F2328"/>
        </w:rPr>
        <w:t xml:space="preserve">indicator</w:t>
      </w:r>
      <w:r>
        <w:rPr>
          <w:color w:val="1F2328"/>
        </w:rPr>
        <w:t xml:space="preserve"> (from अनुसूची ३) is the confirmed assessable atom. Ratings attach to indicators — never to §3 outcomes, which are aggregation layers only. Every surface that rated at outcome level was architecturally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4C5C" w:sz="12"/>
              <w:left w:val="single" w:color="C7D2D6" w:sz="4"/>
              <w:bottom w:val="single" w:color="C7D2D6" w:sz="4"/>
              <w:right w:val="single" w:color="C7D2D6" w:sz="4"/>
            </w:tcBorders>
            <w:shd w:fill="EDF3F4" w:val="clear"/>
            <w:tcMar>
              <w:top w:type="dxa" w:w="160"/>
              <w:left w:type="dxa" w:w="200"/>
              <w:bottom w:type="dxa" w:w="100"/>
              <w:right w:type="dxa" w:w="200"/>
            </w:tcMar>
          </w:tcPr>
          <w:p>
            <w:pPr>
              <w:spacing w:after="0"/>
              <w:jc w:val="center"/>
            </w:pPr>
            <w:r>
              <w:rPr>
                <w:b/>
                <w:bCs/>
                <w:color w:val="0F4C5C"/>
                <w:sz w:val="22"/>
                <w:szCs w:val="22"/>
              </w:rPr>
              <w:t xml:space="preserve">indicator rating (1–4)  →  area percentage  →  subject overall percentage  →  letter grade</w:t>
            </w:r>
          </w:p>
        </w:tc>
      </w:tr>
    </w:tbl>
    <w:p>
      <w:pPr>
        <w:spacing w:after="60"/>
      </w:pPr>
      <w:r>
        <w:rPr>
          <w:color w:val="1F2328"/>
        </w:rPr>
        <w:t xml:space="preserve"/>
      </w:r>
    </w:p>
    <w:p>
      <w:pPr>
        <w:pStyle w:val="Heading2"/>
        <w:spacing w:after="120" w:before="240"/>
      </w:pPr>
      <w:r>
        <w:rPr>
          <w:b/>
          <w:bCs/>
          <w:color w:val="1F2328"/>
        </w:rPr>
        <w:t xml:space="preserve">6.2  The universal form skeleton</w:t>
      </w:r>
    </w:p>
    <w:p>
      <w:pPr>
        <w:spacing w:after="140" w:line="276"/>
      </w:pPr>
      <w:r>
        <w:rPr>
          <w:color w:val="1F2328"/>
        </w:rPr>
        <w:t xml:space="preserve">One skeleton serves all six subjects. Two dated stages, append-only — never overwrite: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Column</w:t>
            </w:r>
          </w:p>
        </w:tc>
        <w:tc>
          <w:tcPr>
            <w:tcW w:type="dxa" w:w="55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Meaning</w:t>
            </w:r>
          </w:p>
        </w:tc>
      </w:tr>
      <w:tr>
        <w:tc>
          <w:tcPr>
            <w:tcW w:type="dxa" w:w="35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क्र.स.</w:t>
            </w:r>
          </w:p>
        </w:tc>
        <w:tc>
          <w:tcPr>
            <w:tcW w:type="dxa" w:w="55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Serial number within the area.</w:t>
            </w:r>
          </w:p>
        </w:tc>
      </w:tr>
      <w:tr>
        <w:tc>
          <w:tcPr>
            <w:tcW w:type="dxa" w:w="35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[grouping]</w:t>
            </w:r>
          </w:p>
        </w:tc>
        <w:tc>
          <w:tcPr>
            <w:tcW w:type="dxa" w:w="55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Nullable, subject-configured group_label (see 6.3). Absent entirely for flat subjects.</w:t>
            </w:r>
          </w:p>
        </w:tc>
      </w:tr>
      <w:tr>
        <w:tc>
          <w:tcPr>
            <w:tcW w:type="dxa" w:w="35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सिकाइ उपलब्धि</w:t>
            </w:r>
          </w:p>
        </w:tc>
        <w:tc>
          <w:tcPr>
            <w:tcW w:type="dxa" w:w="55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The indicator statement — the assessable atom.</w:t>
            </w:r>
          </w:p>
        </w:tc>
      </w:tr>
      <w:tr>
        <w:tc>
          <w:tcPr>
            <w:tcW w:type="dxa" w:w="35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नियमित पठनपाठनपछिको मूल्याङ्कन (मिति / अङ्कन)</w:t>
            </w:r>
          </w:p>
        </w:tc>
        <w:tc>
          <w:tcPr>
            <w:tcW w:type="dxa" w:w="55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Stage 1: assessment after regular teaching — date + 1–4 rating.</w:t>
            </w:r>
          </w:p>
        </w:tc>
      </w:tr>
      <w:tr>
        <w:tc>
          <w:tcPr>
            <w:tcW w:type="dxa" w:w="35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थप सहायतापछिको मूल्याङ्कन (मिति / अङ्कन)</w:t>
            </w:r>
          </w:p>
        </w:tc>
        <w:tc>
          <w:tcPr>
            <w:tcW w:type="dxa" w:w="55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Stage 2: assessment after additional support (the remedial ladder) — date + 1–4 rating. Appended, never overwriting stage 1.</w:t>
            </w:r>
          </w:p>
        </w:tc>
      </w:tr>
      <w:tr>
        <w:tc>
          <w:tcPr>
            <w:tcW w:type="dxa" w:w="35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कैफियत</w:t>
            </w:r>
          </w:p>
        </w:tc>
        <w:tc>
          <w:tcPr>
            <w:tcW w:type="dxa" w:w="55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Remarks.</w:t>
            </w:r>
          </w:p>
        </w:tc>
      </w:tr>
    </w:tbl>
    <w:p>
      <w:pPr>
        <w:spacing w:after="60"/>
      </w:pPr>
      <w:r>
        <w:rPr>
          <w:color w:val="1F2328"/>
        </w:rPr>
        <w:t xml:space="preserve"/>
      </w:r>
    </w:p>
    <w:p>
      <w:pPr>
        <w:pStyle w:val="Heading2"/>
        <w:spacing w:after="120" w:before="240"/>
      </w:pPr>
      <w:r>
        <w:rPr>
          <w:b/>
          <w:bCs/>
          <w:color w:val="1F2328"/>
        </w:rPr>
        <w:t xml:space="preserve">6.3  Grouping takes three shapes — a skill enum breaks</w:t>
      </w:r>
    </w:p>
    <w:p>
      <w:pPr>
        <w:spacing w:after="140" w:line="276"/>
      </w:pPr>
      <w:r>
        <w:rPr>
          <w:color w:val="1F2328"/>
        </w:rPr>
        <w:t xml:space="preserve">Grouping does not generalise across subjects. Three structurally distinct shapes exist; the field must be a </w:t>
      </w:r>
      <w:r>
        <w:rPr>
          <w:b/>
          <w:bCs/>
          <w:color w:val="1F2328"/>
        </w:rPr>
        <w:t xml:space="preserve">nullable, subject-configured group_label</w:t>
      </w:r>
      <w:r>
        <w:rPr>
          <w:color w:val="1F2328"/>
        </w:rPr>
        <w:t xml:space="preserve"> — a skill enum breaks on Maths and Science.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Shape</w:t>
            </w:r>
          </w:p>
        </w:tc>
        <w:tc>
          <w:tcPr>
            <w:tcW w:type="dxa" w:w="32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Subjects</w:t>
            </w:r>
          </w:p>
        </w:tc>
        <w:tc>
          <w:tcPr>
            <w:tcW w:type="dxa" w:w="34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group_label carries</w:t>
            </w:r>
          </w:p>
        </w:tc>
      </w:tr>
      <w:tr>
        <w:tc>
          <w:tcPr>
            <w:tcW w:type="dxa" w:w="24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Skill-grouped</w:t>
            </w:r>
          </w:p>
        </w:tc>
        <w:tc>
          <w:tcPr>
            <w:tcW w:type="dxa" w:w="3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English; Nepali</w:t>
            </w:r>
          </w:p>
        </w:tc>
        <w:tc>
          <w:tcPr>
            <w:tcW w:type="dxa" w:w="34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English: L / S / R / W. Nepali: सुनाइ / बोलाइ / पढाइ / लेखाइ.</w:t>
            </w:r>
          </w:p>
        </w:tc>
      </w:tr>
      <w:tr>
        <w:tc>
          <w:tcPr>
            <w:tcW w:type="dxa" w:w="24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Content-grouped</w:t>
            </w:r>
          </w:p>
        </w:tc>
        <w:tc>
          <w:tcPr>
            <w:tcW w:type="dxa" w:w="3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Maths; Social Studies</w:t>
            </w:r>
          </w:p>
        </w:tc>
        <w:tc>
          <w:tcPr>
            <w:tcW w:type="dxa" w:w="34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विषयवस्तु rows (content topics).</w:t>
            </w:r>
          </w:p>
        </w:tc>
      </w:tr>
      <w:tr>
        <w:tc>
          <w:tcPr>
            <w:tcW w:type="dxa" w:w="24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Flat — no grouping</w:t>
            </w:r>
          </w:p>
        </w:tc>
        <w:tc>
          <w:tcPr>
            <w:tcW w:type="dxa" w:w="3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Science (decimal-coded); Health/PE; Creative Arts</w:t>
            </w:r>
          </w:p>
        </w:tc>
        <w:tc>
          <w:tcPr>
            <w:tcW w:type="dxa" w:w="34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NULL — the column is absent from the rendered form.</w:t>
            </w:r>
          </w:p>
        </w:tc>
      </w:tr>
    </w:tbl>
    <w:p>
      <w:pPr>
        <w:spacing w:after="60"/>
      </w:pPr>
      <w:r>
        <w:rPr>
          <w:color w:val="1F2328"/>
        </w:rPr>
        <w:t xml:space="preserve"/>
      </w:r>
    </w:p>
    <w:p>
      <w:pPr>
        <w:pStyle w:val="Heading2"/>
        <w:spacing w:after="120" w:before="240"/>
      </w:pPr>
      <w:r>
        <w:rPr>
          <w:b/>
          <w:bCs/>
          <w:color w:val="1F2328"/>
        </w:rPr>
        <w:t xml:space="preserve">6.4  Assessment areas, not units</w:t>
      </w:r>
    </w:p>
    <w:p>
      <w:pPr>
        <w:spacing w:after="140" w:line="276"/>
      </w:pPr>
      <w:r>
        <w:rPr>
          <w:color w:val="1F2328"/>
        </w:rPr>
        <w:t xml:space="preserve">“Unit” is English-subject-specific; the universal container is the </w:t>
      </w:r>
      <w:r>
        <w:rPr>
          <w:b/>
          <w:bCs/>
          <w:color w:val="1F2328"/>
        </w:rPr>
        <w:t xml:space="preserve">assessment area</w:t>
      </w:r>
      <w:r>
        <w:rPr>
          <w:color w:val="1F2328"/>
        </w:rPr>
        <w:t xml:space="preserve">. The table is assessment_areas, not units, with a subject-configured display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Subject</w:t>
            </w:r>
          </w:p>
        </w:tc>
        <w:tc>
          <w:tcPr>
            <w:tcW w:type="dxa" w:w="32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Area container label</w:t>
            </w:r>
          </w:p>
        </w:tc>
        <w:tc>
          <w:tcPr>
            <w:tcW w:type="dxa" w:w="34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Example</w:t>
            </w:r>
          </w:p>
        </w:tc>
      </w:tr>
      <w:tr>
        <w:tc>
          <w:tcPr>
            <w:tcW w:type="dxa" w:w="24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English</w:t>
            </w:r>
          </w:p>
        </w:tc>
        <w:tc>
          <w:tcPr>
            <w:tcW w:type="dxa" w:w="3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Language function / Unit</w:t>
            </w:r>
          </w:p>
        </w:tc>
        <w:tc>
          <w:tcPr>
            <w:tcW w:type="dxa" w:w="34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Unit 1, Unit 6</w:t>
            </w:r>
          </w:p>
        </w:tc>
      </w:tr>
      <w:tr>
        <w:tc>
          <w:tcPr>
            <w:tcW w:type="dxa" w:w="24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Nepali</w:t>
            </w:r>
          </w:p>
        </w:tc>
        <w:tc>
          <w:tcPr>
            <w:tcW w:type="dxa" w:w="3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Genre</w:t>
            </w:r>
          </w:p>
        </w:tc>
        <w:tc>
          <w:tcPr>
            <w:tcW w:type="dxa" w:w="34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कविता</w:t>
            </w:r>
          </w:p>
        </w:tc>
      </w:tr>
      <w:tr>
        <w:tc>
          <w:tcPr>
            <w:tcW w:type="dxa" w:w="24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Maths</w:t>
            </w:r>
          </w:p>
        </w:tc>
        <w:tc>
          <w:tcPr>
            <w:tcW w:type="dxa" w:w="3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विषयक्षेत्र</w:t>
            </w:r>
          </w:p>
        </w:tc>
        <w:tc>
          <w:tcPr>
            <w:tcW w:type="dxa" w:w="34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ज्यामिति</w:t>
            </w:r>
          </w:p>
        </w:tc>
      </w:tr>
    </w:tbl>
    <w:p>
      <w:pPr>
        <w:spacing w:after="60"/>
      </w:pPr>
      <w:r>
        <w:rPr>
          <w:color w:val="1F2328"/>
        </w:rPr>
        <w:t xml:space="preserve"/>
      </w:r>
    </w:p>
    <w:p>
      <w:pPr>
        <w:pStyle w:val="Heading2"/>
        <w:spacing w:after="120" w:before="240"/>
      </w:pPr>
      <w:r>
        <w:rPr>
          <w:b/>
          <w:bCs/>
          <w:color w:val="1F2328"/>
        </w:rPr>
        <w:t xml:space="preserve">6.5  Indicator counts and denominators</w:t>
      </w:r>
    </w:p>
    <w:p>
      <w:pPr>
        <w:spacing w:after="140" w:line="276"/>
      </w:pPr>
      <w:r>
        <w:rPr>
          <w:color w:val="1F2328"/>
        </w:rPr>
        <w:t xml:space="preserve">Indicator count varies per area (English Unit 1 has 7; Unit 6 has 4). The area denominator is </w:t>
      </w:r>
      <w:r>
        <w:rPr>
          <w:b/>
          <w:bCs/>
          <w:color w:val="1F2328"/>
        </w:rPr>
        <w:t xml:space="preserve">4 × N, computed — never hardcoded</w:t>
      </w:r>
      <w:r>
        <w:rPr>
          <w:color w:val="1F2328"/>
        </w:rPr>
        <w:t xml:space="preserve"> — with N read from the annex per area (invariant I6).</w:t>
      </w:r>
    </w:p>
    <w:p>
      <w:pPr>
        <w:pStyle w:val="Heading2"/>
        <w:spacing w:after="120" w:before="240"/>
      </w:pPr>
      <w:r>
        <w:rPr>
          <w:b/>
          <w:bCs/>
          <w:color w:val="1F2328"/>
        </w:rPr>
        <w:t xml:space="preserve">6.6  Provenance and append-only recording</w:t>
      </w:r>
    </w:p>
    <w:p>
      <w:pPr>
        <w:pStyle w:val="ListParagraph"/>
        <w:numPr>
          <w:ilvl w:val="0"/>
          <w:numId w:val="2"/>
        </w:numPr>
        <w:spacing w:after="90" w:line="276"/>
      </w:pPr>
      <w:r>
        <w:rPr>
          <w:b/>
          <w:bCs/>
          <w:color w:val="1F2328"/>
        </w:rPr>
        <w:t xml:space="preserve">capture_mode is a property of the task, not the teacher's choice</w:t>
      </w:r>
      <w:r>
        <w:rPr>
          <w:color w:val="1F2328"/>
        </w:rPr>
        <w:t xml:space="preserve">, and is stamped on every rating for auditable provenance (e.g. whole_class_response).</w:t>
      </w:r>
    </w:p>
    <w:p>
      <w:pPr>
        <w:pStyle w:val="ListParagraph"/>
        <w:numPr>
          <w:ilvl w:val="0"/>
          <w:numId w:val="2"/>
        </w:numPr>
        <w:spacing w:after="90" w:line="276"/>
      </w:pPr>
      <w:r>
        <w:rPr>
          <w:color w:val="1F2328"/>
        </w:rPr>
        <w:t xml:space="preserve">Ratings are append-only per stage: a correction is a new row, never an UPDATE (invariant I7). The record must always show what was believed, when.</w:t>
      </w:r>
    </w:p>
    <w:p>
      <w:pPr>
        <w:pStyle w:val="Heading2"/>
        <w:spacing w:after="120" w:before="240"/>
      </w:pPr>
      <w:r>
        <w:rPr>
          <w:b/>
          <w:bCs/>
          <w:color w:val="1F2328"/>
        </w:rPr>
        <w:t xml:space="preserve">6.7  Crosswalk</w:t>
      </w:r>
    </w:p>
    <w:p>
      <w:pPr>
        <w:spacing w:after="140" w:line="276"/>
      </w:pPr>
      <w:r>
        <w:rPr>
          <w:color w:val="1F2328"/>
        </w:rPr>
        <w:t xml:space="preserve">The book crosswalk maps </w:t>
      </w:r>
      <w:r>
        <w:rPr>
          <w:b/>
          <w:bCs/>
          <w:color w:val="1F2328"/>
        </w:rPr>
        <w:t xml:space="preserve">book_chapter → assessment area</w:t>
      </w:r>
      <w:r>
        <w:rPr>
          <w:color w:val="1F2328"/>
        </w:rPr>
        <w:t xml:space="preserve"> — not chapter → many outcomes. Simpler than v1.0 assumed, and still book-optional: the assessment engine runs fully without the publisher's books; the crosswalk is the accelerant, not a dependency.</w:t>
      </w:r>
    </w:p>
    <w:p>
      <w:pPr>
        <w:pStyle w:val="Heading2"/>
        <w:spacing w:after="120" w:before="240"/>
      </w:pPr>
      <w:r>
        <w:rPr>
          <w:b/>
          <w:bCs/>
          <w:color w:val="1F2328"/>
        </w:rPr>
        <w:t xml:space="preserve">6.8  What actually differs per grade</w:t>
      </w:r>
    </w:p>
    <w:p>
      <w:pPr>
        <w:spacing w:after="140" w:line="276"/>
      </w:pPr>
      <w:r>
        <w:rPr>
          <w:color w:val="1F2328"/>
        </w:rPr>
        <w:t xml:space="preserve">Only two things: the letter-grade mapping applied at the end of the aggregation chain, and the subject structure (which areas exist, their indicator sets, their grouping shape). The engine, scale, forms, remedial ladder, and portfolio logic are shared.</w:t>
      </w:r>
    </w:p>
    <w:p>
      <w:pPr>
        <w:pStyle w:val="Heading2"/>
        <w:spacing w:after="120" w:before="240"/>
      </w:pPr>
      <w:r>
        <w:rPr>
          <w:b/>
          <w:bCs/>
          <w:color w:val="1F2328"/>
        </w:rPr>
        <w:t xml:space="preserve">6.9  Grades 1–3 caveat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A5A00" w:sz="12"/>
              <w:left w:val="single" w:color="C7D2D6" w:sz="4"/>
              <w:bottom w:val="single" w:color="C7D2D6" w:sz="4"/>
              <w:right w:val="single" w:color="C7D2D6" w:sz="4"/>
            </w:tcBorders>
            <w:shd w:fill="FBF3E4" w:val="clear"/>
            <w:tcMar>
              <w:top w:type="dxa" w:w="160"/>
              <w:left w:type="dxa" w:w="200"/>
              <w:bottom w:type="dxa" w:w="100"/>
              <w:right w:type="dxa" w:w="200"/>
            </w:tcMar>
          </w:tcPr>
          <w:p>
            <w:pPr>
              <w:spacing w:after="100"/>
            </w:pPr>
            <w:r>
              <w:rPr>
                <w:b/>
                <w:bCs/>
                <w:color w:val="8A5A00"/>
              </w:rPr>
              <w:t xml:space="preserve">Verify before speccing G1–3 forms</w:t>
            </w:r>
          </w:p>
          <w:p>
            <w:pPr>
              <w:spacing w:after="0"/>
            </w:pPr>
            <w:r>
              <w:rPr>
                <w:color w:val="1F2328"/>
              </w:rPr>
              <w:t xml:space="preserve">Guideline 2083's annexes cover Grades 4–5. Grades 1–3 assessment structure rests on the </w:t>
            </w:r>
            <w:r>
              <w:rPr>
                <w:b/>
                <w:bCs/>
                <w:color w:val="1F2328"/>
              </w:rPr>
              <w:t xml:space="preserve">CDC Basic Level Curriculum 2076</w:t>
            </w:r>
            <w:r>
              <w:rPr>
                <w:color w:val="1F2328"/>
              </w:rPr>
              <w:t xml:space="preserve">, whose annex equivalent has not yet been read in-session. The shared-engine finding is expected to hold but must be verified against the 2076 source before any G1–3 assessment form is specced. Primary-source verification precedes architecture — the standing lesson of this project.</w:t>
            </w:r>
          </w:p>
        </w:tc>
      </w:tr>
    </w:tbl>
    <w:p>
      <w:r>
        <w:br w:type="page"/>
      </w:r>
    </w:p>
    <w:p>
      <w:pPr>
        <w:pStyle w:val="Heading1"/>
        <w:spacing w:after="160" w:before="340"/>
      </w:pPr>
      <w:r>
        <w:rPr>
          <w:b/>
          <w:bCs/>
          <w:color w:val="0F4C5C"/>
        </w:rPr>
        <w:t xml:space="preserve">7.  The nine invariants (I1–I9)</w:t>
      </w:r>
    </w:p>
    <w:p>
      <w:pPr>
        <w:spacing w:after="140" w:line="276"/>
      </w:pPr>
      <w:r>
        <w:rPr>
          <w:color w:val="1F2328"/>
        </w:rPr>
        <w:t xml:space="preserve">Invariants are rules the engine must never violate, restated in every freelancer-facing document so they are never rediscovered independently.</w:t>
      </w:r>
    </w:p>
    <w:p>
      <w:pPr>
        <w:pStyle w:val="Heading2"/>
        <w:spacing w:after="120" w:before="240"/>
      </w:pPr>
      <w:r>
        <w:rPr>
          <w:b/>
          <w:bCs/>
          <w:color w:val="1F2328"/>
        </w:rPr>
        <w:t xml:space="preserve">Standing invariants carried forward (I1–I5)</w:t>
      </w:r>
    </w:p>
    <w:p>
      <w:pPr>
        <w:spacing w:after="140" w:line="276"/>
      </w:pPr>
      <w:r>
        <w:rPr>
          <w:color w:val="1F2328"/>
        </w:rPr>
        <w:t xml:space="preserve">The principles below are confirmed; the </w:t>
      </w:r>
      <w:r>
        <w:rPr>
          <w:b/>
          <w:bCs/>
          <w:color w:val="8A5A00"/>
        </w:rPr>
        <w:t xml:space="preserve">exact I1–I5 numbering must be verified against v3.2 before external handoff</w:t>
      </w:r>
      <w:r>
        <w:rPr>
          <w:color w:val="1F2328"/>
        </w:rPr>
        <w:t xml:space="preserve">:</w:t>
      </w:r>
    </w:p>
    <w:p>
      <w:pPr>
        <w:pStyle w:val="ListParagraph"/>
        <w:numPr>
          <w:ilvl w:val="0"/>
          <w:numId w:val="2"/>
        </w:numPr>
        <w:spacing w:after="90" w:line="276"/>
      </w:pPr>
      <w:r>
        <w:rPr>
          <w:color w:val="1F2328"/>
        </w:rPr>
        <w:t xml:space="preserve">The indicator is the assessable atom; ratings never attach to §3 outcomes or areas.</w:t>
      </w:r>
    </w:p>
    <w:p>
      <w:pPr>
        <w:pStyle w:val="ListParagraph"/>
        <w:numPr>
          <w:ilvl w:val="0"/>
          <w:numId w:val="2"/>
        </w:numPr>
        <w:spacing w:after="90" w:line="276"/>
      </w:pPr>
      <w:r>
        <w:rPr>
          <w:color w:val="1F2328"/>
        </w:rPr>
        <w:t xml:space="preserve">The engine's internal scale is 1–4 per Guideline 2083, everywhere (see §8).</w:t>
      </w:r>
    </w:p>
    <w:p>
      <w:pPr>
        <w:pStyle w:val="ListParagraph"/>
        <w:numPr>
          <w:ilvl w:val="0"/>
          <w:numId w:val="2"/>
        </w:numPr>
        <w:spacing w:after="90" w:line="276"/>
      </w:pPr>
      <w:r>
        <w:rPr>
          <w:color w:val="1F2328"/>
        </w:rPr>
        <w:t xml:space="preserve">Grouping is a nullable, subject-configured group_label — never a skill enum.</w:t>
      </w:r>
    </w:p>
    <w:p>
      <w:pPr>
        <w:pStyle w:val="ListParagraph"/>
        <w:numPr>
          <w:ilvl w:val="0"/>
          <w:numId w:val="2"/>
        </w:numPr>
        <w:spacing w:after="90" w:line="276"/>
      </w:pPr>
      <w:r>
        <w:rPr>
          <w:color w:val="1F2328"/>
        </w:rPr>
        <w:t xml:space="preserve">Identical indicator text across grades is stored as separate rows keyed by level_id — never deduplicated on statement text.</w:t>
      </w:r>
    </w:p>
    <w:p>
      <w:pPr>
        <w:pStyle w:val="ListParagraph"/>
        <w:numPr>
          <w:ilvl w:val="0"/>
          <w:numId w:val="2"/>
        </w:numPr>
        <w:spacing w:after="90" w:line="276"/>
      </w:pPr>
      <w:r>
        <w:rPr>
          <w:color w:val="1F2328"/>
        </w:rPr>
        <w:t xml:space="preserve">The universal two-stage form skeleton is canonical for all six subjects; both stages are dated.</w:t>
      </w:r>
    </w:p>
    <w:p>
      <w:pPr>
        <w:pStyle w:val="Heading2"/>
        <w:spacing w:after="120" w:before="240"/>
      </w:pPr>
      <w:r>
        <w:rPr>
          <w:b/>
          <w:bCs/>
          <w:color w:val="1F2328"/>
        </w:rPr>
        <w:t xml:space="preserve">New invariants, confirmed this cycle (I6–I9)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ID</w:t>
            </w:r>
          </w:p>
        </w:tc>
        <w:tc>
          <w:tcPr>
            <w:tcW w:type="dxa" w:w="80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Invariant</w:t>
            </w:r>
          </w:p>
        </w:tc>
      </w:tr>
      <w:tr>
        <w:tc>
          <w:tcPr>
            <w:tcW w:type="dxa" w:w="10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I6</w:t>
            </w:r>
          </w:p>
        </w:tc>
        <w:tc>
          <w:tcPr>
            <w:tcW w:type="dxa" w:w="80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Indicator count is read from the annex per area — never hardcoded.</w:t>
            </w:r>
          </w:p>
        </w:tc>
      </w:tr>
      <w:tr>
        <w:tc>
          <w:tcPr>
            <w:tcW w:type="dxa" w:w="10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I7</w:t>
            </w:r>
          </w:p>
        </w:tc>
        <w:tc>
          <w:tcPr>
            <w:tcW w:type="dxa" w:w="80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Ratings are append-only per stage; a correction is a new row, not an UPDATE.</w:t>
            </w:r>
          </w:p>
        </w:tc>
      </w:tr>
      <w:tr>
        <w:tc>
          <w:tcPr>
            <w:tcW w:type="dxa" w:w="10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I8</w:t>
            </w:r>
          </w:p>
        </w:tc>
        <w:tc>
          <w:tcPr>
            <w:tcW w:type="dxa" w:w="80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Area achievement is computed, never stored. It returns `withheld` with the missing indicators named unless every indicator in the area is rated — no surface may render a partial percentage.</w:t>
            </w:r>
          </w:p>
        </w:tc>
      </w:tr>
      <w:tr>
        <w:tc>
          <w:tcPr>
            <w:tcW w:type="dxa" w:w="10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I9</w:t>
            </w:r>
          </w:p>
        </w:tc>
        <w:tc>
          <w:tcPr>
            <w:tcW w:type="dxa" w:w="80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The crosswalk maps book chapter → assessment area.</w:t>
            </w:r>
          </w:p>
        </w:tc>
      </w:tr>
    </w:tbl>
    <w:p>
      <w:pPr>
        <w:spacing w:after="60"/>
      </w:pPr>
      <w:r>
        <w:rPr>
          <w:color w:val="1F2328"/>
        </w:rPr>
        <w:t xml:space="preserve"/>
      </w:r>
    </w:p>
    <w:p>
      <w:pPr>
        <w:spacing w:after="140" w:line="276"/>
      </w:pPr>
      <w:r>
        <w:rPr>
          <w:b/>
          <w:bCs/>
          <w:color w:val="1F2328"/>
        </w:rPr>
        <w:t xml:space="preserve">On I8: </w:t>
      </w:r>
      <w:r>
        <w:rPr>
          <w:color w:val="1F2328"/>
        </w:rPr>
        <w:t xml:space="preserve">Guideline 2083's own sequencing requires all indicators rated before an area percentage is derived. Displaying a partial percentage misrepresents the assessment — `withheld` with named gaps is the only honest partial state, on every surface including WhatsApp digests, web sweeps, parent reports, and admin dashboards.</w:t>
      </w:r>
    </w:p>
    <w:p>
      <w:pPr>
        <w:pStyle w:val="Heading1"/>
        <w:spacing w:after="160" w:before="340"/>
      </w:pPr>
      <w:r>
        <w:rPr>
          <w:b/>
          <w:bCs/>
          <w:color w:val="0F4C5C"/>
        </w:rPr>
        <w:t xml:space="preserve">8.  The scale contradiction — read before touching the rating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A5A00" w:sz="12"/>
              <w:left w:val="single" w:color="C7D2D6" w:sz="4"/>
              <w:bottom w:val="single" w:color="C7D2D6" w:sz="4"/>
              <w:right w:val="single" w:color="C7D2D6" w:sz="4"/>
            </w:tcBorders>
            <w:shd w:fill="FBF3E4" w:val="clear"/>
            <w:tcMar>
              <w:top w:type="dxa" w:w="160"/>
              <w:left w:type="dxa" w:w="200"/>
              <w:bottom w:type="dxa" w:w="100"/>
              <w:right w:type="dxa" w:w="200"/>
            </w:tcMar>
          </w:tcPr>
          <w:p>
            <w:pPr>
              <w:spacing w:after="100"/>
            </w:pPr>
            <w:r>
              <w:rPr>
                <w:b/>
                <w:bCs/>
                <w:color w:val="8A5A00"/>
              </w:rPr>
              <w:t xml:space="preserve">Freelancer-facing statement — do not rediscover this</w:t>
            </w:r>
          </w:p>
          <w:p>
            <w:pPr>
              <w:spacing w:after="140" w:line="276"/>
            </w:pPr>
            <w:r>
              <w:rPr>
                <w:color w:val="1F2328"/>
              </w:rPr>
              <w:t xml:space="preserve">The 2021 English subject curriculum defines a 1–5 internal rating scale. Student Assessment Guideline 2083 defines 1–4. These two government documents genuinely contradict each other — you did not misread either one.</w:t>
            </w:r>
          </w:p>
          <w:p>
            <w:pPr>
              <w:spacing w:after="0"/>
            </w:pPr>
            <w:r>
              <w:rPr>
                <w:b/>
                <w:bCs/>
                <w:color w:val="1F2328"/>
              </w:rPr>
              <w:t xml:space="preserve">Resolution, decided and final: the Guideline supersedes. The engine follows the 1–4 scale everywhere</w:t>
            </w:r>
            <w:r>
              <w:rPr>
                <w:color w:val="1F2328"/>
              </w:rPr>
              <w:t xml:space="preserve"> — capture forms, storage, aggregation denominators (4 × N), and every rendered surface. If you encounter the 1–5 scale in the English curriculum PDF during extraction or implementation, it is expected, known, and overruled. Do not raise it as a discrepancy, do not build a mapping layer, and do not “fix” any spec to 1–5.</w:t>
            </w:r>
          </w:p>
        </w:tc>
      </w:tr>
    </w:tbl>
    <w:p>
      <w:pPr>
        <w:spacing w:after="60"/>
      </w:pPr>
      <w:r>
        <w:rPr>
          <w:color w:val="1F2328"/>
        </w:rPr>
        <w:t xml:space="preserve"/>
      </w:r>
    </w:p>
    <w:p>
      <w:pPr>
        <w:pStyle w:val="Heading1"/>
        <w:spacing w:after="160" w:before="340"/>
      </w:pPr>
      <w:r>
        <w:rPr>
          <w:b/>
          <w:bCs/>
          <w:color w:val="0F4C5C"/>
        </w:rPr>
        <w:t xml:space="preserve">9.  Assessment Pack dual-render rule (standing design rule)</w:t>
      </w:r>
    </w:p>
    <w:p>
      <w:pPr>
        <w:spacing w:after="140" w:line="276"/>
      </w:pPr>
      <w:r>
        <w:rPr>
          <w:color w:val="1F2328"/>
        </w:rPr>
        <w:t xml:space="preserve">The assessment pack must render to </w:t>
      </w:r>
      <w:r>
        <w:rPr>
          <w:b/>
          <w:bCs/>
          <w:color w:val="1F2328"/>
        </w:rPr>
        <w:t xml:space="preserve">two targets from one generation</w:t>
      </w:r>
      <w:r>
        <w:rPr>
          <w:color w:val="1F2328"/>
        </w:rPr>
        <w:t xml:space="preserve">:</w:t>
      </w:r>
    </w:p>
    <w:p>
      <w:pPr>
        <w:pStyle w:val="ListParagraph"/>
        <w:numPr>
          <w:ilvl w:val="0"/>
          <w:numId w:val="3"/>
        </w:numPr>
        <w:spacing w:after="90" w:line="276"/>
      </w:pPr>
      <w:r>
        <w:rPr>
          <w:b/>
          <w:bCs/>
          <w:color w:val="1F2328"/>
        </w:rPr>
        <w:t xml:space="preserve">Full interactive pack on the web teacher site</w:t>
      </w:r>
      <w:r>
        <w:rPr>
          <w:color w:val="1F2328"/>
        </w:rPr>
        <w:t xml:space="preserve"> — the review/sweep surface, per the thin-channel rule.</w:t>
      </w:r>
    </w:p>
    <w:p>
      <w:pPr>
        <w:pStyle w:val="ListParagraph"/>
        <w:numPr>
          <w:ilvl w:val="0"/>
          <w:numId w:val="3"/>
        </w:numPr>
        <w:spacing w:after="90" w:line="276"/>
      </w:pPr>
      <w:r>
        <w:rPr>
          <w:b/>
          <w:bCs/>
          <w:color w:val="1F2328"/>
        </w:rPr>
        <w:t xml:space="preserve">Self-contained WhatsApp notification + PDF digest</w:t>
      </w:r>
      <w:r>
        <w:rPr>
          <w:color w:val="1F2328"/>
        </w:rPr>
        <w:t xml:space="preserve"> that is genuinely usable on its own — this month's active milestones, starter activities, and bands. Never a teaser requiring the teacher to open the web.</w:t>
      </w:r>
    </w:p>
    <w:p>
      <w:pPr>
        <w:spacing w:after="140" w:line="276"/>
      </w:pPr>
      <w:r>
        <w:rPr>
          <w:color w:val="1F2328"/>
        </w:rPr>
        <w:t xml:space="preserve">WhatsApp = guaranteed delivery, awareness, and a portable copy; web = the interactive roadmap. </w:t>
      </w:r>
      <w:r>
        <w:rPr>
          <w:b/>
          <w:bCs/>
          <w:color w:val="1F2328"/>
        </w:rPr>
        <w:t xml:space="preserve">A teacher who never opens the web link must still be able to assess from the WhatsApp digest alone.</w:t>
      </w:r>
      <w:r>
        <w:rPr>
          <w:color w:val="1F2328"/>
        </w:rPr>
        <w:t xml:space="preserve"> This is not a convenience choice — it is the delivery-certainty guarantee applied to the teacher side. The rule binds Assessment Pack Spec v1.1 and every future pack-shaped feature.</w:t>
      </w:r>
    </w:p>
    <w:p>
      <w:pPr>
        <w:pStyle w:val="Heading1"/>
        <w:spacing w:after="160" w:before="340"/>
      </w:pPr>
      <w:r>
        <w:rPr>
          <w:b/>
          <w:bCs/>
          <w:color w:val="0F4C5C"/>
        </w:rPr>
        <w:t xml:space="preserve">10.  Language rule (standing)</w:t>
      </w:r>
    </w:p>
    <w:p>
      <w:pPr>
        <w:pStyle w:val="ListParagraph"/>
        <w:numPr>
          <w:ilvl w:val="0"/>
          <w:numId w:val="2"/>
        </w:numPr>
        <w:spacing w:after="90" w:line="276"/>
      </w:pPr>
      <w:r>
        <w:rPr>
          <w:color w:val="1F2328"/>
        </w:rPr>
        <w:t xml:space="preserve">Reports default to English.</w:t>
      </w:r>
    </w:p>
    <w:p>
      <w:pPr>
        <w:pStyle w:val="ListParagraph"/>
        <w:numPr>
          <w:ilvl w:val="0"/>
          <w:numId w:val="2"/>
        </w:numPr>
        <w:spacing w:after="90" w:line="276"/>
      </w:pPr>
      <w:r>
        <w:rPr>
          <w:color w:val="1F2328"/>
        </w:rPr>
        <w:t xml:space="preserve">The </w:t>
      </w:r>
      <w:r>
        <w:rPr>
          <w:b/>
          <w:bCs/>
          <w:color w:val="1F2328"/>
        </w:rPr>
        <w:t xml:space="preserve">नेपाली</w:t>
      </w:r>
      <w:r>
        <w:rPr>
          <w:color w:val="1F2328"/>
        </w:rPr>
        <w:t xml:space="preserve"> and </w:t>
      </w:r>
      <w:r>
        <w:rPr>
          <w:b/>
          <w:bCs/>
          <w:color w:val="1F2328"/>
        </w:rPr>
        <w:t xml:space="preserve">हाम्रो सेरोफेरो</w:t>
      </w:r>
      <w:r>
        <w:rPr>
          <w:color w:val="1F2328"/>
        </w:rPr>
        <w:t xml:space="preserve"> subjects are rendered in Nepali only.</w:t>
      </w:r>
    </w:p>
    <w:p>
      <w:pPr>
        <w:pStyle w:val="ListParagraph"/>
        <w:numPr>
          <w:ilvl w:val="0"/>
          <w:numId w:val="2"/>
        </w:numPr>
        <w:spacing w:after="90" w:line="276"/>
      </w:pPr>
      <w:r>
        <w:rPr>
          <w:color w:val="1F2328"/>
        </w:rPr>
        <w:t xml:space="preserve">Full-Nepali rendering is available on school or parent request.</w:t>
      </w:r>
    </w:p>
    <w:p>
      <w:pPr>
        <w:pStyle w:val="ListParagraph"/>
        <w:numPr>
          <w:ilvl w:val="0"/>
          <w:numId w:val="2"/>
        </w:numPr>
        <w:spacing w:after="90" w:line="276"/>
      </w:pPr>
      <w:r>
        <w:rPr>
          <w:color w:val="1F2328"/>
        </w:rPr>
        <w:t xml:space="preserve">Audio reports are </w:t>
      </w:r>
      <w:r>
        <w:rPr>
          <w:b/>
          <w:bCs/>
          <w:color w:val="1F2328"/>
        </w:rPr>
        <w:t xml:space="preserve">always in Nepali</w:t>
      </w:r>
      <w:r>
        <w:rPr>
          <w:color w:val="1F2328"/>
        </w:rPr>
        <w:t xml:space="preserve">.</w:t>
      </w:r>
    </w:p>
    <w:p>
      <w:pPr>
        <w:pStyle w:val="Heading1"/>
        <w:spacing w:after="160" w:before="340"/>
      </w:pPr>
      <w:r>
        <w:rPr>
          <w:b/>
          <w:bCs/>
          <w:color w:val="0F4C5C"/>
        </w:rPr>
        <w:t xml:space="preserve">11.  The band descriptor bank — the moat</w:t>
      </w:r>
    </w:p>
    <w:p>
      <w:pPr>
        <w:spacing w:after="140" w:line="276"/>
      </w:pPr>
      <w:r>
        <w:rPr>
          <w:color w:val="1F2328"/>
        </w:rPr>
        <w:t xml:space="preserve">~3,840 authored entries across six subjects and two grades (4–5) for the Grades 4–5 engine, plus the ~138-entry pre-primary bank (§5.6). This is </w:t>
      </w:r>
      <w:r>
        <w:rPr>
          <w:b/>
          <w:bCs/>
          <w:color w:val="1F2328"/>
        </w:rPr>
        <w:t xml:space="preserve">authored judgment requiring trainer/ECE review, not transcription</w:t>
      </w:r>
      <w:r>
        <w:rPr>
          <w:color w:val="1F2328"/>
        </w:rPr>
        <w:t xml:space="preserve"> — and it is the platform's real moat. Generation capability is commoditising; the defensible assets are the descriptor bank, the auditable observation capture layer, the longitudinal child record, and school-owned data.</w:t>
      </w:r>
    </w:p>
    <w:p>
      <w:pPr>
        <w:spacing w:after="140" w:line="276"/>
      </w:pPr>
      <w:r>
        <w:rPr>
          <w:b/>
          <w:bCs/>
          <w:color w:val="1F2328"/>
        </w:rPr>
        <w:t xml:space="preserve">Pilot sequencing: </w:t>
      </w:r>
      <w:r>
        <w:rPr>
          <w:color w:val="1F2328"/>
        </w:rPr>
        <w:t xml:space="preserve">Grade 4 English is the first full pilot subject for the descriptor bank — one subject proven end-to-end before the remaining five are authored at scale.</w:t>
      </w:r>
    </w:p>
    <w:p>
      <w:pPr>
        <w:pStyle w:val="Heading1"/>
        <w:spacing w:after="160" w:before="340"/>
      </w:pPr>
      <w:r>
        <w:rPr>
          <w:b/>
          <w:bCs/>
          <w:color w:val="0F4C5C"/>
        </w:rPr>
        <w:t xml:space="preserve">12.  Data-layer deltas for the freelancer</w:t>
      </w:r>
    </w:p>
    <w:p>
      <w:pPr>
        <w:spacing w:after="140" w:line="276"/>
      </w:pPr>
      <w:r>
        <w:rPr>
          <w:color w:val="1F2328"/>
        </w:rPr>
        <w:t xml:space="preserve">Schema consequences of §§5–7, to be folded into System Architecture Document v1.1. These supersede any conflicting shapes in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Object</w:t>
            </w:r>
          </w:p>
        </w:tc>
        <w:tc>
          <w:tcPr>
            <w:tcW w:type="dxa" w:w="59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Required shape</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assessment_areas</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Replaces `units`. Columns include subject-configured display label, grouping shape, default_sequence (CDC's own area order), and per-area indicator count sourced from the annex (I6).</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indicators</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Keyed by level_id + area. Identical statement text across grades = separate rows per level_id (never deduplicate on text), or two grades' histories silently merge.</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ratings</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Append-only rows: indicator_id, stage (regular / additional-support), date, rating 1–4, capture_mode (stamped from the task), author. Corrections are new rows (I7).</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area achievement</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Computed, never stored. Returns `withheld` + named missing indicators unless every indicator in the area is rated (I8). No surface renders a partial percentage.</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crosswalk</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book_chapter → assessment_area (I9). Book-optional: the engine runs without it.</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curriculum_areas / rollup_domains</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Pre-primary: 11 areas as system of record, 6 parent-facing domains as data-driven rollup. Areas and domains are rows, not code.</w:t>
            </w:r>
          </w:p>
        </w:tc>
      </w:tr>
      <w:tr>
        <w:tc>
          <w:tcPr>
            <w:tcW w:type="dxa" w:w="31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group_label</w:t>
            </w:r>
          </w:p>
        </w:tc>
        <w:tc>
          <w:tcPr>
            <w:tcW w:type="dxa" w:w="59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Nullable, subject-configured. Never an enum.</w:t>
            </w:r>
          </w:p>
        </w:tc>
      </w:tr>
    </w:tbl>
    <w:p>
      <w:pPr>
        <w:spacing w:after="60"/>
      </w:pPr>
      <w:r>
        <w:rPr>
          <w:color w:val="1F2328"/>
        </w:rPr>
        <w:t xml:space="preserve"/>
      </w:r>
    </w:p>
    <w:p>
      <w:pPr>
        <w:pStyle w:val="Heading1"/>
        <w:spacing w:after="160" w:before="340"/>
      </w:pPr>
      <w:r>
        <w:rPr>
          <w:b/>
          <w:bCs/>
          <w:color w:val="0F4C5C"/>
        </w:rPr>
        <w:t xml:space="preserve">13.  Extraction brief — अनुसूची ३(क–च) gotchas</w:t>
      </w:r>
    </w:p>
    <w:p>
      <w:pPr>
        <w:spacing w:after="140" w:line="276"/>
      </w:pPr>
      <w:r>
        <w:rPr>
          <w:color w:val="1F2328"/>
        </w:rPr>
        <w:t xml:space="preserve">Scope: 6 subjects × ~16 areas × Grades 4–5, plus the अनुसूची ४ report format. Three gotchas, each discovered the hard way — build them into the transcription workflow:</w:t>
      </w:r>
    </w:p>
    <w:p>
      <w:pPr>
        <w:pStyle w:val="ListParagraph"/>
        <w:numPr>
          <w:ilvl w:val="0"/>
          <w:numId w:val="4"/>
        </w:numPr>
        <w:spacing w:after="90" w:line="276"/>
      </w:pPr>
      <w:r>
        <w:rPr>
          <w:b/>
          <w:bCs/>
          <w:color w:val="1F2328"/>
        </w:rPr>
        <w:t xml:space="preserve">The source PDF is mixed-encoded.</w:t>
      </w:r>
      <w:r>
        <w:rPr>
          <w:color w:val="1F2328"/>
        </w:rPr>
        <w:t xml:space="preserve"> Unicode Devanagari in some cells, Preeti bytes in others — “cª\sg” leaks where अङ्कन belongs. Every extracted cell must be </w:t>
      </w:r>
      <w:r>
        <w:rPr>
          <w:b/>
          <w:bCs/>
          <w:color w:val="1F2328"/>
        </w:rPr>
        <w:t xml:space="preserve">visually verified</w:t>
      </w:r>
      <w:r>
        <w:rPr>
          <w:color w:val="1F2328"/>
        </w:rPr>
        <w:t xml:space="preserve"> (rasterise the page and read it); pdftotext output must never be trusted on its own.</w:t>
      </w:r>
    </w:p>
    <w:p>
      <w:pPr>
        <w:pStyle w:val="ListParagraph"/>
        <w:numPr>
          <w:ilvl w:val="0"/>
          <w:numId w:val="4"/>
        </w:numPr>
        <w:spacing w:after="90" w:line="276"/>
      </w:pPr>
      <w:r>
        <w:rPr>
          <w:b/>
          <w:bCs/>
          <w:color w:val="1F2328"/>
        </w:rPr>
        <w:t xml:space="preserve">Identical indicator statements repeat verbatim across grades</w:t>
      </w:r>
      <w:r>
        <w:rPr>
          <w:color w:val="1F2328"/>
        </w:rPr>
        <w:t xml:space="preserve"> (e.g. ENG5.L.3 == ENG4.L.3). Extract as separate rows per level_id — never deduplicate on statement text, or two grades' histories silently merge.</w:t>
      </w:r>
    </w:p>
    <w:p>
      <w:pPr>
        <w:pStyle w:val="ListParagraph"/>
        <w:numPr>
          <w:ilvl w:val="0"/>
          <w:numId w:val="4"/>
        </w:numPr>
        <w:spacing w:after="90" w:line="276"/>
      </w:pPr>
      <w:r>
        <w:rPr>
          <w:b/>
          <w:bCs/>
          <w:color w:val="1F2328"/>
        </w:rPr>
        <w:t xml:space="preserve">Capture default_sequence during the same pass.</w:t>
      </w:r>
      <w:r>
        <w:rPr>
          <w:color w:val="1F2328"/>
        </w:rPr>
        <w:t xml:space="preserve"> CDC's own area ordering is free to record while reading and expensive to reconstruct later.</w:t>
      </w:r>
    </w:p>
    <w:p>
      <w:pPr>
        <w:pStyle w:val="Heading1"/>
        <w:spacing w:after="160" w:before="340"/>
      </w:pPr>
      <w:r>
        <w:rPr>
          <w:b/>
          <w:bCs/>
          <w:color w:val="0F4C5C"/>
        </w:rPr>
        <w:t xml:space="preserve">14.  Competitive landscape update</w:t>
      </w:r>
    </w:p>
    <w:p>
      <w:pPr>
        <w:spacing w:after="140" w:line="276"/>
      </w:pPr>
      <w:r>
        <w:rPr>
          <w:b/>
          <w:bCs/>
          <w:color w:val="1F2328"/>
        </w:rPr>
        <w:t xml:space="preserve">Claude for Teachers (Anthropic, launched July 2026)</w:t>
      </w:r>
      <w:r>
        <w:rPr>
          <w:color w:val="1F2328"/>
        </w:rPr>
        <w:t xml:space="preserve"> — assessed as non-threatening to this platform: US K-12 verified access only, no CDC corpus, and it operates as a workbench, not a system of record. Its launch </w:t>
      </w:r>
      <w:r>
        <w:rPr>
          <w:b/>
          <w:bCs/>
          <w:color w:val="1F2328"/>
        </w:rPr>
        <w:t xml:space="preserve">validates the moat thesis</w:t>
      </w:r>
      <w:r>
        <w:rPr>
          <w:color w:val="1F2328"/>
        </w:rPr>
        <w:t xml:space="preserve">: generation is now effectively free, which makes the observation capture layer, the longitudinal per-child record, school-owned data, and the authored descriptor bank the defensible assets. The platform's strategy — own the record, not the generation — is confirmed, not undermined, by frontier tools entering education.</w:t>
      </w:r>
    </w:p>
    <w:p>
      <w:pPr>
        <w:pStyle w:val="Heading1"/>
        <w:spacing w:after="160" w:before="340"/>
      </w:pPr>
      <w:r>
        <w:rPr>
          <w:b/>
          <w:bCs/>
          <w:color w:val="0F4C5C"/>
        </w:rPr>
        <w:t xml:space="preserve">15.  Open questions and verification queue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Question</w:t>
            </w:r>
          </w:p>
        </w:tc>
        <w:tc>
          <w:tcPr>
            <w:tcW w:type="dxa" w:w="48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How it gets resolved</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Parent signature line — every annex unit form carries one. Do schools actually route forms home per area?</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Confirm at a pilot school. If yes, per-area delivery to parents is an obligation the platform could absorb — a significant CONNECT-module addition.</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Grades 1–3 assessment structure (rests on Basic Level Curriculum 2076, not Guideline 2083).</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Read the 2076 annex equivalent in-session before speccing any G1–3 form (§6.9).</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Lesson count and timing estimates.</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Design assumptions pending pilot classroom observation.</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Willingness to pay at NPR 200–400/child/year.</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Standing validation question — Phase 0 instrument at the next training.</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Plus-tier interest among schools.</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Standing validation question — same instrument.</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WhatsApp vs Viber among target-school parents.</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Standing validation question — same instrument. Notification service stays channel-agnostic until answered.</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Phase-0 parent validation instrument.</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Concrete next step: survey at pilot schools; the parent month-by-month experience artifact is still to be produced.</w:t>
            </w:r>
          </w:p>
        </w:tc>
      </w:tr>
      <w:tr>
        <w:tc>
          <w:tcPr>
            <w:tcW w:type="dxa" w:w="42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Final brand name.</w:t>
            </w:r>
          </w:p>
        </w:tc>
        <w:tc>
          <w:tcPr>
            <w:tcW w:type="dxa" w:w="48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BidyaSetu selected as working name; BidyaSathi, Saksham, Ankur, Sprout, and Beacon remain under consideration. Must land before anything external.</w:t>
            </w:r>
          </w:p>
        </w:tc>
      </w:tr>
    </w:tbl>
    <w:p>
      <w:r>
        <w:br w:type="page"/>
      </w:r>
    </w:p>
    <w:p>
      <w:pPr>
        <w:pStyle w:val="Heading1"/>
        <w:spacing w:after="160" w:before="340"/>
      </w:pPr>
      <w:r>
        <w:rPr>
          <w:b/>
          <w:bCs/>
          <w:color w:val="0F4C5C"/>
        </w:rPr>
        <w:t xml:space="preserve">16.  Document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1600"/>
        <w:gridCol w:w="3126"/>
      </w:tblGrid>
      <w:tr>
        <w:trPr>
          <w:tblHeader/>
        </w:trPr>
        <w:tc>
          <w:tcPr>
            <w:tcW w:type="dxa" w:w="43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Document</w:t>
            </w:r>
          </w:p>
        </w:tc>
        <w:tc>
          <w:tcPr>
            <w:tcW w:type="dxa" w:w="1600"/>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Status</w:t>
            </w:r>
          </w:p>
        </w:tc>
        <w:tc>
          <w:tcPr>
            <w:tcW w:type="dxa" w:w="3126"/>
            <w:tcBorders>
              <w:top w:val="single" w:color="C7D2D6" w:sz="4"/>
              <w:left w:val="single" w:color="C7D2D6" w:sz="4"/>
              <w:bottom w:val="single" w:color="C7D2D6" w:sz="4"/>
              <w:right w:val="single" w:color="C7D2D6" w:sz="4"/>
            </w:tcBorders>
            <w:shd w:fill="DCE8EA" w:val="clear"/>
            <w:tcMar>
              <w:top w:type="dxa" w:w="90"/>
              <w:left w:type="dxa" w:w="130"/>
              <w:bottom w:type="dxa" w:w="90"/>
              <w:right w:type="dxa" w:w="130"/>
            </w:tcMar>
          </w:tcPr>
          <w:p>
            <w:pPr>
              <w:spacing w:after="0"/>
            </w:pPr>
            <w:r>
              <w:rPr>
                <w:b/>
                <w:bCs/>
                <w:color w:val="1F2328"/>
                <w:sz w:val="20"/>
                <w:szCs w:val="20"/>
              </w:rPr>
              <w:t xml:space="preserve">Note</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Full System Report v3.3 (this document)</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CURRENT</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Supersedes v3.2 in full.</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Full System Report v3.2</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SUPERSEDED</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Retained for the I1–I5 numbering check (§7).</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System Architecture Document v1.0</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CURRENT*</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*v1.1 pending — must fold §12 data-layer deltas.</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Business Plan v7.1</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CURRENT</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v6.0 archived.</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Assessment Pack Spec v1.0</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CURRENT*</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*v1.1 pending — must fold the dual-render rule (§9).</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Calendar &amp; Curriculum Pacing Spec v1.0</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CURRENT</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Curriculum Spine &amp; Book Crosswalk Addendum v1.0</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SUPERSEDED</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§4 schema wrong (rated outcomes; chapter → outcomes). v2.0 is the critical pending document.</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Claude skill file (.skill)</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STALE</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Milestone framing predates the Curriculum 2077 alignment (still ELDS/four-domain). Refresh queued (§17).</w:t>
            </w:r>
          </w:p>
        </w:tc>
      </w:tr>
      <w:tr>
        <w:tc>
          <w:tcPr>
            <w:tcW w:type="dxa" w:w="43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Freelancer handoff set (milestone bank JSON, eval set, README)</w:t>
            </w:r>
          </w:p>
        </w:tc>
        <w:tc>
          <w:tcPr>
            <w:tcW w:type="dxa" w:w="1600"/>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CURRENT*</w:t>
            </w:r>
          </w:p>
        </w:tc>
        <w:tc>
          <w:tcPr>
            <w:tcW w:type="dxa" w:w="3126"/>
            <w:tcBorders>
              <w:top w:val="single" w:color="C7D2D6" w:sz="4"/>
              <w:left w:val="single" w:color="C7D2D6" w:sz="4"/>
              <w:bottom w:val="single" w:color="C7D2D6" w:sz="4"/>
              <w:right w:val="single" w:color="C7D2D6" w:sz="4"/>
            </w:tcBorders>
            <w:tcMar>
              <w:top w:type="dxa" w:w="90"/>
              <w:left w:type="dxa" w:w="130"/>
              <w:bottom w:type="dxa" w:w="90"/>
              <w:right w:type="dxa" w:w="130"/>
            </w:tcMar>
          </w:tcPr>
          <w:p>
            <w:pPr>
              <w:spacing w:after="0"/>
            </w:pPr>
            <w:r>
              <w:rPr>
                <w:color w:val="1F2328"/>
                <w:sz w:val="20"/>
                <w:szCs w:val="20"/>
              </w:rPr>
              <w:t xml:space="preserve">*Regenerate milestone bank tags after trainer/ECE review of the pre-primary bank.</w:t>
            </w:r>
          </w:p>
        </w:tc>
      </w:tr>
    </w:tbl>
    <w:p>
      <w:pPr>
        <w:spacing w:after="60"/>
      </w:pPr>
      <w:r>
        <w:rPr>
          <w:color w:val="1F2328"/>
        </w:rPr>
        <w:t xml:space="preserve"/>
      </w:r>
    </w:p>
    <w:p>
      <w:pPr>
        <w:pStyle w:val="Heading1"/>
        <w:spacing w:after="160" w:before="340"/>
      </w:pPr>
      <w:r>
        <w:rPr>
          <w:b/>
          <w:bCs/>
          <w:color w:val="0F4C5C"/>
        </w:rPr>
        <w:t xml:space="preserve">17.  Downstream actions triggered by v3.3</w:t>
      </w:r>
    </w:p>
    <w:p>
      <w:pPr>
        <w:pStyle w:val="ListParagraph"/>
        <w:numPr>
          <w:ilvl w:val="0"/>
          <w:numId w:val="5"/>
        </w:numPr>
        <w:spacing w:after="90" w:line="276"/>
      </w:pPr>
      <w:r>
        <w:rPr>
          <w:b/>
          <w:bCs/>
          <w:color w:val="1F2328"/>
        </w:rPr>
        <w:t xml:space="preserve">Crosswalk Addendum v2.0 (critical).</w:t>
      </w:r>
      <w:r>
        <w:rPr>
          <w:color w:val="1F2328"/>
        </w:rPr>
        <w:t xml:space="preserve"> Fold in: the corrected schema, all nine invariants, the three grouping shapes, the assessment_areas rename, subject-configured labels, the aggregation chain, the scale resolution (§8), and the extraction gotchas (§13) — verified across all six annexes ३(क–च).</w:t>
      </w:r>
    </w:p>
    <w:p>
      <w:pPr>
        <w:pStyle w:val="ListParagraph"/>
        <w:numPr>
          <w:ilvl w:val="0"/>
          <w:numId w:val="5"/>
        </w:numPr>
        <w:spacing w:after="90" w:line="276"/>
      </w:pPr>
      <w:r>
        <w:rPr>
          <w:b/>
          <w:bCs/>
          <w:color w:val="1F2328"/>
        </w:rPr>
        <w:t xml:space="preserve">Assessment Pack Spec v1.1.</w:t>
      </w:r>
      <w:r>
        <w:rPr>
          <w:color w:val="1F2328"/>
        </w:rPr>
        <w:t xml:space="preserve"> Fold in the dual-render rule (§9).</w:t>
      </w:r>
    </w:p>
    <w:p>
      <w:pPr>
        <w:pStyle w:val="ListParagraph"/>
        <w:numPr>
          <w:ilvl w:val="0"/>
          <w:numId w:val="5"/>
        </w:numPr>
        <w:spacing w:after="90" w:line="276"/>
      </w:pPr>
      <w:r>
        <w:rPr>
          <w:b/>
          <w:bCs/>
          <w:color w:val="1F2328"/>
        </w:rPr>
        <w:t xml:space="preserve">System Architecture Document v1.1.</w:t>
      </w:r>
      <w:r>
        <w:rPr>
          <w:color w:val="1F2328"/>
        </w:rPr>
        <w:t xml:space="preserve"> Fold in the data-layer deltas (§12).</w:t>
      </w:r>
    </w:p>
    <w:p>
      <w:pPr>
        <w:pStyle w:val="ListParagraph"/>
        <w:numPr>
          <w:ilvl w:val="0"/>
          <w:numId w:val="5"/>
        </w:numPr>
        <w:spacing w:after="90" w:line="276"/>
      </w:pPr>
      <w:r>
        <w:rPr>
          <w:b/>
          <w:bCs/>
          <w:color w:val="1F2328"/>
        </w:rPr>
        <w:t xml:space="preserve">Claude skill file refresh.</w:t>
      </w:r>
      <w:r>
        <w:rPr>
          <w:color w:val="1F2328"/>
        </w:rPr>
        <w:t xml:space="preserve"> Replace the ELDS/four-domain milestone framing with the Curriculum 2077 alignment (§5) and add §§6–9 so future sessions never regress.</w:t>
      </w:r>
    </w:p>
    <w:p>
      <w:pPr>
        <w:pStyle w:val="ListParagraph"/>
        <w:numPr>
          <w:ilvl w:val="0"/>
          <w:numId w:val="5"/>
        </w:numPr>
        <w:spacing w:after="90" w:line="276"/>
      </w:pPr>
      <w:r>
        <w:rPr>
          <w:b/>
          <w:bCs/>
          <w:color w:val="1F2328"/>
        </w:rPr>
        <w:t xml:space="preserve">Verify I1–I5 numbering</w:t>
      </w:r>
      <w:r>
        <w:rPr>
          <w:color w:val="1F2328"/>
        </w:rPr>
        <w:t xml:space="preserve"> against v3.2, then clear the carry-forward flag in §7.</w:t>
      </w:r>
    </w:p>
    <w:p>
      <w:pPr>
        <w:pStyle w:val="ListParagraph"/>
        <w:numPr>
          <w:ilvl w:val="0"/>
          <w:numId w:val="5"/>
        </w:numPr>
        <w:spacing w:after="90" w:line="276"/>
      </w:pPr>
      <w:r>
        <w:rPr>
          <w:b/>
          <w:bCs/>
          <w:color w:val="1F2328"/>
        </w:rPr>
        <w:t xml:space="preserve">Trainer + ECE-specialist review</w:t>
      </w:r>
      <w:r>
        <w:rPr>
          <w:color w:val="1F2328"/>
        </w:rPr>
        <w:t xml:space="preserve"> of the pre-primary milestone/band bank; then regenerate the freelancer JSON.</w:t>
      </w:r>
    </w:p>
    <w:p>
      <w:pPr>
        <w:pStyle w:val="ListParagraph"/>
        <w:numPr>
          <w:ilvl w:val="0"/>
          <w:numId w:val="5"/>
        </w:numPr>
        <w:spacing w:after="90" w:line="276"/>
      </w:pPr>
      <w:r>
        <w:rPr>
          <w:b/>
          <w:bCs/>
          <w:color w:val="1F2328"/>
        </w:rPr>
        <w:t xml:space="preserve">Grade 4 English descriptor pilot</w:t>
      </w:r>
      <w:r>
        <w:rPr>
          <w:color w:val="1F2328"/>
        </w:rPr>
        <w:t xml:space="preserve"> — the first full subject through the bank end-to-end.</w:t>
      </w:r>
    </w:p>
    <w:p>
      <w:pPr>
        <w:pStyle w:val="ListParagraph"/>
        <w:numPr>
          <w:ilvl w:val="0"/>
          <w:numId w:val="5"/>
        </w:numPr>
        <w:spacing w:after="90" w:line="276"/>
      </w:pPr>
      <w:r>
        <w:rPr>
          <w:b/>
          <w:bCs/>
          <w:color w:val="1F2328"/>
        </w:rPr>
        <w:t xml:space="preserve">Pilot-school checks:</w:t>
      </w:r>
      <w:r>
        <w:rPr>
          <w:color w:val="1F2328"/>
        </w:rPr>
        <w:t xml:space="preserve"> parent-signature routing (§15) and lesson-timing observation.</w:t>
      </w:r>
    </w:p>
    <w:p>
      <w:pPr>
        <w:pStyle w:val="ListParagraph"/>
        <w:numPr>
          <w:ilvl w:val="0"/>
          <w:numId w:val="5"/>
        </w:numPr>
        <w:spacing w:after="90" w:line="276"/>
      </w:pPr>
      <w:r>
        <w:rPr>
          <w:b/>
          <w:bCs/>
          <w:color w:val="1F2328"/>
        </w:rPr>
        <w:t xml:space="preserve">Read Basic Level Curriculum 2076</w:t>
      </w:r>
      <w:r>
        <w:rPr>
          <w:color w:val="1F2328"/>
        </w:rPr>
        <w:t xml:space="preserve"> annex equivalent before speccing Grades 1–3 forms (§6.9).</w:t>
      </w:r>
    </w:p>
    <w:p>
      <w:pPr>
        <w:pStyle w:val="ListParagraph"/>
        <w:numPr>
          <w:ilvl w:val="0"/>
          <w:numId w:val="5"/>
        </w:numPr>
        <w:spacing w:after="90" w:line="276"/>
      </w:pPr>
      <w:r>
        <w:rPr>
          <w:b/>
          <w:bCs/>
          <w:color w:val="1F2328"/>
        </w:rPr>
        <w:t xml:space="preserve">Phase-0 instruments:</w:t>
      </w:r>
      <w:r>
        <w:rPr>
          <w:color w:val="1F2328"/>
        </w:rPr>
        <w:t xml:space="preserve"> willingness-to-pay / Plus-tier / WhatsApp-vs-Viber survey, and the parent validation instrument.</w:t>
      </w:r>
    </w:p>
    <w:p>
      <w:pPr>
        <w:spacing w:after="60"/>
      </w:pPr>
      <w:r>
        <w:rPr>
          <w:color w:val="1F23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4C5C" w:sz="12"/>
              <w:left w:val="single" w:color="C7D2D6" w:sz="4"/>
              <w:bottom w:val="single" w:color="C7D2D6" w:sz="4"/>
              <w:right w:val="single" w:color="C7D2D6" w:sz="4"/>
            </w:tcBorders>
            <w:shd w:fill="EDF3F4" w:val="clear"/>
            <w:tcMar>
              <w:top w:type="dxa" w:w="160"/>
              <w:left w:type="dxa" w:w="200"/>
              <w:bottom w:type="dxa" w:w="100"/>
              <w:right w:type="dxa" w:w="200"/>
            </w:tcMar>
          </w:tcPr>
          <w:p>
            <w:pPr>
              <w:spacing w:after="100"/>
            </w:pPr>
            <w:r>
              <w:rPr>
                <w:b/>
                <w:bCs/>
                <w:color w:val="0F4C5C"/>
              </w:rPr>
              <w:t xml:space="preserve">The one-sentence strategy (unchanged)</w:t>
            </w:r>
          </w:p>
          <w:p>
            <w:pPr>
              <w:spacing w:after="0"/>
            </w:pPr>
            <w:r>
              <w:rPr>
                <w:b/>
                <w:bCs/>
                <w:i/>
                <w:iCs/>
                <w:color w:val="1F2328"/>
              </w:rPr>
              <w:t xml:space="preserve">Make teacher quality stop being a gamble — and everything else (the book order, the subscription, the certification fee, the parent's trust) follows.</w:t>
            </w:r>
          </w:p>
        </w:tc>
      </w:tr>
    </w:tbl>
    <w:p>
      <w:pPr>
        <w:spacing w:before="240"/>
        <w:jc w:val="center"/>
      </w:pPr>
      <w:r>
        <w:rPr>
          <w:color w:val="5A6570"/>
          <w:sz w:val="18"/>
          <w:szCs w:val="18"/>
        </w:rPr>
        <w:t xml:space="preserve">End of Full System Report · v3.3 · BidyaSetu (working name)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4C5C"/>
      <w:sz w:val="30"/>
      <w:szCs w:val="30"/>
    </w:rPr>
  </w:style>
  <w:style w:type="paragraph" w:styleId="Heading2">
    <w:name w:val="Heading 2"/>
    <w:basedOn w:val="Normal"/>
    <w:next w:val="Normal"/>
    <w:qFormat/>
    <w:rPr>
      <w:rFonts w:ascii="Calibri" w:cs="Calibri" w:eastAsia="Calibri" w:hAnsi="Calibri"/>
      <w:b/>
      <w:bCs/>
      <w:color w:val="1F232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2026-07-23T13:27:43.855Z</dcterms:created>
  <dcterms:modified xsi:type="dcterms:W3CDTF">2026-07-23T13:27:43.868Z</dcterms:modified>
</cp:coreProperties>
</file>

<file path=docProps/custom.xml><?xml version="1.0" encoding="utf-8"?>
<Properties xmlns="http://schemas.openxmlformats.org/officeDocument/2006/custom-properties" xmlns:vt="http://schemas.openxmlformats.org/officeDocument/2006/docPropsVTypes"/>
</file>