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89FC" w14:textId="77777777" w:rsidR="00DB60E8" w:rsidRDefault="00000000">
      <w:pPr>
        <w:pStyle w:val="Title"/>
      </w:pPr>
      <w:r>
        <w:t>Closure Diffusion</w:t>
      </w:r>
    </w:p>
    <w:p w14:paraId="30476576" w14:textId="77777777" w:rsidR="00DB60E8" w:rsidRDefault="00000000">
      <w:pPr>
        <w:pStyle w:val="Subtitle"/>
      </w:pPr>
      <w:r>
        <w:t>Section 2 — Conceptual framework (draft)</w:t>
      </w:r>
    </w:p>
    <w:p w14:paraId="3E0C1C56" w14:textId="77777777" w:rsidR="00DB60E8" w:rsidRDefault="00000000">
      <w:pPr>
        <w:pStyle w:val="Author"/>
      </w:pPr>
      <w:r>
        <w:t>Debi Prasad Ghosh — Debias Parametric Guru, Kolkata, India | debiprasadghosh@gmail.com</w:t>
      </w:r>
    </w:p>
    <w:p w14:paraId="71A7D91E" w14:textId="77777777" w:rsidR="00DB60E8" w:rsidRDefault="00000000">
      <w:pPr>
        <w:pStyle w:val="Date"/>
      </w:pPr>
      <w:r>
        <w:t>12 October 2026</w:t>
      </w:r>
    </w:p>
    <w:p w14:paraId="4F4157D9" w14:textId="77777777" w:rsidR="00DB60E8" w:rsidRDefault="00000000">
      <w:pPr>
        <w:pStyle w:val="Heading1"/>
      </w:pPr>
      <w:bookmarkStart w:id="0" w:name="conceptual-framework"/>
      <w:r>
        <w:t>2 Conceptual framework</w:t>
      </w:r>
    </w:p>
    <w:p w14:paraId="18D3F4BA" w14:textId="77777777" w:rsidR="00DB60E8" w:rsidRDefault="00000000">
      <w:pPr>
        <w:pStyle w:val="FirstParagraph"/>
      </w:pPr>
      <w:r>
        <w:t xml:space="preserve">This section fixes the objects of the paper and states the conceptual results on which the later sections build. It assumes three earlier pieces of work: INDIA, where the noise line is covered by intervals instead of being traversed as a sequence [1]; IDEA, where a species is a box and is scored by a lower fitness quantile [2]; and the correspondence between them, where an IDEA species restricted to ordered handoffs is an INDIA rectangular design [3]. The sampler throughout is the deterministic DDIM sampler [5], written in the variance-exploding form </w:t>
      </w:r>
      <m:oMath>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σε</m:t>
        </m:r>
      </m:oMath>
      <w:r>
        <w:t xml:space="preserve">,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so the noise level is </w:t>
      </w:r>
      <m:oMath>
        <m:r>
          <w:rPr>
            <w:rFonts w:ascii="Cambria Math" w:hAnsi="Cambria Math"/>
          </w:rPr>
          <m:t>σ</m:t>
        </m:r>
      </m:oMath>
      <w:r>
        <w:t xml:space="preserve"> and the INDIA coordinate is </w:t>
      </w:r>
      <m:oMath>
        <m:r>
          <w:rPr>
            <w:rFonts w:ascii="Cambria Math" w:hAnsi="Cambria Math"/>
          </w:rPr>
          <m:t>u</m:t>
        </m:r>
        <m:r>
          <m:rPr>
            <m:sty m:val="p"/>
          </m:rPr>
          <w:rPr>
            <w:rFonts w:ascii="Cambria Math" w:hAnsi="Cambria Math"/>
          </w:rPr>
          <m:t>=log</m:t>
        </m:r>
        <m:r>
          <w:rPr>
            <w:rFonts w:ascii="Cambria Math" w:hAnsi="Cambria Math"/>
          </w:rPr>
          <m:t>σ</m:t>
        </m:r>
      </m:oMath>
      <w:r>
        <w:t>.</w:t>
      </w:r>
    </w:p>
    <w:p w14:paraId="166055B2" w14:textId="77777777" w:rsidR="00DB60E8" w:rsidRDefault="00000000">
      <w:pPr>
        <w:pStyle w:val="BodyText"/>
      </w:pPr>
      <w:r>
        <w:t xml:space="preserve">Every proposition here is either an exact identity or an elementary bound. Each one marked </w:t>
      </w:r>
      <w:r>
        <w:rPr>
          <w:i/>
          <w:iCs/>
        </w:rPr>
        <w:t>(checked)</w:t>
      </w:r>
      <w:r>
        <w:t xml:space="preserve"> was also confirmed numerically by the companion script </w:t>
      </w:r>
      <w:r>
        <w:rPr>
          <w:rStyle w:val="VerbatimChar"/>
        </w:rPr>
        <w:t>checks_cd.py</w:t>
      </w:r>
      <w:r>
        <w:t xml:space="preserve"> (K1–K5, all pass). Points that are interpretation, not theorem, are labelled </w:t>
      </w:r>
      <w:r>
        <w:rPr>
          <w:b/>
          <w:bCs/>
        </w:rPr>
        <w:t>Interpretation</w:t>
      </w:r>
      <w:r>
        <w:t>.</w:t>
      </w:r>
    </w:p>
    <w:p w14:paraId="08C44424" w14:textId="77777777" w:rsidR="00DB60E8" w:rsidRDefault="00000000">
      <w:pPr>
        <w:pStyle w:val="Heading2"/>
      </w:pPr>
      <w:bookmarkStart w:id="1" w:name="what-closure-means-here"/>
      <w:r>
        <w:t>2.1 What “closure” means here</w:t>
      </w:r>
    </w:p>
    <w:p w14:paraId="6C76CE93" w14:textId="77777777" w:rsidR="00DB60E8" w:rsidRDefault="00000000">
      <w:pPr>
        <w:pStyle w:val="FirstParagraph"/>
      </w:pPr>
      <w:r>
        <w:t>The word carries three meanings in this paper. All three are used, and they are kept apart.</w:t>
      </w:r>
    </w:p>
    <w:p w14:paraId="24DFD1C5" w14:textId="77777777" w:rsidR="00DB60E8" w:rsidRDefault="00000000">
      <w:pPr>
        <w:pStyle w:val="Compact"/>
        <w:numPr>
          <w:ilvl w:val="0"/>
          <w:numId w:val="2"/>
        </w:numPr>
      </w:pPr>
      <w:r>
        <w:rPr>
          <w:b/>
          <w:bCs/>
        </w:rPr>
        <w:t>Programming closure</w:t>
      </w:r>
      <w:r>
        <w:t xml:space="preserve"> [10]. A closure is a pair (code, captured environment). Applying the same code to two different environments gives two different functions. This is the primary meaning. A denoiser is code, and what it remembers is its environment.</w:t>
      </w:r>
    </w:p>
    <w:p w14:paraId="397F297D" w14:textId="77777777" w:rsidR="00DB60E8" w:rsidRDefault="00000000">
      <w:pPr>
        <w:pStyle w:val="Compact"/>
        <w:numPr>
          <w:ilvl w:val="0"/>
          <w:numId w:val="2"/>
        </w:numPr>
      </w:pPr>
      <w:r>
        <w:rPr>
          <w:b/>
          <w:bCs/>
        </w:rPr>
        <w:t>Topological closure.</w:t>
      </w:r>
      <w:r>
        <w:t xml:space="preserve"> IDEA species are closed boxes </w:t>
      </w: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Nothing below depends on whether the boxes are open or closed. The term appears only because the boxes are closed.</w:t>
      </w:r>
    </w:p>
    <w:p w14:paraId="5E677FB8" w14:textId="77777777" w:rsidR="00DB60E8" w:rsidRDefault="00000000">
      <w:pPr>
        <w:pStyle w:val="Compact"/>
        <w:numPr>
          <w:ilvl w:val="0"/>
          <w:numId w:val="2"/>
        </w:numPr>
      </w:pPr>
      <w:r>
        <w:rPr>
          <w:b/>
          <w:bCs/>
        </w:rPr>
        <w:t>Closure operator.</w:t>
      </w:r>
      <w:r>
        <w:t xml:space="preserve"> The rectangular hull </w:t>
      </w:r>
      <m:oMath>
        <m:r>
          <m:rPr>
            <m:sty m:val="p"/>
          </m:rPr>
          <w:rPr>
            <w:rFonts w:ascii="Cambria Math" w:hAnsi="Cambria Math"/>
          </w:rPr>
          <m:t>cl</m:t>
        </m:r>
        <m:d>
          <m:dPr>
            <m:ctrlPr>
              <w:rPr>
                <w:rFonts w:ascii="Cambria Math" w:hAnsi="Cambria Math"/>
              </w:rPr>
            </m:ctrlPr>
          </m:dPr>
          <m:e>
            <m:r>
              <w:rPr>
                <w:rFonts w:ascii="Cambria Math" w:hAnsi="Cambria Math"/>
              </w:rPr>
              <m:t>W</m:t>
            </m:r>
          </m:e>
        </m:d>
      </m:oMath>
      <w:r>
        <w:t xml:space="preserve"> of a finite set </w:t>
      </w:r>
      <m:oMath>
        <m:r>
          <w:rPr>
            <w:rFonts w:ascii="Cambria Math" w:hAnsi="Cambria Math"/>
          </w:rPr>
          <m:t>W</m:t>
        </m:r>
      </m:oMath>
      <w:r>
        <w:t xml:space="preserve"> (the smallest box containing it) is extensive (</w:t>
      </w:r>
      <m:oMath>
        <m:r>
          <w:rPr>
            <w:rFonts w:ascii="Cambria Math" w:hAnsi="Cambria Math"/>
          </w:rPr>
          <m:t>W</m:t>
        </m:r>
        <m:r>
          <m:rPr>
            <m:sty m:val="p"/>
          </m:rPr>
          <w:rPr>
            <w:rFonts w:ascii="Cambria Math" w:hAnsi="Cambria Math"/>
          </w:rPr>
          <m:t>⊆cl</m:t>
        </m:r>
        <m:r>
          <w:rPr>
            <w:rFonts w:ascii="Cambria Math" w:hAnsi="Cambria Math"/>
          </w:rPr>
          <m:t>W</m:t>
        </m:r>
      </m:oMath>
      <w:r>
        <w:t>), monotone and idempotent. So it is a closure operator in the order-theoretic sense. Section 2.6 uses it to contrast a memory that stores points with a memory that stores the hull of those points.</w:t>
      </w:r>
    </w:p>
    <w:p w14:paraId="439B917B" w14:textId="77777777" w:rsidR="00DB60E8" w:rsidRDefault="00000000">
      <w:pPr>
        <w:pStyle w:val="FirstParagraph"/>
      </w:pPr>
      <w:r>
        <w:t>The paper’s thesis uses only the first meaning:</w:t>
      </w:r>
    </w:p>
    <w:p w14:paraId="4228FB24" w14:textId="77777777" w:rsidR="00DB60E8" w:rsidRDefault="00000000">
      <w:pPr>
        <w:pStyle w:val="BlockText"/>
      </w:pPr>
      <w:r>
        <w:rPr>
          <w:b/>
          <w:bCs/>
        </w:rPr>
        <w:t>Closure Diffusion.</w:t>
      </w:r>
      <w:r>
        <w:t xml:space="preserve"> A population-based diffusion sampler whose denoiser is one piece of code applied to two captured environments. The </w:t>
      </w:r>
      <w:r>
        <w:rPr>
          <w:i/>
          <w:iCs/>
        </w:rPr>
        <w:t>inner</w:t>
      </w:r>
      <w:r>
        <w:t xml:space="preserve"> environment is the </w:t>
      </w:r>
      <w:r>
        <w:lastRenderedPageBreak/>
        <w:t xml:space="preserve">current task and the current population. The </w:t>
      </w:r>
      <w:r>
        <w:rPr>
          <w:i/>
          <w:iCs/>
        </w:rPr>
        <w:t>outer</w:t>
      </w:r>
      <w:r>
        <w:t xml:space="preserve"> environment is a memory of past tasks. The two resulting denoisers are combined as a </w:t>
      </w:r>
      <w:r>
        <w:rPr>
          <w:b/>
          <w:bCs/>
        </w:rPr>
        <w:t>mixture of priors</w:t>
      </w:r>
      <w:r>
        <w:t>, never as a product.</w:t>
      </w:r>
    </w:p>
    <w:p w14:paraId="39377DA7" w14:textId="77777777" w:rsidR="00DB60E8" w:rsidRDefault="00000000">
      <w:pPr>
        <w:pStyle w:val="FirstParagraph"/>
      </w:pPr>
      <w:r>
        <w:t>The rest of the section explains why each part of that sentence is needed.</w:t>
      </w:r>
    </w:p>
    <w:p w14:paraId="20DC46E3" w14:textId="77777777" w:rsidR="00DB60E8" w:rsidRDefault="00000000">
      <w:pPr>
        <w:pStyle w:val="Heading2"/>
      </w:pPr>
      <w:bookmarkStart w:id="2" w:name="one-operator-two-environments"/>
      <w:bookmarkEnd w:id="1"/>
      <w:r>
        <w:t>2.2 One operator, two environments</w:t>
      </w:r>
    </w:p>
    <w:p w14:paraId="3D98366D" w14:textId="77777777" w:rsidR="00DB60E8" w:rsidRDefault="00000000">
      <w:pPr>
        <w:pStyle w:val="FirstParagraph"/>
      </w:pPr>
      <w:r>
        <w:rPr>
          <w:b/>
          <w:bCs/>
        </w:rPr>
        <w:t>Definition 1 (weighted-point denoiser).</w:t>
      </w:r>
      <w:r>
        <w:t xml:space="preserve"> For a finite point set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with nonnegative weights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define</w:t>
      </w:r>
    </w:p>
    <w:p w14:paraId="136CC3C6" w14:textId="77777777" w:rsidR="00DB60E8" w:rsidRDefault="00000000">
      <w:pPr>
        <w:pStyle w:val="BodyText"/>
      </w:pPr>
      <m:oMathPara>
        <m:oMathParaPr>
          <m:jc m:val="center"/>
        </m:oMathParaPr>
        <m:oMath>
          <m:r>
            <w:rPr>
              <w:rFonts w:ascii="Cambria Math" w:hAnsi="Cambria Math"/>
            </w:rPr>
            <m:t>T</m:t>
          </m:r>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W</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den>
          </m:f>
          <m:r>
            <m:rPr>
              <m:sty m:val="p"/>
            </m:rPr>
            <w:rPr>
              <w:rFonts w:ascii="Cambria Math" w:hAnsi="Cambria Math"/>
            </w:rPr>
            <m:t>.</m:t>
          </m:r>
        </m:oMath>
      </m:oMathPara>
    </w:p>
    <w:p w14:paraId="4E9F440B" w14:textId="77777777" w:rsidR="00DB60E8" w:rsidRDefault="00000000">
      <w:pPr>
        <w:pStyle w:val="FirstParagraph"/>
      </w:pPr>
      <w:r>
        <w:rPr>
          <w:b/>
          <w:bCs/>
        </w:rPr>
        <w:t>Proposition 1 (Tweedie exactness).</w:t>
      </w:r>
      <w:r>
        <w:t xml:space="preserve"> Suppose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has the prior </w:t>
      </w:r>
      <m:oMath>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r>
        <w:t xml:space="preserve">, and suppose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σε</m:t>
        </m:r>
      </m:oMath>
      <w:r>
        <w:t xml:space="preserve">. Then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T</m:t>
        </m:r>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W</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oMath>
      <w:r>
        <w:t xml:space="preserve">. </w:t>
      </w:r>
      <w:r>
        <w:rPr>
          <w:i/>
          <w:iCs/>
        </w:rPr>
        <w:t>(checked: K1)</w:t>
      </w:r>
    </w:p>
    <w:p w14:paraId="4F022DEA" w14:textId="77777777" w:rsidR="00DB60E8" w:rsidRDefault="00000000">
      <w:pPr>
        <w:pStyle w:val="BodyText"/>
      </w:pPr>
      <w:r>
        <w:rPr>
          <w:i/>
          <w:iCs/>
        </w:rPr>
        <w:t>Proof.</w:t>
      </w:r>
      <w:r>
        <w:t xml:space="preserve"> By Bayes’ rule,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φ</m:t>
            </m:r>
          </m:e>
          <m:sub>
            <m:r>
              <w:rPr>
                <w:rFonts w:ascii="Cambria Math" w:hAnsi="Cambria Math"/>
              </w:rPr>
              <m:t>σ</m:t>
            </m:r>
          </m:sub>
        </m:sSub>
      </m:oMath>
      <w:r>
        <w:t xml:space="preserve"> is the Gaussian density. These posterior probabilities are exactly the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Taking the posterior mean gives </w:t>
      </w:r>
      <m:oMath>
        <m:r>
          <w:rPr>
            <w:rFonts w:ascii="Cambria Math" w:hAnsi="Cambria Math"/>
          </w:rPr>
          <m:t>T</m:t>
        </m:r>
      </m:oMath>
      <w:r>
        <w:t>. Equivalently, this is Tweedie’s formula [6] applied to the noisy marginal, which is a Gaussian mixture. ∎</w:t>
      </w:r>
    </w:p>
    <w:p w14:paraId="21A854A2" w14:textId="77777777" w:rsidR="00DB60E8" w:rsidRDefault="00000000">
      <w:pPr>
        <w:pStyle w:val="BodyText"/>
      </w:pPr>
      <w:r>
        <w:rPr>
          <w:b/>
          <w:bCs/>
        </w:rPr>
        <w:t>Definition 2 (the two closures).</w:t>
      </w:r>
      <w:r>
        <w:t xml:space="preserve"> The code </w:t>
      </w:r>
      <m:oMath>
        <m:r>
          <w:rPr>
            <w:rFonts w:ascii="Cambria Math" w:hAnsi="Cambria Math"/>
          </w:rPr>
          <m:t>T</m:t>
        </m:r>
      </m:oMath>
      <w:r>
        <w:t xml:space="preserve"> is applied to two environments.</w:t>
      </w:r>
    </w:p>
    <w:p w14:paraId="51C39089" w14:textId="77777777" w:rsidR="00DB60E8" w:rsidRDefault="00000000">
      <w:pPr>
        <w:pStyle w:val="Compact"/>
        <w:numPr>
          <w:ilvl w:val="0"/>
          <w:numId w:val="3"/>
        </w:numPr>
      </w:pPr>
      <w:r>
        <w:rPr>
          <w:b/>
          <w:bCs/>
        </w:rPr>
        <w:t>Inner closure.</w:t>
      </w:r>
      <w:r>
        <w:t xml:space="preserve"> The environment is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r>
              <m:rPr>
                <m:nor/>
              </m:rPr>
              <m:t xml:space="preserve">population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r>
              <m:rPr>
                <m:nor/>
              </m:rPr>
              <m:t xml:space="preserve">current task </m:t>
            </m:r>
            <m:sSub>
              <m:sSubPr>
                <m:ctrlPr>
                  <w:rPr>
                    <w:rFonts w:ascii="Cambria Math" w:hAnsi="Cambria Math"/>
                  </w:rPr>
                </m:ctrlPr>
              </m:sSubPr>
              <m:e>
                <m:r>
                  <w:rPr>
                    <w:rFonts w:ascii="Cambria Math" w:hAnsi="Cambria Math"/>
                  </w:rPr>
                  <m:t>f</m:t>
                </m:r>
              </m:e>
              <m:sub>
                <m:r>
                  <w:rPr>
                    <w:rFonts w:ascii="Cambria Math" w:hAnsi="Cambria Math"/>
                  </w:rPr>
                  <m:t>e</m:t>
                </m:r>
              </m:sub>
            </m:sSub>
          </m:e>
        </m:d>
      </m:oMath>
      <w:r>
        <w:t xml:space="preserve">, with weights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w:r>
        <w:t xml:space="preserve"> for a monotone map </w:t>
      </w:r>
      <m:oMath>
        <m:r>
          <w:rPr>
            <w:rFonts w:ascii="Cambria Math" w:hAnsi="Cambria Math"/>
          </w:rPr>
          <m:t>h</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oMath>
      <w:r>
        <w:t xml:space="preserve">. This is the fitness-weighted estimator of Diffusion Evolution [4], with one change: when the population consists of IDEA species,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is replaced by the species’ lower </w:t>
      </w:r>
      <m:oMath>
        <m:r>
          <w:rPr>
            <w:rFonts w:ascii="Cambria Math" w:hAnsi="Cambria Math"/>
          </w:rPr>
          <m:t>q</m:t>
        </m:r>
      </m:oMath>
      <w:r>
        <w:t>-quantile fitness, so the inner closure inherits IDEA’s certificate [2, 3].</w:t>
      </w:r>
    </w:p>
    <w:p w14:paraId="568CAEC3" w14:textId="77777777" w:rsidR="00DB60E8" w:rsidRDefault="00000000">
      <w:pPr>
        <w:pStyle w:val="Compact"/>
        <w:numPr>
          <w:ilvl w:val="0"/>
          <w:numId w:val="3"/>
        </w:numPr>
      </w:pPr>
      <w:r>
        <w:rPr>
          <w:b/>
          <w:bCs/>
        </w:rPr>
        <w:t>Outer closure.</w:t>
      </w:r>
      <w:r>
        <w:t xml:space="preserve"> The environment is </w:t>
      </w:r>
      <m:oMath>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d>
          <m:dPr>
            <m:ctrlPr>
              <w:rPr>
                <w:rFonts w:ascii="Cambria Math" w:hAnsi="Cambria Math"/>
              </w:rPr>
            </m:ctrlPr>
          </m:dPr>
          <m:e>
            <m:r>
              <m:rPr>
                <m:nor/>
              </m:rPr>
              <m:t xml:space="preserve">witness bank </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nor/>
              </m:rPr>
              <m:t xml:space="preserve">recurrence counts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e>
        </m:d>
      </m:oMath>
      <w:r>
        <w:t xml:space="preserve">. Each witness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oMath>
      <w:r>
        <w:t xml:space="preserve"> is the best point recorded for a past task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counts how often that task has occurred. Then </w:t>
      </w:r>
      <m:oMath>
        <m:sSub>
          <m:sSubPr>
            <m:ctrlPr>
              <w:rPr>
                <w:rFonts w:ascii="Cambria Math" w:hAnsi="Cambria Math"/>
              </w:rPr>
            </m:ctrlPr>
          </m:sSubPr>
          <m:e>
            <m:r>
              <w:rPr>
                <w:rFonts w:ascii="Cambria Math" w:hAnsi="Cambria Math"/>
              </w:rPr>
              <m:t>D</m:t>
            </m:r>
          </m:e>
          <m:sub>
            <m:r>
              <w:rPr>
                <w:rFonts w:ascii="Cambria Math" w:hAnsi="Cambria Math"/>
              </w:rPr>
              <m:t>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T</m:t>
        </m:r>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oMath>
      <w:r>
        <w:t xml:space="preserve">. Building </w:t>
      </w:r>
      <m:oMath>
        <m:sSub>
          <m:sSubPr>
            <m:ctrlPr>
              <w:rPr>
                <w:rFonts w:ascii="Cambria Math" w:hAnsi="Cambria Math"/>
              </w:rPr>
            </m:ctrlPr>
          </m:sSubPr>
          <m:e>
            <m:r>
              <w:rPr>
                <w:rFonts w:ascii="Cambria Math" w:hAnsi="Cambria Math"/>
              </w:rPr>
              <m:t>D</m:t>
            </m:r>
          </m:e>
          <m:sub>
            <m:r>
              <w:rPr>
                <w:rFonts w:ascii="Cambria Math" w:hAnsi="Cambria Math"/>
              </w:rPr>
              <m:t>O</m:t>
            </m:r>
          </m:sub>
        </m:sSub>
      </m:oMath>
      <w:r>
        <w:t xml:space="preserve"> costs </w:t>
      </w:r>
      <w:r>
        <w:rPr>
          <w:b/>
          <w:bCs/>
        </w:rPr>
        <w:t>no fitness evaluations</w:t>
      </w:r>
      <w:r>
        <w:t>, and old landscapes never have to be queried again.</w:t>
      </w:r>
    </w:p>
    <w:p w14:paraId="6E194441" w14:textId="77777777" w:rsidR="00DB60E8" w:rsidRDefault="00000000">
      <w:pPr>
        <w:pStyle w:val="FirstParagraph"/>
      </w:pPr>
      <w:r>
        <w:t xml:space="preserve">By Proposition 1, each closure is the </w:t>
      </w:r>
      <w:r>
        <w:rPr>
          <w:i/>
          <w:iCs/>
        </w:rPr>
        <w:t>exact</w:t>
      </w:r>
      <w:r>
        <w:t xml:space="preserve"> posterior mean of the empirical prior defined by its own environment. Neither one is an approximation that needs training.</w:t>
      </w:r>
    </w:p>
    <w:p w14:paraId="5A5C7483" w14:textId="77777777" w:rsidR="00DB60E8" w:rsidRDefault="00000000">
      <w:pPr>
        <w:pStyle w:val="BodyText"/>
      </w:pPr>
      <w:r>
        <w:rPr>
          <w:b/>
          <w:bCs/>
        </w:rPr>
        <w:t>Interpretation (attention and memory).</w:t>
      </w:r>
      <w:r>
        <w:t xml:space="preserve"> The outer weights can be written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t</m:t>
            </m:r>
          </m:sub>
        </m:sSub>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c</m:t>
                </m:r>
              </m:e>
              <m:sub>
                <m:r>
                  <w:rPr>
                    <w:rFonts w:ascii="Cambria Math" w:hAnsi="Cambria Math"/>
                  </w:rPr>
                  <m:t>t</m:t>
                </m:r>
              </m:sub>
            </m:sSub>
          </m:e>
        </m:d>
      </m:oMath>
      <w:r>
        <w:t xml:space="preserve">. This is softmax attention in which the keys and the values are both the witnesses, the bias is the log recurrence count, and the temperature is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In other words, the outer closure is retrieval from a modern Hopfield network [9] whose temperature is the noise level. It is the same structure as the prototype-bank memory in the long-term-memory thread of this programme. The diffusion is what turns that retrieval into a schedule.</w:t>
      </w:r>
    </w:p>
    <w:p w14:paraId="27EEAC05" w14:textId="77777777" w:rsidR="00DB60E8" w:rsidRDefault="00000000">
      <w:pPr>
        <w:pStyle w:val="Heading2"/>
      </w:pPr>
      <w:bookmarkStart w:id="3" w:name="why-the-closures-must-not-be-multiplied"/>
      <w:bookmarkEnd w:id="2"/>
      <w:r>
        <w:lastRenderedPageBreak/>
        <w:t>2.3 Why the closures must not be multiplied</w:t>
      </w:r>
    </w:p>
    <w:p w14:paraId="0A49FAE9" w14:textId="77777777" w:rsidR="00DB60E8" w:rsidRDefault="00000000">
      <w:pPr>
        <w:pStyle w:val="FirstParagraph"/>
      </w:pPr>
      <w:r>
        <w:t xml:space="preserve">The obvious way to combine two denoisers is to add their scores, as classifier-free guidance does [7]. Adding scores corresponds to multiplying the priors. The product is exact only as </w:t>
      </w:r>
      <m:oMath>
        <m:r>
          <w:rPr>
            <w:rFonts w:ascii="Cambria Math" w:hAnsi="Cambria Math"/>
          </w:rPr>
          <m:t>σ</m:t>
        </m:r>
        <m:r>
          <m:rPr>
            <m:sty m:val="p"/>
          </m:rPr>
          <w:rPr>
            <w:rFonts w:ascii="Cambria Math" w:hAnsi="Cambria Math"/>
          </w:rPr>
          <m:t>→</m:t>
        </m:r>
        <m:r>
          <w:rPr>
            <w:rFonts w:ascii="Cambria Math" w:hAnsi="Cambria Math"/>
          </w:rPr>
          <m:t>0</m:t>
        </m:r>
      </m:oMath>
      <w:r>
        <w:t>; at positive noise it is a heuristic [8]. Even the exact product is the wrong object for memory.</w:t>
      </w:r>
    </w:p>
    <w:p w14:paraId="532B6DDF" w14:textId="77777777" w:rsidR="00DB60E8" w:rsidRDefault="00000000">
      <w:pPr>
        <w:pStyle w:val="BodyText"/>
      </w:pPr>
      <w:r>
        <w:rPr>
          <w:b/>
          <w:bCs/>
        </w:rPr>
        <w:t>Proposition 2 (a product collapses onto the midpoint).</w:t>
      </w:r>
      <w:r>
        <w:t xml:space="preserve"> Suppose the current task contributes the prior </w:t>
      </w:r>
      <m:oMath>
        <m:r>
          <m:rPr>
            <m:scr m:val="script"/>
            <m:sty m:val="p"/>
          </m:rPr>
          <w:rPr>
            <w:rFonts w:ascii="Cambria Math" w:hAnsi="Cambria Math"/>
          </w:rPr>
          <m:t>N</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and the memory contributes </w:t>
      </w:r>
      <m:oMath>
        <m:r>
          <m:rPr>
            <m:scr m:val="script"/>
            <m:sty m:val="p"/>
          </m:rPr>
          <w:rPr>
            <w:rFonts w:ascii="Cambria Math" w:hAnsi="Cambria Math"/>
          </w:rPr>
          <m:t>N</m:t>
        </m:r>
        <m:d>
          <m:dPr>
            <m:ctrlPr>
              <w:rPr>
                <w:rFonts w:ascii="Cambria Math" w:hAnsi="Cambria Math"/>
              </w:rPr>
            </m:ctrlPr>
          </m:d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with </w:t>
      </w: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t>. Then:</w:t>
      </w:r>
    </w:p>
    <w:p w14:paraId="4422EAD0" w14:textId="77777777" w:rsidR="00DB60E8" w:rsidRDefault="00000000">
      <w:pPr>
        <w:pStyle w:val="Compact"/>
        <w:numPr>
          <w:ilvl w:val="0"/>
          <w:numId w:val="4"/>
        </w:numPr>
      </w:pPr>
      <w:r>
        <w:t xml:space="preserve">the product is proportional to </w:t>
      </w:r>
      <m:oMath>
        <m:r>
          <m:rPr>
            <m:scr m:val="script"/>
            <m:sty m:val="p"/>
          </m:rPr>
          <w:rPr>
            <w:rFonts w:ascii="Cambria Math" w:hAnsi="Cambria Math"/>
          </w:rPr>
          <m:t>N</m:t>
        </m:r>
        <m:d>
          <m:dPr>
            <m:ctrlPr>
              <w:rPr>
                <w:rFonts w:ascii="Cambria Math" w:hAnsi="Cambria Math"/>
              </w:rPr>
            </m:ctrlPr>
          </m:dPr>
          <m:e>
            <m:f>
              <m:fPr>
                <m:type m:val="lin"/>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2</m:t>
                    </m:r>
                  </m:sup>
                </m:sSup>
              </m:num>
              <m:den>
                <m:r>
                  <w:rPr>
                    <w:rFonts w:ascii="Cambria Math" w:hAnsi="Cambria Math"/>
                  </w:rPr>
                  <m:t>2</m:t>
                </m:r>
              </m:den>
            </m:f>
          </m:e>
        </m:d>
      </m:oMath>
      <w:r>
        <w:t>;</w:t>
      </w:r>
    </w:p>
    <w:p w14:paraId="0A970F7F" w14:textId="77777777" w:rsidR="00DB60E8" w:rsidRDefault="00000000">
      <w:pPr>
        <w:pStyle w:val="Compact"/>
        <w:numPr>
          <w:ilvl w:val="0"/>
          <w:numId w:val="4"/>
        </w:numPr>
      </w:pPr>
      <w:r>
        <w:t xml:space="preserve">relative to its peak, the product density at either optimum is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τ</m:t>
                </m:r>
              </m:e>
              <m:sup>
                <m:r>
                  <w:rPr>
                    <w:rFonts w:ascii="Cambria Math" w:hAnsi="Cambria Math"/>
                  </w:rPr>
                  <m:t>2</m:t>
                </m:r>
              </m:sup>
            </m:sSup>
          </m:e>
        </m:d>
      </m:oMath>
      <w:r>
        <w:t>.</w:t>
      </w:r>
    </w:p>
    <w:p w14:paraId="603A3E1F" w14:textId="77777777" w:rsidR="00DB60E8" w:rsidRDefault="00000000">
      <w:pPr>
        <w:pStyle w:val="FirstParagraph"/>
      </w:pPr>
      <w:r>
        <w:rPr>
          <w:i/>
          <w:iCs/>
        </w:rPr>
        <w:t xml:space="preserve">(checked: K2a, K2b; at </w:t>
      </w:r>
      <m:oMath>
        <m:r>
          <w:rPr>
            <w:rFonts w:ascii="Cambria Math" w:hAnsi="Cambria Math"/>
          </w:rPr>
          <m:t>D</m:t>
        </m:r>
        <m:r>
          <m:rPr>
            <m:sty m:val="p"/>
          </m:rPr>
          <w:rPr>
            <w:rFonts w:ascii="Cambria Math" w:hAnsi="Cambria Math"/>
          </w:rPr>
          <m:t>=</m:t>
        </m:r>
        <m:r>
          <w:rPr>
            <w:rFonts w:ascii="Cambria Math" w:hAnsi="Cambria Math"/>
          </w:rPr>
          <m:t>0.6</m:t>
        </m:r>
      </m:oMath>
      <w:r>
        <w:rPr>
          <w:i/>
          <w:iCs/>
        </w:rPr>
        <w:t xml:space="preserve">, </w:t>
      </w:r>
      <m:oMath>
        <m:r>
          <w:rPr>
            <w:rFonts w:ascii="Cambria Math" w:hAnsi="Cambria Math"/>
          </w:rPr>
          <m:t>τ</m:t>
        </m:r>
        <m:r>
          <m:rPr>
            <m:sty m:val="p"/>
          </m:rPr>
          <w:rPr>
            <w:rFonts w:ascii="Cambria Math" w:hAnsi="Cambria Math"/>
          </w:rPr>
          <m:t>=</m:t>
        </m:r>
        <m:r>
          <w:rPr>
            <w:rFonts w:ascii="Cambria Math" w:hAnsi="Cambria Math"/>
          </w:rPr>
          <m:t>0.05</m:t>
        </m:r>
      </m:oMath>
      <w:r>
        <w:rPr>
          <w:i/>
          <w:iCs/>
        </w:rPr>
        <w:t xml:space="preserve"> the factor is </w:t>
      </w: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i/>
          <w:iCs/>
        </w:rPr>
        <w:t>)</w:t>
      </w:r>
    </w:p>
    <w:p w14:paraId="356E13F0" w14:textId="77777777" w:rsidR="00DB60E8" w:rsidRDefault="00000000">
      <w:pPr>
        <w:pStyle w:val="BodyText"/>
      </w:pPr>
      <w:r>
        <w:rPr>
          <w:i/>
          <w:iCs/>
        </w:rPr>
        <w:t>Proof.</w:t>
      </w:r>
      <w:r>
        <w:t xml:space="preserve"> Complete the square: </w:t>
      </w: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b</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τ</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e>
                </m:d>
              </m:e>
              <m:sup>
                <m:r>
                  <w:rPr>
                    <w:rFonts w:ascii="Cambria Math" w:hAnsi="Cambria Math"/>
                  </w:rPr>
                  <m:t>2</m:t>
                </m:r>
              </m:sup>
            </m:sSup>
          </m:num>
          <m:den>
            <m:sSup>
              <m:sSupPr>
                <m:ctrlPr>
                  <w:rPr>
                    <w:rFonts w:ascii="Cambria Math" w:hAnsi="Cambria Math"/>
                  </w:rPr>
                </m:ctrlPr>
              </m:sSupPr>
              <m:e>
                <m:r>
                  <w:rPr>
                    <w:rFonts w:ascii="Cambria Math" w:hAnsi="Cambria Math"/>
                  </w:rPr>
                  <m:t>τ</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τ</m:t>
                </m:r>
              </m:e>
              <m:sup>
                <m:r>
                  <w:rPr>
                    <w:rFonts w:ascii="Cambria Math" w:hAnsi="Cambria Math"/>
                  </w:rPr>
                  <m:t>2</m:t>
                </m:r>
              </m:sup>
            </m:sSup>
          </m:den>
        </m:f>
      </m:oMath>
      <w:r>
        <w:t xml:space="preserve">. Evaluating the resulting Gaussian at </w:t>
      </w:r>
      <m:oMath>
        <m:r>
          <w:rPr>
            <w:rFonts w:ascii="Cambria Math" w:hAnsi="Cambria Math"/>
          </w:rPr>
          <m:t>x</m:t>
        </m:r>
        <m:r>
          <m:rPr>
            <m:sty m:val="p"/>
          </m:rPr>
          <w:rPr>
            <w:rFonts w:ascii="Cambria Math" w:hAnsi="Cambria Math"/>
          </w:rPr>
          <m:t>=</m:t>
        </m:r>
        <m:r>
          <w:rPr>
            <w:rFonts w:ascii="Cambria Math" w:hAnsi="Cambria Math"/>
          </w:rPr>
          <m:t>a</m:t>
        </m:r>
      </m:oMath>
      <w:r>
        <w:t xml:space="preserve"> gives the stated factor. ∎</w:t>
      </w:r>
    </w:p>
    <w:p w14:paraId="5AFFAE82" w14:textId="77777777" w:rsidR="00DB60E8" w:rsidRDefault="00000000">
      <w:pPr>
        <w:pStyle w:val="BodyText"/>
      </w:pPr>
      <w:r>
        <w:t xml:space="preserve">So a product of the two closures puts its mass on a compromise that is optimal for </w:t>
      </w:r>
      <w:r>
        <w:rPr>
          <w:b/>
          <w:bCs/>
        </w:rPr>
        <w:t>neither</w:t>
      </w:r>
      <w:r>
        <w:t xml:space="preserve"> climate, and it does so with ever greater confidence as </w:t>
      </w:r>
      <m:oMath>
        <m:r>
          <w:rPr>
            <w:rFonts w:ascii="Cambria Math" w:hAnsi="Cambria Math"/>
          </w:rPr>
          <m:t>τ</m:t>
        </m:r>
      </m:oMath>
      <w:r>
        <w:t xml:space="preserve"> shrinks. This is the diffusion form of the earlier finding that a single fitness cannot both certify and remember. The reserved-slot rule of IDEA-2 avoided the problem by keeping the populations separate. In diffusion, the clean replacement is a mixture.</w:t>
      </w:r>
    </w:p>
    <w:p w14:paraId="1DD6A6A4" w14:textId="77777777" w:rsidR="00DB60E8" w:rsidRDefault="00000000">
      <w:pPr>
        <w:pStyle w:val="BodyText"/>
      </w:pPr>
      <w:r>
        <w:rPr>
          <w:b/>
          <w:bCs/>
        </w:rPr>
        <w:t>Proposition 3 (a mixture acts as a gate).</w:t>
      </w:r>
      <w:r>
        <w:t xml:space="preserve"> Let the prior be the mixture </w:t>
      </w:r>
      <m:oMath>
        <m:r>
          <w:rPr>
            <w:rFonts w:ascii="Cambria Math" w:hAnsi="Cambria Math"/>
          </w:rPr>
          <m:t>π</m:t>
        </m:r>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O</m:t>
            </m:r>
          </m:sub>
        </m:sSub>
      </m:oMath>
      <w:r>
        <w:t xml:space="preserve">, with noisy marginals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O</m:t>
            </m:r>
            <m:r>
              <m:rPr>
                <m:sty m:val="p"/>
              </m:rPr>
              <w:rPr>
                <w:rFonts w:ascii="Cambria Math" w:hAnsi="Cambria Math"/>
              </w:rPr>
              <m:t>,</m:t>
            </m:r>
            <m:r>
              <w:rPr>
                <w:rFonts w:ascii="Cambria Math" w:hAnsi="Cambria Math"/>
              </w:rPr>
              <m:t>σ</m:t>
            </m:r>
          </m:sub>
        </m:sSub>
      </m:oMath>
      <w:r>
        <w:t>. Then</w:t>
      </w:r>
    </w:p>
    <w:p w14:paraId="4EC3AD41" w14:textId="77777777" w:rsidR="00DB60E8" w:rsidRDefault="00000000">
      <w:pPr>
        <w:pStyle w:val="BodyText"/>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e>
          </m:d>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  γ</m:t>
          </m:r>
          <m:r>
            <m:rPr>
              <m:sty m:val="p"/>
            </m:rPr>
            <w:rPr>
              <w:rFonts w:ascii="Cambria Math" w:hAnsi="Cambria Math"/>
            </w:rPr>
            <m:t>=</m:t>
          </m:r>
          <m:f>
            <m:fPr>
              <m:ctrlPr>
                <w:rPr>
                  <w:rFonts w:ascii="Cambria Math" w:hAnsi="Cambria Math"/>
                </w:rPr>
              </m:ctrlPr>
            </m:fPr>
            <m:num>
              <m:r>
                <w:rPr>
                  <w:rFonts w:ascii="Cambria Math" w:hAnsi="Cambria Math"/>
                </w:rPr>
                <m:t>α </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num>
            <m:den>
              <m:r>
                <w:rPr>
                  <w:rFonts w:ascii="Cambria Math" w:hAnsi="Cambria Math"/>
                </w:rPr>
                <m:t>α </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O</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den>
          </m:f>
          <m:r>
            <m:rPr>
              <m:sty m:val="p"/>
            </m:rPr>
            <w:rPr>
              <w:rFonts w:ascii="Cambria Math" w:hAnsi="Cambria Math"/>
            </w:rPr>
            <m:t>.</m:t>
          </m:r>
        </m:oMath>
      </m:oMathPara>
    </w:p>
    <w:p w14:paraId="43DA81FC" w14:textId="77777777" w:rsidR="00DB60E8" w:rsidRDefault="00000000">
      <w:pPr>
        <w:pStyle w:val="FirstParagraph"/>
      </w:pPr>
      <w:r>
        <w:t xml:space="preserve">Moreover, </w:t>
      </w:r>
      <m:oMath>
        <m:r>
          <w:rPr>
            <w:rFonts w:ascii="Cambria Math" w:hAnsi="Cambria Math"/>
          </w:rPr>
          <m:t>γ</m:t>
        </m:r>
        <m:r>
          <m:rPr>
            <m:sty m:val="p"/>
          </m:rPr>
          <w:rPr>
            <w:rFonts w:ascii="Cambria Math" w:hAnsi="Cambria Math"/>
          </w:rPr>
          <m:t>→</m:t>
        </m:r>
        <m:r>
          <w:rPr>
            <w:rFonts w:ascii="Cambria Math" w:hAnsi="Cambria Math"/>
          </w:rPr>
          <m:t>α</m:t>
        </m:r>
      </m:oMath>
      <w:r>
        <w:t xml:space="preserve"> as </w:t>
      </w:r>
      <m:oMath>
        <m:r>
          <w:rPr>
            <w:rFonts w:ascii="Cambria Math" w:hAnsi="Cambria Math"/>
          </w:rPr>
          <m:t>σ</m:t>
        </m:r>
        <m:r>
          <m:rPr>
            <m:sty m:val="p"/>
          </m:rPr>
          <w:rPr>
            <w:rFonts w:ascii="Cambria Math" w:hAnsi="Cambria Math"/>
          </w:rPr>
          <m:t>→∞</m:t>
        </m:r>
      </m:oMath>
      <w:r>
        <w:t xml:space="preserve">, and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as </w:t>
      </w:r>
      <m:oMath>
        <m:r>
          <w:rPr>
            <w:rFonts w:ascii="Cambria Math" w:hAnsi="Cambria Math"/>
          </w:rPr>
          <m:t>σ</m:t>
        </m:r>
        <m:r>
          <m:rPr>
            <m:sty m:val="p"/>
          </m:rPr>
          <w:rPr>
            <w:rFonts w:ascii="Cambria Math" w:hAnsi="Cambria Math"/>
          </w:rPr>
          <m:t>→</m:t>
        </m:r>
        <m:r>
          <w:rPr>
            <w:rFonts w:ascii="Cambria Math" w:hAnsi="Cambria Math"/>
          </w:rPr>
          <m:t>0</m:t>
        </m:r>
      </m:oMath>
      <w:r>
        <w:t xml:space="preserve"> for almost every </w:t>
      </w:r>
      <m:oMath>
        <m:r>
          <w:rPr>
            <w:rFonts w:ascii="Cambria Math" w:hAnsi="Cambria Math"/>
          </w:rPr>
          <m:t>x</m:t>
        </m:r>
      </m:oMath>
      <w:r>
        <w:t xml:space="preserve">. </w:t>
      </w:r>
      <w:r>
        <w:rPr>
          <w:i/>
          <w:iCs/>
        </w:rPr>
        <w:t>(checked: K3, K4)</w:t>
      </w:r>
    </w:p>
    <w:p w14:paraId="30B9858D" w14:textId="77777777" w:rsidR="00DB60E8" w:rsidRDefault="00000000">
      <w:pPr>
        <w:pStyle w:val="BodyText"/>
      </w:pPr>
      <w:r>
        <w:rPr>
          <w:i/>
          <w:iCs/>
        </w:rPr>
        <w:t>Proof.</w:t>
      </w:r>
      <w:r>
        <w:t xml:space="preserve"> Condition on the mixture component, then apply the law of total expectation. </w:t>
      </w:r>
      <m:oMath>
        <m:r>
          <w:rPr>
            <w:rFonts w:ascii="Cambria Math" w:hAnsi="Cambria Math"/>
          </w:rPr>
          <m:t>γ</m:t>
        </m:r>
      </m:oMath>
      <w:r>
        <w:t xml:space="preserve"> is the posterior probability of the inner component. At high noise both marginals flatten to the same Gaussian, so their ratio tends to 1 and </w:t>
      </w:r>
      <m:oMath>
        <m:r>
          <w:rPr>
            <w:rFonts w:ascii="Cambria Math" w:hAnsi="Cambria Math"/>
          </w:rPr>
          <m:t>γ</m:t>
        </m:r>
        <m:r>
          <m:rPr>
            <m:sty m:val="p"/>
          </m:rPr>
          <w:rPr>
            <w:rFonts w:ascii="Cambria Math" w:hAnsi="Cambria Math"/>
          </w:rPr>
          <m:t>→</m:t>
        </m:r>
        <m:r>
          <w:rPr>
            <w:rFonts w:ascii="Cambria Math" w:hAnsi="Cambria Math"/>
          </w:rPr>
          <m:t>α</m:t>
        </m:r>
      </m:oMath>
      <w:r>
        <w:t xml:space="preserve">. At low noise each marginal concentrates on its own atoms, so one of them dominates at almost every </w:t>
      </w:r>
      <m:oMath>
        <m:r>
          <w:rPr>
            <w:rFonts w:ascii="Cambria Math" w:hAnsi="Cambria Math"/>
          </w:rPr>
          <m:t>x</m:t>
        </m:r>
      </m:oMath>
      <w:r>
        <w:t>. ∎</w:t>
      </w:r>
    </w:p>
    <w:p w14:paraId="5845465E" w14:textId="77777777" w:rsidR="00DB60E8" w:rsidRDefault="00000000">
      <w:pPr>
        <w:pStyle w:val="BodyText"/>
      </w:pPr>
      <w:r>
        <w:t xml:space="preserve">The gate depends on </w:t>
      </w:r>
      <m:oMath>
        <m:r>
          <w:rPr>
            <w:rFonts w:ascii="Cambria Math" w:hAnsi="Cambria Math"/>
          </w:rPr>
          <m:t>x</m:t>
        </m:r>
      </m:oMath>
      <w:r>
        <w:t>: the evidence in the noisy state decides which closure denoises it. A fixed weighted sum of scores cannot do this. A mixture keeps both climates as modes (K2c), while a product destroys both.</w:t>
      </w:r>
    </w:p>
    <w:p w14:paraId="74A95D4F" w14:textId="77777777" w:rsidR="00DB60E8" w:rsidRDefault="00000000">
      <w:pPr>
        <w:pStyle w:val="Heading2"/>
      </w:pPr>
      <w:bookmarkStart w:id="4" w:name="X516fbf547bf3e14c9672c864198ec55ee36534b"/>
      <w:bookmarkEnd w:id="3"/>
      <w:r>
        <w:t>2.4 Recall is decided at the scale of the climate separation</w:t>
      </w:r>
    </w:p>
    <w:p w14:paraId="206DA5C0" w14:textId="77777777" w:rsidR="00DB60E8" w:rsidRDefault="00000000">
      <w:pPr>
        <w:pStyle w:val="FirstParagraph"/>
      </w:pPr>
      <w:r>
        <w:t xml:space="preserve">The gate makes a </w:t>
      </w:r>
      <w:r>
        <w:rPr>
          <w:i/>
          <w:iCs/>
        </w:rPr>
        <w:t>decision</w:t>
      </w:r>
      <w:r>
        <w:t xml:space="preserve"> — which climate this particle belongs to — and that decision is made somewhere along the noise line. This is where INDIA’s cover enters the picture.</w:t>
      </w:r>
    </w:p>
    <w:p w14:paraId="297C6894" w14:textId="77777777" w:rsidR="00DB60E8" w:rsidRDefault="00000000">
      <w:pPr>
        <w:pStyle w:val="BodyText"/>
      </w:pPr>
      <w:r>
        <w:rPr>
          <w:b/>
          <w:bCs/>
        </w:rPr>
        <w:lastRenderedPageBreak/>
        <w:t>Proposition 4 (recall scale).</w:t>
      </w:r>
      <w:r>
        <w:t xml:space="preserve"> Take two witnesses at distance </w:t>
      </w:r>
      <m:oMath>
        <m:r>
          <w:rPr>
            <w:rFonts w:ascii="Cambria Math" w:hAnsi="Cambria Math"/>
          </w:rPr>
          <m:t>D</m:t>
        </m:r>
      </m:oMath>
      <w:r>
        <w:t xml:space="preserve"> with equal recurrence counts, and draw a particle from the first witness at noise </w:t>
      </w:r>
      <m:oMath>
        <m:r>
          <w:rPr>
            <w:rFonts w:ascii="Cambria Math" w:hAnsi="Cambria Math"/>
          </w:rPr>
          <m:t>σ</m:t>
        </m:r>
      </m:oMath>
      <w:r>
        <w:t>. The probability that the gate assigns it to the correct witness is</w:t>
      </w:r>
    </w:p>
    <w:p w14:paraId="24C4C797" w14:textId="77777777" w:rsidR="00DB60E8" w:rsidRDefault="00000000">
      <w:pPr>
        <w:pStyle w:val="BodyText"/>
      </w:pPr>
      <m:oMathPara>
        <m:oMathParaPr>
          <m:jc m:val="center"/>
        </m:oMathParaPr>
        <m:oMath>
          <m:r>
            <m:rPr>
              <m:sty m:val="p"/>
            </m:rPr>
            <w:rPr>
              <w:rFonts w:ascii="Cambria Math" w:hAnsi="Cambria Math"/>
            </w:rPr>
            <m:t>Pr</m:t>
          </m:r>
          <m:d>
            <m:dPr>
              <m:ctrlPr>
                <w:rPr>
                  <w:rFonts w:ascii="Cambria Math" w:hAnsi="Cambria Math"/>
                </w:rPr>
              </m:ctrlPr>
            </m:dPr>
            <m:e>
              <m:r>
                <m:rPr>
                  <m:nor/>
                </m:rPr>
                <m:t>correct</m:t>
              </m:r>
            </m:e>
          </m:d>
          <m:r>
            <m:rPr>
              <m:sty m:val="p"/>
            </m:rPr>
            <w:rPr>
              <w:rFonts w:ascii="Cambria Math" w:hAnsi="Cambria Math"/>
            </w:rPr>
            <m:t>=</m:t>
          </m:r>
          <m:r>
            <w:rPr>
              <w:rFonts w:ascii="Cambria Math" w:hAnsi="Cambria Math"/>
            </w:rPr>
            <m:t>Φ​</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2σ</m:t>
                  </m:r>
                </m:den>
              </m:f>
            </m:e>
          </m:d>
          <m:r>
            <m:rPr>
              <m:sty m:val="p"/>
            </m:rPr>
            <w:rPr>
              <w:rFonts w:ascii="Cambria Math" w:hAnsi="Cambria Math"/>
            </w:rPr>
            <m:t>.</m:t>
          </m:r>
        </m:oMath>
      </m:oMathPara>
    </w:p>
    <w:p w14:paraId="2C29ACD2" w14:textId="77777777" w:rsidR="00DB60E8" w:rsidRDefault="00000000">
      <w:pPr>
        <w:pStyle w:val="FirstParagraph"/>
      </w:pPr>
      <w:r>
        <w:t>Hence:</w:t>
      </w:r>
    </w:p>
    <w:p w14:paraId="55D7BA45" w14:textId="77777777" w:rsidR="00DB60E8" w:rsidRDefault="00000000">
      <w:pPr>
        <w:pStyle w:val="Compact"/>
        <w:numPr>
          <w:ilvl w:val="0"/>
          <w:numId w:val="5"/>
        </w:numPr>
      </w:pPr>
      <w:r>
        <w:t xml:space="preserve">at </w:t>
      </w:r>
      <m:oMath>
        <m:r>
          <w:rPr>
            <w:rFonts w:ascii="Cambria Math" w:hAnsi="Cambria Math"/>
          </w:rPr>
          <m:t>σ</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4</m:t>
        </m:r>
      </m:oMath>
      <w:r>
        <w:t xml:space="preserve">, </w:t>
      </w:r>
      <m:oMath>
        <m:r>
          <m:rPr>
            <m:sty m:val="p"/>
          </m:rPr>
          <w:rPr>
            <w:rFonts w:ascii="Cambria Math" w:hAnsi="Cambria Math"/>
          </w:rPr>
          <m:t>Pr=</m:t>
        </m:r>
        <m:r>
          <w:rPr>
            <w:rFonts w:ascii="Cambria Math" w:hAnsi="Cambria Math"/>
          </w:rPr>
          <m:t>Φ</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0.977</m:t>
        </m:r>
      </m:oMath>
      <w:r>
        <w:t>;</w:t>
      </w:r>
    </w:p>
    <w:p w14:paraId="5011DBEE" w14:textId="77777777" w:rsidR="00DB60E8" w:rsidRDefault="00000000">
      <w:pPr>
        <w:pStyle w:val="Compact"/>
        <w:numPr>
          <w:ilvl w:val="0"/>
          <w:numId w:val="5"/>
        </w:numPr>
      </w:pPr>
      <w:r>
        <w:t xml:space="preserve">at </w:t>
      </w:r>
      <m:oMath>
        <m:r>
          <w:rPr>
            <w:rFonts w:ascii="Cambria Math" w:hAnsi="Cambria Math"/>
          </w:rPr>
          <m:t>σ</m:t>
        </m:r>
        <m:r>
          <m:rPr>
            <m:sty m:val="p"/>
          </m:rPr>
          <w:rPr>
            <w:rFonts w:ascii="Cambria Math" w:hAnsi="Cambria Math"/>
          </w:rPr>
          <m:t>=</m:t>
        </m:r>
        <m:r>
          <w:rPr>
            <w:rFonts w:ascii="Cambria Math" w:hAnsi="Cambria Math"/>
          </w:rPr>
          <m:t>4D</m:t>
        </m:r>
      </m:oMath>
      <w:r>
        <w:t xml:space="preserve">, </w:t>
      </w:r>
      <m:oMath>
        <m:r>
          <m:rPr>
            <m:sty m:val="p"/>
          </m:rPr>
          <w:rPr>
            <w:rFonts w:ascii="Cambria Math" w:hAnsi="Cambria Math"/>
          </w:rPr>
          <m:t>Pr=</m:t>
        </m:r>
        <m:r>
          <w:rPr>
            <w:rFonts w:ascii="Cambria Math" w:hAnsi="Cambria Math"/>
          </w:rPr>
          <m:t>Φ</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e>
        </m:d>
        <m:r>
          <m:rPr>
            <m:sty m:val="p"/>
          </m:rPr>
          <w:rPr>
            <w:rFonts w:ascii="Cambria Math" w:hAnsi="Cambria Math"/>
          </w:rPr>
          <m:t>=</m:t>
        </m:r>
        <m:r>
          <w:rPr>
            <w:rFonts w:ascii="Cambria Math" w:hAnsi="Cambria Math"/>
          </w:rPr>
          <m:t>0.550</m:t>
        </m:r>
      </m:oMath>
      <w:r>
        <w:t>.</w:t>
      </w:r>
    </w:p>
    <w:p w14:paraId="582F24C2" w14:textId="77777777" w:rsidR="00DB60E8" w:rsidRDefault="00000000">
      <w:pPr>
        <w:pStyle w:val="FirstParagraph"/>
      </w:pPr>
      <w:r>
        <w:t xml:space="preserve">The decision moves from nearly certain to nearly uninformative within the noise window </w:t>
      </w:r>
      <m:oMath>
        <m:d>
          <m:dPr>
            <m:begChr m:val="["/>
            <m:endChr m:val="]"/>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4D</m:t>
            </m:r>
          </m:e>
        </m:d>
      </m:oMath>
      <w:r>
        <w:t xml:space="preserve">. In INDIA coordinates that window is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log</m:t>
            </m:r>
            <m:r>
              <w:rPr>
                <w:rFonts w:ascii="Cambria Math" w:hAnsi="Cambria Math"/>
              </w:rPr>
              <m:t>D</m:t>
            </m:r>
            <m:r>
              <m:rPr>
                <m:sty m:val="p"/>
              </m:rPr>
              <w:rPr>
                <w:rFonts w:ascii="Cambria Math" w:hAnsi="Cambria Math"/>
              </w:rPr>
              <m:t>-log</m:t>
            </m:r>
            <m:r>
              <w:rPr>
                <w:rFonts w:ascii="Cambria Math" w:hAnsi="Cambria Math"/>
              </w:rPr>
              <m:t>4</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D</m:t>
            </m:r>
            <m:r>
              <m:rPr>
                <m:sty m:val="p"/>
              </m:rPr>
              <w:rPr>
                <w:rFonts w:ascii="Cambria Math" w:hAnsi="Cambria Math"/>
              </w:rPr>
              <m:t>+log</m:t>
            </m:r>
            <m:r>
              <w:rPr>
                <w:rFonts w:ascii="Cambria Math" w:hAnsi="Cambria Math"/>
              </w:rPr>
              <m:t>4</m:t>
            </m:r>
          </m:e>
        </m:d>
      </m:oMath>
      <w:r>
        <w:t xml:space="preserve">, an interval of length </w:t>
      </w:r>
      <m:oMath>
        <m:r>
          <m:rPr>
            <m:sty m:val="p"/>
          </m:rPr>
          <w:rPr>
            <w:rFonts w:ascii="Cambria Math" w:hAnsi="Cambria Math"/>
          </w:rPr>
          <m:t>log</m:t>
        </m:r>
        <m:r>
          <w:rPr>
            <w:rFonts w:ascii="Cambria Math" w:hAnsi="Cambria Math"/>
          </w:rPr>
          <m:t>16</m:t>
        </m:r>
        <m:r>
          <m:rPr>
            <m:sty m:val="p"/>
          </m:rPr>
          <w:rPr>
            <w:rFonts w:ascii="Cambria Math" w:hAnsi="Cambria Math"/>
          </w:rPr>
          <m:t>≈</m:t>
        </m:r>
        <m:r>
          <w:rPr>
            <w:rFonts w:ascii="Cambria Math" w:hAnsi="Cambria Math"/>
          </w:rPr>
          <m:t>2.77</m:t>
        </m:r>
      </m:oMath>
      <w:r>
        <w:t xml:space="preserve">, centred on </w:t>
      </w:r>
      <m:oMath>
        <m:r>
          <m:rPr>
            <m:sty m:val="p"/>
          </m:rPr>
          <w:rPr>
            <w:rFonts w:ascii="Cambria Math" w:hAnsi="Cambria Math"/>
          </w:rPr>
          <m:t>log</m:t>
        </m:r>
        <m:r>
          <w:rPr>
            <w:rFonts w:ascii="Cambria Math" w:hAnsi="Cambria Math"/>
          </w:rPr>
          <m:t>D</m:t>
        </m:r>
      </m:oMath>
      <w:r>
        <w:t xml:space="preserve">. </w:t>
      </w:r>
      <w:r>
        <w:rPr>
          <w:i/>
          <w:iCs/>
        </w:rPr>
        <w:t xml:space="preserve">(checked: K5, e.g. 0.692 at </w:t>
      </w:r>
      <m:oMath>
        <m:r>
          <w:rPr>
            <w:rFonts w:ascii="Cambria Math" w:hAnsi="Cambria Math"/>
          </w:rPr>
          <m:t>σ</m:t>
        </m:r>
        <m:r>
          <m:rPr>
            <m:sty m:val="p"/>
          </m:rPr>
          <w:rPr>
            <w:rFonts w:ascii="Cambria Math" w:hAnsi="Cambria Math"/>
          </w:rPr>
          <m:t>=</m:t>
        </m:r>
        <m:r>
          <w:rPr>
            <w:rFonts w:ascii="Cambria Math" w:hAnsi="Cambria Math"/>
          </w:rPr>
          <m:t>D</m:t>
        </m:r>
      </m:oMath>
      <w:r>
        <w:rPr>
          <w:i/>
          <w:iCs/>
        </w:rPr>
        <w:t xml:space="preserve"> against </w:t>
      </w:r>
      <m:oMath>
        <m:r>
          <w:rPr>
            <w:rFonts w:ascii="Cambria Math" w:hAnsi="Cambria Math"/>
          </w:rPr>
          <m:t>Φ</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0.691</m:t>
        </m:r>
      </m:oMath>
      <w:r>
        <w:rPr>
          <w:i/>
          <w:iCs/>
        </w:rPr>
        <w:t>)</w:t>
      </w:r>
    </w:p>
    <w:p w14:paraId="23A20483" w14:textId="77777777" w:rsidR="00DB60E8" w:rsidRDefault="00000000">
      <w:pPr>
        <w:pStyle w:val="BodyText"/>
      </w:pPr>
      <w:r>
        <w:rPr>
          <w:i/>
          <w:iCs/>
        </w:rPr>
        <w:t>Proof.</w:t>
      </w:r>
      <w:r>
        <w:t xml:space="preserve"> With equal weights the gate picks the nearer witness. Along the line joining the two witnesses, the particle’s coordinate is </w:t>
      </w:r>
      <m:oMath>
        <m:r>
          <w:rPr>
            <w:rFonts w:ascii="Cambria Math" w:hAnsi="Cambria Math"/>
          </w:rPr>
          <m:t>σZ</m:t>
        </m:r>
      </m:oMath>
      <w:r>
        <w:t xml:space="preserve"> with </w:t>
      </w:r>
      <m:oMath>
        <m:r>
          <w:rPr>
            <w:rFonts w:ascii="Cambria Math" w:hAnsi="Cambria Math"/>
          </w:rPr>
          <m:t>Z</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It is nearer the correct witness exactly when </w:t>
      </w:r>
      <m:oMath>
        <m:r>
          <w:rPr>
            <w:rFonts w:ascii="Cambria Math" w:hAnsi="Cambria Math"/>
          </w:rPr>
          <m:t>σZ</m:t>
        </m:r>
        <m:r>
          <m:rPr>
            <m:sty m:val="p"/>
          </m:rPr>
          <w:rPr>
            <w:rFonts w:ascii="Cambria Math" w:hAnsi="Cambria Math"/>
          </w:rPr>
          <m:t>&lt;</m:t>
        </m:r>
        <m:r>
          <w:rPr>
            <w:rFonts w:ascii="Cambria Math" w:hAnsi="Cambria Math"/>
          </w:rPr>
          <m:t>D</m:t>
        </m:r>
        <m:r>
          <m:rPr>
            <m:sty m:val="p"/>
          </m:rPr>
          <w:rPr>
            <w:rFonts w:ascii="Cambria Math" w:hAnsi="Cambria Math"/>
          </w:rPr>
          <m:t>/</m:t>
        </m:r>
        <m:r>
          <w:rPr>
            <w:rFonts w:ascii="Cambria Math" w:hAnsi="Cambria Math"/>
          </w:rPr>
          <m:t>2</m:t>
        </m:r>
      </m:oMath>
      <w:r>
        <w:t>. ∎</w:t>
      </w:r>
    </w:p>
    <w:p w14:paraId="1993EDDC" w14:textId="77777777" w:rsidR="00DB60E8" w:rsidRDefault="00000000">
      <w:pPr>
        <w:pStyle w:val="BodyText"/>
      </w:pPr>
      <w:r>
        <w:rPr>
          <w:b/>
          <w:bCs/>
        </w:rPr>
        <w:t>Consequence for the cover.</w:t>
      </w:r>
      <w:r>
        <w:t xml:space="preserve"> The cells of an INDIA cover whose log-noise lies within about </w:t>
      </w:r>
      <m:oMath>
        <m:r>
          <m:rPr>
            <m:sty m:val="p"/>
          </m:rPr>
          <w:rPr>
            <w:rFonts w:ascii="Cambria Math" w:hAnsi="Cambria Math"/>
          </w:rPr>
          <m:t>±</m:t>
        </m:r>
        <m:r>
          <w:rPr>
            <w:rFonts w:ascii="Cambria Math" w:hAnsi="Cambria Math"/>
          </w:rPr>
          <m:t>1.4</m:t>
        </m:r>
      </m:oMath>
      <w:r>
        <w:t xml:space="preserve"> of </w:t>
      </w:r>
      <m:oMath>
        <m:r>
          <m:rPr>
            <m:sty m:val="p"/>
          </m:rPr>
          <w:rPr>
            <w:rFonts w:ascii="Cambria Math" w:hAnsi="Cambria Math"/>
          </w:rPr>
          <m:t>log</m:t>
        </m:r>
        <m:r>
          <w:rPr>
            <w:rFonts w:ascii="Cambria Math" w:hAnsi="Cambria Math"/>
          </w:rPr>
          <m:t>D</m:t>
        </m:r>
      </m:oMath>
      <w:r>
        <w:t xml:space="preserve"> are where memory is </w:t>
      </w:r>
      <w:r>
        <w:rPr>
          <w:i/>
          <w:iCs/>
        </w:rPr>
        <w:t>used</w:t>
      </w:r>
      <w:r>
        <w:t xml:space="preserve">. Cells far above that window see only the prior weight </w:t>
      </w:r>
      <m:oMath>
        <m:r>
          <w:rPr>
            <w:rFonts w:ascii="Cambria Math" w:hAnsi="Cambria Math"/>
          </w:rPr>
          <m:t>α</m:t>
        </m:r>
      </m:oMath>
      <w:r>
        <w:t xml:space="preserve">. Cells far below it refine within a climate that has already been chosen. With mandated width </w:t>
      </w:r>
      <m:oMath>
        <m:r>
          <w:rPr>
            <w:rFonts w:ascii="Cambria Math" w:hAnsi="Cambria Math"/>
          </w:rPr>
          <m:t>η</m:t>
        </m:r>
      </m:oMath>
      <w:r>
        <w:t xml:space="preserve"> in log-noise, about </w:t>
      </w:r>
      <m:oMath>
        <m:r>
          <w:rPr>
            <w:rFonts w:ascii="Cambria Math" w:hAnsi="Cambria Math"/>
          </w:rPr>
          <m:t>2.77</m:t>
        </m:r>
        <m:r>
          <m:rPr>
            <m:sty m:val="p"/>
          </m:rPr>
          <w:rPr>
            <w:rFonts w:ascii="Cambria Math" w:hAnsi="Cambria Math"/>
          </w:rPr>
          <m:t>/</m:t>
        </m:r>
        <m:r>
          <w:rPr>
            <w:rFonts w:ascii="Cambria Math" w:hAnsi="Cambria Math"/>
          </w:rPr>
          <m:t>η</m:t>
        </m:r>
      </m:oMath>
      <w:r>
        <w:t xml:space="preserve"> cells take part in recall. This gives a precise sense to a “noise scale of a climate”: the INDIA scale parameter </w:t>
      </w:r>
      <m:oMath>
        <m:r>
          <w:rPr>
            <w:rFonts w:ascii="Cambria Math" w:hAnsi="Cambria Math"/>
          </w:rPr>
          <m:t>s</m:t>
        </m:r>
      </m:oMath>
      <w:r>
        <w:t xml:space="preserve"> of [1, 3] is, for memory, the separation </w:t>
      </w:r>
      <m:oMath>
        <m:r>
          <w:rPr>
            <w:rFonts w:ascii="Cambria Math" w:hAnsi="Cambria Math"/>
          </w:rPr>
          <m:t>D</m:t>
        </m:r>
      </m:oMath>
      <w:r>
        <w:t xml:space="preserve"> between climates.</w:t>
      </w:r>
    </w:p>
    <w:p w14:paraId="5B18C359" w14:textId="77777777" w:rsidR="00DB60E8" w:rsidRDefault="00000000">
      <w:pPr>
        <w:pStyle w:val="Heading2"/>
      </w:pPr>
      <w:bookmarkStart w:id="5" w:name="X1ea41e0b57e06c05c9ecc5b058b4ac4e9cea707"/>
      <w:bookmarkEnd w:id="4"/>
      <w:r>
        <w:t>2.5 Interval noise moves the recall boundary by a bounded amount</w:t>
      </w:r>
    </w:p>
    <w:p w14:paraId="600B1089" w14:textId="77777777" w:rsidR="00DB60E8" w:rsidRDefault="00000000">
      <w:pPr>
        <w:pStyle w:val="FirstParagraph"/>
      </w:pPr>
      <w:r>
        <w:t xml:space="preserve">INDIA applies noise as intervals, so a cell does not have one </w:t>
      </w:r>
      <m:oMath>
        <m:r>
          <w:rPr>
            <w:rFonts w:ascii="Cambria Math" w:hAnsi="Cambria Math"/>
          </w:rPr>
          <m:t>σ</m:t>
        </m:r>
      </m:oMath>
      <w:r>
        <w:t xml:space="preserve">; it has a range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e>
        </m:d>
      </m:oMath>
      <w:r>
        <w:t>. The question is whether the gate’s decision survives that uncertainty.</w:t>
      </w:r>
    </w:p>
    <w:p w14:paraId="2386447E" w14:textId="77777777" w:rsidR="00DB60E8" w:rsidRDefault="00000000">
      <w:pPr>
        <w:pStyle w:val="BodyText"/>
      </w:pPr>
      <w:r>
        <w:rPr>
          <w:b/>
          <w:bCs/>
        </w:rPr>
        <w:t>Proposition 5 (recall boundary under interval noise).</w:t>
      </w:r>
      <w:r>
        <w:t xml:space="preserve"> Place the witnesses at </w:t>
      </w:r>
      <m:oMath>
        <m:r>
          <w:rPr>
            <w:rFonts w:ascii="Cambria Math" w:hAnsi="Cambria Math"/>
          </w:rPr>
          <m:t>0</m:t>
        </m:r>
      </m:oMath>
      <w:r>
        <w:t xml:space="preserve"> and </w:t>
      </w:r>
      <m:oMath>
        <m:r>
          <w:rPr>
            <w:rFonts w:ascii="Cambria Math" w:hAnsi="Cambria Math"/>
          </w:rPr>
          <m:t>D</m:t>
        </m:r>
      </m:oMath>
      <w:r>
        <w:t xml:space="preserve"> on a line, with recurrence counts whose log-ratio is </w:t>
      </w:r>
      <m:oMath>
        <m:r>
          <w:rPr>
            <w:rFonts w:ascii="Cambria Math" w:hAnsi="Cambria Math"/>
          </w:rPr>
          <m:t>L</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e>
        </m:d>
      </m:oMath>
      <w:r>
        <w:t>. The gate’s decision boundary is at</w:t>
      </w:r>
    </w:p>
    <w:p w14:paraId="70FE5EC0" w14:textId="77777777" w:rsidR="00DB60E8" w:rsidRDefault="00000000">
      <w:pPr>
        <w:pStyle w:val="BodyTex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L</m:t>
              </m:r>
            </m:num>
            <m:den>
              <m:r>
                <w:rPr>
                  <w:rFonts w:ascii="Cambria Math" w:hAnsi="Cambria Math"/>
                </w:rPr>
                <m:t>D</m:t>
              </m:r>
            </m:den>
          </m:f>
          <m:r>
            <m:rPr>
              <m:sty m:val="p"/>
            </m:rPr>
            <w:rPr>
              <w:rFonts w:ascii="Cambria Math" w:hAnsi="Cambria Math"/>
            </w:rPr>
            <m:t>.</m:t>
          </m:r>
        </m:oMath>
      </m:oMathPara>
    </w:p>
    <w:p w14:paraId="6985E8CE" w14:textId="77777777" w:rsidR="00DB60E8" w:rsidRDefault="00000000">
      <w:pPr>
        <w:pStyle w:val="FirstParagraph"/>
      </w:pPr>
      <w:r>
        <w:t xml:space="preserve">Over a noise interval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e>
        </m:d>
      </m:oMath>
      <w:r>
        <w:t>, the boundary sweeps a band of width</w:t>
      </w:r>
    </w:p>
    <w:p w14:paraId="514106D1" w14:textId="77777777" w:rsidR="00DB60E8" w:rsidRDefault="00000000">
      <w:pPr>
        <w:pStyle w:val="BodyText"/>
      </w:pPr>
      <m:oMathPara>
        <m:oMathParaPr>
          <m:jc m:val="center"/>
        </m:oMathParaPr>
        <m:oMath>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e>
              </m:d>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num>
            <m:den>
              <m:r>
                <w:rPr>
                  <w:rFonts w:ascii="Cambria Math" w:hAnsi="Cambria Math"/>
                </w:rPr>
                <m:t>D</m:t>
              </m:r>
            </m:den>
          </m:f>
          <m:r>
            <m:rPr>
              <m:sty m:val="p"/>
            </m:rPr>
            <w:rPr>
              <w:rFonts w:ascii="Cambria Math" w:hAnsi="Cambria Math"/>
            </w:rPr>
            <m:t>.</m:t>
          </m:r>
        </m:oMath>
      </m:oMathPara>
    </w:p>
    <w:p w14:paraId="46AF73EA" w14:textId="77777777" w:rsidR="00DB60E8" w:rsidRDefault="00000000">
      <w:pPr>
        <w:pStyle w:val="FirstParagraph"/>
      </w:pPr>
      <w:r>
        <w:t>In particular, when the counts are equal (</w:t>
      </w:r>
      <m:oMath>
        <m:r>
          <w:rPr>
            <w:rFonts w:ascii="Cambria Math" w:hAnsi="Cambria Math"/>
          </w:rPr>
          <m:t>L</m:t>
        </m:r>
        <m:r>
          <m:rPr>
            <m:sty m:val="p"/>
          </m:rPr>
          <w:rPr>
            <w:rFonts w:ascii="Cambria Math" w:hAnsi="Cambria Math"/>
          </w:rPr>
          <m:t>=</m:t>
        </m:r>
        <m:r>
          <w:rPr>
            <w:rFonts w:ascii="Cambria Math" w:hAnsi="Cambria Math"/>
          </w:rPr>
          <m:t>0</m:t>
        </m:r>
      </m:oMath>
      <w:r>
        <w:t xml:space="preserve">), the hard decision does not depend on </w:t>
      </w:r>
      <m:oMath>
        <m:r>
          <w:rPr>
            <w:rFonts w:ascii="Cambria Math" w:hAnsi="Cambria Math"/>
          </w:rPr>
          <m:t>σ</m:t>
        </m:r>
      </m:oMath>
      <w:r>
        <w:t xml:space="preserve"> at all. Interval noise changes how soft the gate is, never which side it chooses.</w:t>
      </w:r>
    </w:p>
    <w:p w14:paraId="53FEB8BD" w14:textId="77777777" w:rsidR="00DB60E8" w:rsidRDefault="00000000">
      <w:pPr>
        <w:pStyle w:val="BodyText"/>
      </w:pPr>
      <w:r>
        <w:rPr>
          <w:i/>
          <w:iCs/>
        </w:rPr>
        <w:t>Proof.</w:t>
      </w:r>
      <w:r>
        <w:t xml:space="preserve"> The log-odds in favour of the witness at 0 are </w:t>
      </w: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2xD</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L</m:t>
        </m:r>
      </m:oMath>
      <w:r>
        <w:t xml:space="preserve">. Set this to zero and solve for </w:t>
      </w:r>
      <m:oMath>
        <m:r>
          <w:rPr>
            <w:rFonts w:ascii="Cambria Math" w:hAnsi="Cambria Math"/>
          </w:rPr>
          <m:t>x</m:t>
        </m:r>
      </m:oMath>
      <w:r>
        <w:t>. ∎</w:t>
      </w:r>
    </w:p>
    <w:p w14:paraId="6E02179A" w14:textId="77777777" w:rsidR="00DB60E8" w:rsidRDefault="00000000">
      <w:pPr>
        <w:pStyle w:val="BodyText"/>
      </w:pPr>
      <w:r>
        <w:rPr>
          <w:b/>
          <w:bCs/>
        </w:rPr>
        <w:lastRenderedPageBreak/>
        <w:t>Interpretation.</w:t>
      </w:r>
      <w:r>
        <w:t xml:space="preserve"> Interval noise is harmless to recall </w:t>
      </w:r>
      <w:r>
        <w:rPr>
          <w:i/>
          <w:iCs/>
        </w:rPr>
        <w:t>between climates that recur equally often</w:t>
      </w:r>
      <w:r>
        <w:t xml:space="preserve">. It matters only when recurrence is unequal, and then the ambiguity band grows with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oMath>
      <w:r>
        <w:t xml:space="preserve">. A robust cover should therefore use narrow cells near </w:t>
      </w:r>
      <m:oMath>
        <m:r>
          <m:rPr>
            <m:sty m:val="p"/>
          </m:rPr>
          <w:rPr>
            <w:rFonts w:ascii="Cambria Math" w:hAnsi="Cambria Math"/>
          </w:rPr>
          <m:t>log</m:t>
        </m:r>
        <m:r>
          <w:rPr>
            <w:rFonts w:ascii="Cambria Math" w:hAnsi="Cambria Math"/>
          </w:rPr>
          <m:t>D</m:t>
        </m:r>
      </m:oMath>
      <w:r>
        <w:t xml:space="preserve"> when the recurrence counts are skewed. This is the Closure Diffusion analogue of INDIA’s handoff tolerance [1].</w:t>
      </w:r>
    </w:p>
    <w:p w14:paraId="61507331" w14:textId="77777777" w:rsidR="00DB60E8" w:rsidRDefault="00000000">
      <w:pPr>
        <w:pStyle w:val="Heading2"/>
      </w:pPr>
      <w:bookmarkStart w:id="6" w:name="X9bba59a521f2ddda69be8553696a0eaf83d9d55"/>
      <w:bookmarkEnd w:id="5"/>
      <w:r>
        <w:t>2.6 Points or hull: what the outer closure should remember</w:t>
      </w:r>
    </w:p>
    <w:p w14:paraId="66600F91" w14:textId="77777777" w:rsidR="00DB60E8" w:rsidRDefault="00000000">
      <w:pPr>
        <w:pStyle w:val="FirstParagraph"/>
      </w:pPr>
      <w:r>
        <w:t xml:space="preserve">The outer environment can store the witnesses themselves or their hull </w:t>
      </w:r>
      <m:oMath>
        <m:r>
          <m:rPr>
            <m:sty m:val="p"/>
          </m:rPr>
          <w:rPr>
            <w:rFonts w:ascii="Cambria Math" w:hAnsi="Cambria Math"/>
          </w:rPr>
          <m:t>cl</m:t>
        </m:r>
        <m:d>
          <m:dPr>
            <m:ctrlPr>
              <w:rPr>
                <w:rFonts w:ascii="Cambria Math" w:hAnsi="Cambria Math"/>
              </w:rPr>
            </m:ctrlPr>
          </m:dPr>
          <m:e>
            <m:r>
              <w:rPr>
                <w:rFonts w:ascii="Cambria Math" w:hAnsi="Cambria Math"/>
              </w:rPr>
              <m:t>W</m:t>
            </m:r>
          </m:e>
        </m:d>
      </m:oMath>
      <w:r>
        <w:t xml:space="preserve"> (meaning 3 in §2.1). Storing the hull makes the outer prior uniform on a box. Its denoiser is then a truncated-Gaussian mean, no longer the point mixture of Definition 1.</w:t>
      </w:r>
    </w:p>
    <w:p w14:paraId="0E4215AE" w14:textId="77777777" w:rsidR="00DB60E8" w:rsidRDefault="00000000">
      <w:pPr>
        <w:pStyle w:val="BodyText"/>
      </w:pPr>
      <w:r>
        <w:rPr>
          <w:b/>
          <w:bCs/>
        </w:rPr>
        <w:t>Proposition 6 (hull memory interpolates).</w:t>
      </w:r>
      <w:r>
        <w:t xml:space="preserve"> A uniform prior on </w:t>
      </w:r>
      <m:oMath>
        <m:r>
          <m:rPr>
            <m:sty m:val="p"/>
          </m:rPr>
          <w:rPr>
            <w:rFonts w:ascii="Cambria Math" w:hAnsi="Cambria Math"/>
          </w:rPr>
          <m:t>cl</m:t>
        </m:r>
        <m:d>
          <m:dPr>
            <m:ctrlPr>
              <w:rPr>
                <w:rFonts w:ascii="Cambria Math" w:hAnsi="Cambria Math"/>
              </w:rPr>
            </m:ctrlPr>
          </m:dPr>
          <m:e>
            <m:r>
              <w:rPr>
                <w:rFonts w:ascii="Cambria Math" w:hAnsi="Cambria Math"/>
              </w:rPr>
              <m:t>W</m:t>
            </m:r>
          </m:e>
        </m:d>
      </m:oMath>
      <w:r>
        <w:t xml:space="preserve"> assigns positive mass to every point between the witnesses. Its posterior mean at any </w:t>
      </w:r>
      <m:oMath>
        <m:r>
          <w:rPr>
            <w:rFonts w:ascii="Cambria Math" w:hAnsi="Cambria Math"/>
          </w:rPr>
          <m:t>σ</m:t>
        </m:r>
        <m:r>
          <m:rPr>
            <m:sty m:val="p"/>
          </m:rPr>
          <w:rPr>
            <w:rFonts w:ascii="Cambria Math" w:hAnsi="Cambria Math"/>
          </w:rPr>
          <m:t>&gt;</m:t>
        </m:r>
        <m:r>
          <w:rPr>
            <w:rFonts w:ascii="Cambria Math" w:hAnsi="Cambria Math"/>
          </w:rPr>
          <m:t>0</m:t>
        </m:r>
      </m:oMath>
      <w:r>
        <w:t xml:space="preserve"> lies in the interior of the hull. A point prior on </w:t>
      </w:r>
      <m:oMath>
        <m:r>
          <w:rPr>
            <w:rFonts w:ascii="Cambria Math" w:hAnsi="Cambria Math"/>
          </w:rPr>
          <m:t>W</m:t>
        </m:r>
      </m:oMath>
      <w:r>
        <w:t xml:space="preserve"> assigns zero mass between the witnesses, and its posterior mean tends to a witness as </w:t>
      </w:r>
      <m:oMath>
        <m:r>
          <w:rPr>
            <w:rFonts w:ascii="Cambria Math" w:hAnsi="Cambria Math"/>
          </w:rPr>
          <m:t>σ</m:t>
        </m:r>
        <m:r>
          <m:rPr>
            <m:sty m:val="p"/>
          </m:rPr>
          <w:rPr>
            <w:rFonts w:ascii="Cambria Math" w:hAnsi="Cambria Math"/>
          </w:rPr>
          <m:t>→</m:t>
        </m:r>
        <m:r>
          <w:rPr>
            <w:rFonts w:ascii="Cambria Math" w:hAnsi="Cambria Math"/>
          </w:rPr>
          <m:t>0</m:t>
        </m:r>
      </m:oMath>
      <w:r>
        <w:t>.</w:t>
      </w:r>
    </w:p>
    <w:p w14:paraId="18466C2F" w14:textId="77777777" w:rsidR="00DB60E8" w:rsidRDefault="00000000">
      <w:pPr>
        <w:pStyle w:val="BodyText"/>
      </w:pPr>
      <w:r>
        <w:rPr>
          <w:i/>
          <w:iCs/>
        </w:rPr>
        <w:t>Proof.</w:t>
      </w:r>
      <w:r>
        <w:t xml:space="preserve"> The first claim holds by construction. For the second, the posterior is supported on the box and is strictly positive on its interior. For the point prior,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xml:space="preserve"> the indicator of the nearest witness as </w:t>
      </w:r>
      <m:oMath>
        <m:r>
          <w:rPr>
            <w:rFonts w:ascii="Cambria Math" w:hAnsi="Cambria Math"/>
          </w:rPr>
          <m:t>σ</m:t>
        </m:r>
        <m:r>
          <m:rPr>
            <m:sty m:val="p"/>
          </m:rPr>
          <w:rPr>
            <w:rFonts w:ascii="Cambria Math" w:hAnsi="Cambria Math"/>
          </w:rPr>
          <m:t>→</m:t>
        </m:r>
        <m:r>
          <w:rPr>
            <w:rFonts w:ascii="Cambria Math" w:hAnsi="Cambria Math"/>
          </w:rPr>
          <m:t>0</m:t>
        </m:r>
      </m:oMath>
      <w:r>
        <w:t xml:space="preserve"> for almost every </w:t>
      </w:r>
      <m:oMath>
        <m:r>
          <w:rPr>
            <w:rFonts w:ascii="Cambria Math" w:hAnsi="Cambria Math"/>
          </w:rPr>
          <m:t>x</m:t>
        </m:r>
      </m:oMath>
      <w:r>
        <w:t>. ∎</w:t>
      </w:r>
    </w:p>
    <w:p w14:paraId="60B114D9" w14:textId="77777777" w:rsidR="00DB60E8" w:rsidRDefault="00000000">
      <w:pPr>
        <w:pStyle w:val="BodyText"/>
      </w:pPr>
      <w:r>
        <w:t>So the choice is structural, not a matter of tuning:</w:t>
      </w:r>
    </w:p>
    <w:tbl>
      <w:tblPr>
        <w:tblStyle w:val="Table"/>
        <w:tblW w:w="5000" w:type="pct"/>
        <w:tblLook w:val="0020" w:firstRow="1" w:lastRow="0" w:firstColumn="0" w:lastColumn="0" w:noHBand="0" w:noVBand="0"/>
      </w:tblPr>
      <w:tblGrid>
        <w:gridCol w:w="3461"/>
        <w:gridCol w:w="1010"/>
        <w:gridCol w:w="5105"/>
      </w:tblGrid>
      <w:tr w:rsidR="00DB60E8" w14:paraId="2C46E155" w14:textId="77777777" w:rsidTr="00DB60E8">
        <w:trPr>
          <w:cnfStyle w:val="100000000000" w:firstRow="1" w:lastRow="0" w:firstColumn="0" w:lastColumn="0" w:oddVBand="0" w:evenVBand="0" w:oddHBand="0" w:evenHBand="0" w:firstRowFirstColumn="0" w:firstRowLastColumn="0" w:lastRowFirstColumn="0" w:lastRowLastColumn="0"/>
          <w:tblHeader/>
        </w:trPr>
        <w:tc>
          <w:tcPr>
            <w:tcW w:w="0" w:type="auto"/>
          </w:tcPr>
          <w:p w14:paraId="0479B781" w14:textId="77777777" w:rsidR="00DB60E8" w:rsidRDefault="00000000">
            <w:pPr>
              <w:pStyle w:val="Compact"/>
            </w:pPr>
            <w:r>
              <w:t>What changes between climates</w:t>
            </w:r>
          </w:p>
        </w:tc>
        <w:tc>
          <w:tcPr>
            <w:tcW w:w="0" w:type="auto"/>
          </w:tcPr>
          <w:p w14:paraId="4C818E34" w14:textId="77777777" w:rsidR="00DB60E8" w:rsidRDefault="00000000">
            <w:pPr>
              <w:pStyle w:val="Compact"/>
            </w:pPr>
            <w:r>
              <w:t>Store</w:t>
            </w:r>
          </w:p>
        </w:tc>
        <w:tc>
          <w:tcPr>
            <w:tcW w:w="0" w:type="auto"/>
          </w:tcPr>
          <w:p w14:paraId="21393F87" w14:textId="77777777" w:rsidR="00DB60E8" w:rsidRDefault="00000000">
            <w:pPr>
              <w:pStyle w:val="Compact"/>
            </w:pPr>
            <w:r>
              <w:t>Why</w:t>
            </w:r>
          </w:p>
        </w:tc>
      </w:tr>
      <w:tr w:rsidR="00DB60E8" w14:paraId="26236224" w14:textId="77777777">
        <w:tc>
          <w:tcPr>
            <w:tcW w:w="0" w:type="auto"/>
          </w:tcPr>
          <w:p w14:paraId="363F31B4" w14:textId="77777777" w:rsidR="00DB60E8" w:rsidRDefault="00000000">
            <w:pPr>
              <w:pStyle w:val="Compact"/>
            </w:pPr>
            <w:r>
              <w:t xml:space="preserve">Climates </w:t>
            </w:r>
            <w:r>
              <w:rPr>
                <w:b/>
                <w:bCs/>
              </w:rPr>
              <w:t>recur discretely</w:t>
            </w:r>
            <w:r>
              <w:t xml:space="preserve"> (two seasons, a fixed set of regimes)</w:t>
            </w:r>
          </w:p>
        </w:tc>
        <w:tc>
          <w:tcPr>
            <w:tcW w:w="0" w:type="auto"/>
          </w:tcPr>
          <w:p w14:paraId="3162863B" w14:textId="77777777" w:rsidR="00DB60E8" w:rsidRDefault="00000000">
            <w:pPr>
              <w:pStyle w:val="Compact"/>
            </w:pPr>
            <w:r>
              <w:t xml:space="preserve">points </w:t>
            </w:r>
            <m:oMath>
              <m:r>
                <w:rPr>
                  <w:rFonts w:ascii="Cambria Math" w:hAnsi="Cambria Math"/>
                </w:rPr>
                <m:t>W</m:t>
              </m:r>
            </m:oMath>
          </w:p>
        </w:tc>
        <w:tc>
          <w:tcPr>
            <w:tcW w:w="0" w:type="auto"/>
          </w:tcPr>
          <w:p w14:paraId="2BC455FC" w14:textId="77777777" w:rsidR="00DB60E8" w:rsidRDefault="00000000">
            <w:pPr>
              <w:pStyle w:val="Compact"/>
            </w:pPr>
            <w:r>
              <w:t>mass between the witnesses is wasted, and hull memory partially repeats the product failure of Proposition 2</w:t>
            </w:r>
          </w:p>
        </w:tc>
      </w:tr>
      <w:tr w:rsidR="00DB60E8" w14:paraId="0E2B286A" w14:textId="77777777">
        <w:tc>
          <w:tcPr>
            <w:tcW w:w="0" w:type="auto"/>
          </w:tcPr>
          <w:p w14:paraId="3678BE65" w14:textId="77777777" w:rsidR="00DB60E8" w:rsidRDefault="00000000">
            <w:pPr>
              <w:pStyle w:val="Compact"/>
            </w:pPr>
            <w:r>
              <w:t xml:space="preserve">Climates </w:t>
            </w:r>
            <w:r>
              <w:rPr>
                <w:b/>
                <w:bCs/>
              </w:rPr>
              <w:t>drift continuously</w:t>
            </w:r>
            <w:r>
              <w:t xml:space="preserve"> along a few coordinates</w:t>
            </w:r>
          </w:p>
        </w:tc>
        <w:tc>
          <w:tcPr>
            <w:tcW w:w="0" w:type="auto"/>
          </w:tcPr>
          <w:p w14:paraId="512CEED3" w14:textId="77777777" w:rsidR="00DB60E8" w:rsidRDefault="00000000">
            <w:pPr>
              <w:pStyle w:val="Compact"/>
            </w:pPr>
            <w:r>
              <w:t xml:space="preserve">hull </w:t>
            </w:r>
            <m:oMath>
              <m:r>
                <m:rPr>
                  <m:sty m:val="p"/>
                </m:rPr>
                <w:rPr>
                  <w:rFonts w:ascii="Cambria Math" w:hAnsi="Cambria Math"/>
                </w:rPr>
                <m:t>cl</m:t>
              </m:r>
              <m:d>
                <m:dPr>
                  <m:ctrlPr>
                    <w:rPr>
                      <w:rFonts w:ascii="Cambria Math" w:hAnsi="Cambria Math"/>
                    </w:rPr>
                  </m:ctrlPr>
                </m:dPr>
                <m:e>
                  <m:r>
                    <w:rPr>
                      <w:rFonts w:ascii="Cambria Math" w:hAnsi="Cambria Math"/>
                    </w:rPr>
                    <m:t>W</m:t>
                  </m:r>
                </m:e>
              </m:d>
            </m:oMath>
          </w:p>
        </w:tc>
        <w:tc>
          <w:tcPr>
            <w:tcW w:w="0" w:type="auto"/>
          </w:tcPr>
          <w:p w14:paraId="43D2EF17" w14:textId="77777777" w:rsidR="00DB60E8" w:rsidRDefault="00000000">
            <w:pPr>
              <w:pStyle w:val="Compact"/>
            </w:pPr>
            <w:r>
              <w:t>the unseen intermediate climates are exactly the interior of the hull</w:t>
            </w:r>
          </w:p>
        </w:tc>
      </w:tr>
    </w:tbl>
    <w:p w14:paraId="28BA22EE" w14:textId="77777777" w:rsidR="00DB60E8" w:rsidRDefault="00000000">
      <w:pPr>
        <w:pStyle w:val="BodyText"/>
      </w:pPr>
      <w:r>
        <w:t>This is the same dichotomy as the box-versus-archive comparison in the meta-learning exploration. Here it reappears as a choice between two priors for the outer closure.</w:t>
      </w:r>
    </w:p>
    <w:p w14:paraId="07DAD5B0" w14:textId="77777777" w:rsidR="00DB60E8" w:rsidRDefault="00000000">
      <w:pPr>
        <w:pStyle w:val="Heading2"/>
      </w:pPr>
      <w:bookmarkStart w:id="7" w:name="two-guarantees-that-carry-over-unchanged"/>
      <w:bookmarkEnd w:id="6"/>
      <w:r>
        <w:t>2.7 Two guarantees that carry over unchanged</w:t>
      </w:r>
    </w:p>
    <w:p w14:paraId="71447084" w14:textId="77777777" w:rsidR="00DB60E8" w:rsidRDefault="00000000">
      <w:pPr>
        <w:pStyle w:val="FirstParagraph"/>
      </w:pPr>
      <w:r>
        <w:rPr>
          <w:b/>
          <w:bCs/>
        </w:rPr>
        <w:t>Proposition 7 (certificate isolation).</w:t>
      </w:r>
      <w:r>
        <w:t xml:space="preserve"> Partition the particles into an active set, denoised by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alone, and a dormant set, denoised by the gated mixture. Suppose dormant particles enter the active set only at a task switch. Then between switches the active set follows exactly the trajectory of Diffusion Evolution, or of IDEA when the particles are boxes, run on the active set alone. Every certificate of [2, 3] therefore holds for the active set. The dormant set plays the role of the shielded allele in a diploid genetic algorithm [11]: it is protected from current selection and is expressed only when its climate returns.</w:t>
      </w:r>
    </w:p>
    <w:p w14:paraId="699D5EE7" w14:textId="77777777" w:rsidR="00DB60E8" w:rsidRDefault="00000000">
      <w:pPr>
        <w:pStyle w:val="BodyText"/>
      </w:pPr>
      <w:r>
        <w:rPr>
          <w:i/>
          <w:iCs/>
        </w:rPr>
        <w:t>Proof.</w:t>
      </w:r>
      <w:r>
        <w:t xml:space="preserve"> The active update reads only the active particles and </w:t>
      </w:r>
      <m:oMath>
        <m:sSub>
          <m:sSubPr>
            <m:ctrlPr>
              <w:rPr>
                <w:rFonts w:ascii="Cambria Math" w:hAnsi="Cambria Math"/>
              </w:rPr>
            </m:ctrlPr>
          </m:sSubPr>
          <m:e>
            <m:r>
              <w:rPr>
                <w:rFonts w:ascii="Cambria Math" w:hAnsi="Cambria Math"/>
              </w:rPr>
              <m:t>f</m:t>
            </m:r>
          </m:e>
          <m:sub>
            <m:r>
              <w:rPr>
                <w:rFonts w:ascii="Cambria Math" w:hAnsi="Cambria Math"/>
              </w:rPr>
              <m:t>e</m:t>
            </m:r>
          </m:sub>
        </m:sSub>
      </m:oMath>
      <w:r>
        <w:t>. The outer environment is never an argument of it. ∎</w:t>
      </w:r>
    </w:p>
    <w:p w14:paraId="554EB3EF" w14:textId="77777777" w:rsidR="00DB60E8" w:rsidRDefault="00000000">
      <w:pPr>
        <w:pStyle w:val="BodyText"/>
      </w:pPr>
      <w:r>
        <w:rPr>
          <w:b/>
          <w:bCs/>
        </w:rPr>
        <w:lastRenderedPageBreak/>
        <w:t>Proposition 8 (no free memory).</w:t>
      </w:r>
      <w:r>
        <w:t xml:space="preserve"> Let </w:t>
      </w:r>
      <m:oMath>
        <m:sSub>
          <m:sSubPr>
            <m:ctrlPr>
              <w:rPr>
                <w:rFonts w:ascii="Cambria Math" w:hAnsi="Cambria Math"/>
              </w:rPr>
            </m:ctrlPr>
          </m:sSubPr>
          <m:e>
            <m:r>
              <w:rPr>
                <w:rFonts w:ascii="Cambria Math" w:hAnsi="Cambria Math"/>
              </w:rPr>
              <m:t>e</m:t>
            </m:r>
          </m:e>
          <m:sub>
            <m:r>
              <m:rPr>
                <m:nor/>
              </m:rPr>
              <m:t>old</m:t>
            </m:r>
          </m:sub>
        </m:sSub>
      </m:oMath>
      <w:r>
        <w:t xml:space="preserve"> be a past task, and suppose that after time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every update uses only the current task and the current state, including the witness bank. Then the mutual information </w:t>
      </w: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e</m:t>
                </m:r>
              </m:e>
              <m:sub>
                <m:r>
                  <m:rPr>
                    <m:nor/>
                  </m:rPr>
                  <m:t>old</m:t>
                </m:r>
              </m:sub>
            </m:sSub>
            <m:r>
              <m:rPr>
                <m:sty m:val="p"/>
              </m:rPr>
              <w:rPr>
                <w:rFonts w:ascii="Cambria Math" w:hAnsi="Cambria Math"/>
              </w:rPr>
              <m:t>;</m:t>
            </m:r>
            <m:sSub>
              <m:sSubPr>
                <m:ctrlPr>
                  <w:rPr>
                    <w:rFonts w:ascii="Cambria Math" w:hAnsi="Cambria Math"/>
                  </w:rPr>
                </m:ctrlPr>
              </m:sSubPr>
              <m:e>
                <m:r>
                  <m:rPr>
                    <m:nor/>
                  </m:rPr>
                  <m:t>state</m:t>
                </m:r>
              </m:e>
              <m:sub>
                <m:r>
                  <w:rPr>
                    <w:rFonts w:ascii="Cambria Math" w:hAnsi="Cambria Math"/>
                  </w:rPr>
                  <m:t>t</m:t>
                </m:r>
              </m:sub>
            </m:sSub>
          </m:e>
        </m:d>
      </m:oMath>
      <w:r>
        <w:t xml:space="preserve"> cannot increase for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w:t>
      </w:r>
    </w:p>
    <w:p w14:paraId="4759C6DE" w14:textId="77777777" w:rsidR="00DB60E8" w:rsidRDefault="00000000">
      <w:pPr>
        <w:pStyle w:val="BodyText"/>
      </w:pPr>
      <w:r>
        <w:rPr>
          <w:i/>
          <w:iCs/>
        </w:rPr>
        <w:t>Proof.</w:t>
      </w:r>
      <w:r>
        <w:t xml:space="preserve"> </w:t>
      </w:r>
      <m:oMath>
        <m:sSub>
          <m:sSubPr>
            <m:ctrlPr>
              <w:rPr>
                <w:rFonts w:ascii="Cambria Math" w:hAnsi="Cambria Math"/>
              </w:rPr>
            </m:ctrlPr>
          </m:sSubPr>
          <m:e>
            <m:r>
              <w:rPr>
                <w:rFonts w:ascii="Cambria Math" w:hAnsi="Cambria Math"/>
              </w:rPr>
              <m:t>e</m:t>
            </m:r>
          </m:e>
          <m:sub>
            <m:r>
              <m:rPr>
                <m:nor/>
              </m:rPr>
              <m:t>old</m:t>
            </m:r>
          </m:sub>
        </m:sSub>
        <m:r>
          <m:rPr>
            <m:sty m:val="p"/>
          </m:rPr>
          <w:rPr>
            <w:rFonts w:ascii="Cambria Math" w:hAnsi="Cambria Math"/>
          </w:rPr>
          <m:t>→</m:t>
        </m:r>
        <m:sSub>
          <m:sSubPr>
            <m:ctrlPr>
              <w:rPr>
                <w:rFonts w:ascii="Cambria Math" w:hAnsi="Cambria Math"/>
              </w:rPr>
            </m:ctrlPr>
          </m:sSubPr>
          <m:e>
            <m:r>
              <m:rPr>
                <m:nor/>
              </m:rPr>
              <m:t>state</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nor/>
              </m:rPr>
              <m:t>state</m:t>
            </m:r>
          </m:e>
          <m:sub>
            <m:r>
              <w:rPr>
                <w:rFonts w:ascii="Cambria Math" w:hAnsi="Cambria Math"/>
              </w:rPr>
              <m:t>t</m:t>
            </m:r>
          </m:sub>
        </m:sSub>
      </m:oMath>
      <w:r>
        <w:t xml:space="preserve"> is a Markov chain. Apply the data-processing inequality [12]. ∎</w:t>
      </w:r>
    </w:p>
    <w:p w14:paraId="5A2F13D4" w14:textId="77777777" w:rsidR="00DB60E8" w:rsidRDefault="00000000">
      <w:pPr>
        <w:pStyle w:val="BodyText"/>
      </w:pPr>
      <w:r>
        <w:t>A closure is not a source of information. Closure Diffusion remembers exactly what the witness bank records, and nothing more. What the closure buys is that this memory is (i) retrieved at no evaluation cost (Definition 2), (ii) retrieved at the right noise scale (Proposition 4), and (iii) kept away from the certificate (Proposition 7).</w:t>
      </w:r>
    </w:p>
    <w:p w14:paraId="5B189C68" w14:textId="77777777" w:rsidR="00DB60E8" w:rsidRDefault="00000000">
      <w:pPr>
        <w:pStyle w:val="Heading2"/>
      </w:pPr>
      <w:bookmarkStart w:id="8" w:name="what-closure-diffusion-is-not"/>
      <w:bookmarkEnd w:id="7"/>
      <w:r>
        <w:t>2.8 What Closure Diffusion is not</w:t>
      </w:r>
    </w:p>
    <w:p w14:paraId="5A352D4D" w14:textId="77777777" w:rsidR="00DB60E8" w:rsidRDefault="00000000">
      <w:pPr>
        <w:pStyle w:val="Compact"/>
        <w:numPr>
          <w:ilvl w:val="0"/>
          <w:numId w:val="6"/>
        </w:numPr>
      </w:pPr>
      <w:r>
        <w:rPr>
          <w:b/>
          <w:bCs/>
        </w:rPr>
        <w:t>It is not classifier-free guidance.</w:t>
      </w:r>
      <w:r>
        <w:t xml:space="preserve"> Guidance multiplies densities and extrapolates. Closure Diffusion mixes priors and gates between them. Proposition 2 shows that the two differ qualitatively whenever the climates are separated by much more than their width.</w:t>
      </w:r>
    </w:p>
    <w:p w14:paraId="4517D5EA" w14:textId="77777777" w:rsidR="00DB60E8" w:rsidRDefault="00000000">
      <w:pPr>
        <w:pStyle w:val="Compact"/>
        <w:numPr>
          <w:ilvl w:val="0"/>
          <w:numId w:val="6"/>
        </w:numPr>
      </w:pPr>
      <w:r>
        <w:rPr>
          <w:b/>
          <w:bCs/>
        </w:rPr>
        <w:t>It is not a learned prior.</w:t>
      </w:r>
      <w:r>
        <w:t xml:space="preserve"> The outer denoiser is exact for its environment (Proposition 1) and needs no network. A learned denoiser could replace </w:t>
      </w:r>
      <m:oMath>
        <m:r>
          <w:rPr>
            <w:rFonts w:ascii="Cambria Math" w:hAnsi="Cambria Math"/>
          </w:rPr>
          <m:t>T</m:t>
        </m:r>
      </m:oMath>
      <w:r>
        <w:t xml:space="preserve"> when the witness bank grows large. That would trade exactness for compression, and it is outside this paper.</w:t>
      </w:r>
    </w:p>
    <w:p w14:paraId="3E763DE9" w14:textId="77777777" w:rsidR="00DB60E8" w:rsidRDefault="00000000">
      <w:pPr>
        <w:pStyle w:val="Compact"/>
        <w:numPr>
          <w:ilvl w:val="0"/>
          <w:numId w:val="6"/>
        </w:numPr>
      </w:pPr>
      <w:r>
        <w:rPr>
          <w:b/>
          <w:bCs/>
        </w:rPr>
        <w:t>It is not a new source of evolutionary power.</w:t>
      </w:r>
      <w:r>
        <w:t xml:space="preserve"> Proposition 8 bounds it. The gains are in when and how cheaply stored information is used.</w:t>
      </w:r>
    </w:p>
    <w:p w14:paraId="5931ED8F" w14:textId="77777777" w:rsidR="00DB60E8" w:rsidRDefault="00000000">
      <w:pPr>
        <w:pStyle w:val="Compact"/>
        <w:numPr>
          <w:ilvl w:val="0"/>
          <w:numId w:val="6"/>
        </w:numPr>
      </w:pPr>
      <w:r>
        <w:rPr>
          <w:b/>
          <w:bCs/>
        </w:rPr>
        <w:t>It is not specific to boxes</w:t>
      </w:r>
      <w:r>
        <w:t>, except where the IDEA certificate is wanted. With point particles, the inner closure is exactly the estimator of [4].</w:t>
      </w:r>
    </w:p>
    <w:p w14:paraId="6B735F96" w14:textId="77777777" w:rsidR="00DB60E8" w:rsidRDefault="00000000">
      <w:pPr>
        <w:pStyle w:val="Heading2"/>
      </w:pPr>
      <w:bookmarkStart w:id="9" w:name="Xba2568680e61ac4bfaaaee3e6c754dc2f694a7a"/>
      <w:bookmarkEnd w:id="8"/>
      <w:r>
        <w:t>2.9 Predictions that can falsify the framework</w:t>
      </w:r>
    </w:p>
    <w:p w14:paraId="4426F920" w14:textId="77777777" w:rsidR="00DB60E8" w:rsidRDefault="00000000">
      <w:pPr>
        <w:pStyle w:val="FirstParagraph"/>
      </w:pPr>
      <w:r>
        <w:t>Each statement below can be refuted by one experiment on the alternating-climate benchmark used for IDEA-2.</w:t>
      </w:r>
    </w:p>
    <w:p w14:paraId="26300F60" w14:textId="77777777" w:rsidR="00DB60E8" w:rsidRDefault="00000000">
      <w:pPr>
        <w:pStyle w:val="Compact"/>
        <w:numPr>
          <w:ilvl w:val="0"/>
          <w:numId w:val="7"/>
        </w:numPr>
      </w:pPr>
      <w:r>
        <w:rPr>
          <w:b/>
          <w:bCs/>
        </w:rPr>
        <w:t>P1 (product versus mixture).</w:t>
      </w:r>
      <w:r>
        <w:t xml:space="preserve"> With climates separated by </w:t>
      </w:r>
      <m:oMath>
        <m:r>
          <w:rPr>
            <w:rFonts w:ascii="Cambria Math" w:hAnsi="Cambria Math"/>
          </w:rPr>
          <m:t>D</m:t>
        </m:r>
        <m:r>
          <m:rPr>
            <m:sty m:val="p"/>
          </m:rPr>
          <w:rPr>
            <w:rFonts w:ascii="Cambria Math" w:hAnsi="Cambria Math"/>
          </w:rPr>
          <m:t>≫</m:t>
        </m:r>
        <m:r>
          <w:rPr>
            <w:rFonts w:ascii="Cambria Math" w:hAnsi="Cambria Math"/>
          </w:rPr>
          <m:t>τ</m:t>
        </m:r>
      </m:oMath>
      <w:r>
        <w:t xml:space="preserve">, additive score guidance places the population near the midpoint of the two optima, with relative density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at each optimum. The gated mixture keeps both modes.</w:t>
      </w:r>
    </w:p>
    <w:p w14:paraId="1CCAAC0C" w14:textId="77777777" w:rsidR="00DB60E8" w:rsidRDefault="00000000">
      <w:pPr>
        <w:pStyle w:val="Compact"/>
        <w:numPr>
          <w:ilvl w:val="0"/>
          <w:numId w:val="7"/>
        </w:numPr>
      </w:pPr>
      <w:r>
        <w:rPr>
          <w:b/>
          <w:bCs/>
        </w:rPr>
        <w:t>P2 (where recall happens).</w:t>
      </w:r>
      <w:r>
        <w:t xml:space="preserve"> Remove the outer closure only on the cover cells with </w:t>
      </w:r>
      <m:oMath>
        <m:r>
          <m:rPr>
            <m:sty m:val="p"/>
          </m:rPr>
          <w:rPr>
            <w:rFonts w:ascii="Cambria Math" w:hAnsi="Cambria Math"/>
          </w:rPr>
          <m:t>log</m:t>
        </m:r>
        <m:r>
          <w:rPr>
            <w:rFonts w:ascii="Cambria Math" w:hAnsi="Cambria Math"/>
          </w:rPr>
          <m:t>σ</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log</m:t>
            </m:r>
            <m:r>
              <w:rPr>
                <w:rFonts w:ascii="Cambria Math" w:hAnsi="Cambria Math"/>
              </w:rPr>
              <m:t>D</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D</m:t>
            </m:r>
            <m:r>
              <m:rPr>
                <m:sty m:val="p"/>
              </m:rPr>
              <w:rPr>
                <w:rFonts w:ascii="Cambria Math" w:hAnsi="Cambria Math"/>
              </w:rPr>
              <m:t>+</m:t>
            </m:r>
            <m:r>
              <w:rPr>
                <w:rFonts w:ascii="Cambria Math" w:hAnsi="Cambria Math"/>
              </w:rPr>
              <m:t>1.4</m:t>
            </m:r>
          </m:e>
        </m:d>
      </m:oMath>
      <w:r>
        <w:t xml:space="preserve">, and recall after a switch should fail. Remove it everywhere else and recall should barely change. If removing it far from </w:t>
      </w:r>
      <m:oMath>
        <m:r>
          <m:rPr>
            <m:sty m:val="p"/>
          </m:rPr>
          <w:rPr>
            <w:rFonts w:ascii="Cambria Math" w:hAnsi="Cambria Math"/>
          </w:rPr>
          <m:t>log</m:t>
        </m:r>
        <m:r>
          <w:rPr>
            <w:rFonts w:ascii="Cambria Math" w:hAnsi="Cambria Math"/>
          </w:rPr>
          <m:t>D</m:t>
        </m:r>
      </m:oMath>
      <w:r>
        <w:t xml:space="preserve"> hurts as much as removing it near </w:t>
      </w:r>
      <m:oMath>
        <m:r>
          <m:rPr>
            <m:sty m:val="p"/>
          </m:rPr>
          <w:rPr>
            <w:rFonts w:ascii="Cambria Math" w:hAnsi="Cambria Math"/>
          </w:rPr>
          <m:t>log</m:t>
        </m:r>
        <m:r>
          <w:rPr>
            <w:rFonts w:ascii="Cambria Math" w:hAnsi="Cambria Math"/>
          </w:rPr>
          <m:t>D</m:t>
        </m:r>
      </m:oMath>
      <w:r>
        <w:t>, Proposition 4’s account is wrong.</w:t>
      </w:r>
    </w:p>
    <w:p w14:paraId="2636F77E" w14:textId="77777777" w:rsidR="00DB60E8" w:rsidRDefault="00000000">
      <w:pPr>
        <w:pStyle w:val="Compact"/>
        <w:numPr>
          <w:ilvl w:val="0"/>
          <w:numId w:val="7"/>
        </w:numPr>
      </w:pPr>
      <w:r>
        <w:rPr>
          <w:b/>
          <w:bCs/>
        </w:rPr>
        <w:t>P3 (isolation).</w:t>
      </w:r>
      <w:r>
        <w:t xml:space="preserve"> With a fixed seed, the active particles’ trajectory between switches is bitwise identical with the outer closure on or off.</w:t>
      </w:r>
    </w:p>
    <w:p w14:paraId="25C159EB" w14:textId="77777777" w:rsidR="00DB60E8" w:rsidRDefault="00000000">
      <w:pPr>
        <w:pStyle w:val="Compact"/>
        <w:numPr>
          <w:ilvl w:val="0"/>
          <w:numId w:val="7"/>
        </w:numPr>
      </w:pPr>
      <w:r>
        <w:rPr>
          <w:b/>
          <w:bCs/>
        </w:rPr>
        <w:t>P4 (interval noise).</w:t>
      </w:r>
      <w:r>
        <w:t xml:space="preserve"> With equal recurrence counts, widening the cells near </w:t>
      </w:r>
      <m:oMath>
        <m:r>
          <m:rPr>
            <m:sty m:val="p"/>
          </m:rPr>
          <w:rPr>
            <w:rFonts w:ascii="Cambria Math" w:hAnsi="Cambria Math"/>
          </w:rPr>
          <m:t>log</m:t>
        </m:r>
        <m:r>
          <w:rPr>
            <w:rFonts w:ascii="Cambria Math" w:hAnsi="Cambria Math"/>
          </w:rPr>
          <m:t>D</m:t>
        </m:r>
      </m:oMath>
      <w:r>
        <w:t xml:space="preserve"> leaves the recall success rate unchanged (Proposition 5, </w:t>
      </w:r>
      <m:oMath>
        <m:r>
          <w:rPr>
            <w:rFonts w:ascii="Cambria Math" w:hAnsi="Cambria Math"/>
          </w:rPr>
          <m:t>L</m:t>
        </m:r>
        <m:r>
          <m:rPr>
            <m:sty m:val="p"/>
          </m:rPr>
          <w:rPr>
            <w:rFonts w:ascii="Cambria Math" w:hAnsi="Cambria Math"/>
          </w:rPr>
          <m:t>=</m:t>
        </m:r>
        <m:r>
          <w:rPr>
            <w:rFonts w:ascii="Cambria Math" w:hAnsi="Cambria Math"/>
          </w:rPr>
          <m:t>0</m:t>
        </m:r>
      </m:oMath>
      <w:r>
        <w:t xml:space="preserve">). With counts in ratio </w:t>
      </w:r>
      <m:oMath>
        <m:sSup>
          <m:sSupPr>
            <m:ctrlPr>
              <w:rPr>
                <w:rFonts w:ascii="Cambria Math" w:hAnsi="Cambria Math"/>
              </w:rPr>
            </m:ctrlPr>
          </m:sSupPr>
          <m:e>
            <m:r>
              <w:rPr>
                <w:rFonts w:ascii="Cambria Math" w:hAnsi="Cambria Math"/>
              </w:rPr>
              <m:t>e</m:t>
            </m:r>
          </m:e>
          <m:sup>
            <m:r>
              <w:rPr>
                <w:rFonts w:ascii="Cambria Math" w:hAnsi="Cambria Math"/>
              </w:rPr>
              <m:t>L</m:t>
            </m:r>
          </m:sup>
        </m:sSup>
      </m:oMath>
      <w:r>
        <w:t xml:space="preserve">, recall degrades once the band </w:t>
      </w:r>
      <m:oMath>
        <m:d>
          <m:dPr>
            <m:ctrlPr>
              <w:rPr>
                <w:rFonts w:ascii="Cambria Math" w:hAnsi="Cambria Math"/>
              </w:rPr>
            </m:ctrlPr>
          </m:dPr>
          <m:e>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e>
        </m:d>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oMath>
      <w:r>
        <w:t xml:space="preserve"> reaches the particles’ typical distance from the boundary.</w:t>
      </w:r>
    </w:p>
    <w:p w14:paraId="05A3483E" w14:textId="77777777" w:rsidR="00DB60E8" w:rsidRDefault="00000000">
      <w:pPr>
        <w:pStyle w:val="Heading2"/>
      </w:pPr>
      <w:bookmarkStart w:id="10" w:name="references"/>
      <w:bookmarkEnd w:id="9"/>
      <w:r>
        <w:lastRenderedPageBreak/>
        <w:t>References</w:t>
      </w:r>
    </w:p>
    <w:p w14:paraId="64172B04" w14:textId="77777777" w:rsidR="00DB60E8" w:rsidRDefault="00000000">
      <w:pPr>
        <w:pStyle w:val="FirstParagraph"/>
      </w:pPr>
      <w:r>
        <w:t xml:space="preserve">[1] D. P. Ghosh, </w:t>
      </w:r>
      <w:r>
        <w:rPr>
          <w:i/>
          <w:iCs/>
        </w:rPr>
        <w:t>INDIA: Interval Noise Diffusion Implicit Algorithm</w:t>
      </w:r>
      <w:r>
        <w:t>, manuscript, 2026.</w:t>
      </w:r>
    </w:p>
    <w:p w14:paraId="67DA3701" w14:textId="77777777" w:rsidR="00DB60E8" w:rsidRDefault="00000000">
      <w:pPr>
        <w:pStyle w:val="BodyText"/>
      </w:pPr>
      <w:r>
        <w:t xml:space="preserve">[2] D. P. Ghosh, </w:t>
      </w:r>
      <w:r>
        <w:rPr>
          <w:i/>
          <w:iCs/>
        </w:rPr>
        <w:t>IDEA: When the Species Is a Box</w:t>
      </w:r>
      <w:r>
        <w:t>, manuscript, 2026.</w:t>
      </w:r>
    </w:p>
    <w:p w14:paraId="397D198D" w14:textId="77777777" w:rsidR="00DB60E8" w:rsidRDefault="00000000">
      <w:pPr>
        <w:pStyle w:val="BodyText"/>
      </w:pPr>
      <w:r>
        <w:t xml:space="preserve">[3] D. P. Ghosh, </w:t>
      </w:r>
      <w:r>
        <w:rPr>
          <w:i/>
          <w:iCs/>
        </w:rPr>
        <w:t>Optimal Robust Covers of INDIA using IDEA</w:t>
      </w:r>
      <w:r>
        <w:t>, manuscript, 2026.</w:t>
      </w:r>
    </w:p>
    <w:p w14:paraId="0F49F730" w14:textId="77777777" w:rsidR="00DB60E8" w:rsidRDefault="00000000">
      <w:pPr>
        <w:pStyle w:val="BodyText"/>
      </w:pPr>
      <w:r>
        <w:t>[4] Y. Zhang, B. Hartl, H. Hazan, M. Levin, “Diffusion Models are Evolutionary Algorithms,” ICLR 2025 (arXiv:2410.02543).</w:t>
      </w:r>
    </w:p>
    <w:p w14:paraId="239CB26C" w14:textId="77777777" w:rsidR="00DB60E8" w:rsidRDefault="00000000">
      <w:pPr>
        <w:pStyle w:val="BodyText"/>
      </w:pPr>
      <w:r>
        <w:t>[5] J. Song, C. Meng, S. Ermon, “Denoising Diffusion Implicit Models,” ICLR 2021.</w:t>
      </w:r>
    </w:p>
    <w:p w14:paraId="4D75A5BC" w14:textId="77777777" w:rsidR="00DB60E8" w:rsidRDefault="00000000">
      <w:pPr>
        <w:pStyle w:val="BodyText"/>
      </w:pPr>
      <w:r>
        <w:t xml:space="preserve">[6] B. Efron, “Tweedie’s Formula and Selection Bias,” </w:t>
      </w:r>
      <w:r>
        <w:rPr>
          <w:i/>
          <w:iCs/>
        </w:rPr>
        <w:t>Journal of the American Statistical Association</w:t>
      </w:r>
      <w:r>
        <w:t xml:space="preserve"> 106 (2011) 1602–1614.</w:t>
      </w:r>
    </w:p>
    <w:p w14:paraId="35640898" w14:textId="77777777" w:rsidR="00DB60E8" w:rsidRDefault="00000000">
      <w:pPr>
        <w:pStyle w:val="BodyText"/>
      </w:pPr>
      <w:r>
        <w:t>[7] J. Ho, T. Salimans, “Classifier-Free Diffusion Guidance,” NeurIPS Workshop on Deep Generative Models, 2021 (arXiv:2207.12598).</w:t>
      </w:r>
    </w:p>
    <w:p w14:paraId="59AA8D41" w14:textId="77777777" w:rsidR="00DB60E8" w:rsidRDefault="00000000">
      <w:pPr>
        <w:pStyle w:val="BodyText"/>
      </w:pPr>
      <w:r>
        <w:t>[8] Y. Du et al., “Reduce, Reuse, Recycle: Compositional Generation with Energy-Based Diffusion Models and MCMC,” ICML 2023.</w:t>
      </w:r>
    </w:p>
    <w:p w14:paraId="7EF9CEE0" w14:textId="77777777" w:rsidR="00DB60E8" w:rsidRDefault="00000000">
      <w:pPr>
        <w:pStyle w:val="BodyText"/>
      </w:pPr>
      <w:r>
        <w:t>[9] H. Ramsauer et al., “Hopfield Networks is All You Need,” ICLR 2021.</w:t>
      </w:r>
    </w:p>
    <w:p w14:paraId="50826687" w14:textId="77777777" w:rsidR="00DB60E8" w:rsidRDefault="00000000">
      <w:pPr>
        <w:pStyle w:val="BodyText"/>
      </w:pPr>
      <w:r>
        <w:t xml:space="preserve">[10] P. J. Landin, “The Mechanical Evaluation of Expressions,” </w:t>
      </w:r>
      <w:r>
        <w:rPr>
          <w:i/>
          <w:iCs/>
        </w:rPr>
        <w:t>The Computer Journal</w:t>
      </w:r>
      <w:r>
        <w:t xml:space="preserve"> 6 (1964) 308–320.</w:t>
      </w:r>
    </w:p>
    <w:p w14:paraId="35A42C53" w14:textId="77777777" w:rsidR="00DB60E8" w:rsidRDefault="00000000">
      <w:pPr>
        <w:pStyle w:val="BodyText"/>
      </w:pPr>
      <w:r>
        <w:t>[11] D. E. Goldberg, R. E. Smith, “Nonstationary Function Optimization Using Genetic Algorithms with Dominance and Diploidy,” Proc. ICGA, 1987.</w:t>
      </w:r>
    </w:p>
    <w:p w14:paraId="7645397A" w14:textId="77777777" w:rsidR="00DB60E8" w:rsidRDefault="00000000">
      <w:pPr>
        <w:pStyle w:val="BodyText"/>
      </w:pPr>
      <w:r>
        <w:t xml:space="preserve">[12] T. M. Cover, J. A. Thomas, </w:t>
      </w:r>
      <w:r>
        <w:rPr>
          <w:i/>
          <w:iCs/>
        </w:rPr>
        <w:t>Elements of Information Theory</w:t>
      </w:r>
      <w:r>
        <w:t>, 2nd ed., Wiley, 2006.</w:t>
      </w:r>
    </w:p>
    <w:p w14:paraId="5E5DCE91" w14:textId="3984CC7C" w:rsidR="00D45770" w:rsidRDefault="00D45770">
      <w:pPr>
        <w:pStyle w:val="BodyText"/>
      </w:pPr>
      <w:r w:rsidRPr="00D45770">
        <w:t>https://github.com/debiprasadghosh/ResearchOverFlow/tree/main/October2026/ClosureDiffusion</w:t>
      </w:r>
      <w:bookmarkEnd w:id="0"/>
      <w:bookmarkEnd w:id="10"/>
    </w:p>
    <w:sectPr w:rsidR="00D4577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0EB0B" w14:textId="77777777" w:rsidR="00CE2CF2" w:rsidRDefault="00CE2CF2">
      <w:pPr>
        <w:spacing w:after="0"/>
      </w:pPr>
      <w:r>
        <w:separator/>
      </w:r>
    </w:p>
  </w:endnote>
  <w:endnote w:type="continuationSeparator" w:id="0">
    <w:p w14:paraId="7FEA0F28" w14:textId="77777777" w:rsidR="00CE2CF2" w:rsidRDefault="00CE2C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4576F" w14:textId="77777777" w:rsidR="00CE2CF2" w:rsidRDefault="00CE2CF2">
      <w:r>
        <w:separator/>
      </w:r>
    </w:p>
  </w:footnote>
  <w:footnote w:type="continuationSeparator" w:id="0">
    <w:p w14:paraId="387DF9AC" w14:textId="77777777" w:rsidR="00CE2CF2" w:rsidRDefault="00CE2C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BE2D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330EB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7789A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4749668">
    <w:abstractNumId w:val="0"/>
  </w:num>
  <w:num w:numId="2" w16cid:durableId="453452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1649937">
    <w:abstractNumId w:val="1"/>
  </w:num>
  <w:num w:numId="4" w16cid:durableId="1294872018">
    <w:abstractNumId w:val="1"/>
  </w:num>
  <w:num w:numId="5" w16cid:durableId="1740712828">
    <w:abstractNumId w:val="1"/>
  </w:num>
  <w:num w:numId="6" w16cid:durableId="798961028">
    <w:abstractNumId w:val="1"/>
  </w:num>
  <w:num w:numId="7" w16cid:durableId="1196774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60E8"/>
    <w:rsid w:val="0073583F"/>
    <w:rsid w:val="00CE2CF2"/>
    <w:rsid w:val="00D45770"/>
    <w:rsid w:val="00DB60E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B050"/>
  <w15:docId w15:val="{6E6AAE79-6C24-49F2-9DAA-4C7281346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2417</Words>
  <Characters>13780</Characters>
  <Application>Microsoft Office Word</Application>
  <DocSecurity>0</DocSecurity>
  <Lines>114</Lines>
  <Paragraphs>32</Paragraphs>
  <ScaleCrop>false</ScaleCrop>
  <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Closure Diffusion</dc:title>
  <dc:creator>Debi Prasad Ghosh — Debias Parametric Guru, Kolkata, India | debiprasadghosh@gmail.com</dc:creator>
  <cp:keywords/>
  <cp:lastModifiedBy>Debiprasad Ghosh</cp:lastModifiedBy>
  <cp:revision>2</cp:revision>
  <dcterms:created xsi:type="dcterms:W3CDTF">2026-10-12T16:33:00Z</dcterms:created>
  <dcterms:modified xsi:type="dcterms:W3CDTF">2026-10-13T05:12:00Z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vt:lpwstr>
  </property>
  <property fmtid="{D5CDD505-2E9C-101B-9397-08002B2CF9AE}" pid="3" name="subtitle">
    <vt:lpwstr>Section 2 — Conceptual framework (draft)</vt:lpwstr>
  </property>
</Properties>
</file>