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0A4C4" w14:textId="77777777" w:rsidR="003D3B95" w:rsidRDefault="00000000" w:rsidP="007B3797">
      <w:pPr>
        <w:pStyle w:val="Title"/>
      </w:pPr>
      <w:r>
        <w:t>The Cortical Sheet as a Recurrent Cellular Sheaf</w:t>
      </w:r>
    </w:p>
    <w:p w14:paraId="386DD429" w14:textId="77777777" w:rsidR="003D3B95" w:rsidRDefault="00000000" w:rsidP="007B3797">
      <w:pPr>
        <w:pStyle w:val="Subtitle"/>
      </w:pPr>
      <w:r>
        <w:t>Horizontal Topology and Vertical Algebra</w:t>
      </w:r>
    </w:p>
    <w:p w14:paraId="68710488" w14:textId="77777777" w:rsidR="003D3B95" w:rsidRDefault="00000000" w:rsidP="007B3797">
      <w:pPr>
        <w:pStyle w:val="FirstParagraph"/>
        <w:spacing w:after="80"/>
        <w:jc w:val="center"/>
      </w:pPr>
      <w:r>
        <w:rPr>
          <w:sz w:val="21"/>
        </w:rPr>
        <w:t>Debi Prasad Ghosh</w:t>
      </w:r>
    </w:p>
    <w:p w14:paraId="52C7B4DD" w14:textId="77777777" w:rsidR="003D3B95" w:rsidRDefault="00000000" w:rsidP="007B3797">
      <w:pPr>
        <w:pStyle w:val="BodyText"/>
        <w:spacing w:after="160"/>
        <w:jc w:val="center"/>
      </w:pPr>
      <w:r>
        <w:rPr>
          <w:sz w:val="21"/>
        </w:rPr>
        <w:t>Debias Parametric Guru, Kolkata, India</w:t>
      </w:r>
    </w:p>
    <w:p w14:paraId="52726BDC" w14:textId="77777777" w:rsidR="003D3B95" w:rsidRDefault="00000000" w:rsidP="007B3797">
      <w:pPr>
        <w:pStyle w:val="BodyText"/>
        <w:spacing w:after="80"/>
        <w:jc w:val="center"/>
      </w:pPr>
      <w:r>
        <w:rPr>
          <w:sz w:val="21"/>
        </w:rPr>
        <w:t>September 2026</w:t>
      </w:r>
    </w:p>
    <w:p w14:paraId="0AA0AE24" w14:textId="77777777" w:rsidR="003D3B95" w:rsidRDefault="00000000" w:rsidP="007B3797">
      <w:pPr>
        <w:pStyle w:val="Heading1"/>
        <w:jc w:val="both"/>
      </w:pPr>
      <w:bookmarkStart w:id="0" w:name="abstract"/>
      <w:r>
        <w:t>Abstract</w:t>
      </w:r>
    </w:p>
    <w:p w14:paraId="51455F0A" w14:textId="77777777" w:rsidR="003D3B95" w:rsidRDefault="00000000" w:rsidP="007B3797">
      <w:pPr>
        <w:pStyle w:val="FirstParagraph"/>
        <w:jc w:val="both"/>
      </w:pPr>
      <w:r>
        <w:t>We propose a recurrent cellular sheaf model of cortical integration in which the cortical communication graph supplies the horizontal base and layer-resolved population states supply the stalks. Recurrence is an explicit iteration of compatibility-driven relaxation on a sheaf whose restriction maps remain fixed within an inference episode. The central biological hypothesis is that moderate layer-six modulation changes response gain and relaxation dynamics while preserving the orientation code, whereas targeted perturbation of a feature-carrying driver changes the corresponding compatibility constraints. We specify tests of this dissociation against prespecified equivalence bounds rather than interpreting a nonsignificant difference as preservation. Existing bidirectional gain modulation reported by Olsen and colleagues provides partial physiological support, without establishing the proposed sheaf mechanism. We prove the precise linear result underlying the hypothesis: positive reweighting preserves the section space and, for unforced symmetric relaxation from the same initial state, the final orthogonal projection onto that space. Edge deletion, incompatible boundary cues, changing state metrics, and finite observation times delimit this result. The distinctive empirical claim is that independently calibrated, feature-specific restriction maps predict responses to unseen perturbations better than a dimension-matched scalar graph Laplacian. A two-route example demonstrates identical recall endpoints under positive reweighting and a changed endpoint after constraint removal. Laminar processing is represented by an operator algebra; a double-complex extension is constructed from explicit compatibility residuals rather than assumed from anatomical layer order. Sampling-scale comparisons use specified cochain morphisms and persistence, with no claim of automatic invariance under aggregation. The model identifies a concrete cortical scale, a measurable alternative to scalar coupling, and experimental outcomes that reject its proposed mechanism. No new biological recordings are reported.</w:t>
      </w:r>
    </w:p>
    <w:p w14:paraId="6D5BD2CE" w14:textId="77777777" w:rsidR="003D3B95" w:rsidRDefault="00000000" w:rsidP="007B3797">
      <w:pPr>
        <w:pStyle w:val="BodyText"/>
        <w:jc w:val="both"/>
      </w:pPr>
      <w:r>
        <w:rPr>
          <w:b/>
          <w:bCs/>
        </w:rPr>
        <w:t>Keywords:</w:t>
      </w:r>
      <w:r>
        <w:t xml:space="preserve"> cellular sheaf; cortical layers; gain modulation; recurrent inference; restriction-map identification; equivalence testing; cohomological persistence</w:t>
      </w:r>
    </w:p>
    <w:p w14:paraId="76B3104F" w14:textId="77777777" w:rsidR="003D3B95" w:rsidRDefault="00000000" w:rsidP="007B3797">
      <w:pPr>
        <w:pStyle w:val="Heading1"/>
        <w:pageBreakBefore/>
        <w:jc w:val="both"/>
      </w:pPr>
      <w:bookmarkStart w:id="1" w:name="introduction"/>
      <w:bookmarkEnd w:id="0"/>
      <w:r>
        <w:lastRenderedPageBreak/>
        <w:t>1 Introduction</w:t>
      </w:r>
    </w:p>
    <w:p w14:paraId="4E85A10E" w14:textId="77777777" w:rsidR="003D3B95" w:rsidRDefault="00000000" w:rsidP="007B3797">
      <w:pPr>
        <w:pStyle w:val="FirstParagraph"/>
        <w:jc w:val="both"/>
      </w:pPr>
      <w:r>
        <w:t>The present hypothesis concerns how a cortical population maintains a coherent representation while the efficacy of communication between its parts changes. The proposed answer separates the constraints that define a representation from the strengths with which a circuit enforces those constraints. Driver pathways contribute to the former; a specified class of modulatory interventions changes the latter. This assignment is an empirical hypothesis about identified pathways and operating conditions, not a definition that makes every experimental outcome compatible with the model.</w:t>
      </w:r>
    </w:p>
    <w:p w14:paraId="778087C0" w14:textId="77777777" w:rsidR="003D3B95" w:rsidRDefault="00000000" w:rsidP="007B3797">
      <w:pPr>
        <w:pStyle w:val="BodyText"/>
        <w:jc w:val="both"/>
      </w:pPr>
      <w:r>
        <w:t>We call the resulting object a recurrent cellular sheaf, abbreviated RCS. The term identifies a cellular sheaf together with an explicit state-update rule. It also avoids the abbreviation RSN, which is already widely used for resting-state networks in neuroscience. The base is a communication multigraph sampled from the cortical sheet, possibly augmented by explicitly represented thalamic relays. A cortical unit indexes a vertex; its layer-resolved state space is the stalk attached to that vertex. Thus, the cortical sheet supports the RCS, while a microcolumn is a possible spatial support for one stalk. An anatomical structure and its associated state space are not literally the same object.</w:t>
      </w:r>
    </w:p>
    <w:p w14:paraId="18E4BFA6" w14:textId="77777777" w:rsidR="003D3B95" w:rsidRDefault="00000000" w:rsidP="007B3797">
      <w:pPr>
        <w:pStyle w:val="BodyText"/>
        <w:jc w:val="both"/>
      </w:pPr>
      <w:r>
        <w:t>Three commitments make this proposal rejectable. First, in awake mouse visual cortex, moderate manipulation of a specified layer-six population preserves a prespecified orientation representation after independently calibrated gain correction, while changing gain and at least one observable relaxation rate. Second, feature-specific compatibility maps identified in separate calibration trials predict the effects of held-out perturbations better than scalar coupling on the same graph. Third, the measured response dynamics contain a substantial component consistent with the proposed positive, symmetric compatibility relaxation in the fixed calibration metric. Failure of any commitment rejects the corresponding biological instantiation. The title does not claim that all cortex implements the model.</w:t>
      </w:r>
    </w:p>
    <w:p w14:paraId="1A98F030" w14:textId="77777777" w:rsidR="003D3B95" w:rsidRDefault="00000000" w:rsidP="007B3797">
      <w:pPr>
        <w:pStyle w:val="BodyText"/>
        <w:jc w:val="both"/>
      </w:pPr>
      <w:r>
        <w:t>Cellular sheaves supply the relevant language of local data, comparison maps, and global consistency [1,2]. Neural sheaf diffusion already demonstrates the computational usefulness of nontrivial restrictions in graph learning [3]. Our contribution is a specific anatomical interpretation with a fixed estimation protocol, an explicit recurrent operation, and a contrast between changing constraints and changing their enforcement. The kernel and convergence results below are elementary consequences of this established mathematical machinery. Their biological interpretation, experimental design, and limitations are the subject of the paper.</w:t>
      </w:r>
    </w:p>
    <w:p w14:paraId="784333B5" w14:textId="77777777" w:rsidR="003D3B95" w:rsidRDefault="00000000" w:rsidP="007B3797">
      <w:pPr>
        <w:pStyle w:val="Heading1"/>
        <w:jc w:val="both"/>
      </w:pPr>
      <w:bookmarkStart w:id="2" w:name="X911ed0f4ec35c12dcdd39f0090af6d98dd9aed6"/>
      <w:bookmarkEnd w:id="1"/>
      <w:r>
        <w:t>2 Anatomical scale and physiological commitments</w:t>
      </w:r>
    </w:p>
    <w:p w14:paraId="45239187" w14:textId="77777777" w:rsidR="003D3B95" w:rsidRDefault="00000000" w:rsidP="007B3797">
      <w:pPr>
        <w:pStyle w:val="Heading2"/>
        <w:jc w:val="both"/>
      </w:pPr>
      <w:bookmarkStart w:id="3" w:name="what-a-cortical-unit-represents"/>
      <w:r>
        <w:t>2.1 What a cortical unit represents</w:t>
      </w:r>
    </w:p>
    <w:p w14:paraId="0092BBBE" w14:textId="77777777" w:rsidR="003D3B95" w:rsidRDefault="00000000" w:rsidP="007B3797">
      <w:pPr>
        <w:pStyle w:val="FirstParagraph"/>
        <w:jc w:val="both"/>
      </w:pPr>
      <w:r>
        <w:t>Microcolumns are a possible sampling convention, not an assumed universal functional module. Horton and Adams challenged the idea that cortical columns have a single general computational role [4]. We therefore define a unit operationally as a registered population within a specified tangential footprint, with laminar identities and response features measured separately. The footprint, cell inclusion rules, and spatial resolution are fixed before model comparison. No universal diameter, neuron count, or lateral connection range is required.</w:t>
      </w:r>
    </w:p>
    <w:p w14:paraId="18391762" w14:textId="77777777" w:rsidR="003D3B95" w:rsidRDefault="00000000" w:rsidP="007B3797">
      <w:pPr>
        <w:pStyle w:val="BodyText"/>
        <w:jc w:val="both"/>
      </w:pPr>
      <w:r>
        <w:t>The horizontal base records communication, not merely physical adjacency. It need not be planar, even though its cortical vertices occupy positions on a sheet. Long-range projections and multiple anatomically distinct routes may connect the same pair of sampled regions. Sampling a two-dimensional tissue does not, by itself, provide two-dimensional cells, filled triangles, or a cellular model of the entire cortical surface. The primary construction uses a graph, so its cellular cochain complex has degrees zero and one.</w:t>
      </w:r>
    </w:p>
    <w:p w14:paraId="6142B649" w14:textId="77777777" w:rsidR="003D3B95" w:rsidRDefault="00000000" w:rsidP="007B3797">
      <w:pPr>
        <w:pStyle w:val="BodyText"/>
        <w:jc w:val="both"/>
      </w:pPr>
      <w:r>
        <w:lastRenderedPageBreak/>
        <w:t>The proposed vertical algebra consists of layer-resolved processing operators acting within each stalk. Anatomical layer order does not establish a sequence of maps whose successive compositions vanish. Nor does removing one feedback pathway turn the complete biological microcircuit into the schematic path L4 to L2/3 to L5 to L6. That path is a reduced model whose omitted connections must be stated.</w:t>
      </w:r>
    </w:p>
    <w:p w14:paraId="5757EFE3" w14:textId="77777777" w:rsidR="003D3B95" w:rsidRDefault="00000000" w:rsidP="007B3797">
      <w:pPr>
        <w:pStyle w:val="Heading2"/>
        <w:jc w:val="both"/>
      </w:pPr>
      <w:bookmarkStart w:id="4" w:name="drivers-and-modulators"/>
      <w:bookmarkEnd w:id="3"/>
      <w:r>
        <w:t>2.2 Drivers and modulators</w:t>
      </w:r>
    </w:p>
    <w:p w14:paraId="639AC60F" w14:textId="77777777" w:rsidR="003D3B95" w:rsidRDefault="00000000" w:rsidP="007B3797">
      <w:pPr>
        <w:pStyle w:val="FirstParagraph"/>
        <w:jc w:val="both"/>
      </w:pPr>
      <w:r>
        <w:t>Lee and Sherman identified modulatory physiological properties in the L6-to-L4 pathway in mouse auditory and somatosensory slices, including metabotropic glutamate receptor responses [5]. This supports treating selected returns as modulatory; it does not classify every L6 projection or every cortical area. Bortone and colleagues identified translaminar inhibitory circuitry recruited by L6 corticothalamic neurons in visual cortex [6]. These findings motivate a pathway-specific distinction between transporting task-relevant features and regulating their expression.</w:t>
      </w:r>
    </w:p>
    <w:p w14:paraId="43AD0B2F" w14:textId="77777777" w:rsidR="003D3B95" w:rsidRDefault="00000000" w:rsidP="007B3797">
      <w:pPr>
        <w:pStyle w:val="BodyText"/>
        <w:jc w:val="both"/>
      </w:pPr>
      <w:r>
        <w:t>In the RCS instantiation, a driver contributes to a calibrated compatibility map. A modulator may change a positive residual weight or a separately calibrated observation gain. The assignment must survive independent physiological tests. An intervention labelled modulatory that measurably rotates the relevant feature constraints falsifies the weight-only assignment within the preregistered operating range. It is not retrospectively relabelled a driver to preserve the claim.</w:t>
      </w:r>
    </w:p>
    <w:p w14:paraId="6092ECD4" w14:textId="77777777" w:rsidR="003D3B95" w:rsidRDefault="00000000" w:rsidP="007B3797">
      <w:pPr>
        <w:pStyle w:val="BodyText"/>
        <w:jc w:val="both"/>
      </w:pPr>
      <w:r>
        <w:t>The sign of a synaptic current is not the sign of a residual weight. A positive weight penalizes a squared disagreement; inhibitory cells may help implement that penalty. Conversely, excitatory transmission can carry content or alter gain. Identifying a positive sheaf energy with an excitatory-only anatomical network would be a category error.</w:t>
      </w:r>
    </w:p>
    <w:p w14:paraId="7F946A49" w14:textId="77777777" w:rsidR="003D3B95" w:rsidRDefault="00000000" w:rsidP="007B3797">
      <w:pPr>
        <w:pStyle w:val="Heading2"/>
        <w:jc w:val="both"/>
      </w:pPr>
      <w:bookmarkStart w:id="5" w:name="X5617a8c147cd9d85ab245e512541d64b236ef8e"/>
      <w:bookmarkEnd w:id="4"/>
      <w:r>
        <w:t>2.3 Existing evidence for gain and content dissociation</w:t>
      </w:r>
    </w:p>
    <w:p w14:paraId="7BBE7A96" w14:textId="77777777" w:rsidR="003D3B95" w:rsidRDefault="00000000" w:rsidP="007B3797">
      <w:pPr>
        <w:pStyle w:val="FirstParagraph"/>
        <w:jc w:val="both"/>
      </w:pPr>
      <w:r>
        <w:t>Olsen et al. found that L6 activation suppressed upper-layer visual responses while approximately preserving orientation tuning; suppression of L6 produced the converse gain effect [7]. The tuning analysis used partial response changes. The awake suppression experiment reduced visually evoked L6 activity by about 30%, so it was not a deletion of the L6 population. Intracortical circuitry made a substantial contribution. These findings partially support the predicted gain–tuning dissociation. They do not measure a sheaf Laplacian, its spectrum, or its section space, and they do not establish preservation of all decodable information.</w:t>
      </w:r>
    </w:p>
    <w:p w14:paraId="5571C74C" w14:textId="77777777" w:rsidR="003D3B95" w:rsidRDefault="00000000" w:rsidP="007B3797">
      <w:pPr>
        <w:pStyle w:val="BodyText"/>
        <w:jc w:val="both"/>
      </w:pPr>
      <w:r>
        <w:t>Schmitt et al. provide a complementary example: mediodorsal thalamic input supported prefrontal rule representations through amplification of cortical connectivity without itself relaying the categorical rule signal [8]. This result concerns mediodorsal thalamus and attentional control; it should not be cited as a direct demonstration about first-order sensory thalamus or a proof of invariant recall.</w:t>
      </w:r>
    </w:p>
    <w:p w14:paraId="08F7A3BA" w14:textId="77777777" w:rsidR="003D3B95" w:rsidRDefault="00000000" w:rsidP="007B3797">
      <w:pPr>
        <w:pStyle w:val="Heading2"/>
        <w:jc w:val="both"/>
      </w:pPr>
      <w:bookmarkStart w:id="6" w:name="X4724e9aacc17fac9f6b30796f5c136b9defb1e0"/>
      <w:bookmarkEnd w:id="5"/>
      <w:r>
        <w:t>2.4 Parallel routes and the natural scale of the model</w:t>
      </w:r>
    </w:p>
    <w:p w14:paraId="1F50C660" w14:textId="77777777" w:rsidR="003D3B95" w:rsidRDefault="00000000" w:rsidP="007B3797">
      <w:pPr>
        <w:pStyle w:val="FirstParagraph"/>
        <w:jc w:val="both"/>
      </w:pPr>
      <w:r>
        <w:t>Theyel et al. demonstrated an effective L5B-origin corticothalamocortical route from primary to higher-order somatosensory cortex, including activity after interruption of the direct cortical route [9]. This establishes the relevance of alternative routes at an interareal scale. It does not establish a matched pair of direct and transthalamic connections for every pair of microcolumns. Such a correspondence must be measured in the preparation used.</w:t>
      </w:r>
    </w:p>
    <w:p w14:paraId="78D7265D" w14:textId="77777777" w:rsidR="003D3B95" w:rsidRDefault="00000000" w:rsidP="007B3797">
      <w:pPr>
        <w:pStyle w:val="BodyText"/>
        <w:jc w:val="both"/>
      </w:pPr>
      <w:r>
        <w:t>Two routes between the same endpoints form an undirected cycle in the reduced communication multigraph. They need not form a directed physiological feedback loop. The thalamic route can be replaced by an effective edge only after its endpoint feature spaces and delay range are calibrated; otherwise the relay remains an explicit vertex. Its elimination is especially questionable when relay state, nonlinear gain, or delays carry information not recoverable from the cortical endpoints.</w:t>
      </w:r>
    </w:p>
    <w:p w14:paraId="70E7C7A7" w14:textId="77777777" w:rsidR="003D3B95" w:rsidRDefault="00000000" w:rsidP="007B3797">
      <w:pPr>
        <w:pStyle w:val="BodyText"/>
        <w:jc w:val="both"/>
      </w:pPr>
      <w:r>
        <w:lastRenderedPageBreak/>
        <w:t>The sheet-level scale is therefore a modelling commitment about interunit compatibility, not a theorem that an individual microcolumn cannot sustain recurrent computation. A tree supports iterative relaxation. Moreover, a cellular sheaf on a tree can have nonzero first cohomology when restriction maps are not sufficiently surjective. We prove the appropriate restricted acyclicity statement and give a counterexample in Section 8.</w:t>
      </w:r>
    </w:p>
    <w:p w14:paraId="06E333E7" w14:textId="77777777" w:rsidR="003D3B95" w:rsidRDefault="00000000" w:rsidP="007B3797">
      <w:pPr>
        <w:keepNext/>
        <w:spacing w:before="120" w:after="0"/>
        <w:jc w:val="both"/>
      </w:pPr>
      <w:r>
        <w:rPr>
          <w:noProof/>
        </w:rPr>
        <w:drawing>
          <wp:inline distT="0" distB="0" distL="0" distR="0" wp14:anchorId="4757DA13" wp14:editId="1055D7B5">
            <wp:extent cx="5897880" cy="3570071"/>
            <wp:effectExtent l="0" t="0" r="0" b="0"/>
            <wp:docPr id="26" name="Picture" descr="Figure 1. Proposed separation of cortical units, layer-resolved stalks, compatibility constraints, and modulation. The two routes are a schematic hypothesis for calibrated endpoints, not a claim that every microcolumn pair has both pathways. The dashed L6 arrow regulates weights; the recurrent operation is the displayed state update."/>
            <wp:cNvGraphicFramePr/>
            <a:graphic xmlns:a="http://schemas.openxmlformats.org/drawingml/2006/main">
              <a:graphicData uri="http://schemas.openxmlformats.org/drawingml/2006/picture">
                <pic:pic xmlns:pic="http://schemas.openxmlformats.org/drawingml/2006/picture">
                  <pic:nvPicPr>
                    <pic:cNvPr id="27" name="Picture" descr="figure1_architecture.png"/>
                    <pic:cNvPicPr>
                      <a:picLocks noChangeAspect="1" noChangeArrowheads="1"/>
                    </pic:cNvPicPr>
                  </pic:nvPicPr>
                  <pic:blipFill>
                    <a:blip r:embed="rId7"/>
                    <a:stretch>
                      <a:fillRect/>
                    </a:stretch>
                  </pic:blipFill>
                  <pic:spPr bwMode="auto">
                    <a:xfrm>
                      <a:off x="0" y="0"/>
                      <a:ext cx="5897880" cy="3570071"/>
                    </a:xfrm>
                    <a:prstGeom prst="rect">
                      <a:avLst/>
                    </a:prstGeom>
                    <a:noFill/>
                    <a:ln w="9525">
                      <a:noFill/>
                      <a:headEnd/>
                      <a:tailEnd/>
                    </a:ln>
                  </pic:spPr>
                </pic:pic>
              </a:graphicData>
            </a:graphic>
          </wp:inline>
        </w:drawing>
      </w:r>
    </w:p>
    <w:p w14:paraId="554ADD7D" w14:textId="77777777" w:rsidR="003D3B95" w:rsidRDefault="00000000" w:rsidP="007B3797">
      <w:pPr>
        <w:pStyle w:val="Caption"/>
        <w:keepLines/>
        <w:jc w:val="both"/>
      </w:pPr>
      <w:r>
        <w:t>Figure 1. Proposed separation of cortical units, layer-resolved stalks, compatibility constraints, and modulation. The two routes are a schematic hypothesis for calibrated endpoints, not a claim that every microcolumn pair has both pathways. The dashed L6 arrow regulates weights; the recurrent operation is the displayed state update.</w:t>
      </w:r>
    </w:p>
    <w:p w14:paraId="341FE392" w14:textId="77777777" w:rsidR="003D3B95" w:rsidRDefault="00000000" w:rsidP="007B3797">
      <w:pPr>
        <w:pStyle w:val="Heading1"/>
        <w:jc w:val="both"/>
      </w:pPr>
      <w:bookmarkStart w:id="7" w:name="X998d24637d6673d3e185fb0e2d01eb329c83c78"/>
      <w:bookmarkEnd w:id="2"/>
      <w:bookmarkEnd w:id="6"/>
      <w:r>
        <w:t>3 A measured cellular sheaf with a vertical operator algebra</w:t>
      </w:r>
    </w:p>
    <w:p w14:paraId="466A25BD" w14:textId="77777777" w:rsidR="003D3B95" w:rsidRDefault="00000000" w:rsidP="007B3797">
      <w:pPr>
        <w:pStyle w:val="Heading2"/>
        <w:jc w:val="both"/>
      </w:pPr>
      <w:bookmarkStart w:id="8" w:name="stalks-and-interface-maps"/>
      <w:r>
        <w:t>3.1 Stalks and interface maps</w:t>
      </w:r>
    </w:p>
    <w:p w14:paraId="7136AB5C" w14:textId="77777777" w:rsidR="003D3B95" w:rsidRDefault="00000000" w:rsidP="007B3797">
      <w:pPr>
        <w:pStyle w:val="FirstParagraph"/>
        <w:jc w:val="both"/>
      </w:pPr>
      <w:r>
        <w:t xml:space="preserve">Let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E</m:t>
            </m:r>
          </m:e>
        </m:d>
      </m:oMath>
      <w:r>
        <w:t xml:space="preserve"> be a finite oriented multigraph. Orientation fixes signs in the coboundary; it does not assert reciprocal axonal anatomy. At each vertex </w:t>
      </w:r>
      <m:oMath>
        <m:r>
          <w:rPr>
            <w:rFonts w:ascii="Cambria Math" w:hAnsi="Cambria Math"/>
          </w:rPr>
          <m:t>v</m:t>
        </m:r>
      </m:oMath>
      <w:r>
        <w:t xml:space="preserve">, attach a finite-dimensional real state space </w:t>
      </w:r>
      <m:oMath>
        <m:sSub>
          <m:sSubPr>
            <m:ctrlPr>
              <w:rPr>
                <w:rFonts w:ascii="Cambria Math" w:hAnsi="Cambria Math"/>
              </w:rPr>
            </m:ctrlPr>
          </m:sSubPr>
          <m:e>
            <m:r>
              <w:rPr>
                <w:rFonts w:ascii="Cambria Math" w:hAnsi="Cambria Math"/>
              </w:rPr>
              <m:t>X</m:t>
            </m:r>
          </m:e>
          <m:sub>
            <m:r>
              <w:rPr>
                <w:rFonts w:ascii="Cambria Math" w:hAnsi="Cambria Math"/>
              </w:rPr>
              <m:t>v</m:t>
            </m:r>
          </m:sub>
        </m:sSub>
      </m:oMath>
      <w:r>
        <w:t xml:space="preserve">. At each edge </w:t>
      </w:r>
      <m:oMath>
        <m:r>
          <w:rPr>
            <w:rFonts w:ascii="Cambria Math" w:hAnsi="Cambria Math"/>
          </w:rPr>
          <m:t>e</m:t>
        </m:r>
      </m:oMath>
      <w:r>
        <w:t xml:space="preserve">, attach an interface space </w:t>
      </w:r>
      <m:oMath>
        <m:sSub>
          <m:sSubPr>
            <m:ctrlPr>
              <w:rPr>
                <w:rFonts w:ascii="Cambria Math" w:hAnsi="Cambria Math"/>
              </w:rPr>
            </m:ctrlPr>
          </m:sSubPr>
          <m:e>
            <m:r>
              <w:rPr>
                <w:rFonts w:ascii="Cambria Math" w:hAnsi="Cambria Math"/>
              </w:rPr>
              <m:t>S</m:t>
            </m:r>
          </m:e>
          <m:sub>
            <m:r>
              <w:rPr>
                <w:rFonts w:ascii="Cambria Math" w:hAnsi="Cambria Math"/>
              </w:rPr>
              <m:t>e</m:t>
            </m:r>
          </m:sub>
        </m:sSub>
      </m:oMath>
      <w:r>
        <w:t xml:space="preserve"> containing features that the two endpoints can meaningfully compare. An endpoint-to-interface restriction is a linear map </w:t>
      </w:r>
      <m:oMath>
        <m:sSub>
          <m:sSubPr>
            <m:ctrlPr>
              <w:rPr>
                <w:rFonts w:ascii="Cambria Math" w:hAnsi="Cambria Math"/>
              </w:rPr>
            </m:ctrlPr>
          </m:sSub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m:t>
            </m:r>
          </m:sub>
        </m:sSub>
      </m:oMath>
      <w:r>
        <w:t xml:space="preserve">. With </w:t>
      </w:r>
      <m:oMath>
        <m:r>
          <w:rPr>
            <w:rFonts w:ascii="Cambria Math" w:hAnsi="Cambria Math"/>
          </w:rPr>
          <m:t>e</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oMath>
      <w:r>
        <w:t>, define</w:t>
      </w:r>
    </w:p>
    <w:p w14:paraId="5958D13F" w14:textId="77777777" w:rsidR="003D3B95" w:rsidRDefault="00000000" w:rsidP="007B3797">
      <w:pPr>
        <w:pStyle w:val="BodyText"/>
        <w:keepLines/>
        <w:spacing w:before="100" w:after="140"/>
        <w:jc w:val="both"/>
      </w:pPr>
      <m:oMathPara>
        <m:oMathParaPr>
          <m:jc m:val="center"/>
        </m:oMathParaPr>
        <m:oMath>
          <m:sSup>
            <m:sSupPr>
              <m:ctrlPr>
                <w:rPr>
                  <w:rFonts w:ascii="Cambria Math" w:hAnsi="Cambria Math"/>
                </w:rPr>
              </m:ctrlPr>
            </m:sSupPr>
            <m:e>
              <m:r>
                <w:rPr>
                  <w:rFonts w:ascii="Cambria Math" w:hAnsi="Cambria Math"/>
                </w:rPr>
                <m:t>C</m:t>
              </m:r>
            </m:e>
            <m:sup>
              <m:r>
                <w:rPr>
                  <w:rFonts w:ascii="Cambria Math" w:hAnsi="Cambria Math"/>
                </w:rPr>
                <m:t>0</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v</m:t>
              </m:r>
              <m:r>
                <m:rPr>
                  <m:sty m:val="p"/>
                </m:rPr>
                <w:rPr>
                  <w:rFonts w:ascii="Cambria Math" w:hAnsi="Cambria Math"/>
                </w:rPr>
                <m:t>∈</m:t>
              </m:r>
              <m:r>
                <w:rPr>
                  <w:rFonts w:ascii="Cambria Math" w:hAnsi="Cambria Math"/>
                </w:rPr>
                <m:t>V</m:t>
              </m:r>
            </m:sub>
          </m:sSub>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C</m:t>
              </m:r>
            </m:e>
            <m:sup>
              <m:r>
                <w:rPr>
                  <w:rFonts w:ascii="Cambria Math" w:hAnsi="Cambria Math"/>
                </w:rPr>
                <m:t>1</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e</m:t>
              </m:r>
              <m:r>
                <m:rPr>
                  <m:sty m:val="p"/>
                </m:rPr>
                <w:rPr>
                  <w:rFonts w:ascii="Cambria Math" w:hAnsi="Cambria Math"/>
                </w:rPr>
                <m:t>∈</m:t>
              </m:r>
              <m:r>
                <w:rPr>
                  <w:rFonts w:ascii="Cambria Math" w:hAnsi="Cambria Math"/>
                </w:rPr>
                <m:t>E</m:t>
              </m:r>
            </m:sub>
          </m:sSub>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m:t>
          </m:r>
          <m:r>
            <w:rPr>
              <w:rFonts w:ascii="Cambria Math" w:hAnsi="Cambria Math"/>
            </w:rPr>
            <m:t>  </m:t>
          </m:r>
          <m:sSub>
            <m:sSubPr>
              <m:ctrlPr>
                <w:rPr>
                  <w:rFonts w:ascii="Cambria Math" w:hAnsi="Cambria Math"/>
                </w:rPr>
              </m:ctrlPr>
            </m:sSubPr>
            <m:e>
              <m:d>
                <m:dPr>
                  <m:ctrlPr>
                    <w:rPr>
                      <w:rFonts w:ascii="Cambria Math" w:hAnsi="Cambria Math"/>
                    </w:rPr>
                  </m:ctrlPr>
                </m:dPr>
                <m:e>
                  <m:r>
                    <w:rPr>
                      <w:rFonts w:ascii="Cambria Math" w:hAnsi="Cambria Math"/>
                    </w:rPr>
                    <m:t>δx</m:t>
                  </m:r>
                </m:e>
              </m:d>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e</m:t>
              </m:r>
            </m:sub>
          </m:sSub>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r>
                <m:rPr>
                  <m:sty m:val="p"/>
                </m:rPr>
                <w:rPr>
                  <w:rFonts w:ascii="Cambria Math" w:hAnsi="Cambria Math"/>
                </w:rPr>
                <m:t>,</m:t>
              </m:r>
              <m:r>
                <w:rPr>
                  <w:rFonts w:ascii="Cambria Math" w:hAnsi="Cambria Math"/>
                </w:rPr>
                <m:t>e</m:t>
              </m:r>
            </m:sub>
          </m:sSub>
          <m:sSub>
            <m:sSubPr>
              <m:ctrlPr>
                <w:rPr>
                  <w:rFonts w:ascii="Cambria Math" w:hAnsi="Cambria Math"/>
                </w:rPr>
              </m:ctrlPr>
            </m:sSubPr>
            <m:e>
              <m:r>
                <w:rPr>
                  <w:rFonts w:ascii="Cambria Math" w:hAnsi="Cambria Math"/>
                </w:rPr>
                <m:t>x</m:t>
              </m:r>
            </m:e>
            <m:sub>
              <m:r>
                <w:rPr>
                  <w:rFonts w:ascii="Cambria Math" w:hAnsi="Cambria Math"/>
                </w:rPr>
                <m:t>u</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p>
    <w:p w14:paraId="3F603C39" w14:textId="77777777" w:rsidR="003D3B95" w:rsidRDefault="00000000" w:rsidP="007B3797">
      <w:pPr>
        <w:pStyle w:val="FirstParagraph"/>
        <w:jc w:val="both"/>
      </w:pPr>
      <w:r>
        <w:t>The degree-zero and degree-one cohomology of this graph sheaf are</w:t>
      </w:r>
    </w:p>
    <w:p w14:paraId="69F3247B" w14:textId="77777777" w:rsidR="003D3B95" w:rsidRDefault="00000000" w:rsidP="007B3797">
      <w:pPr>
        <w:pStyle w:val="BodyText"/>
        <w:keepLines/>
        <w:spacing w:before="100" w:after="140"/>
        <w:jc w:val="both"/>
      </w:pPr>
      <m:oMathPara>
        <m:oMathParaPr>
          <m:jc m:val="center"/>
        </m:oMathParaPr>
        <m:oMath>
          <m:sSup>
            <m:sSupPr>
              <m:ctrlPr>
                <w:rPr>
                  <w:rFonts w:ascii="Cambria Math" w:hAnsi="Cambria Math"/>
                </w:rPr>
              </m:ctrlPr>
            </m:sSupPr>
            <m:e>
              <m:r>
                <w:rPr>
                  <w:rFonts w:ascii="Cambria Math" w:hAnsi="Cambria Math"/>
                </w:rPr>
                <m:t>H</m:t>
              </m:r>
            </m:e>
            <m:sup>
              <m:r>
                <w:rPr>
                  <w:rFonts w:ascii="Cambria Math" w:hAnsi="Cambria Math"/>
                </w:rPr>
                <m:t>0</m:t>
              </m:r>
            </m:sup>
          </m:sSup>
          <m:d>
            <m:dPr>
              <m:ctrlPr>
                <w:rPr>
                  <w:rFonts w:ascii="Cambria Math" w:hAnsi="Cambria Math"/>
                </w:rPr>
              </m:ctrlPr>
            </m:dPr>
            <m:e>
              <m:r>
                <w:rPr>
                  <w:rFonts w:ascii="Cambria Math" w:hAnsi="Cambria Math"/>
                </w:rPr>
                <m:t>G</m:t>
              </m:r>
              <m:r>
                <m:rPr>
                  <m:scr m:val="script"/>
                  <m:sty m:val="p"/>
                </m:rPr>
                <w:rPr>
                  <w:rFonts w:ascii="Cambria Math" w:hAnsi="Cambria Math"/>
                </w:rPr>
                <m:t>;F</m:t>
              </m:r>
            </m:e>
          </m:d>
          <m:r>
            <m:rPr>
              <m:sty m:val="p"/>
            </m:rPr>
            <w:rPr>
              <w:rFonts w:ascii="Cambria Math" w:hAnsi="Cambria Math"/>
            </w:rPr>
            <m:t>=ker</m:t>
          </m:r>
          <m:r>
            <w:rPr>
              <w:rFonts w:ascii="Cambria Math" w:hAnsi="Cambria Math"/>
            </w:rPr>
            <m:t>δ</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1</m:t>
              </m:r>
            </m:sup>
          </m:sSup>
          <m:d>
            <m:dPr>
              <m:ctrlPr>
                <w:rPr>
                  <w:rFonts w:ascii="Cambria Math" w:hAnsi="Cambria Math"/>
                </w:rPr>
              </m:ctrlPr>
            </m:dPr>
            <m:e>
              <m:r>
                <w:rPr>
                  <w:rFonts w:ascii="Cambria Math" w:hAnsi="Cambria Math"/>
                </w:rPr>
                <m:t>G</m:t>
              </m:r>
              <m:r>
                <m:rPr>
                  <m:scr m:val="script"/>
                  <m:sty m:val="p"/>
                </m:rPr>
                <w:rPr>
                  <w:rFonts w:ascii="Cambria Math" w:hAnsi="Cambria Math"/>
                </w:rPr>
                <m:t>;F</m:t>
              </m:r>
            </m:e>
          </m:d>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1</m:t>
              </m:r>
            </m:sup>
          </m:sSup>
          <m:r>
            <m:rPr>
              <m:sty m:val="p"/>
            </m:rPr>
            <w:rPr>
              <w:rFonts w:ascii="Cambria Math" w:hAnsi="Cambria Math"/>
            </w:rPr>
            <m:t>/im</m:t>
          </m:r>
          <m:r>
            <w:rPr>
              <w:rFonts w:ascii="Cambria Math" w:hAnsi="Cambria Math"/>
            </w:rPr>
            <m:t>δ</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p>
    <w:p w14:paraId="2FCB715B" w14:textId="77777777" w:rsidR="003D3B95" w:rsidRDefault="00000000" w:rsidP="007B3797">
      <w:pPr>
        <w:pStyle w:val="FirstParagraph"/>
        <w:jc w:val="both"/>
      </w:pPr>
      <w:r>
        <w:t>A global section is an assignment of endpoint states whose interface descriptions agree. The comparison may retain only a subspace of each endpoint state. This distinguishes feature-specific compatibility from a scalar strength assigned to otherwise identical features. A restriction map is not generally a vertex-to-vertex transport map, and its existence does not imply invertibility.</w:t>
      </w:r>
    </w:p>
    <w:p w14:paraId="2AC86E67" w14:textId="77777777" w:rsidR="003D3B95" w:rsidRDefault="00000000" w:rsidP="007B3797">
      <w:pPr>
        <w:pStyle w:val="Heading2"/>
        <w:jc w:val="both"/>
      </w:pPr>
      <w:bookmarkStart w:id="9" w:name="Xcad11b7ae91ded3c458bcb9bfbab7f9a51ac4ee"/>
      <w:bookmarkEnd w:id="8"/>
      <w:r>
        <w:lastRenderedPageBreak/>
        <w:t>3.2 Identifying the maps before testing the hypothesis</w:t>
      </w:r>
    </w:p>
    <w:p w14:paraId="66401DB0" w14:textId="77777777" w:rsidR="003D3B95" w:rsidRDefault="00000000" w:rsidP="007B3797">
      <w:pPr>
        <w:pStyle w:val="FirstParagraph"/>
        <w:jc w:val="both"/>
      </w:pPr>
      <w:r>
        <w:t>Biological and artificial implementations face the same requirement: the maps must be linked to identified mechanisms and evaluated on interventions not used to construct them. Anatomical connectivity defines admissible support. It does not determine the numerical restriction maps. Conversely, a map optimized freely to reproduce the final behavioural endpoint is not independent mechanistic evidence, even when its fitted cohomology is mathematically well defined.</w:t>
      </w:r>
    </w:p>
    <w:p w14:paraId="44BFD296" w14:textId="77777777" w:rsidR="003D3B95" w:rsidRDefault="00000000" w:rsidP="007B3797">
      <w:pPr>
        <w:pStyle w:val="BodyText"/>
        <w:jc w:val="both"/>
      </w:pPr>
      <w:r>
        <w:t xml:space="preserve">For a cortical experiment, define layer-specific feature coordinates from independent stimulus and perturbation trials. Use causal source stimulation, target recording, measured response delays, and an independently chosen target feature projection to estimate an effective source-to-interface transfer. For example, one endpoint restriction may be a source transfer </w:t>
      </w:r>
      <m:oMath>
        <m:sSub>
          <m:sSubPr>
            <m:ctrlPr>
              <w:rPr>
                <w:rFonts w:ascii="Cambria Math" w:hAnsi="Cambria Math"/>
              </w:rPr>
            </m:ctrlPr>
          </m:sSubPr>
          <m:e>
            <m:r>
              <w:rPr>
                <w:rFonts w:ascii="Cambria Math" w:hAnsi="Cambria Math"/>
              </w:rPr>
              <m:t>T</m:t>
            </m:r>
          </m:e>
          <m:sub>
            <m:r>
              <w:rPr>
                <w:rFonts w:ascii="Cambria Math" w:hAnsi="Cambria Math"/>
              </w:rPr>
              <m:t>e</m:t>
            </m:r>
          </m:sub>
        </m:sSub>
      </m:oMath>
      <w:r>
        <w:t xml:space="preserve">, while the other is the target projection </w:t>
      </w:r>
      <m:oMath>
        <m:sSub>
          <m:sSubPr>
            <m:ctrlPr>
              <w:rPr>
                <w:rFonts w:ascii="Cambria Math" w:hAnsi="Cambria Math"/>
              </w:rPr>
            </m:ctrlPr>
          </m:sSubPr>
          <m:e>
            <m:r>
              <w:rPr>
                <w:rFonts w:ascii="Cambria Math" w:hAnsi="Cambria Math"/>
              </w:rPr>
              <m:t>P</m:t>
            </m:r>
          </m:e>
          <m:sub>
            <m:r>
              <w:rPr>
                <w:rFonts w:ascii="Cambria Math" w:hAnsi="Cambria Math"/>
              </w:rPr>
              <m:t>e</m:t>
            </m:r>
          </m:sub>
        </m:sSub>
      </m:oMath>
      <w:r>
        <w:t xml:space="preserve">. Both act into the same calibrated </w:t>
      </w:r>
      <m:oMath>
        <m:sSub>
          <m:sSubPr>
            <m:ctrlPr>
              <w:rPr>
                <w:rFonts w:ascii="Cambria Math" w:hAnsi="Cambria Math"/>
              </w:rPr>
            </m:ctrlPr>
          </m:sSubPr>
          <m:e>
            <m:r>
              <w:rPr>
                <w:rFonts w:ascii="Cambria Math" w:hAnsi="Cambria Math"/>
              </w:rPr>
              <m:t>S</m:t>
            </m:r>
          </m:e>
          <m:sub>
            <m:r>
              <w:rPr>
                <w:rFonts w:ascii="Cambria Math" w:hAnsi="Cambria Math"/>
              </w:rPr>
              <m:t>e</m:t>
            </m:r>
          </m:sub>
        </m:sSub>
      </m:oMath>
      <w:r>
        <w:t>. Fit baseline offsets separately, since the linear states are deviations around an operating point. Trial splitting separates map identification, gain calibration, and final hypothesis testing.</w:t>
      </w:r>
    </w:p>
    <w:p w14:paraId="0DFEA2AE" w14:textId="77777777" w:rsidR="003D3B95" w:rsidRDefault="00000000" w:rsidP="007B3797">
      <w:pPr>
        <w:pStyle w:val="BodyText"/>
        <w:jc w:val="both"/>
      </w:pPr>
      <w:r>
        <w:t>Effective transfer supplies a candidate restriction; the equality of endpoint interface descriptions is itself tested on held-out trials. Shared inputs and additional target afferents must be controlled or explicitly represented, since a causal response to one source does not imply that the full target state equals that source contribution. A connectivity matrix and an effective transfer are different quantities. The latter depends on cell response functions and local circuitry. A normative compatibility criterion is a third possibility and must be labelled as such. The primary experiment uses effective causal transfer with anatomical support constraints; a normative alternative is an ablation, not a substitute introduced after observing the result.</w:t>
      </w:r>
    </w:p>
    <w:p w14:paraId="7CB3AD0C" w14:textId="77777777" w:rsidR="003D3B95" w:rsidRDefault="00000000" w:rsidP="007B3797">
      <w:pPr>
        <w:pStyle w:val="BodyText"/>
        <w:jc w:val="both"/>
      </w:pPr>
      <w:r>
        <w:t xml:space="preserve">The decomposition into restrictions and weights is not identifiable from the Laplacian alone. An invertible interface change </w:t>
      </w:r>
      <m:oMath>
        <m:sSub>
          <m:sSubPr>
            <m:ctrlPr>
              <w:rPr>
                <w:rFonts w:ascii="Cambria Math" w:hAnsi="Cambria Math"/>
              </w:rPr>
            </m:ctrlPr>
          </m:sSubPr>
          <m:e>
            <m:r>
              <w:rPr>
                <w:rFonts w:ascii="Cambria Math" w:hAnsi="Cambria Math"/>
              </w:rPr>
              <m:t>A</m:t>
            </m:r>
          </m:e>
          <m:sub>
            <m:r>
              <w:rPr>
                <w:rFonts w:ascii="Cambria Math" w:hAnsi="Cambria Math"/>
              </w:rPr>
              <m:t>e</m:t>
            </m:r>
          </m:sub>
        </m:sSub>
      </m:oMath>
      <w:r>
        <w:t xml:space="preserve"> transforms both endpoint maps to </w:t>
      </w:r>
      <m:oMath>
        <m:sSub>
          <m:sSubPr>
            <m:ctrlPr>
              <w:rPr>
                <w:rFonts w:ascii="Cambria Math" w:hAnsi="Cambria Math"/>
              </w:rPr>
            </m:ctrlPr>
          </m:sSubPr>
          <m:e>
            <m:r>
              <w:rPr>
                <w:rFonts w:ascii="Cambria Math" w:hAnsi="Cambria Math"/>
              </w:rPr>
              <m:t>A</m:t>
            </m:r>
          </m:e>
          <m:sub>
            <m:r>
              <w:rPr>
                <w:rFonts w:ascii="Cambria Math" w:hAnsi="Cambria Math"/>
              </w:rPr>
              <m:t>e</m:t>
            </m:r>
          </m:sub>
        </m:sSub>
        <m:sSub>
          <m:sSubPr>
            <m:ctrlPr>
              <w:rPr>
                <w:rFonts w:ascii="Cambria Math" w:hAnsi="Cambria Math"/>
              </w:rPr>
            </m:ctrlPr>
          </m:sSub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e</m:t>
            </m:r>
          </m:sub>
        </m:sSub>
      </m:oMath>
      <w:r>
        <w:t xml:space="preserve"> and the weight to </w:t>
      </w:r>
      <m:oMath>
        <m:sSubSup>
          <m:sSubSupPr>
            <m:ctrlPr>
              <w:rPr>
                <w:rFonts w:ascii="Cambria Math" w:hAnsi="Cambria Math"/>
              </w:rPr>
            </m:ctrlPr>
          </m:sSubSupPr>
          <m:e>
            <m:r>
              <w:rPr>
                <w:rFonts w:ascii="Cambria Math" w:hAnsi="Cambria Math"/>
              </w:rPr>
              <m:t>A</m:t>
            </m:r>
          </m:e>
          <m:sub>
            <m:r>
              <w:rPr>
                <w:rFonts w:ascii="Cambria Math" w:hAnsi="Cambria Math"/>
              </w:rPr>
              <m:t>e</m:t>
            </m:r>
          </m:sub>
          <m:sup>
            <m:r>
              <m:rPr>
                <m:sty m:val="p"/>
              </m:rPr>
              <w:rPr>
                <w:rFonts w:ascii="Cambria Math" w:hAnsi="Cambria Math"/>
              </w:rPr>
              <m:t>-</m:t>
            </m:r>
            <m:r>
              <w:rPr>
                <w:rFonts w:ascii="Cambria Math" w:hAnsi="Cambria Math"/>
              </w:rPr>
              <m:t>T</m:t>
            </m:r>
          </m:sup>
        </m:sSubSup>
        <m:sSub>
          <m:sSubPr>
            <m:ctrlPr>
              <w:rPr>
                <w:rFonts w:ascii="Cambria Math" w:hAnsi="Cambria Math"/>
              </w:rPr>
            </m:ctrlPr>
          </m:sSubPr>
          <m:e>
            <m:r>
              <w:rPr>
                <w:rFonts w:ascii="Cambria Math" w:hAnsi="Cambria Math"/>
              </w:rPr>
              <m:t>W</m:t>
            </m:r>
          </m:e>
          <m:sub>
            <m:r>
              <w:rPr>
                <w:rFonts w:ascii="Cambria Math" w:hAnsi="Cambria Math"/>
              </w:rPr>
              <m:t>e</m:t>
            </m:r>
          </m:sub>
        </m:sSub>
        <m:sSubSup>
          <m:sSubSupPr>
            <m:ctrlPr>
              <w:rPr>
                <w:rFonts w:ascii="Cambria Math" w:hAnsi="Cambria Math"/>
              </w:rPr>
            </m:ctrlPr>
          </m:sSubSupPr>
          <m:e>
            <m:r>
              <w:rPr>
                <w:rFonts w:ascii="Cambria Math" w:hAnsi="Cambria Math"/>
              </w:rPr>
              <m:t>A</m:t>
            </m:r>
          </m:e>
          <m:sub>
            <m:r>
              <w:rPr>
                <w:rFonts w:ascii="Cambria Math" w:hAnsi="Cambria Math"/>
              </w:rPr>
              <m:t>e</m:t>
            </m:r>
          </m:sub>
          <m:sup>
            <m:r>
              <m:rPr>
                <m:sty m:val="p"/>
              </m:rPr>
              <w:rPr>
                <w:rFonts w:ascii="Cambria Math" w:hAnsi="Cambria Math"/>
              </w:rPr>
              <m:t>-</m:t>
            </m:r>
            <m:r>
              <w:rPr>
                <w:rFonts w:ascii="Cambria Math" w:hAnsi="Cambria Math"/>
              </w:rPr>
              <m:t>1</m:t>
            </m:r>
          </m:sup>
        </m:sSubSup>
      </m:oMath>
      <w:r>
        <w:t>, leaving the energy unchanged. Interface bases, units, and metrics must therefore be fixed by calibration. Comparison of conditions uses one registered vertex coordinate system and one interface convention. Separately fitting each condition can conceal code changes as coordinate changes.</w:t>
      </w:r>
    </w:p>
    <w:p w14:paraId="14029C46" w14:textId="77777777" w:rsidR="003D3B95" w:rsidRDefault="00000000" w:rsidP="007B3797">
      <w:pPr>
        <w:pStyle w:val="Heading2"/>
        <w:jc w:val="both"/>
      </w:pPr>
      <w:bookmarkStart w:id="10" w:name="X89ecbf42fc561a84cfec5c08bcb6a57a76e2078"/>
      <w:bookmarkEnd w:id="9"/>
      <w:r>
        <w:t>3.3 Vertical algebra without an assumed differential</w:t>
      </w:r>
    </w:p>
    <w:p w14:paraId="4331E719" w14:textId="77777777" w:rsidR="003D3B95" w:rsidRDefault="00000000" w:rsidP="007B3797">
      <w:pPr>
        <w:pStyle w:val="FirstParagraph"/>
        <w:jc w:val="both"/>
      </w:pPr>
      <w:r>
        <w:t xml:space="preserve">For each vertex, write </w:t>
      </w:r>
      <m:oMath>
        <m:sSub>
          <m:sSubPr>
            <m:ctrlPr>
              <w:rPr>
                <w:rFonts w:ascii="Cambria Math" w:hAnsi="Cambria Math"/>
              </w:rPr>
            </m:ctrlPr>
          </m:sSubPr>
          <m:e>
            <m:r>
              <w:rPr>
                <w:rFonts w:ascii="Cambria Math" w:hAnsi="Cambria Math"/>
              </w:rPr>
              <m:t>X</m:t>
            </m:r>
          </m:e>
          <m:sub>
            <m:r>
              <w:rPr>
                <w:rFonts w:ascii="Cambria Math" w:hAnsi="Cambria Math"/>
              </w:rPr>
              <m:t>v</m:t>
            </m:r>
          </m:sub>
        </m:sSub>
      </m:oMath>
      <w:r>
        <w:t xml:space="preserve"> as a direct sum of layer-resolved subspaces. Extend each measured laminar operator by zero to an endomorphism of </w:t>
      </w:r>
      <m:oMath>
        <m:sSub>
          <m:sSubPr>
            <m:ctrlPr>
              <w:rPr>
                <w:rFonts w:ascii="Cambria Math" w:hAnsi="Cambria Math"/>
              </w:rPr>
            </m:ctrlPr>
          </m:sSubPr>
          <m:e>
            <m:r>
              <w:rPr>
                <w:rFonts w:ascii="Cambria Math" w:hAnsi="Cambria Math"/>
              </w:rPr>
              <m:t>X</m:t>
            </m:r>
          </m:e>
          <m:sub>
            <m:r>
              <w:rPr>
                <w:rFonts w:ascii="Cambria Math" w:hAnsi="Cambria Math"/>
              </w:rPr>
              <m:t>v</m:t>
            </m:r>
          </m:sub>
        </m:sSub>
      </m:oMath>
      <w:r>
        <w:t xml:space="preserve">, and include the layer projectors and the identity. Their finite sums and compositions generate an associative subalgebra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v</m:t>
            </m:r>
          </m:sub>
        </m:sSub>
        <m:r>
          <m:rPr>
            <m:sty m:val="p"/>
          </m:rPr>
          <w:rPr>
            <w:rFonts w:ascii="Cambria Math" w:hAnsi="Cambria Math"/>
          </w:rPr>
          <m:t>⊆End</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v</m:t>
                </m:r>
              </m:sub>
            </m:sSub>
          </m:e>
        </m:d>
      </m:oMath>
      <w:r>
        <w:t>. This gives a literal meaning to vertical algebra: the state carries an action of composable local operators, rather than merely a layer label.</w:t>
      </w:r>
    </w:p>
    <w:p w14:paraId="6C7B705D" w14:textId="77777777" w:rsidR="003D3B95" w:rsidRDefault="00000000" w:rsidP="007B3797">
      <w:pPr>
        <w:pStyle w:val="BodyText"/>
        <w:jc w:val="both"/>
      </w:pPr>
      <w:r>
        <w:t>In the primary model, this algebra determines the local encoding of the cue and the endpoint features exposed to lateral comparisons. It is fixed during one relaxation episode. The recurrence in Section 4 operates on the resulting state. This deliberately specifies a finite computational task; it does not identify all ongoing laminar activity with a gradient flow.</w:t>
      </w:r>
    </w:p>
    <w:p w14:paraId="56928829" w14:textId="77777777" w:rsidR="003D3B95" w:rsidRDefault="00000000" w:rsidP="007B3797">
      <w:pPr>
        <w:pStyle w:val="BodyText"/>
        <w:jc w:val="both"/>
      </w:pPr>
      <w:r>
        <w:t>A representation of a laminar path algebra is another presentation of these operators. Neither presentation makes their composition zero. Section 9 constructs a separate two-term residual complex, for which a double-complex description is valid by construction. Its cohomological degree labels constraint roles, not the physical numbering of cortical layers.</w:t>
      </w:r>
    </w:p>
    <w:p w14:paraId="4E7E67C8" w14:textId="77777777" w:rsidR="003D3B95" w:rsidRDefault="00000000" w:rsidP="007B3797">
      <w:pPr>
        <w:pStyle w:val="Heading1"/>
        <w:jc w:val="both"/>
      </w:pPr>
      <w:bookmarkStart w:id="11" w:name="Xd2e7b3643dc5a20f8db3d817dc2854f55b41415"/>
      <w:bookmarkEnd w:id="7"/>
      <w:bookmarkEnd w:id="10"/>
      <w:r>
        <w:lastRenderedPageBreak/>
        <w:t>4 Recurrence and the exact positive reweighting result</w:t>
      </w:r>
    </w:p>
    <w:p w14:paraId="62604A28" w14:textId="77777777" w:rsidR="003D3B95" w:rsidRDefault="00000000" w:rsidP="007B3797">
      <w:pPr>
        <w:pStyle w:val="Heading2"/>
        <w:jc w:val="both"/>
      </w:pPr>
      <w:bookmarkStart w:id="12" w:name="the-state-update"/>
      <w:r>
        <w:t>4.1 The state update</w:t>
      </w:r>
    </w:p>
    <w:p w14:paraId="2309CCF4" w14:textId="77777777" w:rsidR="003D3B95" w:rsidRDefault="00000000" w:rsidP="007B3797">
      <w:pPr>
        <w:pStyle w:val="FirstParagraph"/>
        <w:jc w:val="both"/>
      </w:pPr>
      <w:r>
        <w:t xml:space="preserve">Fix the calibrated vertex inner product, the restrictions, and a block-diagonal positive-definite interface weight </w:t>
      </w:r>
      <m:oMath>
        <m:r>
          <w:rPr>
            <w:rFonts w:ascii="Cambria Math" w:hAnsi="Cambria Math"/>
          </w:rPr>
          <m:t>W</m:t>
        </m:r>
      </m:oMath>
      <w:r>
        <w:t>. Define the compatibility energy and Laplacian by</w:t>
      </w:r>
    </w:p>
    <w:p w14:paraId="4A08801C" w14:textId="77777777" w:rsidR="003D3B95" w:rsidRDefault="00000000" w:rsidP="007B3797">
      <w:pPr>
        <w:pStyle w:val="BodyText"/>
        <w:keepLines/>
        <w:spacing w:before="100" w:after="140"/>
        <w:jc w:val="both"/>
      </w:pPr>
      <m:oMathPara>
        <m:oMathParaPr>
          <m:jc m:val="center"/>
        </m:oMathParaPr>
        <m:oMath>
          <m:sSub>
            <m:sSubPr>
              <m:ctrlPr>
                <w:rPr>
                  <w:rFonts w:ascii="Cambria Math" w:hAnsi="Cambria Math"/>
                </w:rPr>
              </m:ctrlPr>
            </m:sSubPr>
            <m:e>
              <m:r>
                <m:rPr>
                  <m:scr m:val="script"/>
                  <m:sty m:val="p"/>
                </m:rPr>
                <w:rPr>
                  <w:rFonts w:ascii="Cambria Math" w:hAnsi="Cambria Math"/>
                </w:rPr>
                <m:t>E</m:t>
              </m:r>
            </m:e>
            <m:sub>
              <m:r>
                <w:rPr>
                  <w:rFonts w:ascii="Cambria Math" w:hAnsi="Cambria Math"/>
                </w:rPr>
                <m:t>W</m:t>
              </m:r>
            </m:sub>
          </m:sSub>
          <m:d>
            <m:dPr>
              <m:ctrlPr>
                <w:rPr>
                  <w:rFonts w:ascii="Cambria Math" w:hAnsi="Cambria Math"/>
                </w:rPr>
              </m:ctrlPr>
            </m:dPr>
            <m:e>
              <m:r>
                <w:rPr>
                  <w:rFonts w:ascii="Cambria Math" w:hAnsi="Cambria Math"/>
                </w:rPr>
                <m:t>x</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δx</m:t>
          </m:r>
          <m:r>
            <m:rPr>
              <m:sty m:val="p"/>
            </m:rPr>
            <w:rPr>
              <w:rFonts w:ascii="Cambria Math" w:hAnsi="Cambria Math"/>
            </w:rPr>
            <m:t>,</m:t>
          </m:r>
          <m:r>
            <w:rPr>
              <w:rFonts w:ascii="Cambria Math" w:hAnsi="Cambria Math"/>
            </w:rPr>
            <m:t>Wδx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L</m:t>
              </m:r>
            </m:e>
            <m:sub>
              <m:r>
                <w:rPr>
                  <w:rFonts w:ascii="Cambria Math" w:hAnsi="Cambria Math"/>
                </w:rPr>
                <m:t>W</m:t>
              </m:r>
            </m:sub>
          </m:sSub>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T</m:t>
              </m:r>
            </m:sup>
          </m:sSup>
          <m:r>
            <w:rPr>
              <w:rFonts w:ascii="Cambria Math" w:hAnsi="Cambria Math"/>
            </w:rPr>
            <m:t>Wδ</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p>
    <w:p w14:paraId="43279959" w14:textId="77777777" w:rsidR="003D3B95" w:rsidRDefault="00000000" w:rsidP="007B3797">
      <w:pPr>
        <w:pStyle w:val="FirstParagraph"/>
        <w:jc w:val="both"/>
      </w:pPr>
      <w:r>
        <w:t xml:space="preserve">Given a cue-encoded initial state </w:t>
      </w:r>
      <m:oMath>
        <m:sSup>
          <m:sSupPr>
            <m:ctrlPr>
              <w:rPr>
                <w:rFonts w:ascii="Cambria Math" w:hAnsi="Cambria Math"/>
              </w:rPr>
            </m:ctrlPr>
          </m:sSupPr>
          <m:e>
            <m:r>
              <w:rPr>
                <w:rFonts w:ascii="Cambria Math" w:hAnsi="Cambria Math"/>
              </w:rPr>
              <m:t>x</m:t>
            </m:r>
          </m:e>
          <m:sup>
            <m:r>
              <w:rPr>
                <w:rFonts w:ascii="Cambria Math" w:hAnsi="Cambria Math"/>
              </w:rPr>
              <m:t>0</m:t>
            </m:r>
          </m:sup>
        </m:sSup>
      </m:oMath>
      <w:r>
        <w:t>, the RCS recurrence is</w:t>
      </w:r>
    </w:p>
    <w:p w14:paraId="6132C9BD" w14:textId="77777777" w:rsidR="003D3B95" w:rsidRDefault="00000000" w:rsidP="007B3797">
      <w:pPr>
        <w:pStyle w:val="BodyText"/>
        <w:keepLines/>
        <w:spacing w:before="100" w:after="140"/>
        <w:jc w:val="both"/>
      </w:pPr>
      <m:oMathPara>
        <m:oMathParaPr>
          <m:jc m:val="center"/>
        </m:oMathParaPr>
        <m:oMath>
          <m:sSup>
            <m:sSupPr>
              <m:ctrlPr>
                <w:rPr>
                  <w:rFonts w:ascii="Cambria Math" w:hAnsi="Cambria Math"/>
                </w:rPr>
              </m:ctrlPr>
            </m:sSupPr>
            <m:e>
              <m:r>
                <w:rPr>
                  <w:rFonts w:ascii="Cambria Math" w:hAnsi="Cambria Math"/>
                </w:rPr>
                <m:t>x</m:t>
              </m:r>
            </m:e>
            <m:sup>
              <m:r>
                <w:rPr>
                  <w:rFonts w:ascii="Cambria Math" w:hAnsi="Cambria Math"/>
                </w:rPr>
                <m:t>k</m:t>
              </m:r>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k</m:t>
              </m:r>
            </m:sup>
          </m:sSup>
          <m:r>
            <m:rPr>
              <m:sty m:val="p"/>
            </m:rPr>
            <w:rPr>
              <w:rFonts w:ascii="Cambria Math" w:hAnsi="Cambria Math"/>
            </w:rPr>
            <m:t>-</m:t>
          </m:r>
          <m:r>
            <w:rPr>
              <w:rFonts w:ascii="Cambria Math" w:hAnsi="Cambria Math"/>
            </w:rPr>
            <m:t>η</m:t>
          </m:r>
          <m:sSub>
            <m:sSubPr>
              <m:ctrlPr>
                <w:rPr>
                  <w:rFonts w:ascii="Cambria Math" w:hAnsi="Cambria Math"/>
                </w:rPr>
              </m:ctrlPr>
            </m:sSubPr>
            <m:e>
              <m:r>
                <w:rPr>
                  <w:rFonts w:ascii="Cambria Math" w:hAnsi="Cambria Math"/>
                </w:rPr>
                <m:t>L</m:t>
              </m:r>
            </m:e>
            <m:sub>
              <m:r>
                <w:rPr>
                  <w:rFonts w:ascii="Cambria Math" w:hAnsi="Cambria Math"/>
                </w:rPr>
                <m:t>W</m:t>
              </m:r>
            </m:sub>
          </m:sSub>
          <m:sSup>
            <m:sSupPr>
              <m:ctrlPr>
                <w:rPr>
                  <w:rFonts w:ascii="Cambria Math" w:hAnsi="Cambria Math"/>
                </w:rPr>
              </m:ctrlPr>
            </m:sSupPr>
            <m:e>
              <m:r>
                <w:rPr>
                  <w:rFonts w:ascii="Cambria Math" w:hAnsi="Cambria Math"/>
                </w:rPr>
                <m:t>x</m:t>
              </m:r>
            </m:e>
            <m:sup>
              <m:r>
                <w:rPr>
                  <w:rFonts w:ascii="Cambria Math" w:hAnsi="Cambria Math"/>
                </w:rPr>
                <m:t>k</m:t>
              </m:r>
            </m:sup>
          </m:sSup>
          <m:r>
            <m:rPr>
              <m:sty m:val="p"/>
            </m:rPr>
            <w:rPr>
              <w:rFonts w:ascii="Cambria Math" w:hAnsi="Cambria Math"/>
            </w:rPr>
            <m:t>,</m:t>
          </m:r>
          <m:r>
            <w:rPr>
              <w:rFonts w:ascii="Cambria Math" w:hAnsi="Cambria Math"/>
            </w:rPr>
            <m:t>  0</m:t>
          </m:r>
          <m:r>
            <m:rPr>
              <m:sty m:val="p"/>
            </m:rPr>
            <w:rPr>
              <w:rFonts w:ascii="Cambria Math" w:hAnsi="Cambria Math"/>
            </w:rPr>
            <m:t>&lt;</m:t>
          </m:r>
          <m:r>
            <w:rPr>
              <w:rFonts w:ascii="Cambria Math" w:hAnsi="Cambria Math"/>
            </w:rPr>
            <m:t>η</m:t>
          </m:r>
          <m:r>
            <m:rPr>
              <m:sty m:val="p"/>
            </m:rPr>
            <w:rPr>
              <w:rFonts w:ascii="Cambria Math" w:hAnsi="Cambria Math"/>
            </w:rPr>
            <m:t>&lt;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max</m:t>
              </m:r>
            </m:sub>
          </m:sSub>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W</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m:t>
              </m:r>
            </m:e>
          </m:d>
        </m:oMath>
      </m:oMathPara>
    </w:p>
    <w:p w14:paraId="747252C4" w14:textId="77777777" w:rsidR="003D3B95" w:rsidRDefault="00000000" w:rsidP="007B3797">
      <w:pPr>
        <w:pStyle w:val="FirstParagraph"/>
        <w:jc w:val="both"/>
      </w:pPr>
      <w:r>
        <w:t xml:space="preserve">For the zero operator, the update simply fixes the state. Otherwise the stated step bound gives convergence. Continuous-time relaxation is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W</m:t>
            </m:r>
          </m:sub>
        </m:sSub>
        <m:r>
          <w:rPr>
            <w:rFonts w:ascii="Cambria Math" w:hAnsi="Cambria Math"/>
          </w:rPr>
          <m:t>x</m:t>
        </m:r>
      </m:oMath>
      <w:r>
        <w:t>. The episode uses a fixed sheaf; repeated state updates, not the mere presence of an anatomical loop, supply the word recurrent. Learning or consolidation may change the restrictions between episodes, but then the section space must be recomputed and the within-episode theorem is not a claim about learning invariance.</w:t>
      </w:r>
    </w:p>
    <w:p w14:paraId="60DE13C0" w14:textId="77777777" w:rsidR="003D3B95" w:rsidRDefault="00000000" w:rsidP="007B3797">
      <w:pPr>
        <w:pStyle w:val="BodyText"/>
        <w:jc w:val="both"/>
      </w:pPr>
      <w:r>
        <w:t>This symmetric effective dynamics is a substantive biological assumption. A unidirectional axonal projection does not by itself implement the transpose term required by the gradient. Recurrent inhibition, reciprocal pathways, or an appropriate reduced description would have to supply the effective operation. A substantial, reproducible rotational or nonnormal component in measured dynamics is evidence against this minimal model, even if a richer recurrent network can fit the same data.</w:t>
      </w:r>
    </w:p>
    <w:p w14:paraId="42A891FA" w14:textId="77777777" w:rsidR="003D3B95" w:rsidRDefault="00000000" w:rsidP="007B3797">
      <w:pPr>
        <w:pStyle w:val="Heading2"/>
        <w:jc w:val="both"/>
      </w:pPr>
      <w:bookmarkStart w:id="13" w:name="X9401eb95cba01e345760f2ce4a008ceec0962ac"/>
      <w:bookmarkEnd w:id="12"/>
      <w:r>
        <w:t>4.2 Proposition 1 on sections and recall endpoints</w:t>
      </w:r>
    </w:p>
    <w:p w14:paraId="57F50CDE" w14:textId="77777777" w:rsidR="003D3B95" w:rsidRDefault="00000000" w:rsidP="007B3797">
      <w:pPr>
        <w:pStyle w:val="FirstParagraph"/>
        <w:jc w:val="both"/>
      </w:pPr>
      <w:r>
        <w:rPr>
          <w:b/>
          <w:bCs/>
        </w:rPr>
        <w:t>Proposition 1.</w:t>
      </w:r>
      <w:r>
        <w:t xml:space="preserve"> For fixed </w:t>
      </w:r>
      <m:oMath>
        <m:r>
          <w:rPr>
            <w:rFonts w:ascii="Cambria Math" w:hAnsi="Cambria Math"/>
          </w:rPr>
          <m:t>δ</m:t>
        </m:r>
      </m:oMath>
      <w:r>
        <w:t xml:space="preserve"> and the fixed vertex metric, every positive-definite </w:t>
      </w:r>
      <m:oMath>
        <m:r>
          <w:rPr>
            <w:rFonts w:ascii="Cambria Math" w:hAnsi="Cambria Math"/>
          </w:rPr>
          <m:t>W</m:t>
        </m:r>
      </m:oMath>
      <w:r>
        <w:t xml:space="preserve"> has the same zero-energy state space. Moreover, unforced continuous-time relaxation, or the convergent discrete recurrence (4), approaches the same orthogonal projection for the same initial state:</w:t>
      </w:r>
    </w:p>
    <w:p w14:paraId="6EFB93D0" w14:textId="77777777" w:rsidR="003D3B95" w:rsidRDefault="00000000" w:rsidP="007B3797">
      <w:pPr>
        <w:pStyle w:val="BodyText"/>
        <w:keepLines/>
        <w:spacing w:before="100" w:after="140"/>
        <w:jc w:val="both"/>
      </w:pPr>
      <m:oMathPara>
        <m:oMathParaPr>
          <m:jc m:val="center"/>
        </m:oMathParaPr>
        <m:oMath>
          <m:r>
            <m:rPr>
              <m:sty m:val="p"/>
            </m:rPr>
            <w:rPr>
              <w:rFonts w:ascii="Cambria Math" w:hAnsi="Cambria Math"/>
            </w:rPr>
            <m:t>ker</m:t>
          </m:r>
          <m:sSub>
            <m:sSubPr>
              <m:ctrlPr>
                <w:rPr>
                  <w:rFonts w:ascii="Cambria Math" w:hAnsi="Cambria Math"/>
                </w:rPr>
              </m:ctrlPr>
            </m:sSubPr>
            <m:e>
              <m:r>
                <w:rPr>
                  <w:rFonts w:ascii="Cambria Math" w:hAnsi="Cambria Math"/>
                </w:rPr>
                <m:t>L</m:t>
              </m:r>
            </m:e>
            <m:sub>
              <m:r>
                <w:rPr>
                  <w:rFonts w:ascii="Cambria Math" w:hAnsi="Cambria Math"/>
                </w:rPr>
                <m:t>W</m:t>
              </m:r>
            </m:sub>
          </m:sSub>
          <m:r>
            <m:rPr>
              <m:sty m:val="p"/>
            </m:rPr>
            <w:rPr>
              <w:rFonts w:ascii="Cambria Math" w:hAnsi="Cambria Math"/>
            </w:rPr>
            <m:t>=ker</m:t>
          </m:r>
          <m:r>
            <w:rPr>
              <w:rFonts w:ascii="Cambria Math" w:hAnsi="Cambria Math"/>
            </w:rPr>
            <m:t>δ</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0</m:t>
              </m:r>
            </m:sup>
          </m:sSup>
          <m:d>
            <m:dPr>
              <m:ctrlPr>
                <w:rPr>
                  <w:rFonts w:ascii="Cambria Math" w:hAnsi="Cambria Math"/>
                </w:rPr>
              </m:ctrlPr>
            </m:dPr>
            <m:e>
              <m:r>
                <w:rPr>
                  <w:rFonts w:ascii="Cambria Math" w:hAnsi="Cambria Math"/>
                </w:rPr>
                <m:t>G</m:t>
              </m:r>
              <m:r>
                <m:rPr>
                  <m:scr m:val="script"/>
                  <m:sty m:val="p"/>
                </m:rPr>
                <w:rPr>
                  <w:rFonts w:ascii="Cambria Math" w:hAnsi="Cambria Math"/>
                </w:rPr>
                <m:t>;F</m:t>
              </m:r>
            </m:e>
          </m:d>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lim</m:t>
              </m:r>
            </m:e>
            <m:lim>
              <m:r>
                <w:rPr>
                  <w:rFonts w:ascii="Cambria Math" w:hAnsi="Cambria Math"/>
                </w:rPr>
                <m:t>k</m:t>
              </m:r>
              <m:r>
                <m:rPr>
                  <m:sty m:val="p"/>
                </m:rPr>
                <w:rPr>
                  <w:rFonts w:ascii="Cambria Math" w:hAnsi="Cambria Math"/>
                </w:rPr>
                <m:t>→∞</m:t>
              </m:r>
            </m:lim>
          </m:limLow>
          <m:sSup>
            <m:sSupPr>
              <m:ctrlPr>
                <w:rPr>
                  <w:rFonts w:ascii="Cambria Math" w:hAnsi="Cambria Math"/>
                </w:rPr>
              </m:ctrlPr>
            </m:sSupPr>
            <m:e>
              <m:r>
                <w:rPr>
                  <w:rFonts w:ascii="Cambria Math" w:hAnsi="Cambria Math"/>
                </w:rPr>
                <m:t>x</m:t>
              </m:r>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sSup>
            <m:sSupPr>
              <m:ctrlPr>
                <w:rPr>
                  <w:rFonts w:ascii="Cambria Math" w:hAnsi="Cambria Math"/>
                </w:rPr>
              </m:ctrlPr>
            </m:sSupPr>
            <m:e>
              <m:r>
                <w:rPr>
                  <w:rFonts w:ascii="Cambria Math" w:hAnsi="Cambria Math"/>
                </w:rPr>
                <m:t>x</m:t>
              </m:r>
            </m:e>
            <m:sup>
              <m:r>
                <w:rPr>
                  <w:rFonts w:ascii="Cambria Math" w:hAnsi="Cambria Math"/>
                </w:rPr>
                <m:t>0</m:t>
              </m:r>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5</m:t>
              </m:r>
            </m:e>
          </m:d>
        </m:oMath>
      </m:oMathPara>
    </w:p>
    <w:p w14:paraId="4462735F" w14:textId="77777777" w:rsidR="003D3B95" w:rsidRDefault="00000000" w:rsidP="007B3797">
      <w:pPr>
        <w:pStyle w:val="FirstParagraph"/>
        <w:jc w:val="both"/>
      </w:pPr>
      <w:r>
        <w:t xml:space="preserve">Here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is the orthogonal projector onto </w:t>
      </w:r>
      <m:oMath>
        <m:r>
          <m:rPr>
            <m:sty m:val="p"/>
          </m:rPr>
          <w:rPr>
            <w:rFonts w:ascii="Cambria Math" w:hAnsi="Cambria Math"/>
          </w:rPr>
          <m:t>ker</m:t>
        </m:r>
        <m:r>
          <w:rPr>
            <w:rFonts w:ascii="Cambria Math" w:hAnsi="Cambria Math"/>
          </w:rPr>
          <m:t>δ</m:t>
        </m:r>
      </m:oMath>
      <w:r>
        <w:t xml:space="preserve"> in the calibration metric.</w:t>
      </w:r>
    </w:p>
    <w:p w14:paraId="0FF0D111" w14:textId="77777777" w:rsidR="003D3B95" w:rsidRDefault="00000000" w:rsidP="007B3797">
      <w:pPr>
        <w:pStyle w:val="BodyText"/>
        <w:jc w:val="both"/>
      </w:pPr>
      <w:r>
        <w:rPr>
          <w:b/>
          <w:bCs/>
        </w:rPr>
        <w:t>Proof.</w:t>
      </w:r>
      <w:r>
        <w:t xml:space="preserve"> For every </w:t>
      </w:r>
      <m:oMath>
        <m:r>
          <w:rPr>
            <w:rFonts w:ascii="Cambria Math" w:hAnsi="Cambria Math"/>
          </w:rPr>
          <m:t>x</m:t>
        </m:r>
      </m:oMath>
      <w:r>
        <w:t xml:space="preserve">, </w:t>
      </w:r>
      <m:oMath>
        <m:sSup>
          <m:sSupPr>
            <m:ctrlPr>
              <w:rPr>
                <w:rFonts w:ascii="Cambria Math" w:hAnsi="Cambria Math"/>
              </w:rPr>
            </m:ctrlPr>
          </m:sSupPr>
          <m:e>
            <m:r>
              <w:rPr>
                <w:rFonts w:ascii="Cambria Math" w:hAnsi="Cambria Math"/>
              </w:rPr>
              <m:t>x</m:t>
            </m:r>
          </m:e>
          <m:sup>
            <m:r>
              <w:rPr>
                <w:rFonts w:ascii="Cambria Math" w:hAnsi="Cambria Math"/>
              </w:rPr>
              <m:t>T</m:t>
            </m:r>
          </m:sup>
        </m:sSup>
        <m:sSub>
          <m:sSubPr>
            <m:ctrlPr>
              <w:rPr>
                <w:rFonts w:ascii="Cambria Math" w:hAnsi="Cambria Math"/>
              </w:rPr>
            </m:ctrlPr>
          </m:sSubPr>
          <m:e>
            <m:r>
              <w:rPr>
                <w:rFonts w:ascii="Cambria Math" w:hAnsi="Cambria Math"/>
              </w:rPr>
              <m:t>L</m:t>
            </m:r>
          </m:e>
          <m:sub>
            <m:r>
              <w:rPr>
                <w:rFonts w:ascii="Cambria Math" w:hAnsi="Cambria Math"/>
              </w:rPr>
              <m:t>W</m:t>
            </m:r>
          </m:sub>
        </m:sSub>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δx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Positive definiteness makes this quantity zero exactly when </w:t>
      </w:r>
      <m:oMath>
        <m:r>
          <w:rPr>
            <w:rFonts w:ascii="Cambria Math" w:hAnsi="Cambria Math"/>
          </w:rPr>
          <m:t>δx</m:t>
        </m:r>
        <m:r>
          <m:rPr>
            <m:sty m:val="p"/>
          </m:rPr>
          <w:rPr>
            <w:rFonts w:ascii="Cambria Math" w:hAnsi="Cambria Math"/>
          </w:rPr>
          <m:t>=</m:t>
        </m:r>
        <m:r>
          <w:rPr>
            <w:rFonts w:ascii="Cambria Math" w:hAnsi="Cambria Math"/>
          </w:rPr>
          <m:t>0</m:t>
        </m:r>
      </m:oMath>
      <w:r>
        <w:t xml:space="preserve">. The symmetric positive-semidefinite </w:t>
      </w:r>
      <m:oMath>
        <m:sSub>
          <m:sSubPr>
            <m:ctrlPr>
              <w:rPr>
                <w:rFonts w:ascii="Cambria Math" w:hAnsi="Cambria Math"/>
              </w:rPr>
            </m:ctrlPr>
          </m:sSubPr>
          <m:e>
            <m:r>
              <w:rPr>
                <w:rFonts w:ascii="Cambria Math" w:hAnsi="Cambria Math"/>
              </w:rPr>
              <m:t>L</m:t>
            </m:r>
          </m:e>
          <m:sub>
            <m:r>
              <w:rPr>
                <w:rFonts w:ascii="Cambria Math" w:hAnsi="Cambria Math"/>
              </w:rPr>
              <m:t>W</m:t>
            </m:r>
          </m:sub>
        </m:sSub>
      </m:oMath>
      <w:r>
        <w:t xml:space="preserve"> admits an orthonormal eigenbasis. The multiplier in (4) is one on its kernel and has modulus below one on every positive-eigenvalue mode. Therefore the latter modes vanish and the former remain unchanged. Continuous-time multipliers are </w:t>
      </w:r>
      <m:oMath>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tλ</m:t>
            </m:r>
          </m:e>
        </m:d>
      </m:oMath>
      <w:r>
        <w:t xml:space="preserve"> and give the same limit. The kernel is independent of </w:t>
      </w:r>
      <m:oMath>
        <m:r>
          <w:rPr>
            <w:rFonts w:ascii="Cambria Math" w:hAnsi="Cambria Math"/>
          </w:rPr>
          <m:t>W</m:t>
        </m:r>
      </m:oMath>
      <w:r>
        <w:t xml:space="preserve">, so its orthogonal projector is also independent of </w:t>
      </w:r>
      <m:oMath>
        <m:r>
          <w:rPr>
            <w:rFonts w:ascii="Cambria Math" w:hAnsi="Cambria Math"/>
          </w:rPr>
          <m:t>W</m:t>
        </m:r>
      </m:oMath>
      <w:r>
        <w:t>. This proves (5).</w:t>
      </w:r>
    </w:p>
    <w:p w14:paraId="24912C94" w14:textId="77777777" w:rsidR="003D3B95" w:rsidRDefault="00000000" w:rsidP="007B3797">
      <w:pPr>
        <w:pStyle w:val="BodyText"/>
        <w:jc w:val="both"/>
      </w:pPr>
      <w:r>
        <w:t>This result is stronger than preservation of the set of possible sections: under its stated dynamics it preserves which section is selected from a fixed cue. It is still not a general theorem about cortical tuning, nonlinear recall, or driven neural activity.</w:t>
      </w:r>
    </w:p>
    <w:p w14:paraId="7067F477" w14:textId="77777777" w:rsidR="003D3B95" w:rsidRDefault="00000000" w:rsidP="007B3797">
      <w:pPr>
        <w:pStyle w:val="Heading2"/>
        <w:jc w:val="both"/>
      </w:pPr>
      <w:bookmarkStart w:id="14" w:name="what-changes-with-the-weights"/>
      <w:bookmarkEnd w:id="13"/>
      <w:r>
        <w:t>4.3 What changes with the weights</w:t>
      </w:r>
    </w:p>
    <w:p w14:paraId="5F1A7D1A" w14:textId="77777777" w:rsidR="003D3B95" w:rsidRDefault="00000000" w:rsidP="007B3797">
      <w:pPr>
        <w:pStyle w:val="FirstParagraph"/>
        <w:jc w:val="both"/>
      </w:pPr>
      <w:r>
        <w:t xml:space="preserve">Let </w:t>
      </w:r>
      <m:oMath>
        <m:sSub>
          <m:sSubPr>
            <m:ctrlPr>
              <w:rPr>
                <w:rFonts w:ascii="Cambria Math" w:hAnsi="Cambria Math"/>
              </w:rPr>
            </m:ctrlPr>
          </m:sSubPr>
          <m:e>
            <m:r>
              <w:rPr>
                <w:rFonts w:ascii="Cambria Math" w:hAnsi="Cambria Math"/>
              </w:rPr>
              <m:t>λ</m:t>
            </m:r>
          </m:e>
          <m:sub>
            <m:r>
              <m:rPr>
                <m:sty m:val="p"/>
              </m:rPr>
              <w:rPr>
                <w:rFonts w:ascii="Cambria Math" w:hAnsi="Cambria Math"/>
              </w:rPr>
              <m:t>+</m:t>
            </m:r>
          </m:sub>
        </m:sSub>
      </m:oMath>
      <w:r>
        <w:t xml:space="preserve"> be the smallest positive eigenvalue. Continuous-time error relative to the projected endpoint obeys</w:t>
      </w:r>
    </w:p>
    <w:p w14:paraId="163E42A9" w14:textId="77777777" w:rsidR="003D3B95" w:rsidRDefault="00000000" w:rsidP="007B3797">
      <w:pPr>
        <w:pStyle w:val="BodyText"/>
        <w:keepLines/>
        <w:spacing w:before="100" w:after="140"/>
        <w:jc w:val="both"/>
      </w:pPr>
      <m:oMathPara>
        <m:oMathParaPr>
          <m:jc m:val="center"/>
        </m:oMathParaPr>
        <m:oMath>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sSup>
            <m:sSupPr>
              <m:ctrlPr>
                <w:rPr>
                  <w:rFonts w:ascii="Cambria Math" w:hAnsi="Cambria Math"/>
                </w:rPr>
              </m:ctrlPr>
            </m:sSupPr>
            <m:e>
              <m:r>
                <w:rPr>
                  <w:rFonts w:ascii="Cambria Math" w:hAnsi="Cambria Math"/>
                </w:rPr>
                <m:t>x</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t>
                  </m:r>
                </m:sub>
              </m:sSub>
              <m:r>
                <w:rPr>
                  <w:rFonts w:ascii="Cambria Math" w:hAnsi="Cambria Math"/>
                </w:rPr>
                <m:t>t</m:t>
              </m:r>
            </m:sup>
          </m:sSup>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e>
          </m:d>
          <m:sSup>
            <m:sSupPr>
              <m:ctrlPr>
                <w:rPr>
                  <w:rFonts w:ascii="Cambria Math" w:hAnsi="Cambria Math"/>
                </w:rPr>
              </m:ctrlPr>
            </m:sSupPr>
            <m:e>
              <m:r>
                <w:rPr>
                  <w:rFonts w:ascii="Cambria Math" w:hAnsi="Cambria Math"/>
                </w:rPr>
                <m:t>x</m:t>
              </m:r>
            </m:e>
            <m:sup>
              <m:r>
                <w:rPr>
                  <w:rFonts w:ascii="Cambria Math" w:hAnsi="Cambria Math"/>
                </w:rPr>
                <m:t>0</m:t>
              </m:r>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6</m:t>
              </m:r>
            </m:e>
          </m:d>
        </m:oMath>
      </m:oMathPara>
    </w:p>
    <w:p w14:paraId="6D901CAB" w14:textId="77777777" w:rsidR="003D3B95" w:rsidRDefault="00000000" w:rsidP="007B3797">
      <w:pPr>
        <w:pStyle w:val="FirstParagraph"/>
        <w:jc w:val="both"/>
      </w:pPr>
      <w:r>
        <w:t xml:space="preserve">Weights can change transient decay rates and sensitivity to disturbances transverse to the section space. They need not improve every rate: increasing selected weights can worsen numerical conditioning, and a fixed discrete step may become unstable if the largest eigenvalue rises too far. Noise within </w:t>
      </w:r>
      <m:oMath>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is not </w:t>
      </w:r>
      <w:r>
        <w:lastRenderedPageBreak/>
        <w:t>suppressed by this energy. Consequently, the model does not guarantee resistance to every form of representational drift.</w:t>
      </w:r>
    </w:p>
    <w:p w14:paraId="4CA8ACB4" w14:textId="77777777" w:rsidR="003D3B95" w:rsidRDefault="00000000" w:rsidP="007B3797">
      <w:pPr>
        <w:pStyle w:val="BodyText"/>
        <w:jc w:val="both"/>
      </w:pPr>
      <w:r>
        <w:t xml:space="preserve">For an isotropic rescaling </w:t>
      </w:r>
      <m:oMath>
        <m:r>
          <w:rPr>
            <w:rFonts w:ascii="Cambria Math" w:hAnsi="Cambria Math"/>
          </w:rPr>
          <m:t>W</m:t>
        </m:r>
        <m:r>
          <m:rPr>
            <m:sty m:val="p"/>
          </m:rPr>
          <w:rPr>
            <w:rFonts w:ascii="Cambria Math" w:hAnsi="Cambria Math"/>
          </w:rPr>
          <m:t>↦</m:t>
        </m:r>
        <m:r>
          <w:rPr>
            <w:rFonts w:ascii="Cambria Math" w:hAnsi="Cambria Math"/>
          </w:rPr>
          <m:t>cW</m:t>
        </m:r>
      </m:oMath>
      <w:r>
        <w:t xml:space="preserve">, continuous time rescales by </w:t>
      </w:r>
      <m:oMath>
        <m:r>
          <w:rPr>
            <w:rFonts w:ascii="Cambria Math" w:hAnsi="Cambria Math"/>
          </w:rPr>
          <m:t>c</m:t>
        </m:r>
      </m:oMath>
      <w:r>
        <w:t xml:space="preserve"> while the endpoint stays fixed. An unnormalized spectral gap can therefore increase without any change in the encoded content. Predictive tests must control overall gain and time scale rather than crediting such rescaling as new information.</w:t>
      </w:r>
    </w:p>
    <w:p w14:paraId="7DF65479" w14:textId="77777777" w:rsidR="003D3B95" w:rsidRDefault="00000000" w:rsidP="007B3797">
      <w:pPr>
        <w:pStyle w:val="Heading2"/>
        <w:jc w:val="both"/>
      </w:pPr>
      <w:bookmarkStart w:id="15" w:name="the-boundary-at-zero-weight"/>
      <w:bookmarkEnd w:id="14"/>
      <w:r>
        <w:t>4.4 The boundary at zero weight</w:t>
      </w:r>
    </w:p>
    <w:p w14:paraId="6E13930D" w14:textId="77777777" w:rsidR="003D3B95" w:rsidRDefault="00000000" w:rsidP="007B3797">
      <w:pPr>
        <w:pStyle w:val="FirstParagraph"/>
        <w:jc w:val="both"/>
      </w:pPr>
      <w:r>
        <w:t xml:space="preserve">With positive-semidefinite weights, the kernel becomes </w:t>
      </w:r>
      <m:oMath>
        <m:r>
          <m:rPr>
            <m:sty m:val="p"/>
          </m:rPr>
          <w:rPr>
            <w:rFonts w:ascii="Cambria Math" w:hAnsi="Cambria Math"/>
          </w:rPr>
          <m:t>ker</m:t>
        </m:r>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δ</m:t>
            </m:r>
          </m:e>
        </m:d>
      </m:oMath>
      <w:r>
        <w:t xml:space="preserve">. A zero block removes its constraint; a rank-deficient block removes only selected residual directions. The surviving constraint space contains the original </w:t>
      </w:r>
      <m:oMath>
        <m:r>
          <m:rPr>
            <m:sty m:val="p"/>
          </m:rPr>
          <w:rPr>
            <w:rFonts w:ascii="Cambria Math" w:hAnsi="Cambria Math"/>
          </w:rPr>
          <m:t>ker</m:t>
        </m:r>
        <m:r>
          <w:rPr>
            <w:rFonts w:ascii="Cambria Math" w:hAnsi="Cambria Math"/>
          </w:rPr>
          <m:t>δ</m:t>
        </m:r>
      </m:oMath>
      <w:r>
        <w:t>, and may be strictly larger. Enlargement is not guaranteed, because a deleted constraint may be redundant. Cohomology of an explicitly reduced sheaf should be computed with its reduced degree-one space, not inferred from the number of zero eigenvalues of a stale matrix.</w:t>
      </w:r>
    </w:p>
    <w:p w14:paraId="7FFD458A" w14:textId="77777777" w:rsidR="003D3B95" w:rsidRDefault="00000000" w:rsidP="007B3797">
      <w:pPr>
        <w:pStyle w:val="BodyText"/>
        <w:jc w:val="both"/>
      </w:pPr>
      <w:r>
        <w:t>Suppressing a population that sets weights is not the same operation as deleting the feature-carrying edges. The experiment must show that the relevant effective transfers remain detectable and above an independently chosen calibration floor. Positivity cannot be assumed solely from the identity of the manipulated cell class. Approaching zero also makes convergence arbitrarily slow, so finite experimental time creates a practical boundary before a weight is exactly zero.</w:t>
      </w:r>
    </w:p>
    <w:p w14:paraId="3261CE06" w14:textId="77777777" w:rsidR="003D3B95" w:rsidRDefault="00000000" w:rsidP="007B3797">
      <w:pPr>
        <w:pStyle w:val="Heading2"/>
        <w:jc w:val="both"/>
      </w:pPr>
      <w:bookmarkStart w:id="16" w:name="Xbbef449729c08d043b525f9212db3f18e71d433"/>
      <w:bookmarkEnd w:id="15"/>
      <w:r>
        <w:t>4.5 Boundaries created by observation and forcing</w:t>
      </w:r>
    </w:p>
    <w:p w14:paraId="6D297EA3" w14:textId="77777777" w:rsidR="003D3B95" w:rsidRDefault="00000000" w:rsidP="007B3797">
      <w:pPr>
        <w:pStyle w:val="FirstParagraph"/>
        <w:jc w:val="both"/>
      </w:pPr>
      <w:r>
        <w:t xml:space="preserve">The result does not cover arbitrary cue clamping. For a scalar path with endpoint values fixed at zero and one, and positive incident weights </w:t>
      </w:r>
      <m:oMath>
        <m:r>
          <w:rPr>
            <w:rFonts w:ascii="Cambria Math" w:hAnsi="Cambria Math"/>
          </w:rPr>
          <m:t>a</m:t>
        </m:r>
      </m:oMath>
      <w:r>
        <w:t xml:space="preserve"> and </w:t>
      </w:r>
      <m:oMath>
        <m:r>
          <w:rPr>
            <w:rFonts w:ascii="Cambria Math" w:hAnsi="Cambria Math"/>
          </w:rPr>
          <m:t>b</m:t>
        </m:r>
      </m:oMath>
      <w:r>
        <w:t xml:space="preserve">, the free middle value minimizes the energy at </w:t>
      </w:r>
      <m:oMath>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It changes from 0.5 to 0.9 when the weights change from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to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9</m:t>
            </m:r>
          </m:e>
        </m:d>
      </m:oMath>
      <w:r>
        <w:t>, despite preservation of the full graph’s constant-section space. Inconsistent evidence makes the weighting relevant to the compromise. Persistent input, leakage, nonlinear selection, and condition-dependent initial states similarly require a separate analysis.</w:t>
      </w:r>
    </w:p>
    <w:p w14:paraId="6BEC37D6" w14:textId="77777777" w:rsidR="003D3B95" w:rsidRDefault="00000000" w:rsidP="007B3797">
      <w:pPr>
        <w:pStyle w:val="BodyText"/>
        <w:jc w:val="both"/>
      </w:pPr>
      <w:r>
        <w:t xml:space="preserve">Changing the state mobility also matters. For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L</m:t>
            </m:r>
          </m:e>
          <m:sub>
            <m:r>
              <w:rPr>
                <w:rFonts w:ascii="Cambria Math" w:hAnsi="Cambria Math"/>
              </w:rPr>
              <m:t>W</m:t>
            </m:r>
          </m:sub>
        </m:sSub>
        <m:r>
          <w:rPr>
            <w:rFonts w:ascii="Cambria Math" w:hAnsi="Cambria Math"/>
          </w:rPr>
          <m:t>x</m:t>
        </m:r>
      </m:oMath>
      <w:r>
        <w:t xml:space="preserve"> with fixed positive-definite </w:t>
      </w:r>
      <m:oMath>
        <m:r>
          <w:rPr>
            <w:rFonts w:ascii="Cambria Math" w:hAnsi="Cambria Math"/>
          </w:rPr>
          <m:t>M</m:t>
        </m:r>
      </m:oMath>
      <w:r>
        <w:t xml:space="preserve">, the limit is the projection in the </w:t>
      </w:r>
      <m:oMath>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1</m:t>
            </m:r>
          </m:sup>
        </m:sSup>
      </m:oMath>
      <w:r>
        <w:t xml:space="preserve"> metric. It remains independent of </w:t>
      </w:r>
      <m:oMath>
        <m:r>
          <w:rPr>
            <w:rFonts w:ascii="Cambria Math" w:hAnsi="Cambria Math"/>
          </w:rPr>
          <m:t>W</m:t>
        </m:r>
      </m:oMath>
      <w:r>
        <w:t xml:space="preserve"> for that fixed </w:t>
      </w:r>
      <m:oMath>
        <m:r>
          <w:rPr>
            <w:rFonts w:ascii="Cambria Math" w:hAnsi="Cambria Math"/>
          </w:rPr>
          <m:t>M</m:t>
        </m:r>
      </m:oMath>
      <w:r>
        <w:t xml:space="preserve">, but it can change if an intervention changes </w:t>
      </w:r>
      <m:oMath>
        <m:r>
          <w:rPr>
            <w:rFonts w:ascii="Cambria Math" w:hAnsi="Cambria Math"/>
          </w:rPr>
          <m:t>M</m:t>
        </m:r>
      </m:oMath>
      <w:r>
        <w:t>. Appendix A gives an explicit two-node counterexample. A degree-normalized Laplacian can introduce just such a weight-dependent metric and must not silently replace (3).</w:t>
      </w:r>
    </w:p>
    <w:p w14:paraId="6026FA10" w14:textId="77777777" w:rsidR="003D3B95" w:rsidRDefault="00000000" w:rsidP="007B3797">
      <w:pPr>
        <w:pStyle w:val="BodyText"/>
        <w:jc w:val="both"/>
      </w:pPr>
      <w:r>
        <w:t>Physiological recordings additionally include observation gain and offsets. We specify the observation model</w:t>
      </w:r>
    </w:p>
    <w:p w14:paraId="52541240" w14:textId="77777777" w:rsidR="003D3B95" w:rsidRDefault="00000000" w:rsidP="007B3797">
      <w:pPr>
        <w:pStyle w:val="BodyText"/>
        <w:keepLines/>
        <w:spacing w:before="100" w:after="140"/>
        <w:jc w:val="both"/>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v</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v</m:t>
              </m:r>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m:t>
              </m:r>
            </m:sub>
          </m:sSub>
          <m:d>
            <m:dPr>
              <m:ctrlPr>
                <w:rPr>
                  <w:rFonts w:ascii="Cambria Math" w:hAnsi="Cambria Math"/>
                </w:rPr>
              </m:ctrlPr>
            </m:dPr>
            <m:e>
              <m:r>
                <w:rPr>
                  <w:rFonts w:ascii="Cambria Math" w:hAnsi="Cambria Math"/>
                </w:rPr>
                <m:t>c</m:t>
              </m:r>
            </m:e>
          </m:d>
          <m:sSub>
            <m:sSubPr>
              <m:ctrlPr>
                <w:rPr>
                  <w:rFonts w:ascii="Cambria Math" w:hAnsi="Cambria Math"/>
                </w:rPr>
              </m:ctrlPr>
            </m:sSubPr>
            <m:e>
              <m:r>
                <w:rPr>
                  <w:rFonts w:ascii="Cambria Math" w:hAnsi="Cambria Math"/>
                </w:rPr>
                <m:t>B</m:t>
              </m:r>
            </m:e>
            <m:sub>
              <m:r>
                <w:rPr>
                  <w:rFonts w:ascii="Cambria Math" w:hAnsi="Cambria Math"/>
                </w:rPr>
                <m:t>v</m:t>
              </m:r>
            </m:sub>
          </m:sSub>
          <m:sSub>
            <m:sSubPr>
              <m:ctrlPr>
                <w:rPr>
                  <w:rFonts w:ascii="Cambria Math" w:hAnsi="Cambria Math"/>
                </w:rPr>
              </m:ctrlPr>
            </m:sSubPr>
            <m:e>
              <m:r>
                <w:rPr>
                  <w:rFonts w:ascii="Cambria Math" w:hAnsi="Cambria Math"/>
                </w:rPr>
                <m:t>x</m:t>
              </m:r>
            </m:e>
            <m:sub>
              <m:r>
                <w:rPr>
                  <w:rFonts w:ascii="Cambria Math" w:hAnsi="Cambria Math"/>
                </w:rPr>
                <m:t>v</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v</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v</m:t>
              </m:r>
            </m:sub>
          </m:sSub>
          <m:d>
            <m:dPr>
              <m:ctrlPr>
                <w:rPr>
                  <w:rFonts w:ascii="Cambria Math" w:hAnsi="Cambria Math"/>
                </w:rPr>
              </m:ctrlPr>
            </m:dPr>
            <m:e>
              <m:r>
                <w:rPr>
                  <w:rFonts w:ascii="Cambria Math" w:hAnsi="Cambria Math"/>
                </w:rPr>
                <m:t>c</m:t>
              </m:r>
            </m:e>
          </m:d>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7</m:t>
              </m:r>
            </m:e>
          </m:d>
        </m:oMath>
      </m:oMathPara>
    </w:p>
    <w:p w14:paraId="7E4D044D" w14:textId="77777777" w:rsidR="003D3B95" w:rsidRDefault="00000000" w:rsidP="007B3797">
      <w:pPr>
        <w:pStyle w:val="FirstParagraph"/>
        <w:jc w:val="both"/>
      </w:pPr>
      <w:r>
        <w:t xml:space="preserve">Here </w:t>
      </w:r>
      <m:oMath>
        <m:r>
          <w:rPr>
            <w:rFonts w:ascii="Cambria Math" w:hAnsi="Cambria Math"/>
          </w:rPr>
          <m:t>s</m:t>
        </m:r>
      </m:oMath>
      <w:r>
        <w:t xml:space="preserve"> is stimulus, </w:t>
      </w:r>
      <m:oMath>
        <m:r>
          <w:rPr>
            <w:rFonts w:ascii="Cambria Math" w:hAnsi="Cambria Math"/>
          </w:rPr>
          <m:t>c</m:t>
        </m:r>
      </m:oMath>
      <w:r>
        <w:t xml:space="preserve"> is intervention condition, and </w:t>
      </w:r>
      <m:oMath>
        <m:sSub>
          <m:sSubPr>
            <m:ctrlPr>
              <w:rPr>
                <w:rFonts w:ascii="Cambria Math" w:hAnsi="Cambria Math"/>
              </w:rPr>
            </m:ctrlPr>
          </m:sSubPr>
          <m:e>
            <m:r>
              <w:rPr>
                <w:rFonts w:ascii="Cambria Math" w:hAnsi="Cambria Math"/>
              </w:rPr>
              <m:t>B</m:t>
            </m:r>
          </m:e>
          <m:sub>
            <m:r>
              <w:rPr>
                <w:rFonts w:ascii="Cambria Math" w:hAnsi="Cambria Math"/>
              </w:rPr>
              <m:t>v</m:t>
            </m:r>
          </m:sub>
        </m:sSub>
      </m:oMath>
      <w:r>
        <w:t xml:space="preserve"> is a fixed readout. The latent state can differ across conditions during relaxation; Proposition 1 constrains its endpoint. Gain and offset are estimated independently and restricted to be stimulus independent within the tested family. Equation (7) permits a gain–tuning dissociation, but it is an additional physiological hypothesis. Reweighting alone does not imply multiplicative scaling of sustained firing. Both raw and gain-corrected responses are reported, and arbitrary condition-specific decoders are prohibited in the primary test.</w:t>
      </w:r>
    </w:p>
    <w:p w14:paraId="6BAB031E" w14:textId="77777777" w:rsidR="003D3B95" w:rsidRDefault="00000000" w:rsidP="007B3797">
      <w:pPr>
        <w:pStyle w:val="Heading1"/>
        <w:jc w:val="both"/>
      </w:pPr>
      <w:bookmarkStart w:id="17" w:name="a-reproducible-two-route-example"/>
      <w:bookmarkEnd w:id="11"/>
      <w:bookmarkEnd w:id="16"/>
      <w:r>
        <w:t>5 A reproducible two-route example</w:t>
      </w:r>
    </w:p>
    <w:p w14:paraId="1AA38D90" w14:textId="77777777" w:rsidR="003D3B95" w:rsidRDefault="00000000" w:rsidP="007B3797">
      <w:pPr>
        <w:pStyle w:val="FirstParagraph"/>
        <w:jc w:val="both"/>
      </w:pPr>
      <w:r>
        <w:t xml:space="preserve">Consider two cortical vertices with two-dimensional states and two interface routes. The first route compares identical coordinates. The second reverses the second feature, through </w:t>
      </w:r>
      <m:oMath>
        <m:r>
          <w:rPr>
            <w:rFonts w:ascii="Cambria Math" w:hAnsi="Cambria Math"/>
          </w:rPr>
          <m:t>J</m:t>
        </m:r>
        <m:r>
          <m:rPr>
            <m:sty m:val="p"/>
          </m:rPr>
          <w:rPr>
            <w:rFonts w:ascii="Cambria Math" w:hAnsi="Cambria Math"/>
          </w:rPr>
          <m:t>=diag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With state order </w:t>
      </w:r>
      <m:oMath>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e>
        </m:d>
      </m:oMath>
      <w:r>
        <w:t>, the complete coboundary is</w:t>
      </w:r>
    </w:p>
    <w:p w14:paraId="0F7A83F0" w14:textId="77777777" w:rsidR="003D3B95" w:rsidRDefault="00000000" w:rsidP="007B3797">
      <w:pPr>
        <w:pStyle w:val="BodyText"/>
        <w:keepLines/>
        <w:spacing w:before="100" w:after="140"/>
        <w:jc w:val="both"/>
      </w:pPr>
      <m:oMathPara>
        <m:oMathParaPr>
          <m:jc m:val="center"/>
        </m:oMathParaPr>
        <m:oMath>
          <m:r>
            <w:rPr>
              <w:rFonts w:ascii="Cambria Math" w:hAnsi="Cambria Math"/>
            </w:rPr>
            <w:lastRenderedPageBreak/>
            <m:t>δ</m:t>
          </m:r>
          <m:r>
            <m:rPr>
              <m:sty m:val="p"/>
            </m:rPr>
            <w:rPr>
              <w:rFonts w:ascii="Cambria Math" w:hAnsi="Cambria Math"/>
            </w:rPr>
            <m:t>=</m:t>
          </m:r>
          <m:d>
            <m:dPr>
              <m:ctrlPr>
                <w:rPr>
                  <w:rFonts w:ascii="Cambria Math" w:hAnsi="Cambria Math"/>
                </w:rPr>
              </m:ctrlPr>
            </m:dPr>
            <m:e>
              <m:m>
                <m:mPr>
                  <m:plcHide m:val="1"/>
                  <m:mcs>
                    <m:mc>
                      <m:mcPr>
                        <m:count m:val="4"/>
                        <m:mcJc m:val="center"/>
                      </m:mcPr>
                    </m:mc>
                  </m:mcs>
                  <m:ctrlPr>
                    <w:rPr>
                      <w:rFonts w:ascii="Cambria Math" w:hAnsi="Cambria Math"/>
                    </w:rPr>
                  </m:ctrlPr>
                </m:mPr>
                <m:mr>
                  <m:e>
                    <m:r>
                      <m:rPr>
                        <m:sty m:val="p"/>
                      </m:rPr>
                      <w:rPr>
                        <w:rFonts w:ascii="Cambria Math" w:hAnsi="Cambria Math"/>
                      </w:rPr>
                      <m:t>-</m:t>
                    </m:r>
                    <m:r>
                      <w:rPr>
                        <w:rFonts w:ascii="Cambria Math" w:hAnsi="Cambria Math"/>
                      </w:rPr>
                      <m:t>1</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m:rPr>
                        <m:sty m:val="p"/>
                      </m:rPr>
                      <w:rPr>
                        <w:rFonts w:ascii="Cambria Math" w:hAnsi="Cambria Math"/>
                      </w:rPr>
                      <m:t>-</m:t>
                    </m:r>
                    <m:r>
                      <w:rPr>
                        <w:rFonts w:ascii="Cambria Math" w:hAnsi="Cambria Math"/>
                      </w:rPr>
                      <m:t>1</m:t>
                    </m:r>
                  </m:e>
                  <m:e>
                    <m:r>
                      <w:rPr>
                        <w:rFonts w:ascii="Cambria Math" w:hAnsi="Cambria Math"/>
                      </w:rPr>
                      <m:t>0</m:t>
                    </m:r>
                  </m:e>
                  <m:e>
                    <m:r>
                      <w:rPr>
                        <w:rFonts w:ascii="Cambria Math" w:hAnsi="Cambria Math"/>
                      </w:rPr>
                      <m:t>1</m:t>
                    </m:r>
                  </m:e>
                </m:mr>
                <m:mr>
                  <m:e>
                    <m:r>
                      <m:rPr>
                        <m:sty m:val="p"/>
                      </m:rPr>
                      <w:rPr>
                        <w:rFonts w:ascii="Cambria Math" w:hAnsi="Cambria Math"/>
                      </w:rPr>
                      <m:t>-</m:t>
                    </m:r>
                    <m:r>
                      <w:rPr>
                        <w:rFonts w:ascii="Cambria Math" w:hAnsi="Cambria Math"/>
                      </w:rPr>
                      <m:t>1</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1</m:t>
                    </m:r>
                  </m:e>
                </m:mr>
              </m:m>
            </m:e>
          </m:d>
          <m:r>
            <m:rPr>
              <m:sty m:val="p"/>
            </m:rPr>
            <w:rPr>
              <w:rFonts w:ascii="Cambria Math" w:hAnsi="Cambria Math"/>
            </w:rPr>
            <m:t>,</m:t>
          </m:r>
          <m:r>
            <w:rPr>
              <w:rFonts w:ascii="Cambria Math" w:hAnsi="Cambria Math"/>
            </w:rPr>
            <m:t>  W</m:t>
          </m:r>
          <m:r>
            <m:rPr>
              <m:sty m:val="p"/>
            </m:rPr>
            <w:rPr>
              <w:rFonts w:ascii="Cambria Math" w:hAnsi="Cambria Math"/>
            </w:rPr>
            <m:t>=diag</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m:t>
              </m:r>
            </m:e>
          </m:d>
        </m:oMath>
      </m:oMathPara>
    </w:p>
    <w:p w14:paraId="6A24519F" w14:textId="77777777" w:rsidR="003D3B95" w:rsidRDefault="00000000" w:rsidP="007B3797">
      <w:pPr>
        <w:pStyle w:val="FirstParagraph"/>
        <w:jc w:val="both"/>
      </w:pPr>
      <w:r>
        <w:t xml:space="preserve">For positive </w:t>
      </w:r>
      <m:oMath>
        <m:r>
          <w:rPr>
            <w:rFonts w:ascii="Cambria Math" w:hAnsi="Cambria Math"/>
          </w:rPr>
          <m:t>a</m:t>
        </m:r>
      </m:oMath>
      <w:r>
        <w:t xml:space="preserve"> and </w:t>
      </w:r>
      <m:oMath>
        <m:r>
          <w:rPr>
            <w:rFonts w:ascii="Cambria Math" w:hAnsi="Cambria Math"/>
          </w:rPr>
          <m:t>b</m:t>
        </m:r>
      </m:oMath>
      <w:r>
        <w:t xml:space="preserve">, the section conditions are </w:t>
      </w: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m:rPr>
            <m:sty m:val="p"/>
          </m:rPr>
          <w:rPr>
            <w:rFonts w:ascii="Cambria Math" w:hAnsi="Cambria Math"/>
          </w:rPr>
          <m:t>=</m:t>
        </m:r>
        <m:r>
          <w:rPr>
            <w:rFonts w:ascii="Cambria Math" w:hAnsi="Cambria Math"/>
          </w:rPr>
          <m:t>0</m:t>
        </m:r>
      </m:oMath>
      <w:r>
        <w:t xml:space="preserve">. The first feature survives the two-route compatibility test, while the second cannot be sustained in a global section. The eigenvalues of </w:t>
      </w:r>
      <m:oMath>
        <m:sSub>
          <m:sSubPr>
            <m:ctrlPr>
              <w:rPr>
                <w:rFonts w:ascii="Cambria Math" w:hAnsi="Cambria Math"/>
              </w:rPr>
            </m:ctrlPr>
          </m:sSubPr>
          <m:e>
            <m:r>
              <w:rPr>
                <w:rFonts w:ascii="Cambria Math" w:hAnsi="Cambria Math"/>
              </w:rPr>
              <m:t>L</m:t>
            </m:r>
          </m:e>
          <m:sub>
            <m:r>
              <w:rPr>
                <w:rFonts w:ascii="Cambria Math" w:hAnsi="Cambria Math"/>
              </w:rPr>
              <m:t>W</m:t>
            </m:r>
          </m:sub>
        </m:sSub>
      </m:oMath>
      <w:r>
        <w:t xml:space="preserve"> are the multiset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2a</m:t>
        </m:r>
        <m:r>
          <m:rPr>
            <m:sty m:val="p"/>
          </m:rPr>
          <w:rPr>
            <w:rFonts w:ascii="Cambria Math" w:hAnsi="Cambria Math"/>
          </w:rPr>
          <m:t>,</m:t>
        </m:r>
        <m:r>
          <w:rPr>
            <w:rFonts w:ascii="Cambria Math" w:hAnsi="Cambria Math"/>
          </w:rPr>
          <m:t>2b</m:t>
        </m:r>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oMath>
      <w:r>
        <w:t xml:space="preserve">. Starting from </w:t>
      </w:r>
      <m:oMath>
        <m:sSup>
          <m:sSupPr>
            <m:ctrlPr>
              <w:rPr>
                <w:rFonts w:ascii="Cambria Math" w:hAnsi="Cambria Math"/>
              </w:rPr>
            </m:ctrlPr>
          </m:sSupPr>
          <m:e>
            <m:r>
              <w:rPr>
                <w:rFonts w:ascii="Cambria Math" w:hAnsi="Cambria Math"/>
              </w:rPr>
              <m:t>x</m:t>
            </m:r>
          </m:e>
          <m:sup>
            <m:r>
              <w:rPr>
                <w:rFonts w:ascii="Cambria Math" w:hAnsi="Cambria Math"/>
              </w:rPr>
              <m:t>0</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e>
            </m:d>
          </m:e>
          <m:sup>
            <m:r>
              <w:rPr>
                <w:rFonts w:ascii="Cambria Math" w:hAnsi="Cambria Math"/>
              </w:rPr>
              <m:t>T</m:t>
            </m:r>
          </m:sup>
        </m:sSup>
      </m:oMath>
      <w:r>
        <w:t xml:space="preserve">, the limiting state is </w:t>
      </w:r>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e>
          <m:sup>
            <m:r>
              <w:rPr>
                <w:rFonts w:ascii="Cambria Math" w:hAnsi="Cambria Math"/>
              </w:rPr>
              <m:t>T</m:t>
            </m:r>
          </m:sup>
        </m:sSup>
      </m:oMath>
      <w:r>
        <w:t xml:space="preserve"> for every positive pair of weights.</w:t>
      </w:r>
    </w:p>
    <w:p w14:paraId="0E5C2CE3" w14:textId="77777777" w:rsidR="003D3B95" w:rsidRDefault="00000000" w:rsidP="007B3797">
      <w:pPr>
        <w:pStyle w:val="BodyText"/>
        <w:jc w:val="both"/>
      </w:pPr>
      <w:r>
        <w:t>The following table reports direct double-precision calculations from (8). These are deterministic illustrations of the specified model, not measurements of cortex and not a trained-network benchmark.</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2952"/>
        <w:gridCol w:w="1440"/>
        <w:gridCol w:w="3168"/>
      </w:tblGrid>
      <w:tr w:rsidR="003D3B95" w14:paraId="7E06AEEE" w14:textId="77777777">
        <w:trPr>
          <w:cantSplit/>
          <w:tblHeader/>
          <w:jc w:val="center"/>
        </w:trPr>
        <w:tc>
          <w:tcPr>
            <w:tcW w:w="1728" w:type="dxa"/>
            <w:shd w:val="clear" w:color="auto" w:fill="333333"/>
            <w:tcMar>
              <w:top w:w="85" w:type="dxa"/>
              <w:left w:w="100" w:type="dxa"/>
              <w:bottom w:w="85" w:type="dxa"/>
              <w:right w:w="100" w:type="dxa"/>
            </w:tcMar>
            <w:vAlign w:val="center"/>
          </w:tcPr>
          <w:p w14:paraId="0132B811" w14:textId="77777777" w:rsidR="003D3B95" w:rsidRDefault="00000000" w:rsidP="007B3797">
            <w:pPr>
              <w:keepNext/>
              <w:keepLines/>
              <w:spacing w:after="0" w:line="240" w:lineRule="auto"/>
              <w:jc w:val="both"/>
            </w:pPr>
            <w:r>
              <w:rPr>
                <w:b/>
                <w:color w:val="FFFFFF"/>
                <w:sz w:val="19"/>
              </w:rPr>
              <w:t>Route weights</w:t>
            </w:r>
          </w:p>
        </w:tc>
        <w:tc>
          <w:tcPr>
            <w:tcW w:w="2952" w:type="dxa"/>
            <w:shd w:val="clear" w:color="auto" w:fill="333333"/>
            <w:tcMar>
              <w:top w:w="85" w:type="dxa"/>
              <w:left w:w="100" w:type="dxa"/>
              <w:bottom w:w="85" w:type="dxa"/>
              <w:right w:w="100" w:type="dxa"/>
            </w:tcMar>
            <w:vAlign w:val="center"/>
          </w:tcPr>
          <w:p w14:paraId="11CC0F1D" w14:textId="77777777" w:rsidR="003D3B95" w:rsidRDefault="00000000" w:rsidP="007B3797">
            <w:pPr>
              <w:keepNext/>
              <w:keepLines/>
              <w:spacing w:after="0" w:line="240" w:lineRule="auto"/>
              <w:jc w:val="both"/>
            </w:pPr>
            <w:r>
              <w:rPr>
                <w:b/>
                <w:color w:val="FFFFFF"/>
                <w:sz w:val="19"/>
              </w:rPr>
              <w:t>Eigenvalues of the Laplacian</w:t>
            </w:r>
          </w:p>
        </w:tc>
        <w:tc>
          <w:tcPr>
            <w:tcW w:w="1440" w:type="dxa"/>
            <w:shd w:val="clear" w:color="auto" w:fill="333333"/>
            <w:tcMar>
              <w:top w:w="85" w:type="dxa"/>
              <w:left w:w="100" w:type="dxa"/>
              <w:bottom w:w="85" w:type="dxa"/>
              <w:right w:w="100" w:type="dxa"/>
            </w:tcMar>
            <w:vAlign w:val="center"/>
          </w:tcPr>
          <w:p w14:paraId="5C6C8215" w14:textId="77777777" w:rsidR="003D3B95" w:rsidRDefault="00000000" w:rsidP="007B3797">
            <w:pPr>
              <w:keepNext/>
              <w:keepLines/>
              <w:spacing w:after="0" w:line="240" w:lineRule="auto"/>
              <w:jc w:val="both"/>
            </w:pPr>
            <w:r>
              <w:rPr>
                <w:b/>
                <w:color w:val="FFFFFF"/>
                <w:sz w:val="19"/>
              </w:rPr>
              <w:t>Section dimension</w:t>
            </w:r>
          </w:p>
        </w:tc>
        <w:tc>
          <w:tcPr>
            <w:tcW w:w="3168" w:type="dxa"/>
            <w:shd w:val="clear" w:color="auto" w:fill="333333"/>
            <w:tcMar>
              <w:top w:w="85" w:type="dxa"/>
              <w:left w:w="100" w:type="dxa"/>
              <w:bottom w:w="85" w:type="dxa"/>
              <w:right w:w="100" w:type="dxa"/>
            </w:tcMar>
            <w:vAlign w:val="center"/>
          </w:tcPr>
          <w:p w14:paraId="49C74DF6" w14:textId="77777777" w:rsidR="003D3B95" w:rsidRDefault="00000000" w:rsidP="007B3797">
            <w:pPr>
              <w:keepNext/>
              <w:keepLines/>
              <w:spacing w:after="0" w:line="240" w:lineRule="auto"/>
              <w:jc w:val="both"/>
            </w:pPr>
            <w:r>
              <w:rPr>
                <w:b/>
                <w:color w:val="FFFFFF"/>
                <w:sz w:val="19"/>
              </w:rPr>
              <w:t>Relaxation endpoint</w:t>
            </w:r>
          </w:p>
        </w:tc>
      </w:tr>
      <w:tr w:rsidR="003D3B95" w14:paraId="607BE0DD" w14:textId="77777777">
        <w:trPr>
          <w:cantSplit/>
          <w:jc w:val="center"/>
        </w:trPr>
        <w:tc>
          <w:tcPr>
            <w:tcW w:w="1728" w:type="dxa"/>
            <w:shd w:val="clear" w:color="auto" w:fill="FFFFFF"/>
            <w:tcMar>
              <w:top w:w="85" w:type="dxa"/>
              <w:left w:w="100" w:type="dxa"/>
              <w:bottom w:w="85" w:type="dxa"/>
              <w:right w:w="100" w:type="dxa"/>
            </w:tcMar>
            <w:vAlign w:val="center"/>
          </w:tcPr>
          <w:p w14:paraId="6171D51F" w14:textId="77777777" w:rsidR="003D3B95" w:rsidRDefault="00000000" w:rsidP="007B3797">
            <w:pPr>
              <w:keepNext/>
              <w:keepLines/>
              <w:spacing w:after="0" w:line="240" w:lineRule="auto"/>
              <w:jc w:val="both"/>
            </w:pPr>
            <m:oMathPara>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oMath>
            </m:oMathPara>
          </w:p>
        </w:tc>
        <w:tc>
          <w:tcPr>
            <w:tcW w:w="2952" w:type="dxa"/>
            <w:shd w:val="clear" w:color="auto" w:fill="FFFFFF"/>
            <w:tcMar>
              <w:top w:w="85" w:type="dxa"/>
              <w:left w:w="100" w:type="dxa"/>
              <w:bottom w:w="85" w:type="dxa"/>
              <w:right w:w="100" w:type="dxa"/>
            </w:tcMar>
            <w:vAlign w:val="center"/>
          </w:tcPr>
          <w:p w14:paraId="6709FF6B" w14:textId="77777777" w:rsidR="003D3B95" w:rsidRDefault="00000000" w:rsidP="007B3797">
            <w:pPr>
              <w:keepNext/>
              <w:keepLines/>
              <w:spacing w:after="0" w:line="240" w:lineRule="auto"/>
              <w:jc w:val="both"/>
            </w:pPr>
            <w:r>
              <w:rPr>
                <w:sz w:val="19"/>
              </w:rPr>
              <w:t>0, 2, 2, 4</w:t>
            </w:r>
          </w:p>
        </w:tc>
        <w:tc>
          <w:tcPr>
            <w:tcW w:w="1440" w:type="dxa"/>
            <w:shd w:val="clear" w:color="auto" w:fill="FFFFFF"/>
            <w:tcMar>
              <w:top w:w="85" w:type="dxa"/>
              <w:left w:w="100" w:type="dxa"/>
              <w:bottom w:w="85" w:type="dxa"/>
              <w:right w:w="100" w:type="dxa"/>
            </w:tcMar>
            <w:vAlign w:val="center"/>
          </w:tcPr>
          <w:p w14:paraId="0598A110" w14:textId="77777777" w:rsidR="003D3B95" w:rsidRDefault="00000000" w:rsidP="007B3797">
            <w:pPr>
              <w:keepNext/>
              <w:keepLines/>
              <w:spacing w:after="0" w:line="240" w:lineRule="auto"/>
              <w:jc w:val="both"/>
            </w:pPr>
            <w:r>
              <w:rPr>
                <w:sz w:val="19"/>
              </w:rPr>
              <w:t>1</w:t>
            </w:r>
          </w:p>
        </w:tc>
        <w:tc>
          <w:tcPr>
            <w:tcW w:w="3168" w:type="dxa"/>
            <w:shd w:val="clear" w:color="auto" w:fill="FFFFFF"/>
            <w:tcMar>
              <w:top w:w="85" w:type="dxa"/>
              <w:left w:w="100" w:type="dxa"/>
              <w:bottom w:w="85" w:type="dxa"/>
              <w:right w:w="100" w:type="dxa"/>
            </w:tcMar>
            <w:vAlign w:val="center"/>
          </w:tcPr>
          <w:p w14:paraId="4B679996" w14:textId="77777777" w:rsidR="003D3B95" w:rsidRDefault="00000000" w:rsidP="007B3797">
            <w:pPr>
              <w:keepNext/>
              <w:keepLines/>
              <w:spacing w:after="0" w:line="240" w:lineRule="auto"/>
              <w:jc w:val="both"/>
            </w:pPr>
            <w:r>
              <w:rPr>
                <w:sz w:val="19"/>
              </w:rPr>
              <w:t>(1, 0, 1, 0)</w:t>
            </w:r>
          </w:p>
        </w:tc>
      </w:tr>
      <w:tr w:rsidR="003D3B95" w14:paraId="670FDC44" w14:textId="77777777">
        <w:trPr>
          <w:cantSplit/>
          <w:jc w:val="center"/>
        </w:trPr>
        <w:tc>
          <w:tcPr>
            <w:tcW w:w="1728" w:type="dxa"/>
            <w:shd w:val="clear" w:color="auto" w:fill="F5F5F5"/>
            <w:tcMar>
              <w:top w:w="85" w:type="dxa"/>
              <w:left w:w="100" w:type="dxa"/>
              <w:bottom w:w="85" w:type="dxa"/>
              <w:right w:w="100" w:type="dxa"/>
            </w:tcMar>
            <w:vAlign w:val="center"/>
          </w:tcPr>
          <w:p w14:paraId="0B6E622B" w14:textId="77777777" w:rsidR="003D3B95" w:rsidRDefault="00000000" w:rsidP="007B3797">
            <w:pPr>
              <w:keepNext/>
              <w:keepLines/>
              <w:spacing w:after="0" w:line="240" w:lineRule="auto"/>
              <w:jc w:val="both"/>
            </w:pPr>
            <m:oMathPara>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m:t>
                </m:r>
              </m:oMath>
            </m:oMathPara>
          </w:p>
        </w:tc>
        <w:tc>
          <w:tcPr>
            <w:tcW w:w="2952" w:type="dxa"/>
            <w:shd w:val="clear" w:color="auto" w:fill="F5F5F5"/>
            <w:tcMar>
              <w:top w:w="85" w:type="dxa"/>
              <w:left w:w="100" w:type="dxa"/>
              <w:bottom w:w="85" w:type="dxa"/>
              <w:right w:w="100" w:type="dxa"/>
            </w:tcMar>
            <w:vAlign w:val="center"/>
          </w:tcPr>
          <w:p w14:paraId="24B8C3F8" w14:textId="77777777" w:rsidR="003D3B95" w:rsidRDefault="00000000" w:rsidP="007B3797">
            <w:pPr>
              <w:keepNext/>
              <w:keepLines/>
              <w:spacing w:after="0" w:line="240" w:lineRule="auto"/>
              <w:jc w:val="both"/>
            </w:pPr>
            <w:r>
              <w:rPr>
                <w:sz w:val="19"/>
              </w:rPr>
              <w:t>0, 2, 4, 6</w:t>
            </w:r>
          </w:p>
        </w:tc>
        <w:tc>
          <w:tcPr>
            <w:tcW w:w="1440" w:type="dxa"/>
            <w:shd w:val="clear" w:color="auto" w:fill="F5F5F5"/>
            <w:tcMar>
              <w:top w:w="85" w:type="dxa"/>
              <w:left w:w="100" w:type="dxa"/>
              <w:bottom w:w="85" w:type="dxa"/>
              <w:right w:w="100" w:type="dxa"/>
            </w:tcMar>
            <w:vAlign w:val="center"/>
          </w:tcPr>
          <w:p w14:paraId="5F42CB59" w14:textId="77777777" w:rsidR="003D3B95" w:rsidRDefault="00000000" w:rsidP="007B3797">
            <w:pPr>
              <w:keepNext/>
              <w:keepLines/>
              <w:spacing w:after="0" w:line="240" w:lineRule="auto"/>
              <w:jc w:val="both"/>
            </w:pPr>
            <w:r>
              <w:rPr>
                <w:sz w:val="19"/>
              </w:rPr>
              <w:t>1</w:t>
            </w:r>
          </w:p>
        </w:tc>
        <w:tc>
          <w:tcPr>
            <w:tcW w:w="3168" w:type="dxa"/>
            <w:shd w:val="clear" w:color="auto" w:fill="F5F5F5"/>
            <w:tcMar>
              <w:top w:w="85" w:type="dxa"/>
              <w:left w:w="100" w:type="dxa"/>
              <w:bottom w:w="85" w:type="dxa"/>
              <w:right w:w="100" w:type="dxa"/>
            </w:tcMar>
            <w:vAlign w:val="center"/>
          </w:tcPr>
          <w:p w14:paraId="207FEF66" w14:textId="77777777" w:rsidR="003D3B95" w:rsidRDefault="00000000" w:rsidP="007B3797">
            <w:pPr>
              <w:keepNext/>
              <w:keepLines/>
              <w:spacing w:after="0" w:line="240" w:lineRule="auto"/>
              <w:jc w:val="both"/>
            </w:pPr>
            <w:r>
              <w:rPr>
                <w:sz w:val="19"/>
              </w:rPr>
              <w:t>(1, 0, 1, 0)</w:t>
            </w:r>
          </w:p>
        </w:tc>
      </w:tr>
      <w:tr w:rsidR="003D3B95" w14:paraId="0DBF6402" w14:textId="77777777">
        <w:trPr>
          <w:cantSplit/>
          <w:jc w:val="center"/>
        </w:trPr>
        <w:tc>
          <w:tcPr>
            <w:tcW w:w="1728" w:type="dxa"/>
            <w:shd w:val="clear" w:color="auto" w:fill="FFFFFF"/>
            <w:tcMar>
              <w:top w:w="85" w:type="dxa"/>
              <w:left w:w="100" w:type="dxa"/>
              <w:bottom w:w="85" w:type="dxa"/>
              <w:right w:w="100" w:type="dxa"/>
            </w:tcMar>
            <w:vAlign w:val="center"/>
          </w:tcPr>
          <w:p w14:paraId="66821017" w14:textId="77777777" w:rsidR="003D3B95" w:rsidRDefault="00000000" w:rsidP="007B3797">
            <w:pPr>
              <w:keepNext/>
              <w:keepLines/>
              <w:spacing w:after="0" w:line="240" w:lineRule="auto"/>
              <w:jc w:val="both"/>
            </w:pPr>
            <m:oMathPara>
              <m:oMath>
                <m:r>
                  <w:rPr>
                    <w:rFonts w:ascii="Cambria Math" w:hAnsi="Cambria Math"/>
                  </w:rPr>
                  <m:t>a</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m:t>
                </m:r>
              </m:oMath>
            </m:oMathPara>
          </w:p>
        </w:tc>
        <w:tc>
          <w:tcPr>
            <w:tcW w:w="2952" w:type="dxa"/>
            <w:shd w:val="clear" w:color="auto" w:fill="FFFFFF"/>
            <w:tcMar>
              <w:top w:w="85" w:type="dxa"/>
              <w:left w:w="100" w:type="dxa"/>
              <w:bottom w:w="85" w:type="dxa"/>
              <w:right w:w="100" w:type="dxa"/>
            </w:tcMar>
            <w:vAlign w:val="center"/>
          </w:tcPr>
          <w:p w14:paraId="26B03812" w14:textId="77777777" w:rsidR="003D3B95" w:rsidRDefault="00000000" w:rsidP="007B3797">
            <w:pPr>
              <w:keepNext/>
              <w:keepLines/>
              <w:spacing w:after="0" w:line="240" w:lineRule="auto"/>
              <w:jc w:val="both"/>
            </w:pPr>
            <w:r>
              <w:rPr>
                <w:sz w:val="19"/>
              </w:rPr>
              <w:t>0, 0.5, 4, 4.5</w:t>
            </w:r>
          </w:p>
        </w:tc>
        <w:tc>
          <w:tcPr>
            <w:tcW w:w="1440" w:type="dxa"/>
            <w:shd w:val="clear" w:color="auto" w:fill="FFFFFF"/>
            <w:tcMar>
              <w:top w:w="85" w:type="dxa"/>
              <w:left w:w="100" w:type="dxa"/>
              <w:bottom w:w="85" w:type="dxa"/>
              <w:right w:w="100" w:type="dxa"/>
            </w:tcMar>
            <w:vAlign w:val="center"/>
          </w:tcPr>
          <w:p w14:paraId="5163CBBA" w14:textId="77777777" w:rsidR="003D3B95" w:rsidRDefault="00000000" w:rsidP="007B3797">
            <w:pPr>
              <w:keepNext/>
              <w:keepLines/>
              <w:spacing w:after="0" w:line="240" w:lineRule="auto"/>
              <w:jc w:val="both"/>
            </w:pPr>
            <w:r>
              <w:rPr>
                <w:sz w:val="19"/>
              </w:rPr>
              <w:t>1</w:t>
            </w:r>
          </w:p>
        </w:tc>
        <w:tc>
          <w:tcPr>
            <w:tcW w:w="3168" w:type="dxa"/>
            <w:shd w:val="clear" w:color="auto" w:fill="FFFFFF"/>
            <w:tcMar>
              <w:top w:w="85" w:type="dxa"/>
              <w:left w:w="100" w:type="dxa"/>
              <w:bottom w:w="85" w:type="dxa"/>
              <w:right w:w="100" w:type="dxa"/>
            </w:tcMar>
            <w:vAlign w:val="center"/>
          </w:tcPr>
          <w:p w14:paraId="7C8B7974" w14:textId="77777777" w:rsidR="003D3B95" w:rsidRDefault="00000000" w:rsidP="007B3797">
            <w:pPr>
              <w:keepNext/>
              <w:keepLines/>
              <w:spacing w:after="0" w:line="240" w:lineRule="auto"/>
              <w:jc w:val="both"/>
            </w:pPr>
            <w:r>
              <w:rPr>
                <w:sz w:val="19"/>
              </w:rPr>
              <w:t>(1, 0, 1, 0)</w:t>
            </w:r>
          </w:p>
        </w:tc>
      </w:tr>
      <w:tr w:rsidR="003D3B95" w14:paraId="206914F6" w14:textId="77777777">
        <w:trPr>
          <w:cantSplit/>
          <w:jc w:val="center"/>
        </w:trPr>
        <w:tc>
          <w:tcPr>
            <w:tcW w:w="1728" w:type="dxa"/>
            <w:shd w:val="clear" w:color="auto" w:fill="F5F5F5"/>
            <w:tcMar>
              <w:top w:w="85" w:type="dxa"/>
              <w:left w:w="100" w:type="dxa"/>
              <w:bottom w:w="85" w:type="dxa"/>
              <w:right w:w="100" w:type="dxa"/>
            </w:tcMar>
            <w:vAlign w:val="center"/>
          </w:tcPr>
          <w:p w14:paraId="026C66CA" w14:textId="77777777" w:rsidR="003D3B95" w:rsidRDefault="00000000" w:rsidP="007B3797">
            <w:pPr>
              <w:keepNext/>
              <w:keepLines/>
              <w:spacing w:after="0" w:line="240" w:lineRule="auto"/>
              <w:jc w:val="both"/>
            </w:pPr>
            <m:oMathPara>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oMath>
            </m:oMathPara>
          </w:p>
        </w:tc>
        <w:tc>
          <w:tcPr>
            <w:tcW w:w="2952" w:type="dxa"/>
            <w:shd w:val="clear" w:color="auto" w:fill="F5F5F5"/>
            <w:tcMar>
              <w:top w:w="85" w:type="dxa"/>
              <w:left w:w="100" w:type="dxa"/>
              <w:bottom w:w="85" w:type="dxa"/>
              <w:right w:w="100" w:type="dxa"/>
            </w:tcMar>
            <w:vAlign w:val="center"/>
          </w:tcPr>
          <w:p w14:paraId="13B0007E" w14:textId="77777777" w:rsidR="003D3B95" w:rsidRDefault="00000000" w:rsidP="007B3797">
            <w:pPr>
              <w:keepNext/>
              <w:keepLines/>
              <w:spacing w:after="0" w:line="240" w:lineRule="auto"/>
              <w:jc w:val="both"/>
            </w:pPr>
            <w:r>
              <w:rPr>
                <w:sz w:val="19"/>
              </w:rPr>
              <w:t>0, 0, 2, 2</w:t>
            </w:r>
          </w:p>
        </w:tc>
        <w:tc>
          <w:tcPr>
            <w:tcW w:w="1440" w:type="dxa"/>
            <w:shd w:val="clear" w:color="auto" w:fill="F5F5F5"/>
            <w:tcMar>
              <w:top w:w="85" w:type="dxa"/>
              <w:left w:w="100" w:type="dxa"/>
              <w:bottom w:w="85" w:type="dxa"/>
              <w:right w:w="100" w:type="dxa"/>
            </w:tcMar>
            <w:vAlign w:val="center"/>
          </w:tcPr>
          <w:p w14:paraId="620FA296" w14:textId="77777777" w:rsidR="003D3B95" w:rsidRDefault="00000000" w:rsidP="007B3797">
            <w:pPr>
              <w:keepNext/>
              <w:keepLines/>
              <w:spacing w:after="0" w:line="240" w:lineRule="auto"/>
              <w:jc w:val="both"/>
            </w:pPr>
            <w:r>
              <w:rPr>
                <w:sz w:val="19"/>
              </w:rPr>
              <w:t>2</w:t>
            </w:r>
          </w:p>
        </w:tc>
        <w:tc>
          <w:tcPr>
            <w:tcW w:w="3168" w:type="dxa"/>
            <w:shd w:val="clear" w:color="auto" w:fill="F5F5F5"/>
            <w:tcMar>
              <w:top w:w="85" w:type="dxa"/>
              <w:left w:w="100" w:type="dxa"/>
              <w:bottom w:w="85" w:type="dxa"/>
              <w:right w:w="100" w:type="dxa"/>
            </w:tcMar>
            <w:vAlign w:val="center"/>
          </w:tcPr>
          <w:p w14:paraId="0CDD49E9" w14:textId="77777777" w:rsidR="003D3B95" w:rsidRDefault="00000000" w:rsidP="007B3797">
            <w:pPr>
              <w:keepNext/>
              <w:keepLines/>
              <w:spacing w:after="0" w:line="240" w:lineRule="auto"/>
              <w:jc w:val="both"/>
            </w:pPr>
            <w:r>
              <w:rPr>
                <w:sz w:val="19"/>
              </w:rPr>
              <w:t>(1, 2, 1, 2)</w:t>
            </w:r>
          </w:p>
        </w:tc>
      </w:tr>
    </w:tbl>
    <w:p w14:paraId="7A55E65F" w14:textId="77777777" w:rsidR="003D3B95" w:rsidRDefault="00000000" w:rsidP="007B3797">
      <w:pPr>
        <w:pStyle w:val="Caption"/>
        <w:keepLines/>
        <w:jc w:val="both"/>
      </w:pPr>
      <w:r>
        <w:t>Table 1. Positive reweighting changes decay rates while preserving the endpoint. Removing the second route releases the second feature and changes the endpoint.</w:t>
      </w:r>
    </w:p>
    <w:p w14:paraId="4C73D5E1" w14:textId="77777777" w:rsidR="003D3B95" w:rsidRDefault="00000000" w:rsidP="007B3797">
      <w:pPr>
        <w:pStyle w:val="BodyText"/>
        <w:jc w:val="both"/>
      </w:pPr>
      <w:r>
        <w:t xml:space="preserve">A scalar graph model acting independently on both coordinates would preserve both coordinate means and would predict </w:t>
      </w:r>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e>
          <m:sup>
            <m:r>
              <w:rPr>
                <w:rFonts w:ascii="Cambria Math" w:hAnsi="Cambria Math"/>
              </w:rPr>
              <m:t>T</m:t>
            </m:r>
          </m:sup>
        </m:sSup>
      </m:oMath>
      <w:r>
        <w:t xml:space="preserve"> even when both routes are present. This is the smallest example of the proposed discrimination: a scalar coupling adjusts how strongly units agree, whereas a nontrivial sheaf can specify which feature combinations remain compatible. It is an analytical demonstration of distinguishability, not evidence that cortical data select the nontrivial sheaf.</w:t>
      </w:r>
    </w:p>
    <w:p w14:paraId="12E0ECE3" w14:textId="77777777" w:rsidR="003D3B95" w:rsidRDefault="00000000" w:rsidP="007B3797">
      <w:pPr>
        <w:pStyle w:val="BodyText"/>
        <w:jc w:val="both"/>
      </w:pPr>
      <w:r>
        <w:t xml:space="preserve">Changing the driver map </w:t>
      </w:r>
      <m:oMath>
        <m:r>
          <w:rPr>
            <w:rFonts w:ascii="Cambria Math" w:hAnsi="Cambria Math"/>
          </w:rPr>
          <m:t>J</m:t>
        </m:r>
      </m:oMath>
      <w:r>
        <w:t xml:space="preserve"> to the identity makes the two route constraints redundant and also restores the second feature. Deleting one of these already redundant routes would then leave the section space unchanged. Thus a driver manipulation need not change content unless the selected route carries an independently established nonredundant constraint. The proposed positive control selects such a route during calibration.</w:t>
      </w:r>
    </w:p>
    <w:p w14:paraId="59EC7344" w14:textId="77777777" w:rsidR="003D3B95" w:rsidRDefault="00000000" w:rsidP="007B3797">
      <w:pPr>
        <w:keepNext/>
        <w:spacing w:before="120" w:after="0"/>
        <w:jc w:val="both"/>
      </w:pPr>
      <w:r>
        <w:rPr>
          <w:noProof/>
        </w:rPr>
        <w:lastRenderedPageBreak/>
        <w:drawing>
          <wp:inline distT="0" distB="0" distL="0" distR="0" wp14:anchorId="4840F533" wp14:editId="7F0B7313">
            <wp:extent cx="5897880" cy="2699733"/>
            <wp:effectExtent l="0" t="0" r="0" b="0"/>
            <wp:docPr id="41" name="Picture" descr="Figure 2. Exact model calculations. Panel A shows continuous-time convergence from the same initial state for three positive weight choices in Table 1. Every curve approaches the same endpoint. Panel B shows the scalar three-node counterexample with incompatible clamped endpoint values: positive reweighting changes the interior estimate. Time and state units are dimensionless."/>
            <wp:cNvGraphicFramePr/>
            <a:graphic xmlns:a="http://schemas.openxmlformats.org/drawingml/2006/main">
              <a:graphicData uri="http://schemas.openxmlformats.org/drawingml/2006/picture">
                <pic:pic xmlns:pic="http://schemas.openxmlformats.org/drawingml/2006/picture">
                  <pic:nvPicPr>
                    <pic:cNvPr id="42" name="Picture" descr="figure2_relaxation.png"/>
                    <pic:cNvPicPr>
                      <a:picLocks noChangeAspect="1" noChangeArrowheads="1"/>
                    </pic:cNvPicPr>
                  </pic:nvPicPr>
                  <pic:blipFill>
                    <a:blip r:embed="rId8"/>
                    <a:stretch>
                      <a:fillRect/>
                    </a:stretch>
                  </pic:blipFill>
                  <pic:spPr bwMode="auto">
                    <a:xfrm>
                      <a:off x="0" y="0"/>
                      <a:ext cx="5897880" cy="2699733"/>
                    </a:xfrm>
                    <a:prstGeom prst="rect">
                      <a:avLst/>
                    </a:prstGeom>
                    <a:noFill/>
                    <a:ln w="9525">
                      <a:noFill/>
                      <a:headEnd/>
                      <a:tailEnd/>
                    </a:ln>
                  </pic:spPr>
                </pic:pic>
              </a:graphicData>
            </a:graphic>
          </wp:inline>
        </w:drawing>
      </w:r>
    </w:p>
    <w:p w14:paraId="5F0ED763" w14:textId="77777777" w:rsidR="003D3B95" w:rsidRDefault="00000000" w:rsidP="007B3797">
      <w:pPr>
        <w:pStyle w:val="Caption"/>
        <w:keepLines/>
        <w:jc w:val="both"/>
      </w:pPr>
      <w:r>
        <w:t>Figure 2. Exact model calculations. Panel A shows continuous-time convergence from the same initial state for three positive weight choices in Table 1. Every curve approaches the same endpoint. Panel B shows the scalar three-node counterexample with incompatible clamped endpoint values: positive reweighting changes the interior estimate. Time and state units are dimensionless.</w:t>
      </w:r>
    </w:p>
    <w:p w14:paraId="5769C914" w14:textId="77777777" w:rsidR="003D3B95" w:rsidRDefault="00000000" w:rsidP="007B3797">
      <w:pPr>
        <w:pStyle w:val="Heading1"/>
        <w:jc w:val="both"/>
      </w:pPr>
      <w:bookmarkStart w:id="18" w:name="X0731bfb366e93ec2789dc729979abe3bf7e47a5"/>
      <w:bookmarkEnd w:id="17"/>
      <w:r>
        <w:t>6 Distinguishing the model from scalar coupling</w:t>
      </w:r>
    </w:p>
    <w:p w14:paraId="1053F57C" w14:textId="77777777" w:rsidR="003D3B95" w:rsidRDefault="00000000" w:rsidP="007B3797">
      <w:pPr>
        <w:pStyle w:val="Heading2"/>
        <w:jc w:val="both"/>
      </w:pPr>
      <w:bookmarkStart w:id="19" w:name="the-scalar-graph-null"/>
      <w:r>
        <w:t>6.1 The scalar graph null</w:t>
      </w:r>
    </w:p>
    <w:p w14:paraId="7FFD5B21" w14:textId="77777777" w:rsidR="003D3B95" w:rsidRDefault="00000000" w:rsidP="007B3797">
      <w:pPr>
        <w:pStyle w:val="FirstParagraph"/>
        <w:jc w:val="both"/>
      </w:pPr>
      <w:r>
        <w:t xml:space="preserve">The first null is a weighted graph Laplacian with one-dimensional stalks and identity restrictions. For a fair comparison to a </w:t>
      </w:r>
      <m:oMath>
        <m:r>
          <w:rPr>
            <w:rFonts w:ascii="Cambria Math" w:hAnsi="Cambria Math"/>
          </w:rPr>
          <m:t>d</m:t>
        </m:r>
      </m:oMath>
      <w:r>
        <w:t xml:space="preserve">-dimensional RCS, use the same graph, the same </w:t>
      </w:r>
      <m:oMath>
        <m:r>
          <w:rPr>
            <w:rFonts w:ascii="Cambria Math" w:hAnsi="Cambria Math"/>
          </w:rPr>
          <m:t>d</m:t>
        </m:r>
      </m:oMath>
      <w:r>
        <w:t xml:space="preserve"> observed features, and </w:t>
      </w:r>
      <m:oMath>
        <m:r>
          <w:rPr>
            <w:rFonts w:ascii="Cambria Math" w:hAnsi="Cambria Math"/>
          </w:rPr>
          <m:t>d</m:t>
        </m:r>
      </m:oMath>
      <w:r>
        <w:t xml:space="preserve"> identical scalar channels:</w:t>
      </w:r>
    </w:p>
    <w:p w14:paraId="359DECF6" w14:textId="77777777" w:rsidR="003D3B95" w:rsidRDefault="00000000" w:rsidP="007B3797">
      <w:pPr>
        <w:pStyle w:val="BodyText"/>
        <w:keepLines/>
        <w:spacing w:before="100" w:after="140"/>
        <w:jc w:val="both"/>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scalar</m:t>
              </m:r>
            </m:sub>
          </m:sSub>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B</m:t>
                  </m:r>
                </m:e>
                <m:sub>
                  <m:r>
                    <w:rPr>
                      <w:rFonts w:ascii="Cambria Math" w:hAnsi="Cambria Math"/>
                    </w:rPr>
                    <m:t>G</m:t>
                  </m:r>
                </m:sub>
                <m:sup>
                  <m:r>
                    <w:rPr>
                      <w:rFonts w:ascii="Cambria Math" w:hAnsi="Cambria Math"/>
                    </w:rPr>
                    <m:t>T</m:t>
                  </m:r>
                </m:sup>
              </m:sSubSup>
              <m:r>
                <m:rPr>
                  <m:sty m:val="p"/>
                </m:rP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e</m:t>
                      </m:r>
                    </m:sub>
                  </m:sSub>
                </m:e>
              </m:d>
              <m:sSub>
                <m:sSubPr>
                  <m:ctrlPr>
                    <w:rPr>
                      <w:rFonts w:ascii="Cambria Math" w:hAnsi="Cambria Math"/>
                    </w:rPr>
                  </m:ctrlPr>
                </m:sSubPr>
                <m:e>
                  <m:r>
                    <w:rPr>
                      <w:rFonts w:ascii="Cambria Math" w:hAnsi="Cambria Math"/>
                    </w:rPr>
                    <m:t>B</m:t>
                  </m:r>
                </m:e>
                <m:sub>
                  <m:r>
                    <w:rPr>
                      <w:rFonts w:ascii="Cambria Math" w:hAnsi="Cambria Math"/>
                    </w:rPr>
                    <m:t>G</m:t>
                  </m:r>
                </m:sub>
              </m:sSub>
            </m:e>
          </m:d>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9</m:t>
              </m:r>
            </m:e>
          </m:d>
        </m:oMath>
      </m:oMathPara>
    </w:p>
    <w:p w14:paraId="06986978" w14:textId="77777777" w:rsidR="003D3B95" w:rsidRDefault="00000000" w:rsidP="007B3797">
      <w:pPr>
        <w:pStyle w:val="FirstParagraph"/>
        <w:jc w:val="both"/>
      </w:pPr>
      <w:r>
        <w:t xml:space="preserve">Here </w:t>
      </w:r>
      <m:oMath>
        <m:sSub>
          <m:sSubPr>
            <m:ctrlPr>
              <w:rPr>
                <w:rFonts w:ascii="Cambria Math" w:hAnsi="Cambria Math"/>
              </w:rPr>
            </m:ctrlPr>
          </m:sSubPr>
          <m:e>
            <m:r>
              <w:rPr>
                <w:rFonts w:ascii="Cambria Math" w:hAnsi="Cambria Math"/>
              </w:rPr>
              <m:t>B</m:t>
            </m:r>
          </m:e>
          <m:sub>
            <m:r>
              <w:rPr>
                <w:rFonts w:ascii="Cambria Math" w:hAnsi="Cambria Math"/>
              </w:rPr>
              <m:t>G</m:t>
            </m:r>
          </m:sub>
        </m:sSub>
      </m:oMath>
      <w:r>
        <w:t xml:space="preserve"> is the scalar incidence matrix. This null preserves the data dimension and spatial support. Comparing a large vector model only with a single scalar response would confound the sheaf claim with access to more features. Null and alternative receive the same cue encoder, readout, observation-gain model, training trials, and validation protocol.</w:t>
      </w:r>
    </w:p>
    <w:p w14:paraId="2012DABE" w14:textId="77777777" w:rsidR="003D3B95" w:rsidRDefault="00000000" w:rsidP="007B3797">
      <w:pPr>
        <w:pStyle w:val="BodyText"/>
        <w:jc w:val="both"/>
      </w:pPr>
      <w:r>
        <w:t xml:space="preserve">A stronger null allows one common feature metric, giving </w:t>
      </w:r>
      <m:oMath>
        <m:sSub>
          <m:sSubPr>
            <m:ctrlPr>
              <w:rPr>
                <w:rFonts w:ascii="Cambria Math" w:hAnsi="Cambria Math"/>
              </w:rPr>
            </m:ctrlPr>
          </m:sSubPr>
          <m:e>
            <m:r>
              <w:rPr>
                <w:rFonts w:ascii="Cambria Math" w:hAnsi="Cambria Math"/>
              </w:rPr>
              <m:t>L</m:t>
            </m:r>
          </m:e>
          <m:sub>
            <m:r>
              <w:rPr>
                <w:rFonts w:ascii="Cambria Math" w:hAnsi="Cambria Math"/>
              </w:rPr>
              <m:t>G</m:t>
            </m:r>
          </m:sub>
        </m:sSub>
        <m:r>
          <m:rPr>
            <m:sty m:val="p"/>
          </m:rPr>
          <w:rPr>
            <w:rFonts w:ascii="Cambria Math" w:hAnsi="Cambria Math"/>
          </w:rPr>
          <m:t>⊗</m:t>
        </m:r>
        <m:r>
          <w:rPr>
            <w:rFonts w:ascii="Cambria Math" w:hAnsi="Cambria Math"/>
          </w:rPr>
          <m:t>Q</m:t>
        </m:r>
      </m:oMath>
      <w:r>
        <w:t xml:space="preserve"> for a positive-definite </w:t>
      </w:r>
      <m:oMath>
        <m:r>
          <w:rPr>
            <w:rFonts w:ascii="Cambria Math" w:hAnsi="Cambria Math"/>
          </w:rPr>
          <m:t>Q</m:t>
        </m:r>
      </m:oMath>
      <w:r>
        <w:t>. This absorbs a global anisotropy shared by every connection. A further baseline allows feature-specific scalar channels in one common basis. The proposed advantage requires edge-specific relations that cannot be explained by these shared-coordinate alternatives.</w:t>
      </w:r>
    </w:p>
    <w:p w14:paraId="0E5E5CB4" w14:textId="77777777" w:rsidR="003D3B95" w:rsidRDefault="00000000" w:rsidP="007B3797">
      <w:pPr>
        <w:pStyle w:val="BodyText"/>
        <w:jc w:val="both"/>
      </w:pPr>
      <w:r>
        <w:t>An unrestricted block-linear dynamical model is also necessary. A cellular sheaf energy is a structured matrix factorization and can be expressed as an ordinary block-matrix recurrent system. Better performance than scalar diffusion does not establish an ontologically unique sheaf computation. The defensible contribution is a constrained, interpretable factorization that transfers across interventions with fewer independently adjustable assumptions.</w:t>
      </w:r>
    </w:p>
    <w:p w14:paraId="55172946" w14:textId="77777777" w:rsidR="003D3B95" w:rsidRDefault="00000000" w:rsidP="007B3797">
      <w:pPr>
        <w:pStyle w:val="Heading2"/>
        <w:jc w:val="both"/>
      </w:pPr>
      <w:bookmarkStart w:id="20" w:name="feature-direction-and-causal-direction"/>
      <w:bookmarkEnd w:id="19"/>
      <w:r>
        <w:t>6.2 Feature direction and causal direction</w:t>
      </w:r>
    </w:p>
    <w:p w14:paraId="749751FF" w14:textId="77777777" w:rsidR="003D3B95" w:rsidRDefault="00000000" w:rsidP="007B3797">
      <w:pPr>
        <w:pStyle w:val="FirstParagraph"/>
        <w:jc w:val="both"/>
      </w:pPr>
      <w:r>
        <w:t xml:space="preserve">The distinctive prediction concerns rank and direction in feature space. It does not imply that the symmetric </w:t>
      </w:r>
      <m:oMath>
        <m:sSub>
          <m:sSubPr>
            <m:ctrlPr>
              <w:rPr>
                <w:rFonts w:ascii="Cambria Math" w:hAnsi="Cambria Math"/>
              </w:rPr>
            </m:ctrlPr>
          </m:sSubPr>
          <m:e>
            <m:r>
              <w:rPr>
                <w:rFonts w:ascii="Cambria Math" w:hAnsi="Cambria Math"/>
              </w:rPr>
              <m:t>L</m:t>
            </m:r>
          </m:e>
          <m:sub>
            <m:r>
              <w:rPr>
                <w:rFonts w:ascii="Cambria Math" w:hAnsi="Cambria Math"/>
              </w:rPr>
              <m:t>W</m:t>
            </m:r>
          </m:sub>
        </m:sSub>
      </m:oMath>
      <w:r>
        <w:t xml:space="preserve"> is a directed causal adjacency matrix. Edge blocks of the energy contain </w:t>
      </w:r>
      <m:oMath>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u</m:t>
            </m:r>
            <m:r>
              <m:rPr>
                <m:sty m:val="p"/>
              </m:rPr>
              <w:rPr>
                <w:rFonts w:ascii="Cambria Math" w:hAnsi="Cambria Math"/>
              </w:rPr>
              <m:t>,</m:t>
            </m:r>
            <m:r>
              <w:rPr>
                <w:rFonts w:ascii="Cambria Math" w:hAnsi="Cambria Math"/>
              </w:rPr>
              <m:t>e</m:t>
            </m:r>
          </m:sub>
          <m:sup>
            <m:r>
              <w:rPr>
                <w:rFonts w:ascii="Cambria Math" w:hAnsi="Cambria Math"/>
              </w:rPr>
              <m:t>T</m:t>
            </m:r>
          </m:sup>
        </m:sSubSup>
        <m:sSub>
          <m:sSubPr>
            <m:ctrlPr>
              <w:rPr>
                <w:rFonts w:ascii="Cambria Math" w:hAnsi="Cambria Math"/>
              </w:rPr>
            </m:ctrlPr>
          </m:sSubPr>
          <m:e>
            <m:r>
              <w:rPr>
                <w:rFonts w:ascii="Cambria Math" w:hAnsi="Cambria Math"/>
              </w:rPr>
              <m:t>W</m:t>
            </m:r>
          </m:e>
          <m:sub>
            <m:r>
              <w:rPr>
                <w:rFonts w:ascii="Cambria Math" w:hAnsi="Cambria Math"/>
              </w:rPr>
              <m:t>e</m:t>
            </m:r>
          </m:sub>
        </m:sSub>
        <m:sSub>
          <m:sSubPr>
            <m:ctrlPr>
              <w:rPr>
                <w:rFonts w:ascii="Cambria Math" w:hAnsi="Cambria Math"/>
              </w:rPr>
            </m:ctrlPr>
          </m:sSub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e</m:t>
            </m:r>
          </m:sub>
        </m:sSub>
      </m:oMath>
      <w:r>
        <w:t xml:space="preserve">; they can mix or select features even while the full operator remains symmetric. The distinction must </w:t>
      </w:r>
      <w:r>
        <w:lastRenderedPageBreak/>
        <w:t>survive an independently fixed coordinate system. An apparent rotation created by fitting a new basis in each condition is not evidence.</w:t>
      </w:r>
    </w:p>
    <w:p w14:paraId="6C318F3B" w14:textId="77777777" w:rsidR="003D3B95" w:rsidRDefault="00000000" w:rsidP="007B3797">
      <w:pPr>
        <w:pStyle w:val="BodyText"/>
        <w:jc w:val="both"/>
      </w:pPr>
      <w:r>
        <w:t>On a tree, invertible transport maps can often be trivialized by choosing compatible vertex frames. Therefore individual nonidentity matrices are not sufficient evidence of nontrivial transport geometry. Measured metrics, rank deficiency, route comparisons, and transport around cycles supply stronger diagnostics. Orthogonal changes of registered feature basis preserve the relevant singular values and loop spectra; unrestricted nonorthogonal changes also change the metric and must be accounted for explicitly.</w:t>
      </w:r>
    </w:p>
    <w:p w14:paraId="4450C458" w14:textId="77777777" w:rsidR="003D3B95" w:rsidRDefault="00000000" w:rsidP="007B3797">
      <w:pPr>
        <w:pStyle w:val="Heading2"/>
        <w:jc w:val="both"/>
      </w:pPr>
      <w:bookmarkStart w:id="21" w:name="a-single-discriminating-experiment"/>
      <w:bookmarkEnd w:id="20"/>
      <w:r>
        <w:t>6.3 A single discriminating experiment</w:t>
      </w:r>
    </w:p>
    <w:p w14:paraId="69892BD3" w14:textId="77777777" w:rsidR="003D3B95" w:rsidRDefault="00000000" w:rsidP="007B3797">
      <w:pPr>
        <w:pStyle w:val="FirstParagraph"/>
        <w:jc w:val="both"/>
      </w:pPr>
      <w:r>
        <w:t>Identify two source perturbation directions in the same unit, matched for energy, firing-rate effect, and target signal-to-noise ratio. Use calibration data to select directions for which the RCS predicts different target subspaces, and reserve their joint or sequential combinations for testing. The scalar null predicts propagation proportional to a common feature relation. The RCS predicts the calibrated feature-selective response, including which component should disappear after a selected driver intervention.</w:t>
      </w:r>
    </w:p>
    <w:p w14:paraId="4E631EE9" w14:textId="77777777" w:rsidR="003D3B95" w:rsidRDefault="00000000" w:rsidP="007B3797">
      <w:pPr>
        <w:pStyle w:val="BodyText"/>
        <w:jc w:val="both"/>
      </w:pPr>
      <w:r>
        <w:t>The primary model-comparison endpoint is held-out target-response prediction error, normalized by the explainable response variance estimated from repeated controls. Trial-level likelihood with a fixed observation-noise model is a secondary endpoint. Model complexity is matched through nested validation and reported parameter counts. Entire perturbation conditions and recording sessions, rather than random time bins, form the outer test folds. A useful prespecified success target is a minimum 10% relative error reduction over the strongest scalar null with an animal-level confidence interval excluding zero. This value is a proposed practical threshold, not an effect observed here.</w:t>
      </w:r>
    </w:p>
    <w:p w14:paraId="4BA5A1A4" w14:textId="77777777" w:rsidR="003D3B95" w:rsidRDefault="00000000" w:rsidP="007B3797">
      <w:pPr>
        <w:pStyle w:val="BodyText"/>
        <w:jc w:val="both"/>
      </w:pPr>
      <w:r>
        <w:t>The experiment is negative for the central sheaf claim if scalar or shared-metric coupling predicts the held-out responses equally well, or if any improvement vanishes after complexity matching. It is negative for the biological interpretation if the fitted maps fail causal calibration while a freely trained block model still predicts well. These are distinct failure modes and should be reported separately.</w:t>
      </w:r>
    </w:p>
    <w:p w14:paraId="2C36F7FB" w14:textId="77777777" w:rsidR="003D3B95" w:rsidRDefault="00000000" w:rsidP="007B3797">
      <w:pPr>
        <w:pStyle w:val="Heading1"/>
        <w:jc w:val="both"/>
      </w:pPr>
      <w:bookmarkStart w:id="22" w:name="X31bdf44abcd40aefd333482e859252de509c391"/>
      <w:bookmarkEnd w:id="18"/>
      <w:bookmarkEnd w:id="21"/>
      <w:r>
        <w:t>7 Experimental protocol and statistical decisions</w:t>
      </w:r>
    </w:p>
    <w:p w14:paraId="53D42522" w14:textId="77777777" w:rsidR="003D3B95" w:rsidRDefault="00000000" w:rsidP="007B3797">
      <w:pPr>
        <w:pStyle w:val="Heading2"/>
        <w:jc w:val="both"/>
      </w:pPr>
      <w:bookmarkStart w:id="23" w:name="preparation-and-operating-range"/>
      <w:r>
        <w:t>7.1 Preparation and operating range</w:t>
      </w:r>
    </w:p>
    <w:p w14:paraId="0CA17819" w14:textId="77777777" w:rsidR="003D3B95" w:rsidRDefault="00000000" w:rsidP="007B3797">
      <w:pPr>
        <w:pStyle w:val="FirstParagraph"/>
        <w:jc w:val="both"/>
      </w:pPr>
      <w:r>
        <w:t>The primary preparation is awake, head-fixed adult mouse V1 with laminar and tangential population recordings, controlled visual stimuli, and selective manipulation of the chosen L6 population. Drifting-grating orientation supplies a restricted task family with a reproducible tuning readout. A complementary interareal preparation can test matched direct and transthalamic routes, but that experiment should not be conflated with the within-area gain test.</w:t>
      </w:r>
    </w:p>
    <w:p w14:paraId="29891C64" w14:textId="77777777" w:rsidR="003D3B95" w:rsidRDefault="00000000" w:rsidP="007B3797">
      <w:pPr>
        <w:pStyle w:val="BodyText"/>
        <w:jc w:val="both"/>
      </w:pPr>
      <w:r>
        <w:t>Register recording locations and laminar boundaries independently of the model outcome. Predefine the feature dimension, cue duration, post-cue interval, and signal-quality rules using calibration data. The modulation range is selected before final testing to produce a measurable but moderate upper-layer response change, for example 10–50%, while preserving responses above the calibration floor. Include separate activation and suppression conditions, interleaved sham trials, light-only controls, and recovery trials. Behavioural state, pupil diameter, and movement are recorded and either matched or modelled using a prespecified nuisance procedure.</w:t>
      </w:r>
    </w:p>
    <w:p w14:paraId="0C1302D8" w14:textId="77777777" w:rsidR="003D3B95" w:rsidRDefault="00000000" w:rsidP="007B3797">
      <w:pPr>
        <w:pStyle w:val="BodyText"/>
        <w:jc w:val="both"/>
      </w:pPr>
      <w:r>
        <w:t xml:space="preserve">The immediate post-cue interval tests unforced relaxation, with intervention onset randomized after a common cue-encoding period. A sustained-stimulus interval separately tests the observation model and gain–tuning dissociation. Equation (5) is not used to claim invariance for the sustained-input interval. That interval tests an additional biological claim with its own failure criterion. Detectable cue-encoding </w:t>
      </w:r>
      <w:r>
        <w:lastRenderedPageBreak/>
        <w:t>changes caused by modulation are also reported; they cannot be explained away by assuming identical initial states.</w:t>
      </w:r>
    </w:p>
    <w:p w14:paraId="5060DC21" w14:textId="77777777" w:rsidR="003D3B95" w:rsidRDefault="00000000" w:rsidP="007B3797">
      <w:pPr>
        <w:pStyle w:val="Heading2"/>
        <w:jc w:val="both"/>
      </w:pPr>
      <w:bookmarkStart w:id="24" w:name="intervention-contrasts"/>
      <w:bookmarkEnd w:id="23"/>
      <w:r>
        <w:t>7.2 Intervention contrasts</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3096"/>
        <w:gridCol w:w="4320"/>
      </w:tblGrid>
      <w:tr w:rsidR="003D3B95" w14:paraId="705EE4F8" w14:textId="77777777">
        <w:trPr>
          <w:cantSplit/>
          <w:tblHeader/>
          <w:jc w:val="center"/>
        </w:trPr>
        <w:tc>
          <w:tcPr>
            <w:tcW w:w="1872" w:type="dxa"/>
            <w:shd w:val="clear" w:color="auto" w:fill="333333"/>
            <w:tcMar>
              <w:top w:w="85" w:type="dxa"/>
              <w:left w:w="100" w:type="dxa"/>
              <w:bottom w:w="85" w:type="dxa"/>
              <w:right w:w="100" w:type="dxa"/>
            </w:tcMar>
            <w:vAlign w:val="center"/>
          </w:tcPr>
          <w:p w14:paraId="2EE9B8A7" w14:textId="77777777" w:rsidR="003D3B95" w:rsidRDefault="00000000" w:rsidP="007B3797">
            <w:pPr>
              <w:keepNext/>
              <w:keepLines/>
              <w:spacing w:after="0" w:line="240" w:lineRule="auto"/>
              <w:jc w:val="both"/>
            </w:pPr>
            <w:r>
              <w:rPr>
                <w:b/>
                <w:color w:val="FFFFFF"/>
                <w:sz w:val="19"/>
              </w:rPr>
              <w:t>Intervention class</w:t>
            </w:r>
          </w:p>
        </w:tc>
        <w:tc>
          <w:tcPr>
            <w:tcW w:w="3096" w:type="dxa"/>
            <w:shd w:val="clear" w:color="auto" w:fill="333333"/>
            <w:tcMar>
              <w:top w:w="85" w:type="dxa"/>
              <w:left w:w="100" w:type="dxa"/>
              <w:bottom w:w="85" w:type="dxa"/>
              <w:right w:w="100" w:type="dxa"/>
            </w:tcMar>
            <w:vAlign w:val="center"/>
          </w:tcPr>
          <w:p w14:paraId="575DB044" w14:textId="77777777" w:rsidR="003D3B95" w:rsidRDefault="00000000" w:rsidP="007B3797">
            <w:pPr>
              <w:keepNext/>
              <w:keepLines/>
              <w:spacing w:after="0" w:line="240" w:lineRule="auto"/>
              <w:jc w:val="both"/>
            </w:pPr>
            <w:r>
              <w:rPr>
                <w:b/>
                <w:color w:val="FFFFFF"/>
                <w:sz w:val="19"/>
              </w:rPr>
              <w:t>Gain or dynamics endpoint</w:t>
            </w:r>
          </w:p>
        </w:tc>
        <w:tc>
          <w:tcPr>
            <w:tcW w:w="4320" w:type="dxa"/>
            <w:shd w:val="clear" w:color="auto" w:fill="333333"/>
            <w:tcMar>
              <w:top w:w="85" w:type="dxa"/>
              <w:left w:w="100" w:type="dxa"/>
              <w:bottom w:w="85" w:type="dxa"/>
              <w:right w:w="100" w:type="dxa"/>
            </w:tcMar>
            <w:vAlign w:val="center"/>
          </w:tcPr>
          <w:p w14:paraId="403FF320" w14:textId="77777777" w:rsidR="003D3B95" w:rsidRDefault="00000000" w:rsidP="007B3797">
            <w:pPr>
              <w:keepNext/>
              <w:keepLines/>
              <w:spacing w:after="0" w:line="240" w:lineRule="auto"/>
              <w:jc w:val="both"/>
            </w:pPr>
            <w:r>
              <w:rPr>
                <w:b/>
                <w:color w:val="FFFFFF"/>
                <w:sz w:val="19"/>
              </w:rPr>
              <w:t>Content and constraint endpoint</w:t>
            </w:r>
          </w:p>
        </w:tc>
      </w:tr>
      <w:tr w:rsidR="003D3B95" w14:paraId="470FEFBB" w14:textId="77777777">
        <w:trPr>
          <w:cantSplit/>
          <w:jc w:val="center"/>
        </w:trPr>
        <w:tc>
          <w:tcPr>
            <w:tcW w:w="1872" w:type="dxa"/>
            <w:shd w:val="clear" w:color="auto" w:fill="FFFFFF"/>
            <w:tcMar>
              <w:top w:w="85" w:type="dxa"/>
              <w:left w:w="100" w:type="dxa"/>
              <w:bottom w:w="85" w:type="dxa"/>
              <w:right w:w="100" w:type="dxa"/>
            </w:tcMar>
            <w:vAlign w:val="center"/>
          </w:tcPr>
          <w:p w14:paraId="0382EFD7" w14:textId="77777777" w:rsidR="003D3B95" w:rsidRDefault="00000000" w:rsidP="007B3797">
            <w:pPr>
              <w:keepNext/>
              <w:keepLines/>
              <w:spacing w:after="0" w:line="240" w:lineRule="auto"/>
              <w:jc w:val="both"/>
            </w:pPr>
            <w:r>
              <w:rPr>
                <w:sz w:val="19"/>
              </w:rPr>
              <w:t>Moderate L6 modulation</w:t>
            </w:r>
          </w:p>
        </w:tc>
        <w:tc>
          <w:tcPr>
            <w:tcW w:w="3096" w:type="dxa"/>
            <w:shd w:val="clear" w:color="auto" w:fill="FFFFFF"/>
            <w:tcMar>
              <w:top w:w="85" w:type="dxa"/>
              <w:left w:w="100" w:type="dxa"/>
              <w:bottom w:w="85" w:type="dxa"/>
              <w:right w:w="100" w:type="dxa"/>
            </w:tcMar>
            <w:vAlign w:val="center"/>
          </w:tcPr>
          <w:p w14:paraId="5137B464" w14:textId="77777777" w:rsidR="003D3B95" w:rsidRDefault="00000000" w:rsidP="007B3797">
            <w:pPr>
              <w:keepNext/>
              <w:keepLines/>
              <w:spacing w:after="0" w:line="240" w:lineRule="auto"/>
              <w:jc w:val="both"/>
            </w:pPr>
            <w:r>
              <w:rPr>
                <w:sz w:val="19"/>
              </w:rPr>
              <w:t>Measurable gain and relaxation-rate change</w:t>
            </w:r>
          </w:p>
        </w:tc>
        <w:tc>
          <w:tcPr>
            <w:tcW w:w="4320" w:type="dxa"/>
            <w:shd w:val="clear" w:color="auto" w:fill="FFFFFF"/>
            <w:tcMar>
              <w:top w:w="85" w:type="dxa"/>
              <w:left w:w="100" w:type="dxa"/>
              <w:bottom w:w="85" w:type="dxa"/>
              <w:right w:w="100" w:type="dxa"/>
            </w:tcMar>
            <w:vAlign w:val="center"/>
          </w:tcPr>
          <w:p w14:paraId="61103D63" w14:textId="77777777" w:rsidR="003D3B95" w:rsidRDefault="00000000" w:rsidP="007B3797">
            <w:pPr>
              <w:keepNext/>
              <w:keepLines/>
              <w:spacing w:after="0" w:line="240" w:lineRule="auto"/>
              <w:jc w:val="both"/>
            </w:pPr>
            <w:r>
              <w:rPr>
                <w:sz w:val="19"/>
              </w:rPr>
              <w:t>Equivalent calibrated orientation code and stable compatibility subspace</w:t>
            </w:r>
          </w:p>
        </w:tc>
      </w:tr>
      <w:tr w:rsidR="003D3B95" w14:paraId="41809FF1" w14:textId="77777777">
        <w:trPr>
          <w:cantSplit/>
          <w:jc w:val="center"/>
        </w:trPr>
        <w:tc>
          <w:tcPr>
            <w:tcW w:w="1872" w:type="dxa"/>
            <w:shd w:val="clear" w:color="auto" w:fill="F5F5F5"/>
            <w:tcMar>
              <w:top w:w="85" w:type="dxa"/>
              <w:left w:w="100" w:type="dxa"/>
              <w:bottom w:w="85" w:type="dxa"/>
              <w:right w:w="100" w:type="dxa"/>
            </w:tcMar>
            <w:vAlign w:val="center"/>
          </w:tcPr>
          <w:p w14:paraId="496CC0EF" w14:textId="77777777" w:rsidR="003D3B95" w:rsidRDefault="00000000" w:rsidP="007B3797">
            <w:pPr>
              <w:keepNext/>
              <w:keepLines/>
              <w:spacing w:after="0" w:line="240" w:lineRule="auto"/>
              <w:jc w:val="both"/>
            </w:pPr>
            <w:r>
              <w:rPr>
                <w:sz w:val="19"/>
              </w:rPr>
              <w:t>Calibrated driver perturbation</w:t>
            </w:r>
          </w:p>
        </w:tc>
        <w:tc>
          <w:tcPr>
            <w:tcW w:w="3096" w:type="dxa"/>
            <w:shd w:val="clear" w:color="auto" w:fill="F5F5F5"/>
            <w:tcMar>
              <w:top w:w="85" w:type="dxa"/>
              <w:left w:w="100" w:type="dxa"/>
              <w:bottom w:w="85" w:type="dxa"/>
              <w:right w:w="100" w:type="dxa"/>
            </w:tcMar>
            <w:vAlign w:val="center"/>
          </w:tcPr>
          <w:p w14:paraId="6C326F28" w14:textId="77777777" w:rsidR="003D3B95" w:rsidRDefault="00000000" w:rsidP="007B3797">
            <w:pPr>
              <w:keepNext/>
              <w:keepLines/>
              <w:spacing w:after="0" w:line="240" w:lineRule="auto"/>
              <w:jc w:val="both"/>
            </w:pPr>
            <w:r>
              <w:rPr>
                <w:sz w:val="19"/>
              </w:rPr>
              <w:t>Magnitude and latency changes are possible</w:t>
            </w:r>
          </w:p>
        </w:tc>
        <w:tc>
          <w:tcPr>
            <w:tcW w:w="4320" w:type="dxa"/>
            <w:shd w:val="clear" w:color="auto" w:fill="F5F5F5"/>
            <w:tcMar>
              <w:top w:w="85" w:type="dxa"/>
              <w:left w:w="100" w:type="dxa"/>
              <w:bottom w:w="85" w:type="dxa"/>
              <w:right w:w="100" w:type="dxa"/>
            </w:tcMar>
            <w:vAlign w:val="center"/>
          </w:tcPr>
          <w:p w14:paraId="65DF45AB" w14:textId="77777777" w:rsidR="003D3B95" w:rsidRDefault="00000000" w:rsidP="007B3797">
            <w:pPr>
              <w:keepNext/>
              <w:keepLines/>
              <w:spacing w:after="0" w:line="240" w:lineRule="auto"/>
              <w:jc w:val="both"/>
            </w:pPr>
            <w:r>
              <w:rPr>
                <w:sz w:val="19"/>
              </w:rPr>
              <w:t>Predicted feature-selective change for a nonredundant constraint</w:t>
            </w:r>
          </w:p>
        </w:tc>
      </w:tr>
    </w:tbl>
    <w:p w14:paraId="7E84ACD3" w14:textId="77777777" w:rsidR="003D3B95" w:rsidRDefault="00000000" w:rsidP="007B3797">
      <w:pPr>
        <w:pStyle w:val="Caption"/>
        <w:keepLines/>
        <w:jc w:val="both"/>
      </w:pPr>
      <w:r>
        <w:t>Table 2. The two-by-two intervention–endpoint design. The first row contains an equivalence claim, not a null-hypothesis significance test. The second row is a calibrated positive control and is not a claim that every driver manipulation changes every decoder.</w:t>
      </w:r>
    </w:p>
    <w:p w14:paraId="42E71768" w14:textId="77777777" w:rsidR="003D3B95" w:rsidRDefault="00000000" w:rsidP="007B3797">
      <w:pPr>
        <w:pStyle w:val="BodyText"/>
        <w:jc w:val="both"/>
      </w:pPr>
      <w:r>
        <w:t>The driver intervention is chosen in independent data to affect an identifiable constraint on an observable feature. A perturbation that merely rescales the selected transfer is not an adequate positive control for changing its row space. Paired-route interference, projection-specific stimulation, or a feature-selective reduction can provide stronger controls, subject to the available circuit access.</w:t>
      </w:r>
    </w:p>
    <w:p w14:paraId="3679DB41" w14:textId="77777777" w:rsidR="003D3B95" w:rsidRDefault="00000000" w:rsidP="007B3797">
      <w:pPr>
        <w:pStyle w:val="BodyText"/>
        <w:jc w:val="both"/>
      </w:pPr>
      <w:r>
        <w:t>Complete pathway interruption is analyzed as a constraint deletion. It is informative but outside the positive-weight comparison. This boundary is fixed in the protocol rather than invoked after a content effect appears. An experiment in which the proposed mild modulator unexpectedly abolishes a required driver response records a failure of the planned operating regime; it does not establish the claimed dissociation.</w:t>
      </w:r>
    </w:p>
    <w:p w14:paraId="7BDD2AB8" w14:textId="77777777" w:rsidR="003D3B95" w:rsidRDefault="00000000" w:rsidP="007B3797">
      <w:pPr>
        <w:pStyle w:val="Heading2"/>
        <w:jc w:val="both"/>
      </w:pPr>
      <w:bookmarkStart w:id="25" w:name="equivalence-bounds-and-readouts"/>
      <w:bookmarkEnd w:id="24"/>
      <w:r>
        <w:t>7.3 Equivalence bounds and readouts</w:t>
      </w:r>
    </w:p>
    <w:p w14:paraId="6EBCDA70" w14:textId="77777777" w:rsidR="003D3B95" w:rsidRDefault="00000000" w:rsidP="007B3797">
      <w:pPr>
        <w:pStyle w:val="FirstParagraph"/>
        <w:jc w:val="both"/>
      </w:pPr>
      <w:r>
        <w:t xml:space="preserve">The primary content endpoint is the change in balanced orientation-decoding accuracy from a decoder trained once on baseline calibration data. The primary version uses the independently specified gain correction in (7); the raw-data decoder is a mandatory companion analysis. For planning, define equivalence as an animal-level mean paired change strictly inside </w:t>
      </w:r>
      <m:oMath>
        <m:d>
          <m:dPr>
            <m:begChr m:val="["/>
            <m:endChr m:val="]"/>
            <m:ctrlPr>
              <w:rPr>
                <w:rFonts w:ascii="Cambria Math" w:hAnsi="Cambria Math"/>
              </w:rPr>
            </m:ctrlPr>
          </m:dPr>
          <m:e>
            <m:r>
              <m:rPr>
                <m:sty m:val="p"/>
              </m:rPr>
              <w:rPr>
                <w:rFonts w:ascii="Cambria Math" w:hAnsi="Cambria Math"/>
              </w:rPr>
              <m:t>-</m:t>
            </m:r>
            <m:r>
              <w:rPr>
                <w:rFonts w:ascii="Cambria Math" w:hAnsi="Cambria Math"/>
              </w:rPr>
              <m:t>0.03</m:t>
            </m:r>
            <m:r>
              <m:rPr>
                <m:sty m:val="p"/>
              </m:rPr>
              <w:rPr>
                <w:rFonts w:ascii="Cambria Math" w:hAnsi="Cambria Math"/>
              </w:rPr>
              <m:t>,</m:t>
            </m:r>
            <m:r>
              <w:rPr>
                <w:rFonts w:ascii="Cambria Math" w:hAnsi="Cambria Math"/>
              </w:rPr>
              <m:t>0.03</m:t>
            </m:r>
          </m:e>
        </m:d>
      </m:oMath>
      <w:r>
        <w:t>, meaning three percentage points in either direction. These bounds express a proposed maximum acceptable change for this experiment and must be justified against task performance and measurement reliability before data collection.</w:t>
      </w:r>
    </w:p>
    <w:p w14:paraId="5E14F5CB" w14:textId="77777777" w:rsidR="003D3B95" w:rsidRDefault="00000000" w:rsidP="007B3797">
      <w:pPr>
        <w:pStyle w:val="BodyText"/>
        <w:jc w:val="both"/>
      </w:pPr>
      <w:r>
        <w:t>Use two one-sided tests at level 0.05, or equivalently require the 90% confidence interval to lie entirely inside the equivalence bounds [10]. A nonsignificant test against zero is insufficient. Accuracy alone can hide a remapping that a particular decoder does not detect, so two corroborating endpoints are specified: gain-normalized tuning-curve discrepancy and the distance between calibrated compatibility subspaces. Their bounds are also set using independent controls. One practical planning bound for normalized tuning discrepancy is 0.05 of the control curve norm; this is a prospective criterion, not a published physiological tolerance.</w:t>
      </w:r>
    </w:p>
    <w:p w14:paraId="6526575E" w14:textId="77777777" w:rsidR="003D3B95" w:rsidRDefault="00000000" w:rsidP="007B3797">
      <w:pPr>
        <w:pStyle w:val="BodyText"/>
        <w:jc w:val="both"/>
      </w:pPr>
      <w:r>
        <w:t>The subspace endpoint uses projector distance in the frozen calibration metric. Estimate uncertainty by resampling complete trials within animals and animals at the population level. Fix rank thresholds using noise controls, not the final intervention contrast. Preferred-orientation changes are treated as circular data; a signed population mean that cancels opposite cell-level shifts cannot establish preservation.</w:t>
      </w:r>
    </w:p>
    <w:p w14:paraId="0AF29D33" w14:textId="77777777" w:rsidR="003D3B95" w:rsidRDefault="00000000" w:rsidP="007B3797">
      <w:pPr>
        <w:pStyle w:val="BodyText"/>
        <w:jc w:val="both"/>
      </w:pPr>
      <w:r>
        <w:t xml:space="preserve">Equivalence, a gain effect, and a reproducible change in at least one calibrated relaxation rate are joint requirements for the full reweighting interpretation. If gain does not change, the manipulation has not tested the dissociation. If gain changes but the relaxation operator remains unchanged within a sufficiently narrow equivalence bound, only the observation-gain explanation is supported. A change in </w:t>
      </w:r>
      <w:r>
        <w:lastRenderedPageBreak/>
        <w:t>decay rates is a prospective biological prediction, not a consequence of every possible reweighting: distinct weight choices can have the same spectrum. If the content interval crosses an equivalence boundary, the result is either evidence of a meaningful change or inconclusive, depending on the confidence interval. Inconclusive results are not counted as support. Both modulation directions must meet the specified claim; selective reporting of the successful direction is prohibited.</w:t>
      </w:r>
    </w:p>
    <w:p w14:paraId="18855E29" w14:textId="77777777" w:rsidR="003D3B95" w:rsidRDefault="00000000" w:rsidP="007B3797">
      <w:pPr>
        <w:pStyle w:val="Heading2"/>
        <w:jc w:val="both"/>
      </w:pPr>
      <w:bookmarkStart w:id="26" w:name="power-analysis-and-experimental-units"/>
      <w:bookmarkEnd w:id="25"/>
      <w:r>
        <w:t>7.4 Power analysis and experimental units</w:t>
      </w:r>
    </w:p>
    <w:p w14:paraId="4F79F9F3" w14:textId="77777777" w:rsidR="003D3B95" w:rsidRDefault="00000000" w:rsidP="007B3797">
      <w:pPr>
        <w:pStyle w:val="FirstParagraph"/>
        <w:jc w:val="both"/>
      </w:pPr>
      <w:r>
        <w:t>The independent unit for the primary inference is the animal. Neurons, trials, and time bins improve an animal’s estimate but do not become independent biological replicates. Hierarchical simulation should ultimately determine sample size from a pilot that includes animal variability, trial noise, missing units, and repeated measurements. That simulation must estimate the probability of satisfying the joint gain, content-equivalence, and calibration criteria.</w:t>
      </w:r>
    </w:p>
    <w:p w14:paraId="1576BBD1" w14:textId="77777777" w:rsidR="003D3B95" w:rsidRDefault="00000000" w:rsidP="007B3797">
      <w:pPr>
        <w:pStyle w:val="BodyText"/>
        <w:jc w:val="both"/>
      </w:pPr>
      <w:r>
        <w:t>A transparent calculation illustrates the scale of the equivalence requirement. Assume independent normally distributed animal-level paired accuracy changes, a true mean difference of zero, a standard deviation of 0.04, equivalence bounds of 0.03, and one-sided level 0.05. Numerical integration of the paired t-test acceptance region gives 90.6% power at 21 animals and 95.4% at 25 animals. These are planning calculations under stated assumptions, not biological sample-size estimates from the cited studies.</w:t>
      </w:r>
    </w:p>
    <w:p w14:paraId="071000EB" w14:textId="77777777" w:rsidR="003D3B95" w:rsidRDefault="00000000" w:rsidP="007B3797">
      <w:pPr>
        <w:pStyle w:val="BodyText"/>
        <w:jc w:val="both"/>
      </w:pPr>
      <w:r>
        <w:t>For activation and suppression claims both to succeed with at least 90% probability, targeting at least 95% marginal power for each yields a conservative union-bound guarantee of 90% for the two equivalence decisions, without assuming their independence. Under the illustrative assumptions, 25 analyzable animals meet that marginal target. The guarantee does not include the additional gain, map-identification, or tuning endpoints; a joint hierarchical simulation may require more. Attrition and the pilot’s variance uncertainty must be included before fixing recruitment.</w:t>
      </w:r>
    </w:p>
    <w:p w14:paraId="0BFFEF7F" w14:textId="77777777" w:rsidR="003D3B95" w:rsidRDefault="00000000" w:rsidP="007B3797">
      <w:pPr>
        <w:pStyle w:val="BodyText"/>
        <w:jc w:val="both"/>
      </w:pPr>
      <w:r>
        <w:t>Appendix C gives the integral used to obtain these values. Reporting this dependence is preferable to declaring a universal sample size. Prespecifying the equivalence margins after inspecting the final effects would invalidate the claimed test.</w:t>
      </w:r>
    </w:p>
    <w:p w14:paraId="7493907C" w14:textId="77777777" w:rsidR="003D3B95" w:rsidRDefault="00000000" w:rsidP="007B3797">
      <w:pPr>
        <w:pStyle w:val="Heading2"/>
        <w:jc w:val="both"/>
      </w:pPr>
      <w:bookmarkStart w:id="27" w:name="explicit-rejection-criteria"/>
      <w:bookmarkEnd w:id="26"/>
      <w:r>
        <w:t>7.5 Explicit rejection criteria</w:t>
      </w:r>
    </w:p>
    <w:p w14:paraId="5C1ACB79" w14:textId="77777777" w:rsidR="003D3B95" w:rsidRDefault="00000000" w:rsidP="007B3797">
      <w:pPr>
        <w:pStyle w:val="FirstParagraph"/>
        <w:jc w:val="both"/>
      </w:pPr>
      <w:r>
        <w:t>The primary instantiation is rejected if moderate modulation produces an orientation-code change exceeding the chosen bound while the independently calibrated driver transfers remain present, or if it produces a reproducible change in the compatibility subspace beyond calibration uncertainty. Failure of the symmetric relaxation approximation rejects the specified recurrent dynamics. Failure to outperform the strongest scalar null rejects the proposed explanatory need for edge-specific feature constraints at the tested scale.</w:t>
      </w:r>
    </w:p>
    <w:p w14:paraId="0AFCC67D" w14:textId="77777777" w:rsidR="003D3B95" w:rsidRDefault="00000000" w:rsidP="007B3797">
      <w:pPr>
        <w:pStyle w:val="BodyText"/>
        <w:jc w:val="both"/>
      </w:pPr>
      <w:r>
        <w:t>A result may support the physiological gain–content dissociation while rejecting its RCS explanation. Existing gain-control mechanisms can produce the same dissociation. Conversely, a feature-selective sheaf fit may outperform a scalar graph while failing the weight-only modulation hypothesis. The paper’s biological claims are judged separately and are not bundled into a single unfalsifiable label.</w:t>
      </w:r>
    </w:p>
    <w:p w14:paraId="1E57619C" w14:textId="77777777" w:rsidR="003D3B95" w:rsidRDefault="00000000" w:rsidP="007B3797">
      <w:pPr>
        <w:pStyle w:val="Heading1"/>
        <w:jc w:val="both"/>
      </w:pPr>
      <w:bookmarkStart w:id="28" w:name="cohomology-and-route-consistency"/>
      <w:bookmarkEnd w:id="22"/>
      <w:bookmarkEnd w:id="27"/>
      <w:r>
        <w:t>8 Cohomology and route consistency</w:t>
      </w:r>
    </w:p>
    <w:p w14:paraId="194859FE" w14:textId="77777777" w:rsidR="003D3B95" w:rsidRDefault="00000000" w:rsidP="007B3797">
      <w:pPr>
        <w:pStyle w:val="Heading2"/>
        <w:jc w:val="both"/>
      </w:pPr>
      <w:bookmarkStart w:id="29" w:name="Xc19f6d76a0f1df88f2bcb0a585126584f2a693c"/>
      <w:r>
        <w:t>8.1 A nonzero group is not an observed obstruction</w:t>
      </w:r>
    </w:p>
    <w:p w14:paraId="07B12138" w14:textId="77777777" w:rsidR="003D3B95" w:rsidRDefault="00000000" w:rsidP="007B3797">
      <w:pPr>
        <w:pStyle w:val="FirstParagraph"/>
        <w:jc w:val="both"/>
      </w:pPr>
      <w:r>
        <w:t xml:space="preserve">On a graph,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is a cokernel. To claim an obstruction, specify interface data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1</m:t>
            </m:r>
          </m:sup>
        </m:sSup>
      </m:oMath>
      <w:r>
        <w:t xml:space="preserve"> and ask whether </w:t>
      </w:r>
      <m:oMath>
        <m:r>
          <w:rPr>
            <w:rFonts w:ascii="Cambria Math" w:hAnsi="Cambria Math"/>
          </w:rPr>
          <m:t>δx</m:t>
        </m:r>
        <m:r>
          <m:rPr>
            <m:sty m:val="p"/>
          </m:rPr>
          <w:rPr>
            <w:rFonts w:ascii="Cambria Math" w:hAnsi="Cambria Math"/>
          </w:rPr>
          <m:t>=</m:t>
        </m:r>
        <m:r>
          <w:rPr>
            <w:rFonts w:ascii="Cambria Math" w:hAnsi="Cambria Math"/>
          </w:rPr>
          <m:t>b</m:t>
        </m:r>
      </m:oMath>
      <w:r>
        <w:t xml:space="preserve"> is solvable. The class </w:t>
      </w:r>
      <m:oMath>
        <m:d>
          <m:dPr>
            <m:begChr m:val="["/>
            <m:endChr m:val="]"/>
            <m:ctrlPr>
              <w:rPr>
                <w:rFonts w:ascii="Cambria Math" w:hAnsi="Cambria Math"/>
              </w:rPr>
            </m:ctrlPr>
          </m:dPr>
          <m:e>
            <m:r>
              <w:rPr>
                <w:rFonts w:ascii="Cambria Math" w:hAnsi="Cambria Math"/>
              </w:rPr>
              <m:t>b</m:t>
            </m:r>
          </m:e>
        </m:d>
      </m:oMath>
      <w:r>
        <w:t xml:space="preserve"> is nonzero exactly when those data cannot be realized by a global assignment. By contrast, the homogeneous system </w:t>
      </w:r>
      <m:oMath>
        <m:r>
          <w:rPr>
            <w:rFonts w:ascii="Cambria Math" w:hAnsi="Cambria Math"/>
          </w:rPr>
          <m:t>δx</m:t>
        </m:r>
        <m:r>
          <m:rPr>
            <m:sty m:val="p"/>
          </m:rPr>
          <w:rPr>
            <w:rFonts w:ascii="Cambria Math" w:hAnsi="Cambria Math"/>
          </w:rPr>
          <m:t>=</m:t>
        </m:r>
        <m:r>
          <w:rPr>
            <w:rFonts w:ascii="Cambria Math" w:hAnsi="Cambria Math"/>
          </w:rPr>
          <m:t>0</m:t>
        </m:r>
      </m:oMath>
      <w:r>
        <w:t xml:space="preserve"> always has the zero solution. A nonzero group </w:t>
      </w:r>
      <w:r>
        <w:lastRenderedPageBreak/>
        <w:t>does not make every input impossible, and nontrivial holonomy need not produce nonzero first cohomology for every coefficient system.</w:t>
      </w:r>
    </w:p>
    <w:p w14:paraId="315420CF" w14:textId="77777777" w:rsidR="003D3B95" w:rsidRDefault="00000000" w:rsidP="007B3797">
      <w:pPr>
        <w:pStyle w:val="BodyText"/>
        <w:jc w:val="both"/>
      </w:pPr>
      <w:r>
        <w:t>Models of impossible figures make this distinction useful: locally prescribed interpretations can fail to extend globally. Ghrist and Ghrist’s recent treatment of bistable visual paradoxes gives explicit cohomological examples [11]. The present proposal does not infer a neural implementation from that mathematics. An experiment would have to identify the neural interface data and their obstruction, rather than equate a perceptual label with the dimension of a fitted group.</w:t>
      </w:r>
    </w:p>
    <w:p w14:paraId="037B7946" w14:textId="77777777" w:rsidR="003D3B95" w:rsidRDefault="00000000" w:rsidP="007B3797">
      <w:pPr>
        <w:pStyle w:val="BodyText"/>
        <w:jc w:val="both"/>
      </w:pPr>
      <w:r>
        <w:t>Likewise, a two-dimensional real section space contains infinitely many states; it is not a two-state perceptual system. Bistability requires two admissible interpretations selected by stimulus constraints or nonlinear dynamics. The linear RCS does not supply those attractors by itself. This also limits its interpretation as long-term memory: projecting a cue onto a linear compatibility space is not a complete account of memory capacity or episodic pattern completion.</w:t>
      </w:r>
    </w:p>
    <w:p w14:paraId="32E81E44" w14:textId="77777777" w:rsidR="003D3B95" w:rsidRDefault="00000000" w:rsidP="007B3797">
      <w:pPr>
        <w:pStyle w:val="Heading2"/>
        <w:jc w:val="both"/>
      </w:pPr>
      <w:bookmarkStart w:id="30" w:name="trees-and-local-systems"/>
      <w:bookmarkEnd w:id="29"/>
      <w:r>
        <w:t>8.2 Trees and local systems</w:t>
      </w:r>
    </w:p>
    <w:p w14:paraId="0DDDD426" w14:textId="77777777" w:rsidR="003D3B95" w:rsidRDefault="00000000" w:rsidP="007B3797">
      <w:pPr>
        <w:pStyle w:val="FirstParagraph"/>
        <w:jc w:val="both"/>
      </w:pPr>
      <w:r>
        <w:t xml:space="preserve">For a tree whose restrictions along each incidence are isomorphisms between equal-dimensional stalks, propagate a value from one root to all other vertices. Every edge residual can also be assigned by solving successively at leaves, so the coboundary is surjective and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0</m:t>
        </m:r>
      </m:oMath>
      <w:r>
        <w:t>. No noncontractible loop exists for monodromy. This is the appropriate acyclicity statement for the reduced laminar path with local-system coefficients.</w:t>
      </w:r>
    </w:p>
    <w:p w14:paraId="12206730" w14:textId="77777777" w:rsidR="003D3B95" w:rsidRDefault="00000000" w:rsidP="007B3797">
      <w:pPr>
        <w:pStyle w:val="BodyText"/>
        <w:jc w:val="both"/>
      </w:pPr>
      <w:r>
        <w:t xml:space="preserve">The statement fails for general cellular sheaves. On a single edge, take both vertex stalks to be </w:t>
      </w:r>
      <m:oMath>
        <m:r>
          <m:rPr>
            <m:scr m:val="double-struck"/>
            <m:sty m:val="p"/>
          </m:rPr>
          <w:rPr>
            <w:rFonts w:ascii="Cambria Math" w:hAnsi="Cambria Math"/>
          </w:rPr>
          <m:t>R</m:t>
        </m:r>
      </m:oMath>
      <w:r>
        <w:t xml:space="preserve"> and the edge stalk to be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with both restrictions </w:t>
      </w:r>
      <m:oMath>
        <m:r>
          <w:rPr>
            <w:rFonts w:ascii="Cambria Math" w:hAnsi="Cambria Math"/>
          </w:rPr>
          <m:t>z</m:t>
        </m:r>
        <m:r>
          <m:rPr>
            <m:sty m:val="p"/>
          </m:rPr>
          <w:rPr>
            <w:rFonts w:ascii="Cambria Math" w:hAnsi="Cambria Math"/>
          </w:rPr>
          <m:t>↦</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0</m:t>
            </m:r>
          </m:e>
        </m:d>
      </m:oMath>
      <w:r>
        <w:t xml:space="preserve">. Then </w:t>
      </w:r>
      <m:oMath>
        <m:r>
          <w:rPr>
            <w:rFonts w:ascii="Cambria Math" w:hAnsi="Cambria Math"/>
          </w:rPr>
          <m:t>δ</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e>
        </m:d>
      </m:oMath>
      <w:r>
        <w:t xml:space="preserve"> and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has dimension one, although the graph has no cycle. The unmatched second interface direction supplies the cokernel. This example can indicate a poorly specified interface rather than a biological contradiction, which is another reason to identify maps independently.</w:t>
      </w:r>
    </w:p>
    <w:p w14:paraId="00234474" w14:textId="77777777" w:rsidR="003D3B95" w:rsidRDefault="00000000" w:rsidP="007B3797">
      <w:pPr>
        <w:pStyle w:val="BodyText"/>
        <w:jc w:val="both"/>
      </w:pPr>
      <w:r>
        <w:t>Accordingly, the reduced driver path has no loop transport under local-system assumptions, but it is not a vacuous sheaf and is not incapable of recurrent relaxation. The sheet-level title follows from the model’s chosen interunit compatibility problem, not from an anatomical impossibility theorem about microcolumns.</w:t>
      </w:r>
    </w:p>
    <w:p w14:paraId="6405C977" w14:textId="77777777" w:rsidR="003D3B95" w:rsidRDefault="00000000" w:rsidP="007B3797">
      <w:pPr>
        <w:pStyle w:val="Heading2"/>
        <w:jc w:val="both"/>
      </w:pPr>
      <w:bookmarkStart w:id="31" w:name="holonomy-and-noninvertible-routes"/>
      <w:bookmarkEnd w:id="30"/>
      <w:r>
        <w:t>8.3 Holonomy and noninvertible routes</w:t>
      </w:r>
    </w:p>
    <w:p w14:paraId="4D0EC454" w14:textId="77777777" w:rsidR="003D3B95" w:rsidRDefault="00000000" w:rsidP="007B3797">
      <w:pPr>
        <w:pStyle w:val="FirstParagraph"/>
        <w:jc w:val="both"/>
      </w:pPr>
      <w:r>
        <w:t xml:space="preserve">When both endpoint restrictions are invertible, define a route transport </w:t>
      </w:r>
      <m:oMath>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e</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R</m:t>
            </m:r>
          </m:e>
          <m:sub>
            <m:r>
              <w:rPr>
                <w:rFonts w:ascii="Cambria Math" w:hAnsi="Cambria Math"/>
              </w:rPr>
              <m:t>u</m:t>
            </m:r>
            <m:r>
              <m:rPr>
                <m:sty m:val="p"/>
              </m:rPr>
              <w:rPr>
                <w:rFonts w:ascii="Cambria Math" w:hAnsi="Cambria Math"/>
              </w:rPr>
              <m:t>,</m:t>
            </m:r>
            <m:r>
              <w:rPr>
                <w:rFonts w:ascii="Cambria Math" w:hAnsi="Cambria Math"/>
              </w:rPr>
              <m:t>e</m:t>
            </m:r>
          </m:sub>
        </m:sSub>
      </m:oMath>
      <w:r>
        <w:t xml:space="preserve">. For two calibrated routes from </w:t>
      </w:r>
      <m:oMath>
        <m:r>
          <w:rPr>
            <w:rFonts w:ascii="Cambria Math" w:hAnsi="Cambria Math"/>
          </w:rPr>
          <m:t>u</m:t>
        </m:r>
      </m:oMath>
      <w:r>
        <w:t xml:space="preserve"> to </w:t>
      </w:r>
      <m:oMath>
        <m:r>
          <w:rPr>
            <w:rFonts w:ascii="Cambria Math" w:hAnsi="Cambria Math"/>
          </w:rPr>
          <m:t>v</m:t>
        </m:r>
      </m:oMath>
      <w:r>
        <w:t>, the round-trip comparison is</w:t>
      </w:r>
    </w:p>
    <w:p w14:paraId="4A8EBA88" w14:textId="77777777" w:rsidR="003D3B95" w:rsidRDefault="00000000" w:rsidP="007B3797">
      <w:pPr>
        <w:pStyle w:val="BodyText"/>
        <w:keepLines/>
        <w:spacing w:before="100" w:after="140"/>
        <w:jc w:val="both"/>
      </w:pPr>
      <m:oMathPara>
        <m:oMathParaPr>
          <m:jc m:val="center"/>
        </m:oMathParaPr>
        <m:oMath>
          <m:r>
            <w:rPr>
              <w:rFonts w:ascii="Cambria Math" w:hAnsi="Cambria Math"/>
            </w:rPr>
            <m:t>M</m:t>
          </m:r>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sty m:val="p"/>
                </m:rPr>
                <w:rPr>
                  <w:rFonts w:ascii="Cambria Math" w:hAnsi="Cambria Math"/>
                </w:rPr>
                <m:t>direct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T</m:t>
              </m:r>
            </m:e>
            <m:sub>
              <m:r>
                <m:rPr>
                  <m:sty m:val="p"/>
                </m:rPr>
                <w:rPr>
                  <w:rFonts w:ascii="Cambria Math" w:hAnsi="Cambria Math"/>
                </w:rPr>
                <m:t>thal</m:t>
              </m:r>
            </m:sub>
          </m:sSub>
          <m:r>
            <m:rPr>
              <m:sty m:val="p"/>
            </m:rPr>
            <w:rPr>
              <w:rFonts w:ascii="Cambria Math" w:hAnsi="Cambria Math"/>
            </w:rPr>
            <m:t>,</m:t>
          </m:r>
          <m:r>
            <w:rPr>
              <w:rFonts w:ascii="Cambria Math" w:hAnsi="Cambria Math"/>
            </w:rPr>
            <m:t>  M</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u</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m:t>
              </m:r>
            </m:e>
          </m:d>
        </m:oMath>
      </m:oMathPara>
    </w:p>
    <w:p w14:paraId="6096E273" w14:textId="77777777" w:rsidR="003D3B95" w:rsidRDefault="00000000" w:rsidP="007B3797">
      <w:pPr>
        <w:pStyle w:val="FirstParagraph"/>
        <w:jc w:val="both"/>
      </w:pPr>
      <w:r>
        <w:t xml:space="preserve">The inverse is a mathematical comparison, not an assertion of reverse axonal signalling. Loop spectra and fixed subspaces are coordinate-invariant under conjugation. A norm such as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additionally requires a fixed metric. Noninvertible pathways are evaluated through residual mismatch in the shared interface, with uncertainty and rank explicitly reported; pseudoinversion does not silently create biological transport.</w:t>
      </w:r>
    </w:p>
    <w:p w14:paraId="177A36F6" w14:textId="77777777" w:rsidR="003D3B95" w:rsidRDefault="00000000" w:rsidP="007B3797">
      <w:pPr>
        <w:pStyle w:val="BodyText"/>
        <w:jc w:val="both"/>
      </w:pPr>
      <w:r>
        <w:t xml:space="preserve">The two-route example has </w:t>
      </w:r>
      <m:oMath>
        <m:r>
          <w:rPr>
            <w:rFonts w:ascii="Cambria Math" w:hAnsi="Cambria Math"/>
          </w:rPr>
          <m:t>M</m:t>
        </m:r>
        <m:r>
          <m:rPr>
            <m:sty m:val="p"/>
          </m:rPr>
          <w:rPr>
            <w:rFonts w:ascii="Cambria Math" w:hAnsi="Cambria Math"/>
          </w:rPr>
          <m:t>=</m:t>
        </m:r>
        <m:r>
          <w:rPr>
            <w:rFonts w:ascii="Cambria Math" w:hAnsi="Cambria Math"/>
          </w:rPr>
          <m:t>J</m:t>
        </m:r>
      </m:oMath>
      <w:r>
        <w:t xml:space="preserve"> and a one-dimensional fixed subspace. For a two-dimensional rotation with no fixed vector, the same two-route construction has zero-dimensional </w:t>
      </w:r>
      <m:oMath>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and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even though its holonomy is nonidentity. This direct counterexample prevents the false identification of every route inconsistency with a nonzero cohomology group. An input-specific obstruction needs its own affine data or boundary conditions.</w:t>
      </w:r>
    </w:p>
    <w:p w14:paraId="469B4565" w14:textId="77777777" w:rsidR="003D3B95" w:rsidRDefault="00000000" w:rsidP="007B3797">
      <w:pPr>
        <w:pStyle w:val="Heading1"/>
        <w:jc w:val="both"/>
      </w:pPr>
      <w:bookmarkStart w:id="32" w:name="an-explicit-vertical-residual-complex"/>
      <w:bookmarkEnd w:id="28"/>
      <w:bookmarkEnd w:id="31"/>
      <w:r>
        <w:lastRenderedPageBreak/>
        <w:t>9 An explicit vertical residual complex</w:t>
      </w:r>
    </w:p>
    <w:p w14:paraId="4DC21F37" w14:textId="77777777" w:rsidR="003D3B95" w:rsidRDefault="00000000" w:rsidP="007B3797">
      <w:pPr>
        <w:pStyle w:val="FirstParagraph"/>
        <w:jc w:val="both"/>
      </w:pPr>
      <w:r>
        <w:t xml:space="preserve">The operator algebra of Section 3 is sufficient for the primary RCS. A double-complex extension answers a separate question: can local processing residuals be compared across cortical units consistently with the horizontal feature maps? We construct a two-term complex at each cell </w:t>
      </w:r>
      <m:oMath>
        <m:r>
          <w:rPr>
            <w:rFonts w:ascii="Cambria Math" w:hAnsi="Cambria Math"/>
          </w:rPr>
          <m:t>σ</m:t>
        </m:r>
      </m:oMath>
      <w:r>
        <w:t>,</w:t>
      </w:r>
    </w:p>
    <w:p w14:paraId="2B344D8F" w14:textId="77777777" w:rsidR="003D3B95" w:rsidRDefault="00000000" w:rsidP="007B3797">
      <w:pPr>
        <w:pStyle w:val="BodyText"/>
        <w:keepLines/>
        <w:spacing w:before="100" w:after="140"/>
        <w:jc w:val="both"/>
      </w:pPr>
      <m:oMathPara>
        <m:oMathParaPr>
          <m:jc m:val="center"/>
        </m:oMathParaPr>
        <m:oMath>
          <m:sSubSup>
            <m:sSubSupPr>
              <m:ctrlPr>
                <w:rPr>
                  <w:rFonts w:ascii="Cambria Math" w:hAnsi="Cambria Math"/>
                </w:rPr>
              </m:ctrlPr>
            </m:sSubSupPr>
            <m:e>
              <m:r>
                <w:rPr>
                  <w:rFonts w:ascii="Cambria Math" w:hAnsi="Cambria Math"/>
                </w:rPr>
                <m:t>K</m:t>
              </m:r>
            </m:e>
            <m:sub>
              <m:r>
                <w:rPr>
                  <w:rFonts w:ascii="Cambria Math" w:hAnsi="Cambria Math"/>
                </w:rPr>
                <m:t>σ</m:t>
              </m:r>
            </m:sub>
            <m:sup>
              <m:r>
                <w:rPr>
                  <w:rFonts w:ascii="Cambria Math" w:hAnsi="Cambria Math"/>
                </w:rPr>
                <m:t>0</m:t>
              </m:r>
            </m:sup>
          </m:sSubSup>
          <m:limUpp>
            <m:limUppPr>
              <m:ctrlPr>
                <w:rPr>
                  <w:rFonts w:ascii="Cambria Math" w:hAnsi="Cambria Math"/>
                </w:rPr>
              </m:ctrlPr>
            </m:limUppPr>
            <m:e>
              <m:r>
                <m:rPr>
                  <m:sty m:val="p"/>
                </m:rPr>
                <w:rPr>
                  <w:rFonts w:ascii="Cambria Math" w:hAnsi="Cambria Math"/>
                </w:rPr>
                <m:t>→</m:t>
              </m:r>
            </m:e>
            <m:lim>
              <m:sSub>
                <m:sSubPr>
                  <m:ctrlPr>
                    <w:rPr>
                      <w:rFonts w:ascii="Cambria Math" w:hAnsi="Cambria Math"/>
                    </w:rPr>
                  </m:ctrlPr>
                </m:sSubPr>
                <m:e>
                  <m:r>
                    <w:rPr>
                      <w:rFonts w:ascii="Cambria Math" w:hAnsi="Cambria Math"/>
                    </w:rPr>
                    <m:t>d</m:t>
                  </m:r>
                </m:e>
                <m:sub>
                  <m:r>
                    <w:rPr>
                      <w:rFonts w:ascii="Cambria Math" w:hAnsi="Cambria Math"/>
                    </w:rPr>
                    <m:t>σ</m:t>
                  </m:r>
                </m:sub>
              </m:sSub>
            </m:lim>
          </m:limUpp>
          <m:sSubSup>
            <m:sSubSupPr>
              <m:ctrlPr>
                <w:rPr>
                  <w:rFonts w:ascii="Cambria Math" w:hAnsi="Cambria Math"/>
                </w:rPr>
              </m:ctrlPr>
            </m:sSubSupPr>
            <m:e>
              <m:r>
                <w:rPr>
                  <w:rFonts w:ascii="Cambria Math" w:hAnsi="Cambria Math"/>
                </w:rPr>
                <m:t>K</m:t>
              </m:r>
            </m:e>
            <m:sub>
              <m:r>
                <w:rPr>
                  <w:rFonts w:ascii="Cambria Math" w:hAnsi="Cambria Math"/>
                </w:rPr>
                <m:t>σ</m:t>
              </m:r>
            </m:sub>
            <m:sup>
              <m:r>
                <w:rPr>
                  <w:rFonts w:ascii="Cambria Math" w:hAnsi="Cambria Math"/>
                </w:rPr>
                <m:t>1</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11</m:t>
              </m:r>
            </m:e>
          </m:d>
        </m:oMath>
      </m:oMathPara>
    </w:p>
    <w:p w14:paraId="109032DB" w14:textId="77777777" w:rsidR="003D3B95" w:rsidRDefault="00000000" w:rsidP="007B3797">
      <w:pPr>
        <w:pStyle w:val="FirstParagraph"/>
        <w:jc w:val="both"/>
      </w:pPr>
      <w:r>
        <w:t xml:space="preserve">Here </w:t>
      </w:r>
      <m:oMath>
        <m:sSubSup>
          <m:sSubSupPr>
            <m:ctrlPr>
              <w:rPr>
                <w:rFonts w:ascii="Cambria Math" w:hAnsi="Cambria Math"/>
              </w:rPr>
            </m:ctrlPr>
          </m:sSubSupPr>
          <m:e>
            <m:r>
              <w:rPr>
                <w:rFonts w:ascii="Cambria Math" w:hAnsi="Cambria Math"/>
              </w:rPr>
              <m:t>K</m:t>
            </m:r>
          </m:e>
          <m:sub>
            <m:r>
              <w:rPr>
                <w:rFonts w:ascii="Cambria Math" w:hAnsi="Cambria Math"/>
              </w:rPr>
              <m:t>σ</m:t>
            </m:r>
          </m:sub>
          <m:sup>
            <m:r>
              <w:rPr>
                <w:rFonts w:ascii="Cambria Math" w:hAnsi="Cambria Math"/>
              </w:rPr>
              <m:t>0</m:t>
            </m:r>
          </m:sup>
        </m:sSubSup>
      </m:oMath>
      <w:r>
        <w:t xml:space="preserve"> is a state space and </w:t>
      </w:r>
      <m:oMath>
        <m:sSubSup>
          <m:sSubSupPr>
            <m:ctrlPr>
              <w:rPr>
                <w:rFonts w:ascii="Cambria Math" w:hAnsi="Cambria Math"/>
              </w:rPr>
            </m:ctrlPr>
          </m:sSubSupPr>
          <m:e>
            <m:r>
              <w:rPr>
                <w:rFonts w:ascii="Cambria Math" w:hAnsi="Cambria Math"/>
              </w:rPr>
              <m:t>K</m:t>
            </m:r>
          </m:e>
          <m:sub>
            <m:r>
              <w:rPr>
                <w:rFonts w:ascii="Cambria Math" w:hAnsi="Cambria Math"/>
              </w:rPr>
              <m:t>σ</m:t>
            </m:r>
          </m:sub>
          <m:sup>
            <m:r>
              <w:rPr>
                <w:rFonts w:ascii="Cambria Math" w:hAnsi="Cambria Math"/>
              </w:rPr>
              <m:t>1</m:t>
            </m:r>
          </m:sup>
        </m:sSubSup>
      </m:oMath>
      <w:r>
        <w:t xml:space="preserve"> is a space of specified local residuals. For a vertex, </w:t>
      </w:r>
      <m:oMath>
        <m:sSub>
          <m:sSubPr>
            <m:ctrlPr>
              <w:rPr>
                <w:rFonts w:ascii="Cambria Math" w:hAnsi="Cambria Math"/>
              </w:rPr>
            </m:ctrlPr>
          </m:sSubPr>
          <m:e>
            <m:r>
              <w:rPr>
                <w:rFonts w:ascii="Cambria Math" w:hAnsi="Cambria Math"/>
              </w:rPr>
              <m:t>d</m:t>
            </m:r>
          </m:e>
          <m:sub>
            <m:r>
              <w:rPr>
                <w:rFonts w:ascii="Cambria Math" w:hAnsi="Cambria Math"/>
              </w:rPr>
              <m:t>v</m:t>
            </m:r>
          </m:sub>
        </m:sSub>
      </m:oMath>
      <w:r>
        <w:t xml:space="preserve"> may stack residuals between measured layer outputs and their independently calibrated linear predictions. It is not a sequential product of laminar transmission operators. Since the next differential is zero, the complex identity is exact. The residuals and their biological meaning must nevertheless be validated; an algebraically exact complex can be a poor model of the circuit.</w:t>
      </w:r>
    </w:p>
    <w:p w14:paraId="06FBAF1D" w14:textId="77777777" w:rsidR="003D3B95" w:rsidRDefault="00000000" w:rsidP="007B3797">
      <w:pPr>
        <w:pStyle w:val="BodyText"/>
        <w:jc w:val="both"/>
      </w:pPr>
      <w:r>
        <w:t xml:space="preserve">For an incidence </w:t>
      </w:r>
      <m:oMath>
        <m:r>
          <w:rPr>
            <w:rFonts w:ascii="Cambria Math" w:hAnsi="Cambria Math"/>
          </w:rPr>
          <m:t>v</m:t>
        </m:r>
        <m:r>
          <m:rPr>
            <m:sty m:val="p"/>
          </m:rPr>
          <w:rPr>
            <w:rFonts w:ascii="Cambria Math" w:hAnsi="Cambria Math"/>
          </w:rPr>
          <m:t>≤</m:t>
        </m:r>
        <m:r>
          <w:rPr>
            <w:rFonts w:ascii="Cambria Math" w:hAnsi="Cambria Math"/>
          </w:rPr>
          <m:t>e</m:t>
        </m:r>
      </m:oMath>
      <w:r>
        <w:t xml:space="preserve">, maps </w:t>
      </w:r>
      <m:oMath>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e</m:t>
            </m:r>
          </m:sub>
          <m:sup>
            <m:r>
              <w:rPr>
                <w:rFonts w:ascii="Cambria Math" w:hAnsi="Cambria Math"/>
              </w:rPr>
              <m:t>0</m:t>
            </m:r>
          </m:sup>
        </m:sSubSup>
      </m:oMath>
      <w:r>
        <w:t xml:space="preserve"> and </w:t>
      </w:r>
      <m:oMath>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e</m:t>
            </m:r>
          </m:sub>
          <m:sup>
            <m:r>
              <w:rPr>
                <w:rFonts w:ascii="Cambria Math" w:hAnsi="Cambria Math"/>
              </w:rPr>
              <m:t>1</m:t>
            </m:r>
          </m:sup>
        </m:sSubSup>
      </m:oMath>
      <w:r>
        <w:t xml:space="preserve"> must satisfy the chain-map identity</w:t>
      </w:r>
    </w:p>
    <w:p w14:paraId="00799DD1" w14:textId="77777777" w:rsidR="003D3B95" w:rsidRDefault="00000000" w:rsidP="007B3797">
      <w:pPr>
        <w:pStyle w:val="BodyText"/>
        <w:keepLines/>
        <w:spacing w:before="100" w:after="140"/>
        <w:jc w:val="bot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e</m:t>
              </m:r>
            </m:sub>
          </m:sSub>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e</m:t>
              </m:r>
            </m:sub>
            <m:sup>
              <m:r>
                <w:rPr>
                  <w:rFonts w:ascii="Cambria Math" w:hAnsi="Cambria Math"/>
                </w:rPr>
                <m:t>0</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e</m:t>
              </m:r>
            </m:sub>
            <m:sup>
              <m:r>
                <w:rPr>
                  <w:rFonts w:ascii="Cambria Math" w:hAnsi="Cambria Math"/>
                </w:rPr>
                <m:t>1</m:t>
              </m:r>
            </m:sup>
          </m:sSubSup>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12</m:t>
              </m:r>
            </m:e>
          </m:d>
        </m:oMath>
      </m:oMathPara>
    </w:p>
    <w:p w14:paraId="54A809D4" w14:textId="77777777" w:rsidR="003D3B95" w:rsidRDefault="00000000" w:rsidP="007B3797">
      <w:pPr>
        <w:pStyle w:val="FirstParagraph"/>
        <w:jc w:val="both"/>
      </w:pPr>
      <w:r>
        <w:t>Equation (12) is the additional measurement constraint. An independently estimated violation beyond calibration noise rejects this extension. Fitting the residual maps solely to force (12) provides an algebraic construction but no independent biological support. The primary gain–content hypothesis remains separately testable even if the extension fails.</w:t>
      </w:r>
    </w:p>
    <w:p w14:paraId="4D8DFEFB" w14:textId="77777777" w:rsidR="003D3B95" w:rsidRDefault="00000000" w:rsidP="007B3797">
      <w:pPr>
        <w:pStyle w:val="BodyText"/>
        <w:jc w:val="both"/>
      </w:pPr>
      <w:r>
        <w:t xml:space="preserve">When (12) is established, horizontal cellular coboundary and vertical residual differential commute before the usual sign convention. The total differential on horizontal degree </w:t>
      </w:r>
      <m:oMath>
        <m:r>
          <w:rPr>
            <w:rFonts w:ascii="Cambria Math" w:hAnsi="Cambria Math"/>
          </w:rPr>
          <m:t>p</m:t>
        </m:r>
      </m:oMath>
      <w:r>
        <w:t xml:space="preserve"> is </w:t>
      </w:r>
      <m:oMath>
        <m:r>
          <w:rPr>
            <w:rFonts w:ascii="Cambria Math" w:hAnsi="Cambria Math"/>
          </w:rPr>
          <m:t>D</m:t>
        </m:r>
        <m:r>
          <m:rPr>
            <m:sty m:val="p"/>
          </m:rPr>
          <w:rPr>
            <w:rFonts w:ascii="Cambria Math" w:hAnsi="Cambria Math"/>
          </w:rPr>
          <m:t>=</m:t>
        </m:r>
        <m:r>
          <w:rPr>
            <w:rFonts w:ascii="Cambria Math" w:hAnsi="Cambria Math"/>
          </w:rPr>
          <m:t>δ</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p</m:t>
            </m:r>
          </m:sup>
        </m:sSup>
        <m:r>
          <w:rPr>
            <w:rFonts w:ascii="Cambria Math" w:hAnsi="Cambria Math"/>
          </w:rPr>
          <m:t>d</m:t>
        </m:r>
      </m:oMath>
      <w:r>
        <w:t xml:space="preserve">, giving </w:t>
      </w:r>
      <m:oMath>
        <m:sSup>
          <m:sSupPr>
            <m:ctrlPr>
              <w:rPr>
                <w:rFonts w:ascii="Cambria Math" w:hAnsi="Cambria Math"/>
              </w:rPr>
            </m:ctrlPr>
          </m:sSupPr>
          <m:e>
            <m:r>
              <w:rPr>
                <w:rFonts w:ascii="Cambria Math" w:hAnsi="Cambria Math"/>
              </w:rPr>
              <m:t>D</m:t>
            </m:r>
          </m:e>
          <m:sup>
            <m:r>
              <w:rPr>
                <w:rFonts w:ascii="Cambria Math" w:hAnsi="Cambria Math"/>
              </w:rPr>
              <m:t>2</m:t>
            </m:r>
          </m:sup>
        </m:sSup>
        <m:r>
          <m:rPr>
            <m:sty m:val="p"/>
          </m:rPr>
          <w:rPr>
            <w:rFonts w:ascii="Cambria Math" w:hAnsi="Cambria Math"/>
          </w:rPr>
          <m:t>=</m:t>
        </m:r>
        <m:r>
          <w:rPr>
            <w:rFonts w:ascii="Cambria Math" w:hAnsi="Cambria Math"/>
          </w:rPr>
          <m:t>0</m:t>
        </m:r>
      </m:oMath>
      <w:r>
        <w:t>. Its spectral sequence has</w:t>
      </w:r>
    </w:p>
    <w:p w14:paraId="5B7BB6E1" w14:textId="77777777" w:rsidR="003D3B95" w:rsidRDefault="00000000" w:rsidP="007B3797">
      <w:pPr>
        <w:pStyle w:val="BodyText"/>
        <w:keepLines/>
        <w:spacing w:before="100" w:after="140"/>
        <w:jc w:val="both"/>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2</m:t>
              </m:r>
            </m:sub>
            <m:sup>
              <m:r>
                <w:rPr>
                  <w:rFonts w:ascii="Cambria Math" w:hAnsi="Cambria Math"/>
                </w:rPr>
                <m:t>p</m:t>
              </m:r>
              <m:r>
                <m:rPr>
                  <m:sty m:val="p"/>
                </m:rPr>
                <w:rPr>
                  <w:rFonts w:ascii="Cambria Math" w:hAnsi="Cambria Math"/>
                </w:rPr>
                <m:t>,</m:t>
              </m:r>
              <m:r>
                <w:rPr>
                  <w:rFonts w:ascii="Cambria Math" w:hAnsi="Cambria Math"/>
                </w:rPr>
                <m:t>q</m:t>
              </m:r>
            </m:sup>
          </m:sSub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p</m:t>
              </m:r>
            </m:sup>
          </m:sSup>
          <m:d>
            <m:dPr>
              <m:ctrlPr>
                <w:rPr>
                  <w:rFonts w:ascii="Cambria Math" w:hAnsi="Cambria Math"/>
                </w:rPr>
              </m:ctrlPr>
            </m:dPr>
            <m:e>
              <m:r>
                <w:rPr>
                  <w:rFonts w:ascii="Cambria Math" w:hAnsi="Cambria Math"/>
                </w:rPr>
                <m:t>G</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H</m:t>
                  </m:r>
                </m:e>
                <m:sup>
                  <m:r>
                    <w:rPr>
                      <w:rFonts w:ascii="Cambria Math" w:hAnsi="Cambria Math"/>
                    </w:rPr>
                    <m:t>q</m:t>
                  </m:r>
                </m:sup>
              </m:sSup>
              <m:d>
                <m:dPr>
                  <m:ctrlPr>
                    <w:rPr>
                      <w:rFonts w:ascii="Cambria Math" w:hAnsi="Cambria Math"/>
                    </w:rPr>
                  </m:ctrlPr>
                </m:dPr>
                <m:e>
                  <m:r>
                    <w:rPr>
                      <w:rFonts w:ascii="Cambria Math" w:hAnsi="Cambria Math"/>
                    </w:rPr>
                    <m:t>K</m:t>
                  </m:r>
                </m:e>
              </m:d>
            </m:e>
          </m:d>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p</m:t>
              </m:r>
              <m:r>
                <m:rPr>
                  <m:sty m:val="p"/>
                </m:rPr>
                <w:rPr>
                  <w:rFonts w:ascii="Cambria Math" w:hAnsi="Cambria Math"/>
                </w:rPr>
                <m:t>+</m:t>
              </m:r>
              <m:r>
                <w:rPr>
                  <w:rFonts w:ascii="Cambria Math" w:hAnsi="Cambria Math"/>
                </w:rPr>
                <m:t>q</m:t>
              </m:r>
            </m:sup>
          </m:sSup>
          <m:d>
            <m:dPr>
              <m:ctrlPr>
                <w:rPr>
                  <w:rFonts w:ascii="Cambria Math" w:hAnsi="Cambria Math"/>
                </w:rPr>
              </m:ctrlPr>
            </m:dPr>
            <m:e>
              <m:r>
                <m:rPr>
                  <m:sty m:val="p"/>
                </m:rPr>
                <w:rPr>
                  <w:rFonts w:ascii="Cambria Math" w:hAnsi="Cambria Math"/>
                </w:rPr>
                <m:t>Tot</m:t>
              </m:r>
              <m:r>
                <w:rPr>
                  <w:rFonts w:ascii="Cambria Math" w:hAnsi="Cambria Math"/>
                </w:rPr>
                <m:t>C</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m:t>
              </m:r>
            </m:e>
          </m:d>
        </m:oMath>
      </m:oMathPara>
    </w:p>
    <w:p w14:paraId="3423AB75" w14:textId="77777777" w:rsidR="003D3B95" w:rsidRDefault="00000000" w:rsidP="007B3797">
      <w:pPr>
        <w:pStyle w:val="FirstParagraph"/>
        <w:jc w:val="both"/>
      </w:pPr>
      <w:r>
        <w:t xml:space="preserve">Because the base is a graph, only horizontal degrees zero and one occur, and all differentials from page two onward vanish. In total degree one, the associated filtration has contributions from </w:t>
      </w:r>
      <m:oMath>
        <m:sSup>
          <m:sSupPr>
            <m:ctrlPr>
              <w:rPr>
                <w:rFonts w:ascii="Cambria Math" w:hAnsi="Cambria Math"/>
              </w:rPr>
            </m:ctrlPr>
          </m:sSupPr>
          <m:e>
            <m:r>
              <w:rPr>
                <w:rFonts w:ascii="Cambria Math" w:hAnsi="Cambria Math"/>
              </w:rPr>
              <m:t>H</m:t>
            </m:r>
          </m:e>
          <m:sup>
            <m:r>
              <w:rPr>
                <w:rFonts w:ascii="Cambria Math" w:hAnsi="Cambria Math"/>
              </w:rPr>
              <m:t>1</m:t>
            </m:r>
          </m:sup>
        </m:sSup>
        <m:d>
          <m:dPr>
            <m:ctrlPr>
              <w:rPr>
                <w:rFonts w:ascii="Cambria Math" w:hAnsi="Cambria Math"/>
              </w:rPr>
            </m:ctrlPr>
          </m:dPr>
          <m:e>
            <m:r>
              <w:rPr>
                <w:rFonts w:ascii="Cambria Math" w:hAnsi="Cambria Math"/>
              </w:rPr>
              <m:t>G</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H</m:t>
                </m:r>
              </m:e>
              <m:sup>
                <m:r>
                  <w:rPr>
                    <w:rFonts w:ascii="Cambria Math" w:hAnsi="Cambria Math"/>
                  </w:rPr>
                  <m:t>0</m:t>
                </m:r>
              </m:sup>
            </m:sSup>
            <m:d>
              <m:dPr>
                <m:ctrlPr>
                  <w:rPr>
                    <w:rFonts w:ascii="Cambria Math" w:hAnsi="Cambria Math"/>
                  </w:rPr>
                </m:ctrlPr>
              </m:dPr>
              <m:e>
                <m:r>
                  <w:rPr>
                    <w:rFonts w:ascii="Cambria Math" w:hAnsi="Cambria Math"/>
                  </w:rPr>
                  <m:t>K</m:t>
                </m:r>
              </m:e>
            </m:d>
          </m:e>
        </m:d>
      </m:oMath>
      <w:r>
        <w:t xml:space="preserve"> and </w:t>
      </w:r>
      <m:oMath>
        <m:sSup>
          <m:sSupPr>
            <m:ctrlPr>
              <w:rPr>
                <w:rFonts w:ascii="Cambria Math" w:hAnsi="Cambria Math"/>
              </w:rPr>
            </m:ctrlPr>
          </m:sSupPr>
          <m:e>
            <m:r>
              <w:rPr>
                <w:rFonts w:ascii="Cambria Math" w:hAnsi="Cambria Math"/>
              </w:rPr>
              <m:t>H</m:t>
            </m:r>
          </m:e>
          <m:sup>
            <m:r>
              <w:rPr>
                <w:rFonts w:ascii="Cambria Math" w:hAnsi="Cambria Math"/>
              </w:rPr>
              <m:t>0</m:t>
            </m:r>
          </m:sup>
        </m:sSup>
        <m:d>
          <m:dPr>
            <m:ctrlPr>
              <w:rPr>
                <w:rFonts w:ascii="Cambria Math" w:hAnsi="Cambria Math"/>
              </w:rPr>
            </m:ctrlPr>
          </m:dPr>
          <m:e>
            <m:r>
              <w:rPr>
                <w:rFonts w:ascii="Cambria Math" w:hAnsi="Cambria Math"/>
              </w:rPr>
              <m:t>G</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H</m:t>
                </m:r>
              </m:e>
              <m:sup>
                <m:r>
                  <w:rPr>
                    <w:rFonts w:ascii="Cambria Math" w:hAnsi="Cambria Math"/>
                  </w:rPr>
                  <m:t>1</m:t>
                </m:r>
              </m:sup>
            </m:sSup>
            <m:d>
              <m:dPr>
                <m:ctrlPr>
                  <w:rPr>
                    <w:rFonts w:ascii="Cambria Math" w:hAnsi="Cambria Math"/>
                  </w:rPr>
                </m:ctrlPr>
              </m:dPr>
              <m:e>
                <m:r>
                  <w:rPr>
                    <w:rFonts w:ascii="Cambria Math" w:hAnsi="Cambria Math"/>
                  </w:rPr>
                  <m:t>K</m:t>
                </m:r>
              </m:e>
            </m:d>
          </m:e>
        </m:d>
      </m:oMath>
      <w:r>
        <w:t>. These describe horizontal obstruction among vertically compatible states and horizontally coherent classes of local residuals, respectively. The filtration is not a canonical anatomical separation into two diseases or two kinds of neuronal error. Even when the underlying vector-space extension splits, that splitting need not be canonical [12].</w:t>
      </w:r>
    </w:p>
    <w:p w14:paraId="5775798D" w14:textId="77777777" w:rsidR="003D3B95" w:rsidRDefault="00000000" w:rsidP="007B3797">
      <w:pPr>
        <w:pStyle w:val="BodyText"/>
        <w:jc w:val="both"/>
      </w:pPr>
      <w:r>
        <w:t>This formulation preserves the proposed distinction between horizontal topology and vertical algebra while assigning each a precise role. It also removes the need to declare a corticothalamic return a curvature element. A curved differential, such as one satisfying a specified nonzero square, is a different algebraic model. A feedback arrow alone neither supplies that identity nor identifies its curvature.</w:t>
      </w:r>
    </w:p>
    <w:p w14:paraId="50C4EC17" w14:textId="77777777" w:rsidR="003D3B95" w:rsidRDefault="00000000" w:rsidP="007B3797">
      <w:pPr>
        <w:pStyle w:val="Heading1"/>
        <w:jc w:val="both"/>
      </w:pPr>
      <w:bookmarkStart w:id="33" w:name="persistence-across-sampling-scales"/>
      <w:bookmarkEnd w:id="32"/>
      <w:r>
        <w:t>10 Persistence across sampling scales</w:t>
      </w:r>
    </w:p>
    <w:p w14:paraId="2DA20E57" w14:textId="77777777" w:rsidR="003D3B95" w:rsidRDefault="00000000" w:rsidP="007B3797">
      <w:pPr>
        <w:pStyle w:val="FirstParagraph"/>
        <w:jc w:val="both"/>
      </w:pPr>
      <w:r>
        <w:t>Changing the sampling footprint is an observation operation, not automatically a refinement of an open cover. Coarsening a graph can merge vertices, remove interfaces, and discard residual directions. Neither ordinary cellular cohomology nor its first degree is generally invariant under such changes. Conversely, functorial comparison maps can exist without being isomorphisms. The question is which structures persist through a specified sequence of observations.</w:t>
      </w:r>
    </w:p>
    <w:p w14:paraId="3D0CED3B" w14:textId="77777777" w:rsidR="003D3B95" w:rsidRDefault="00000000" w:rsidP="007B3797">
      <w:pPr>
        <w:pStyle w:val="BodyText"/>
        <w:jc w:val="both"/>
      </w:pPr>
      <w:r>
        <w:t xml:space="preserve">We give an explicit construction rather than referring to unspecified compatible refinements. Let </w:t>
      </w:r>
      <m:oMath>
        <m:sSup>
          <m:sSupPr>
            <m:ctrlPr>
              <w:rPr>
                <w:rFonts w:ascii="Cambria Math" w:hAnsi="Cambria Math"/>
              </w:rPr>
            </m:ctrlPr>
          </m:sSupPr>
          <m:e>
            <m:r>
              <w:rPr>
                <w:rFonts w:ascii="Cambria Math" w:hAnsi="Cambria Math"/>
              </w:rPr>
              <m:t>C</m:t>
            </m:r>
          </m:e>
          <m:sup>
            <m:r>
              <w:rPr>
                <w:rFonts w:ascii="Cambria Math" w:hAnsi="Cambria Math"/>
              </w:rPr>
              <m:t>0</m:t>
            </m:r>
          </m:sup>
        </m:sSup>
        <m:limUpp>
          <m:limUppPr>
            <m:ctrlPr>
              <w:rPr>
                <w:rFonts w:ascii="Cambria Math" w:hAnsi="Cambria Math"/>
              </w:rPr>
            </m:ctrlPr>
          </m:limUppPr>
          <m:e>
            <m:r>
              <m:rPr>
                <m:sty m:val="p"/>
              </m:rPr>
              <w:rPr>
                <w:rFonts w:ascii="Cambria Math" w:hAnsi="Cambria Math"/>
              </w:rPr>
              <m:t>→</m:t>
            </m:r>
          </m:e>
          <m:lim>
            <m:r>
              <w:rPr>
                <w:rFonts w:ascii="Cambria Math" w:hAnsi="Cambria Math"/>
              </w:rPr>
              <m:t>δ</m:t>
            </m:r>
          </m:lim>
        </m:limUpp>
        <m:sSup>
          <m:sSupPr>
            <m:ctrlPr>
              <w:rPr>
                <w:rFonts w:ascii="Cambria Math" w:hAnsi="Cambria Math"/>
              </w:rPr>
            </m:ctrlPr>
          </m:sSupPr>
          <m:e>
            <m:r>
              <w:rPr>
                <w:rFonts w:ascii="Cambria Math" w:hAnsi="Cambria Math"/>
              </w:rPr>
              <m:t>C</m:t>
            </m:r>
          </m:e>
          <m:sup>
            <m:r>
              <w:rPr>
                <w:rFonts w:ascii="Cambria Math" w:hAnsi="Cambria Math"/>
              </w:rPr>
              <m:t>1</m:t>
            </m:r>
          </m:sup>
        </m:sSup>
      </m:oMath>
      <w:r>
        <w:t xml:space="preserve"> be the calibrated fine-scale complex. At scale </w:t>
      </w:r>
      <m:oMath>
        <m:r>
          <w:rPr>
            <w:rFonts w:ascii="Cambria Math" w:hAnsi="Cambria Math"/>
          </w:rPr>
          <m:t>s</m:t>
        </m:r>
      </m:oMath>
      <w:r>
        <w:t xml:space="preserve">, choose a nested subspace </w:t>
      </w:r>
      <m:oMath>
        <m:sSubSup>
          <m:sSubSupPr>
            <m:ctrlPr>
              <w:rPr>
                <w:rFonts w:ascii="Cambria Math" w:hAnsi="Cambria Math"/>
              </w:rPr>
            </m:ctrlPr>
          </m:sSubSupPr>
          <m:e>
            <m:r>
              <w:rPr>
                <w:rFonts w:ascii="Cambria Math" w:hAnsi="Cambria Math"/>
              </w:rPr>
              <m:t>J</m:t>
            </m:r>
          </m:e>
          <m:sub>
            <m:r>
              <w:rPr>
                <w:rFonts w:ascii="Cambria Math" w:hAnsi="Cambria Math"/>
              </w:rPr>
              <m:t>s</m:t>
            </m:r>
          </m:sub>
          <m:sup>
            <m:r>
              <w:rPr>
                <w:rFonts w:ascii="Cambria Math" w:hAnsi="Cambria Math"/>
              </w:rPr>
              <m:t>0</m:t>
            </m:r>
          </m:sup>
        </m:sSubSup>
      </m:oMath>
      <w:r>
        <w:t xml:space="preserve"> of vertex-state contrasts lost by the observation process. For example, these may be the zero-aggregate contrasts within blocks of a nested spatial partition. Independently specify a nested </w:t>
      </w:r>
      <m:oMath>
        <m:sSubSup>
          <m:sSubSupPr>
            <m:ctrlPr>
              <w:rPr>
                <w:rFonts w:ascii="Cambria Math" w:hAnsi="Cambria Math"/>
              </w:rPr>
            </m:ctrlPr>
          </m:sSubSupPr>
          <m:e>
            <m:r>
              <w:rPr>
                <w:rFonts w:ascii="Cambria Math" w:hAnsi="Cambria Math"/>
              </w:rPr>
              <m:t>K</m:t>
            </m:r>
          </m:e>
          <m:sub>
            <m:r>
              <w:rPr>
                <w:rFonts w:ascii="Cambria Math" w:hAnsi="Cambria Math"/>
              </w:rPr>
              <m:t>s</m:t>
            </m:r>
          </m:sub>
          <m:sup>
            <m:r>
              <w:rPr>
                <w:rFonts w:ascii="Cambria Math" w:hAnsi="Cambria Math"/>
              </w:rPr>
              <m:t>1</m:t>
            </m:r>
          </m:sup>
        </m:sSubSup>
      </m:oMath>
      <w:r>
        <w:t xml:space="preserve"> of interface residual directions that the coarser instrument cannot resolve. Set</w:t>
      </w:r>
    </w:p>
    <w:p w14:paraId="33F5D12B" w14:textId="77777777" w:rsidR="003D3B95" w:rsidRDefault="00000000" w:rsidP="007B3797">
      <w:pPr>
        <w:pStyle w:val="BodyText"/>
        <w:keepLines/>
        <w:spacing w:before="100" w:after="140"/>
        <w:jc w:val="both"/>
      </w:pPr>
      <m:oMathPara>
        <m:oMathParaPr>
          <m:jc m:val="center"/>
        </m:oMathParaPr>
        <m:oMath>
          <m:sSubSup>
            <m:sSubSupPr>
              <m:ctrlPr>
                <w:rPr>
                  <w:rFonts w:ascii="Cambria Math" w:hAnsi="Cambria Math"/>
                </w:rPr>
              </m:ctrlPr>
            </m:sSubSupPr>
            <m:e>
              <m:r>
                <w:rPr>
                  <w:rFonts w:ascii="Cambria Math" w:hAnsi="Cambria Math"/>
                </w:rPr>
                <m:t>J</m:t>
              </m:r>
            </m:e>
            <m:sub>
              <m:r>
                <w:rPr>
                  <w:rFonts w:ascii="Cambria Math" w:hAnsi="Cambria Math"/>
                </w:rPr>
                <m:t>s</m:t>
              </m:r>
            </m:sub>
            <m:sup>
              <m:r>
                <w:rPr>
                  <w:rFonts w:ascii="Cambria Math" w:hAnsi="Cambria Math"/>
                </w:rPr>
                <m:t>1</m:t>
              </m:r>
            </m:sup>
          </m:sSubSup>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s</m:t>
              </m:r>
            </m:sub>
            <m:sup>
              <m:r>
                <w:rPr>
                  <w:rFonts w:ascii="Cambria Math" w:hAnsi="Cambria Math"/>
                </w:rPr>
                <m:t>0</m:t>
              </m:r>
            </m:sup>
          </m:sSubSup>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s</m:t>
              </m:r>
            </m:sub>
            <m:sup>
              <m:r>
                <w:rPr>
                  <w:rFonts w:ascii="Cambria Math" w:hAnsi="Cambria Math"/>
                </w:rPr>
                <m:t>1</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s</m:t>
              </m:r>
            </m:sub>
            <m:sup>
              <m:r>
                <w:rPr>
                  <w:rFonts w:ascii="Cambria Math" w:hAnsi="Cambria Math"/>
                </w:rPr>
                <m:t>p</m:t>
              </m:r>
            </m:sup>
          </m:sSub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p</m:t>
              </m:r>
            </m:sup>
          </m:sSup>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s</m:t>
              </m:r>
            </m:sub>
            <m:sup>
              <m:r>
                <w:rPr>
                  <w:rFonts w:ascii="Cambria Math" w:hAnsi="Cambria Math"/>
                </w:rPr>
                <m:t>p</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δ</m:t>
              </m:r>
            </m:e>
            <m:sub>
              <m:r>
                <w:rPr>
                  <w:rFonts w:ascii="Cambria Math" w:hAnsi="Cambria Math"/>
                </w:rPr>
                <m:t>s</m:t>
              </m:r>
            </m:sub>
          </m:sSub>
          <m:d>
            <m:dPr>
              <m:begChr m:val="["/>
              <m:endChr m:val="]"/>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r>
                <w:rPr>
                  <w:rFonts w:ascii="Cambria Math" w:hAnsi="Cambria Math"/>
                </w:rPr>
                <m:t>δx</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14</m:t>
              </m:r>
            </m:e>
          </m:d>
        </m:oMath>
      </m:oMathPara>
    </w:p>
    <w:p w14:paraId="78662533" w14:textId="77777777" w:rsidR="003D3B95" w:rsidRDefault="00000000" w:rsidP="007B3797">
      <w:pPr>
        <w:pStyle w:val="FirstParagraph"/>
        <w:jc w:val="both"/>
      </w:pPr>
      <w:r>
        <w:t xml:space="preserve">The inclusion </w:t>
      </w:r>
      <m:oMath>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s</m:t>
            </m:r>
          </m:sub>
          <m:sup>
            <m:r>
              <w:rPr>
                <w:rFonts w:ascii="Cambria Math" w:hAnsi="Cambria Math"/>
              </w:rPr>
              <m:t>0</m:t>
            </m:r>
          </m:sup>
        </m:sSubSup>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s</m:t>
            </m:r>
          </m:sub>
          <m:sup>
            <m:r>
              <w:rPr>
                <w:rFonts w:ascii="Cambria Math" w:hAnsi="Cambria Math"/>
              </w:rPr>
              <m:t>1</m:t>
            </m:r>
          </m:sup>
        </m:sSubSup>
      </m:oMath>
      <w:r>
        <w:t xml:space="preserve"> makes the quotient differential well defined. For </w:t>
      </w:r>
      <m:oMath>
        <m:r>
          <w:rPr>
            <w:rFonts w:ascii="Cambria Math" w:hAnsi="Cambria Math"/>
          </w:rPr>
          <m:t>s</m:t>
        </m:r>
        <m:r>
          <m:rPr>
            <m:sty m:val="p"/>
          </m:rPr>
          <w:rPr>
            <w:rFonts w:ascii="Cambria Math" w:hAnsi="Cambria Math"/>
          </w:rPr>
          <m:t>≤</m:t>
        </m:r>
        <m:r>
          <w:rPr>
            <w:rFonts w:ascii="Cambria Math" w:hAnsi="Cambria Math"/>
          </w:rPr>
          <m:t>t</m:t>
        </m:r>
      </m:oMath>
      <w:r>
        <w:t xml:space="preserve">, nested discarded subspaces give canonical quotient maps </w:t>
      </w:r>
      <m:oMath>
        <m:sSubSup>
          <m:sSubSupPr>
            <m:ctrlPr>
              <w:rPr>
                <w:rFonts w:ascii="Cambria Math" w:hAnsi="Cambria Math"/>
              </w:rPr>
            </m:ctrlPr>
          </m:sSubSupPr>
          <m:e>
            <m:r>
              <w:rPr>
                <w:rFonts w:ascii="Cambria Math" w:hAnsi="Cambria Math"/>
              </w:rPr>
              <m:t>q</m:t>
            </m:r>
          </m:e>
          <m:sub>
            <m:r>
              <w:rPr>
                <w:rFonts w:ascii="Cambria Math" w:hAnsi="Cambria Math"/>
              </w:rPr>
              <m:t>st</m:t>
            </m:r>
          </m:sub>
          <m:sup>
            <m:r>
              <w:rPr>
                <w:rFonts w:ascii="Cambria Math" w:hAnsi="Cambria Math"/>
              </w:rPr>
              <m:t>p</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s</m:t>
            </m:r>
          </m:sub>
          <m:sup>
            <m:r>
              <w:rPr>
                <w:rFonts w:ascii="Cambria Math" w:hAnsi="Cambria Math"/>
              </w:rPr>
              <m:t>p</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p</m:t>
            </m:r>
          </m:sup>
        </m:sSubSup>
      </m:oMath>
      <w:r>
        <w:t xml:space="preserve"> satisfying</w:t>
      </w:r>
    </w:p>
    <w:p w14:paraId="01AE19C8" w14:textId="77777777" w:rsidR="003D3B95" w:rsidRDefault="00000000" w:rsidP="007B3797">
      <w:pPr>
        <w:pStyle w:val="BodyText"/>
        <w:keepLines/>
        <w:spacing w:before="100" w:after="140"/>
        <w:jc w:val="both"/>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st</m:t>
              </m:r>
            </m:sub>
            <m:sup>
              <m:r>
                <w:rPr>
                  <w:rFonts w:ascii="Cambria Math" w:hAnsi="Cambria Math"/>
                </w:rPr>
                <m:t>1</m:t>
              </m:r>
            </m:sup>
          </m:sSubSup>
          <m:sSub>
            <m:sSubPr>
              <m:ctrlPr>
                <w:rPr>
                  <w:rFonts w:ascii="Cambria Math" w:hAnsi="Cambria Math"/>
                </w:rPr>
              </m:ctrlPr>
            </m:sSubPr>
            <m:e>
              <m:r>
                <w:rPr>
                  <w:rFonts w:ascii="Cambria Math" w:hAnsi="Cambria Math"/>
                </w:rPr>
                <m:t>δ</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sSubSup>
            <m:sSubSupPr>
              <m:ctrlPr>
                <w:rPr>
                  <w:rFonts w:ascii="Cambria Math" w:hAnsi="Cambria Math"/>
                </w:rPr>
              </m:ctrlPr>
            </m:sSubSupPr>
            <m:e>
              <m:r>
                <w:rPr>
                  <w:rFonts w:ascii="Cambria Math" w:hAnsi="Cambria Math"/>
                </w:rPr>
                <m:t>q</m:t>
              </m:r>
            </m:e>
            <m:sub>
              <m:r>
                <w:rPr>
                  <w:rFonts w:ascii="Cambria Math" w:hAnsi="Cambria Math"/>
                </w:rPr>
                <m:t>st</m:t>
              </m:r>
            </m:sub>
            <m:sup>
              <m:r>
                <w:rPr>
                  <w:rFonts w:ascii="Cambria Math" w:hAnsi="Cambria Math"/>
                </w:rPr>
                <m:t>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tu</m:t>
              </m:r>
            </m:sub>
            <m:sup>
              <m:r>
                <w:rPr>
                  <w:rFonts w:ascii="Cambria Math" w:hAnsi="Cambria Math"/>
                </w:rPr>
                <m:t>p</m:t>
              </m:r>
            </m:sup>
          </m:sSubSup>
          <m:sSubSup>
            <m:sSubSupPr>
              <m:ctrlPr>
                <w:rPr>
                  <w:rFonts w:ascii="Cambria Math" w:hAnsi="Cambria Math"/>
                </w:rPr>
              </m:ctrlPr>
            </m:sSubSupPr>
            <m:e>
              <m:r>
                <w:rPr>
                  <w:rFonts w:ascii="Cambria Math" w:hAnsi="Cambria Math"/>
                </w:rPr>
                <m:t>q</m:t>
              </m:r>
            </m:e>
            <m:sub>
              <m:r>
                <w:rPr>
                  <w:rFonts w:ascii="Cambria Math" w:hAnsi="Cambria Math"/>
                </w:rPr>
                <m:t>st</m:t>
              </m:r>
            </m:sub>
            <m:sup>
              <m:r>
                <w:rPr>
                  <w:rFonts w:ascii="Cambria Math" w:hAnsi="Cambria Math"/>
                </w:rPr>
                <m:t>p</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su</m:t>
              </m:r>
            </m:sub>
            <m:sup>
              <m:r>
                <w:rPr>
                  <w:rFonts w:ascii="Cambria Math" w:hAnsi="Cambria Math"/>
                </w:rPr>
                <m:t>p</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15</m:t>
              </m:r>
            </m:e>
          </m:d>
        </m:oMath>
      </m:oMathPara>
    </w:p>
    <w:p w14:paraId="0F1FB1B3" w14:textId="77777777" w:rsidR="003D3B95" w:rsidRDefault="00000000" w:rsidP="007B3797">
      <w:pPr>
        <w:pStyle w:val="FirstParagraph"/>
        <w:jc w:val="both"/>
      </w:pPr>
      <w:r>
        <w:t>These maps induce an ordinary finite persistence module in each cohomological degree. Their direction is from finer to coarser observation. The quotients are cochain complexes; they are not automatically local cellular sheaves on a quotient graph. Claiming a coarse cellular realization additionally requires a compatible decomposition of the quotient spaces and incidence maps. If that realization fails, report persistence of the observation complexes and do not call it a sheaf on the coarse cortical graph.</w:t>
      </w:r>
    </w:p>
    <w:p w14:paraId="4DF0E1AB" w14:textId="77777777" w:rsidR="003D3B95" w:rsidRDefault="00000000" w:rsidP="007B3797">
      <w:pPr>
        <w:pStyle w:val="BodyText"/>
        <w:jc w:val="both"/>
      </w:pPr>
      <w:r>
        <w:t xml:space="preserve">In the special choice </w:t>
      </w:r>
      <m:oMath>
        <m:sSubSup>
          <m:sSubSupPr>
            <m:ctrlPr>
              <w:rPr>
                <w:rFonts w:ascii="Cambria Math" w:hAnsi="Cambria Math"/>
              </w:rPr>
            </m:ctrlPr>
          </m:sSubSupPr>
          <m:e>
            <m:r>
              <w:rPr>
                <w:rFonts w:ascii="Cambria Math" w:hAnsi="Cambria Math"/>
              </w:rPr>
              <m:t>K</m:t>
            </m:r>
          </m:e>
          <m:sub>
            <m:r>
              <w:rPr>
                <w:rFonts w:ascii="Cambria Math" w:hAnsi="Cambria Math"/>
              </w:rPr>
              <m:t>s</m:t>
            </m:r>
          </m:sub>
          <m:sup>
            <m:r>
              <w:rPr>
                <w:rFonts w:ascii="Cambria Math" w:hAnsi="Cambria Math"/>
              </w:rPr>
              <m:t>1</m:t>
            </m:r>
          </m:sup>
        </m:sSubSup>
        <m:r>
          <m:rPr>
            <m:sty m:val="p"/>
          </m:rPr>
          <w:rPr>
            <w:rFonts w:ascii="Cambria Math" w:hAnsi="Cambria Math"/>
          </w:rPr>
          <m:t>=</m:t>
        </m:r>
        <m:r>
          <w:rPr>
            <w:rFonts w:ascii="Cambria Math" w:hAnsi="Cambria Math"/>
          </w:rPr>
          <m:t>0</m:t>
        </m:r>
      </m:oMath>
      <w:r>
        <w:t xml:space="preserve">, first cohomology remains naturally unchanged because </w:t>
      </w:r>
      <m:oMath>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s</m:t>
            </m:r>
          </m:sub>
          <m:sup>
            <m:r>
              <w:rPr>
                <w:rFonts w:ascii="Cambria Math" w:hAnsi="Cambria Math"/>
              </w:rPr>
              <m:t>0</m:t>
            </m:r>
          </m:sup>
        </m:sSubSup>
      </m:oMath>
      <w:r>
        <w:t xml:space="preserve"> is already contained in </w:t>
      </w:r>
      <m:oMath>
        <m:r>
          <m:rPr>
            <m:sty m:val="p"/>
          </m:rPr>
          <w:rPr>
            <w:rFonts w:ascii="Cambria Math" w:hAnsi="Cambria Math"/>
          </w:rPr>
          <m:t>im</m:t>
        </m:r>
        <m:r>
          <w:rPr>
            <w:rFonts w:ascii="Cambria Math" w:hAnsi="Cambria Math"/>
          </w:rPr>
          <m:t>δ</m:t>
        </m:r>
      </m:oMath>
      <w:r>
        <w:t>. Any observed loss of first-cohomology classes in this construction therefore comes from discarding additional interface information, not from vertex averaging alone. Stating this prevents the analysis from manufacturing an impressive but tautological stability result.</w:t>
      </w:r>
    </w:p>
    <w:p w14:paraId="2D0E2C19" w14:textId="77777777" w:rsidR="003D3B95" w:rsidRDefault="00000000" w:rsidP="007B3797">
      <w:pPr>
        <w:pStyle w:val="BodyText"/>
        <w:jc w:val="both"/>
      </w:pPr>
      <w:r>
        <w:t>For nested observed subgraphs, an alternative is restriction of cochains from the larger graph to the smaller one; these projections commute with coboundary and produce cohomology maps in the reverse direction. Non-nested observations can be linked through specified common complexes and analyzed with zigzag persistence [13]. Both approaches require actual maps, not a plot of Betti numbers obtained from unrelated fits.</w:t>
      </w:r>
    </w:p>
    <w:p w14:paraId="13BE7FCB" w14:textId="77777777" w:rsidR="003D3B95" w:rsidRDefault="00000000" w:rsidP="007B3797">
      <w:pPr>
        <w:pStyle w:val="BodyText"/>
        <w:jc w:val="both"/>
      </w:pPr>
      <w:r>
        <w:t>Persistence here is a descriptor of a declared observation sequence. Stability under sampling noise is assessed by repeated subsampling and by perturbing the independently estimated maps within their uncertainty. A bottleneck or interleaving stability theorem needs its own hypotheses and perturbation metric; none is asserted for arbitrary learned maps or rank thresholds. A long-lived class supports reproducibility at the sampled scales, not the universal biological status of the microcolumn.</w:t>
      </w:r>
    </w:p>
    <w:p w14:paraId="0E3957E1" w14:textId="77777777" w:rsidR="003D3B95" w:rsidRDefault="00000000" w:rsidP="007B3797">
      <w:pPr>
        <w:pStyle w:val="Heading1"/>
        <w:jc w:val="both"/>
      </w:pPr>
      <w:bookmarkStart w:id="34" w:name="implications-for-artificial-memory"/>
      <w:bookmarkEnd w:id="33"/>
      <w:r>
        <w:t>11 Implications for artificial memory</w:t>
      </w:r>
    </w:p>
    <w:p w14:paraId="48ED1101" w14:textId="77777777" w:rsidR="003D3B95" w:rsidRDefault="00000000" w:rsidP="007B3797">
      <w:pPr>
        <w:pStyle w:val="Heading2"/>
        <w:jc w:val="both"/>
      </w:pPr>
      <w:bookmarkStart w:id="35" w:name="X95e8b1868c0055ade317d7950c8ea16eb049ed9"/>
      <w:r>
        <w:t>11.1 What is transferred from the cortical hypothesis</w:t>
      </w:r>
    </w:p>
    <w:p w14:paraId="49B22B07" w14:textId="77777777" w:rsidR="003D3B95" w:rsidRDefault="00000000" w:rsidP="007B3797">
      <w:pPr>
        <w:pStyle w:val="FirstParagraph"/>
        <w:jc w:val="both"/>
      </w:pPr>
      <w:r>
        <w:t>The artificial implementation uses the same separation between a fixed within-episode compatibility operator and adjustable positive weights. A cue encoder creates the initial state, a recurrent solver reduces incompatibility, and a fixed task readout evaluates the result. A memory-writing or consolidation step may update the restrictions between episodes. The resulting change of section space is then an explicit representation change, not an instance of the invariance theorem.</w:t>
      </w:r>
    </w:p>
    <w:p w14:paraId="53299950" w14:textId="77777777" w:rsidR="003D3B95" w:rsidRDefault="00000000" w:rsidP="007B3797">
      <w:pPr>
        <w:pStyle w:val="BodyText"/>
        <w:jc w:val="both"/>
      </w:pPr>
      <w:r>
        <w:t>Restriction maps in an engineered system should be derived from specified feature interfaces or from calibrated Jacobians of identified model operations. Positional rotations, key and value projections, and residual updates can motivate candidate interfaces, but none is automatically a sheaf restriction. The same train/calibration/test split used in the biological protocol must establish whether the chosen maps predict intervention effects. Learning maps is not mathematically illegitimate; claiming an identifiable physical or computational mechanism from an unconstrained fit is the unsupported step.</w:t>
      </w:r>
    </w:p>
    <w:p w14:paraId="7DEB6FDF" w14:textId="77777777" w:rsidR="003D3B95" w:rsidRDefault="00000000" w:rsidP="007B3797">
      <w:pPr>
        <w:pStyle w:val="BodyText"/>
        <w:jc w:val="both"/>
      </w:pPr>
      <w:r>
        <w:t>For transformer-derived features, holonomy alone is not a sufficient measure of context independence. A channel can be invisible to all chosen transports while still changing the prediction. A context test must therefore combine registered route mismatch with a held-out functional criterion, such as a bounded change in attention output or predictive divergence. Context sets and the permissible error are fixed before measuring apparent improvement through training or consolidation.</w:t>
      </w:r>
    </w:p>
    <w:p w14:paraId="4C2FA7BC" w14:textId="77777777" w:rsidR="003D3B95" w:rsidRDefault="00000000" w:rsidP="007B3797">
      <w:pPr>
        <w:pStyle w:val="Heading2"/>
        <w:jc w:val="both"/>
      </w:pPr>
      <w:bookmarkStart w:id="36" w:name="X913d1980f222d74510b6098cf65765bf8ca4ec1"/>
      <w:bookmarkEnd w:id="35"/>
      <w:r>
        <w:lastRenderedPageBreak/>
        <w:t>11.2 Spectral predictions and their normalization</w:t>
      </w:r>
    </w:p>
    <w:p w14:paraId="5B42BC86" w14:textId="77777777" w:rsidR="003D3B95" w:rsidRDefault="00000000" w:rsidP="007B3797">
      <w:pPr>
        <w:pStyle w:val="FirstParagraph"/>
        <w:jc w:val="both"/>
      </w:pPr>
      <w:r>
        <w:t xml:space="preserve">For clamped boundary states </w:t>
      </w:r>
      <m:oMath>
        <m:sSub>
          <m:sSubPr>
            <m:ctrlPr>
              <w:rPr>
                <w:rFonts w:ascii="Cambria Math" w:hAnsi="Cambria Math"/>
              </w:rPr>
            </m:ctrlPr>
          </m:sSubPr>
          <m:e>
            <m:r>
              <w:rPr>
                <w:rFonts w:ascii="Cambria Math" w:hAnsi="Cambria Math"/>
              </w:rPr>
              <m:t>x</m:t>
            </m:r>
          </m:e>
          <m:sub>
            <m:r>
              <w:rPr>
                <w:rFonts w:ascii="Cambria Math" w:hAnsi="Cambria Math"/>
              </w:rPr>
              <m:t>A</m:t>
            </m:r>
          </m:sub>
        </m:sSub>
      </m:oMath>
      <w:r>
        <w:t xml:space="preserve">, free states </w:t>
      </w:r>
      <m:oMath>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solve a Dirichlet system</w:t>
      </w:r>
    </w:p>
    <w:p w14:paraId="2A4749BB" w14:textId="77777777" w:rsidR="003D3B95" w:rsidRDefault="00000000" w:rsidP="007B3797">
      <w:pPr>
        <w:pStyle w:val="BodyText"/>
        <w:keepLines/>
        <w:spacing w:before="100" w:after="140"/>
        <w:jc w:val="both"/>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BB</m:t>
              </m:r>
            </m:sub>
          </m:sSub>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BA</m:t>
              </m:r>
            </m:sub>
          </m:sSub>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16</m:t>
              </m:r>
            </m:e>
          </m:d>
        </m:oMath>
      </m:oMathPara>
    </w:p>
    <w:p w14:paraId="0BE457BD" w14:textId="77777777" w:rsidR="003D3B95" w:rsidRDefault="00000000" w:rsidP="007B3797">
      <w:pPr>
        <w:pStyle w:val="FirstParagraph"/>
        <w:jc w:val="both"/>
      </w:pPr>
      <w:r>
        <w:t xml:space="preserve">A unique solution requires positive definiteness of </w:t>
      </w:r>
      <m:oMath>
        <m:sSub>
          <m:sSubPr>
            <m:ctrlPr>
              <w:rPr>
                <w:rFonts w:ascii="Cambria Math" w:hAnsi="Cambria Math"/>
              </w:rPr>
            </m:ctrlPr>
          </m:sSubPr>
          <m:e>
            <m:r>
              <w:rPr>
                <w:rFonts w:ascii="Cambria Math" w:hAnsi="Cambria Math"/>
              </w:rPr>
              <m:t>L</m:t>
            </m:r>
          </m:e>
          <m:sub>
            <m:r>
              <w:rPr>
                <w:rFonts w:ascii="Cambria Math" w:hAnsi="Cambria Math"/>
              </w:rPr>
              <m:t>BB</m:t>
            </m:r>
          </m:sub>
        </m:sSub>
      </m:oMath>
      <w:r>
        <w:t>, equivalently the absence of a nonzero global section supported entirely on the free vertices. Connectivity of the underlying graph is insufficient for a general sheaf. When this condition fails, report ambiguity or add an explicitly declared regularizer; the regularizer changes the inference problem.</w:t>
      </w:r>
    </w:p>
    <w:p w14:paraId="5206A81A" w14:textId="77777777" w:rsidR="003D3B95" w:rsidRDefault="00000000" w:rsidP="007B3797">
      <w:pPr>
        <w:pStyle w:val="BodyText"/>
        <w:jc w:val="both"/>
      </w:pPr>
      <w:r>
        <w:t xml:space="preserve">The smallest Dirichlet eigenvalue controls sensitivity to perturbations of the system, but it does not directly determine a confabulation rate. A predictive experiment compares a normalized gap, cue similarity, cue consistency, task difficulty, and an estimated noise level. One useful scale control divides the smallest eigenvalue by the mean eigenvalue of </w:t>
      </w:r>
      <m:oMath>
        <m:sSub>
          <m:sSubPr>
            <m:ctrlPr>
              <w:rPr>
                <w:rFonts w:ascii="Cambria Math" w:hAnsi="Cambria Math"/>
              </w:rPr>
            </m:ctrlPr>
          </m:sSubPr>
          <m:e>
            <m:r>
              <w:rPr>
                <w:rFonts w:ascii="Cambria Math" w:hAnsi="Cambria Math"/>
              </w:rPr>
              <m:t>L</m:t>
            </m:r>
          </m:e>
          <m:sub>
            <m:r>
              <w:rPr>
                <w:rFonts w:ascii="Cambria Math" w:hAnsi="Cambria Math"/>
              </w:rPr>
              <m:t>BB</m:t>
            </m:r>
          </m:sub>
        </m:sSub>
      </m:oMath>
      <w:r>
        <w:t>. Evaluate incremental predictive value on held-out tasks, rather than comparing correlations in the fitting sample. Failure to improve on cue similarity and conventional uncertainty measures rejects this spectral feature as an operational advantage for that task.</w:t>
      </w:r>
    </w:p>
    <w:p w14:paraId="646BE15C" w14:textId="77777777" w:rsidR="003D3B95" w:rsidRDefault="00000000" w:rsidP="007B3797">
      <w:pPr>
        <w:pStyle w:val="Heading2"/>
        <w:jc w:val="both"/>
      </w:pPr>
      <w:bookmarkStart w:id="37" w:name="computational-admission-criteria"/>
      <w:bookmarkEnd w:id="36"/>
      <w:r>
        <w:t>11.3 Computational admission criteria</w:t>
      </w:r>
    </w:p>
    <w:p w14:paraId="19B16030" w14:textId="77777777" w:rsidR="003D3B95" w:rsidRDefault="00000000" w:rsidP="007B3797">
      <w:pPr>
        <w:pStyle w:val="FirstParagraph"/>
        <w:jc w:val="both"/>
      </w:pPr>
      <w:r>
        <w:t xml:space="preserve">Let </w:t>
      </w:r>
      <m:oMath>
        <m:r>
          <w:rPr>
            <w:rFonts w:ascii="Cambria Math" w:hAnsi="Cambria Math"/>
          </w:rPr>
          <m:t>n</m:t>
        </m:r>
      </m:oMath>
      <w:r>
        <w:t xml:space="preserve"> be the number of vertex stalks, </w:t>
      </w:r>
      <m:oMath>
        <m:r>
          <w:rPr>
            <w:rFonts w:ascii="Cambria Math" w:hAnsi="Cambria Math"/>
          </w:rPr>
          <m:t>m</m:t>
        </m:r>
      </m:oMath>
      <w:r>
        <w:t xml:space="preserve"> the number of interfaces, </w:t>
      </w:r>
      <m:oMath>
        <m:r>
          <w:rPr>
            <w:rFonts w:ascii="Cambria Math" w:hAnsi="Cambria Math"/>
          </w:rPr>
          <m:t>d</m:t>
        </m:r>
      </m:oMath>
      <w:r>
        <w:t xml:space="preserve"> a typical stalk dimension, and </w:t>
      </w:r>
      <m:oMath>
        <m:r>
          <w:rPr>
            <w:rFonts w:ascii="Cambria Math" w:hAnsi="Cambria Math"/>
          </w:rPr>
          <m:t>r</m:t>
        </m:r>
      </m:oMath>
      <w:r>
        <w:t xml:space="preserve"> a typical interface rank. A matrix-free application of restrictions and their transposes costs approximately </w:t>
      </w:r>
      <m:oMath>
        <m:r>
          <w:rPr>
            <w:rFonts w:ascii="Cambria Math" w:hAnsi="Cambria Math"/>
          </w:rPr>
          <m:t>O</m:t>
        </m:r>
        <m:d>
          <m:dPr>
            <m:ctrlPr>
              <w:rPr>
                <w:rFonts w:ascii="Cambria Math" w:hAnsi="Cambria Math"/>
              </w:rPr>
            </m:ctrlPr>
          </m:dPr>
          <m:e>
            <m:r>
              <w:rPr>
                <w:rFonts w:ascii="Cambria Math" w:hAnsi="Cambria Math"/>
              </w:rPr>
              <m:t>mrd</m:t>
            </m:r>
          </m:e>
        </m:d>
      </m:oMath>
      <w:r>
        <w:t xml:space="preserve"> with dense endpoint-to-interface maps; it becomes </w:t>
      </w:r>
      <m:oMath>
        <m:r>
          <w:rPr>
            <w:rFonts w:ascii="Cambria Math" w:hAnsi="Cambria Math"/>
          </w:rPr>
          <m:t>O</m:t>
        </m:r>
        <m:d>
          <m:dPr>
            <m:ctrlPr>
              <w:rPr>
                <w:rFonts w:ascii="Cambria Math" w:hAnsi="Cambria Math"/>
              </w:rPr>
            </m:ctrlPr>
          </m:dPr>
          <m:e>
            <m:r>
              <w:rPr>
                <w:rFonts w:ascii="Cambria Math" w:hAnsi="Cambria Math"/>
              </w:rPr>
              <m:t>m</m:t>
            </m:r>
            <m:sSup>
              <m:sSupPr>
                <m:ctrlPr>
                  <w:rPr>
                    <w:rFonts w:ascii="Cambria Math" w:hAnsi="Cambria Math"/>
                  </w:rPr>
                </m:ctrlPr>
              </m:sSupPr>
              <m:e>
                <m:r>
                  <w:rPr>
                    <w:rFonts w:ascii="Cambria Math" w:hAnsi="Cambria Math"/>
                  </w:rPr>
                  <m:t>d</m:t>
                </m:r>
              </m:e>
              <m:sup>
                <m:r>
                  <w:rPr>
                    <w:rFonts w:ascii="Cambria Math" w:hAnsi="Cambria Math"/>
                  </w:rPr>
                  <m:t>2</m:t>
                </m:r>
              </m:sup>
            </m:sSup>
          </m:e>
        </m:d>
      </m:oMath>
      <w:r>
        <w:t xml:space="preserve"> when </w:t>
      </w:r>
      <m:oMath>
        <m:r>
          <w:rPr>
            <w:rFonts w:ascii="Cambria Math" w:hAnsi="Cambria Math"/>
          </w:rPr>
          <m:t>r</m:t>
        </m:r>
        <m:r>
          <m:rPr>
            <m:sty m:val="p"/>
          </m:rPr>
          <w:rPr>
            <w:rFonts w:ascii="Cambria Math" w:hAnsi="Cambria Math"/>
          </w:rPr>
          <m:t>=</m:t>
        </m:r>
        <m:r>
          <w:rPr>
            <w:rFonts w:ascii="Cambria Math" w:hAnsi="Cambria Math"/>
          </w:rPr>
          <m:t>d</m:t>
        </m:r>
      </m:oMath>
      <w:r>
        <w:t xml:space="preserve">. Diagonal interface weighting avoids an additional dense </w:t>
      </w:r>
      <m:oMath>
        <m:r>
          <w:rPr>
            <w:rFonts w:ascii="Cambria Math" w:hAnsi="Cambria Math"/>
          </w:rPr>
          <m:t>O</m:t>
        </m:r>
        <m:d>
          <m:dPr>
            <m:ctrlPr>
              <w:rPr>
                <w:rFonts w:ascii="Cambria Math" w:hAnsi="Cambria Math"/>
              </w:rPr>
            </m:ctrlPr>
          </m:dPr>
          <m:e>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2</m:t>
                </m:r>
              </m:sup>
            </m:sSup>
          </m:e>
        </m:d>
      </m:oMath>
      <w:r>
        <w:t xml:space="preserve"> term. A solver taking </w:t>
      </w:r>
      <m:oMath>
        <m:r>
          <w:rPr>
            <w:rFonts w:ascii="Cambria Math" w:hAnsi="Cambria Math"/>
          </w:rPr>
          <m:t>k</m:t>
        </m:r>
      </m:oMath>
      <w:r>
        <w:t xml:space="preserve"> iterations therefore has propagation work of order </w:t>
      </w:r>
      <m:oMath>
        <m:r>
          <w:rPr>
            <w:rFonts w:ascii="Cambria Math" w:hAnsi="Cambria Math"/>
          </w:rPr>
          <m:t>O</m:t>
        </m:r>
        <m:d>
          <m:dPr>
            <m:ctrlPr>
              <w:rPr>
                <w:rFonts w:ascii="Cambria Math" w:hAnsi="Cambria Math"/>
              </w:rPr>
            </m:ctrlPr>
          </m:dPr>
          <m:e>
            <m:r>
              <w:rPr>
                <w:rFonts w:ascii="Cambria Math" w:hAnsi="Cambria Math"/>
              </w:rPr>
              <m:t>kmrd</m:t>
            </m:r>
          </m:e>
        </m:d>
      </m:oMath>
      <w:r>
        <w:t>, plus cue encoding, map construction, preconditioning, and readout. These additional costs are included in the benchmark.</w:t>
      </w:r>
    </w:p>
    <w:p w14:paraId="44C3DC24" w14:textId="77777777" w:rsidR="003D3B95" w:rsidRDefault="00000000" w:rsidP="007B3797">
      <w:pPr>
        <w:pStyle w:val="BodyText"/>
        <w:jc w:val="both"/>
      </w:pPr>
      <w:r>
        <w:t>Compare end-to-end wall time, peak memory, energy where measurable, and task error against rerunning the recurrent backbone, a scalar diffusion baseline, and a matched block-linear solver. Hardware, numerical precision, batch size, stopping rule, and accuracy tolerance must be identical or explicitly accounted for. A quoted two-GFLOP recurrent decode is an architecture-specific comparator, not a universal baseline. No speedup is claimed from the small calculations in Section 5.</w:t>
      </w:r>
    </w:p>
    <w:p w14:paraId="28E12E97" w14:textId="77777777" w:rsidR="003D3B95" w:rsidRDefault="00000000" w:rsidP="007B3797">
      <w:pPr>
        <w:pStyle w:val="BodyText"/>
        <w:jc w:val="both"/>
      </w:pPr>
      <w:r>
        <w:t>The architecture is useful only when its interface structure yields better predictions, lower cost at matched accuracy, or an independently valuable diagnostic. If ordinary recomputation is faster and equally accurate, the memory implementation has not established an advantage. This criterion is the same for the mathematical interpretation of cortex: added structure must explain an intervention that a simpler model does not.</w:t>
      </w:r>
    </w:p>
    <w:p w14:paraId="61C524B4" w14:textId="77777777" w:rsidR="003D3B95" w:rsidRDefault="00000000" w:rsidP="007B3797">
      <w:pPr>
        <w:pStyle w:val="Heading1"/>
        <w:jc w:val="both"/>
      </w:pPr>
      <w:bookmarkStart w:id="38" w:name="discussion-and-conclusion"/>
      <w:bookmarkEnd w:id="34"/>
      <w:bookmarkEnd w:id="37"/>
      <w:r>
        <w:t>12 Discussion and conclusion</w:t>
      </w:r>
    </w:p>
    <w:p w14:paraId="631E0307" w14:textId="77777777" w:rsidR="003D3B95" w:rsidRDefault="00000000" w:rsidP="007B3797">
      <w:pPr>
        <w:pStyle w:val="FirstParagraph"/>
        <w:jc w:val="both"/>
      </w:pPr>
      <w:r>
        <w:t>The RCS proposal makes a concrete distinction between changing a compatibility relation and changing the strength of its enforcement. The distinction leads to an exact result for a restricted but explicit recurrent operation, and to an experiment whose central negative outcome is interpretable. It does not turn any anatomically plausible network into confirming evidence.</w:t>
      </w:r>
    </w:p>
    <w:p w14:paraId="11670421" w14:textId="77777777" w:rsidR="003D3B95" w:rsidRDefault="00000000" w:rsidP="007B3797">
      <w:pPr>
        <w:pStyle w:val="BodyText"/>
        <w:jc w:val="both"/>
      </w:pPr>
      <w:r>
        <w:t>The natural object in this paper is the cortical communication graph equipped with layer-resolved stalks. The vertical structure is an operator algebra. Its optional residual-complex extension introduces further measured identities rather than relabelling the anatomical cascade a differential. Recurrent computation is iterative state relaxation and is logically separate from cycles in the base. These choices resolve the scale and recurrence ambiguities without claiming that individual microcircuits lack feedback or topological structure.</w:t>
      </w:r>
    </w:p>
    <w:p w14:paraId="38161EA3" w14:textId="77777777" w:rsidR="003D3B95" w:rsidRDefault="00000000" w:rsidP="007B3797">
      <w:pPr>
        <w:pStyle w:val="BodyText"/>
        <w:jc w:val="both"/>
      </w:pPr>
      <w:r>
        <w:lastRenderedPageBreak/>
        <w:t>The strongest existing physiological support is the partial dissociation between gain and orientation tuning. The strongest prospective discriminator is an independently calibrated, feature-selective response to an unseen perturbation. Neither result alone demonstrates a cellular-sheaf mechanism. The comparison must also rule out scalar coupling in a matched feature space and assess whether a conventional block dynamical model explains the same data just as well.</w:t>
      </w:r>
    </w:p>
    <w:p w14:paraId="43A212FB" w14:textId="77777777" w:rsidR="003D3B95" w:rsidRDefault="00000000" w:rsidP="007B3797">
      <w:pPr>
        <w:pStyle w:val="BodyText"/>
        <w:jc w:val="both"/>
      </w:pPr>
      <w:r>
        <w:t>Several limits remain substantive. Effective cortical dynamics may be asymmetric, nonlinear, delayed, or state dependent. Supposed modulators may alter the encoded cue, the feature maps, or the observation metric. A low-dimensional orientation code may remain stable while other information changes. Rank estimates may be too uncertain for meaningful cohomology. A persistence profile may reflect the measurement protocol more strongly than the tissue. Each limitation corresponds to a measurable failure of the proposed instantiation or to a separately identified extension; none is treated as a reason to move the acceptance criterion after the experiment.</w:t>
      </w:r>
    </w:p>
    <w:p w14:paraId="3BBEF0C4" w14:textId="77777777" w:rsidR="003D3B95" w:rsidRDefault="00000000" w:rsidP="007B3797">
      <w:pPr>
        <w:pStyle w:val="BodyText"/>
        <w:jc w:val="both"/>
      </w:pPr>
      <w:r>
        <w:t>The immediate scientific claim is specific: within the declared visual-cortical regime, L6 modulation changes gain and relaxation while preserving the calibrated orientation representation, and edge-specific compatibility maps predict the feature consequences of driver perturbation beyond matched scalar coupling. Positive reweighting explains invariant endpoints only for the stated dynamics. Establishing these two empirical claims together would justify further study of cortical integration as a recurrent cellular sheaf; rejecting them would delimit or refute this implementation.</w:t>
      </w:r>
    </w:p>
    <w:p w14:paraId="272750EB" w14:textId="77777777" w:rsidR="003D3B95" w:rsidRDefault="00000000" w:rsidP="007B3797">
      <w:pPr>
        <w:pStyle w:val="Heading1"/>
        <w:jc w:val="both"/>
      </w:pPr>
      <w:bookmarkStart w:id="39" w:name="X429c92edde7c44ea2ab9d70c66d1accbf13e90d"/>
      <w:bookmarkEnd w:id="38"/>
      <w:r>
        <w:t>Appendix A Projection with a changed mobility</w:t>
      </w:r>
    </w:p>
    <w:p w14:paraId="2A580650" w14:textId="77777777" w:rsidR="003D3B95" w:rsidRDefault="00000000" w:rsidP="007B3797">
      <w:pPr>
        <w:pStyle w:val="FirstParagraph"/>
        <w:jc w:val="both"/>
      </w:pPr>
      <w:r>
        <w:t xml:space="preserve">For two scalar vertices, let </w:t>
      </w:r>
      <m:oMath>
        <m:r>
          <w:rPr>
            <w:rFonts w:ascii="Cambria Math" w:hAnsi="Cambria Math"/>
          </w:rPr>
          <m:t>δ</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and </w:t>
      </w:r>
      <m:oMath>
        <m:r>
          <w:rPr>
            <w:rFonts w:ascii="Cambria Math" w:hAnsi="Cambria Math"/>
          </w:rPr>
          <m:t>M</m:t>
        </m:r>
        <m:r>
          <m:rPr>
            <m:sty m:val="p"/>
          </m:rP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e>
        </m:d>
      </m:oMath>
      <w:r>
        <w:t xml:space="preserve"> with positive entries. The evolution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δ</m:t>
            </m:r>
          </m:e>
          <m:sup>
            <m:r>
              <w:rPr>
                <w:rFonts w:ascii="Cambria Math" w:hAnsi="Cambria Math"/>
              </w:rPr>
              <m:t>T</m:t>
            </m:r>
          </m:sup>
        </m:sSup>
        <m:r>
          <w:rPr>
            <w:rFonts w:ascii="Cambria Math" w:hAnsi="Cambria Math"/>
          </w:rPr>
          <m:t>δx</m:t>
        </m:r>
      </m:oMath>
      <w:r>
        <w:t xml:space="preserve"> preserves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and converges to a consensus </w:t>
      </w:r>
      <m:oMath>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c</m:t>
            </m:r>
          </m:e>
        </m:d>
      </m:oMath>
      <w:r>
        <w:t>, where</w:t>
      </w:r>
    </w:p>
    <w:p w14:paraId="0DF6F4B8" w14:textId="77777777" w:rsidR="003D3B95" w:rsidRDefault="00000000" w:rsidP="007B3797">
      <w:pPr>
        <w:pStyle w:val="BodyText"/>
        <w:keepLines/>
        <w:spacing w:before="100" w:after="140"/>
        <w:jc w:val="both"/>
      </w:pPr>
      <m:oMathPara>
        <m:oMathParaPr>
          <m:jc m:val="center"/>
        </m:oMathParaPr>
        <m:oMath>
          <m:r>
            <w:rPr>
              <w:rFonts w:ascii="Cambria Math" w:hAnsi="Cambria Math"/>
            </w:rPr>
            <m:t>c</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A1</m:t>
              </m:r>
            </m:e>
          </m:d>
        </m:oMath>
      </m:oMathPara>
    </w:p>
    <w:p w14:paraId="5616FF86" w14:textId="77777777" w:rsidR="003D3B95" w:rsidRDefault="00000000" w:rsidP="007B3797">
      <w:pPr>
        <w:pStyle w:val="FirstParagraph"/>
        <w:jc w:val="both"/>
      </w:pPr>
      <w:r>
        <w:t xml:space="preserve">With initial state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the endpoint is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when </w:t>
      </w:r>
      <m:oMath>
        <m:r>
          <w:rPr>
            <w:rFonts w:ascii="Cambria Math" w:hAnsi="Cambria Math"/>
          </w:rPr>
          <m:t>M</m:t>
        </m:r>
        <m:r>
          <m:rPr>
            <m:sty m:val="p"/>
          </m:rPr>
          <w:rPr>
            <w:rFonts w:ascii="Cambria Math" w:hAnsi="Cambria Math"/>
          </w:rPr>
          <m:t>=</m:t>
        </m:r>
        <m:r>
          <w:rPr>
            <w:rFonts w:ascii="Cambria Math" w:hAnsi="Cambria Math"/>
          </w:rPr>
          <m:t>I</m:t>
        </m:r>
      </m:oMath>
      <w:r>
        <w:t xml:space="preserve">, but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oMath>
      <w:r>
        <w:t xml:space="preserve"> when </w:t>
      </w:r>
      <m:oMath>
        <m:r>
          <w:rPr>
            <w:rFonts w:ascii="Cambria Math" w:hAnsi="Cambria Math"/>
          </w:rPr>
          <m:t>M</m:t>
        </m:r>
        <m:r>
          <m:rPr>
            <m:sty m:val="p"/>
          </m:rPr>
          <w:rPr>
            <w:rFonts w:ascii="Cambria Math" w:hAnsi="Cambria Math"/>
          </w:rPr>
          <m:t>=diag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The section space is unchanged in both cases. This proves by example that preservation of </w:t>
      </w:r>
      <m:oMath>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does not guarantee preservation of the selected section under a changed state mobility.</w:t>
      </w:r>
    </w:p>
    <w:p w14:paraId="4B5598DC" w14:textId="77777777" w:rsidR="003D3B95" w:rsidRDefault="00000000" w:rsidP="007B3797">
      <w:pPr>
        <w:pStyle w:val="BodyText"/>
        <w:jc w:val="both"/>
      </w:pPr>
      <w:r>
        <w:t xml:space="preserve">Time-dependent positive weights are different. With a fixed </w:t>
      </w:r>
      <m:oMath>
        <m:r>
          <w:rPr>
            <w:rFonts w:ascii="Cambria Math" w:hAnsi="Cambria Math"/>
          </w:rPr>
          <m:t>δ</m:t>
        </m:r>
      </m:oMath>
      <w:r>
        <w:t xml:space="preserve">, fixed Euclidean state metric, and uniformly bounded weights </w:t>
      </w:r>
      <m:oMath>
        <m:r>
          <w:rPr>
            <w:rFonts w:ascii="Cambria Math" w:hAnsi="Cambria Math"/>
          </w:rPr>
          <m:t>mI</m:t>
        </m:r>
        <m:r>
          <m:rPr>
            <m:sty m:val="p"/>
          </m:rPr>
          <w:rPr>
            <w:rFonts w:ascii="Cambria Math" w:hAnsi="Cambria Math"/>
          </w:rPr>
          <m:t>≼</m:t>
        </m:r>
        <m:r>
          <w:rPr>
            <w:rFonts w:ascii="Cambria Math" w:hAnsi="Cambria Math"/>
          </w:rPr>
          <m:t>W</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MI</m:t>
        </m:r>
      </m:oMath>
      <w:r>
        <w:t xml:space="preserve"> for constants </w:t>
      </w:r>
      <m:oMath>
        <m:r>
          <w:rPr>
            <w:rFonts w:ascii="Cambria Math" w:hAnsi="Cambria Math"/>
          </w:rPr>
          <m:t>0</m:t>
        </m:r>
        <m:r>
          <m:rPr>
            <m:sty m:val="p"/>
          </m:rPr>
          <w:rPr>
            <w:rFonts w:ascii="Cambria Math" w:hAnsi="Cambria Math"/>
          </w:rPr>
          <m:t>&lt;</m:t>
        </m:r>
        <m:r>
          <w:rPr>
            <w:rFonts w:ascii="Cambria Math" w:hAnsi="Cambria Math"/>
          </w:rPr>
          <m:t>m</m:t>
        </m:r>
        <m:r>
          <m:rPr>
            <m:sty m:val="p"/>
          </m:rPr>
          <w:rPr>
            <w:rFonts w:ascii="Cambria Math" w:hAnsi="Cambria Math"/>
          </w:rPr>
          <m:t>≤</m:t>
        </m:r>
        <m:r>
          <w:rPr>
            <w:rFonts w:ascii="Cambria Math" w:hAnsi="Cambria Math"/>
          </w:rPr>
          <m:t>M</m:t>
        </m:r>
      </m:oMath>
      <w:r>
        <w:t xml:space="preserve">, the continuous-time equation retains </w:t>
      </w:r>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x</m:t>
        </m:r>
        <m:d>
          <m:dPr>
            <m:ctrlPr>
              <w:rPr>
                <w:rFonts w:ascii="Cambria Math" w:hAnsi="Cambria Math"/>
              </w:rPr>
            </m:ctrlPr>
          </m:dPr>
          <m:e>
            <m:r>
              <w:rPr>
                <w:rFonts w:ascii="Cambria Math" w:hAnsi="Cambria Math"/>
              </w:rPr>
              <m:t>0</m:t>
            </m:r>
          </m:e>
        </m:d>
      </m:oMath>
      <w:r>
        <w:t xml:space="preserve">. On the orthogonal complement, the energy estimate using </w:t>
      </w:r>
      <m:oMath>
        <m:r>
          <w:rPr>
            <w:rFonts w:ascii="Cambria Math" w:hAnsi="Cambria Math"/>
          </w:rPr>
          <m:t>m</m:t>
        </m:r>
        <m:sSup>
          <m:sSupPr>
            <m:ctrlPr>
              <w:rPr>
                <w:rFonts w:ascii="Cambria Math" w:hAnsi="Cambria Math"/>
              </w:rPr>
            </m:ctrlPr>
          </m:sSupPr>
          <m:e>
            <m:r>
              <w:rPr>
                <w:rFonts w:ascii="Cambria Math" w:hAnsi="Cambria Math"/>
              </w:rPr>
              <m:t>δ</m:t>
            </m:r>
          </m:e>
          <m:sup>
            <m:r>
              <w:rPr>
                <w:rFonts w:ascii="Cambria Math" w:hAnsi="Cambria Math"/>
              </w:rPr>
              <m:t>T</m:t>
            </m:r>
          </m:sup>
        </m:sSup>
        <m:r>
          <w:rPr>
            <w:rFonts w:ascii="Cambria Math" w:hAnsi="Cambria Math"/>
          </w:rPr>
          <m:t>δ</m:t>
        </m:r>
      </m:oMath>
      <w:r>
        <w:t xml:space="preserve"> gives exponential convergence. Thus the endpoint remains </w:t>
      </w:r>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x</m:t>
        </m:r>
        <m:d>
          <m:dPr>
            <m:ctrlPr>
              <w:rPr>
                <w:rFonts w:ascii="Cambria Math" w:hAnsi="Cambria Math"/>
              </w:rPr>
            </m:ctrlPr>
          </m:dPr>
          <m:e>
            <m:r>
              <w:rPr>
                <w:rFonts w:ascii="Cambria Math" w:hAnsi="Cambria Math"/>
              </w:rPr>
              <m:t>0</m:t>
            </m:r>
          </m:e>
        </m:d>
      </m:oMath>
      <w:r>
        <w:t xml:space="preserve"> even though the weights vary. Uniform positivity matters: an edge weight that decays too rapidly can leave a residual disagreement over an infinite time interval. This is variation of the metric on a fixed sheaf, not automatically a time-varying sheaf.</w:t>
      </w:r>
    </w:p>
    <w:p w14:paraId="2DD62051" w14:textId="77777777" w:rsidR="003D3B95" w:rsidRDefault="00000000" w:rsidP="007B3797">
      <w:pPr>
        <w:pStyle w:val="Heading1"/>
        <w:jc w:val="both"/>
      </w:pPr>
      <w:bookmarkStart w:id="40" w:name="Xc9615564caa134cec813526c166a6186c5e51a2"/>
      <w:bookmarkEnd w:id="39"/>
      <w:r>
        <w:t>Appendix B A minimal double-complex example</w:t>
      </w:r>
    </w:p>
    <w:p w14:paraId="0AA28897" w14:textId="77777777" w:rsidR="003D3B95" w:rsidRDefault="00000000" w:rsidP="007B3797">
      <w:pPr>
        <w:pStyle w:val="FirstParagraph"/>
        <w:jc w:val="both"/>
      </w:pPr>
      <w:r>
        <w:t xml:space="preserve">Take a connected graph with one independent cycle. At every vertex and edge set </w:t>
      </w:r>
      <m:oMath>
        <m:sSup>
          <m:sSupPr>
            <m:ctrlPr>
              <w:rPr>
                <w:rFonts w:ascii="Cambria Math" w:hAnsi="Cambria Math"/>
              </w:rPr>
            </m:ctrlPr>
          </m:sSupPr>
          <m:e>
            <m:r>
              <w:rPr>
                <w:rFonts w:ascii="Cambria Math" w:hAnsi="Cambria Math"/>
              </w:rPr>
              <m:t>K</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with the vertical differential </w:t>
      </w:r>
      <m:oMath>
        <m:r>
          <w:rPr>
            <w:rFonts w:ascii="Cambria Math" w:hAnsi="Cambria Math"/>
          </w:rPr>
          <m:t>d</m:t>
        </m:r>
        <m:r>
          <m:rPr>
            <m:sty m:val="p"/>
          </m:rPr>
          <w:rPr>
            <w:rFonts w:ascii="Cambria Math" w:hAnsi="Cambria Math"/>
          </w:rPr>
          <m:t>=diag</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identity horizontal restrictions in each degree. The incidence maps commute with </w:t>
      </w:r>
      <m:oMath>
        <m:r>
          <w:rPr>
            <w:rFonts w:ascii="Cambria Math" w:hAnsi="Cambria Math"/>
          </w:rPr>
          <m:t>d</m:t>
        </m:r>
      </m:oMath>
      <w:r>
        <w:t>, so the graph construction yields a double complex. The local kernel and cokernel are each one-dimensional.</w:t>
      </w:r>
    </w:p>
    <w:p w14:paraId="185EAF12" w14:textId="77777777" w:rsidR="003D3B95" w:rsidRDefault="00000000" w:rsidP="007B3797">
      <w:pPr>
        <w:pStyle w:val="BodyText"/>
        <w:jc w:val="both"/>
      </w:pPr>
      <w:r>
        <w:t xml:space="preserve">The two associated graded contributions to total degree-one cohomology are then </w:t>
      </w:r>
      <m:oMath>
        <m:sSup>
          <m:sSupPr>
            <m:ctrlPr>
              <w:rPr>
                <w:rFonts w:ascii="Cambria Math" w:hAnsi="Cambria Math"/>
              </w:rPr>
            </m:ctrlPr>
          </m:sSupPr>
          <m:e>
            <m:r>
              <w:rPr>
                <w:rFonts w:ascii="Cambria Math" w:hAnsi="Cambria Math"/>
              </w:rPr>
              <m:t>H</m:t>
            </m:r>
          </m:e>
          <m:sup>
            <m:r>
              <w:rPr>
                <w:rFonts w:ascii="Cambria Math" w:hAnsi="Cambria Math"/>
              </w:rPr>
              <m:t>1</m:t>
            </m:r>
          </m:sup>
        </m:sSup>
        <m:d>
          <m:dPr>
            <m:ctrlPr>
              <w:rPr>
                <w:rFonts w:ascii="Cambria Math" w:hAnsi="Cambria Math"/>
              </w:rPr>
            </m:ctrlPr>
          </m:dPr>
          <m:e>
            <m:r>
              <w:rPr>
                <w:rFonts w:ascii="Cambria Math" w:hAnsi="Cambria Math"/>
              </w:rPr>
              <m:t>G</m:t>
            </m:r>
            <m:r>
              <m:rPr>
                <m:scr m:val="double-struck"/>
                <m:sty m:val="p"/>
              </m:rPr>
              <w:rPr>
                <w:rFonts w:ascii="Cambria Math" w:hAnsi="Cambria Math"/>
              </w:rPr>
              <m:t>;R</m:t>
            </m:r>
          </m:e>
        </m:d>
      </m:oMath>
      <w:r>
        <w:t xml:space="preserve"> and </w:t>
      </w:r>
      <m:oMath>
        <m:sSup>
          <m:sSupPr>
            <m:ctrlPr>
              <w:rPr>
                <w:rFonts w:ascii="Cambria Math" w:hAnsi="Cambria Math"/>
              </w:rPr>
            </m:ctrlPr>
          </m:sSupPr>
          <m:e>
            <m:r>
              <w:rPr>
                <w:rFonts w:ascii="Cambria Math" w:hAnsi="Cambria Math"/>
              </w:rPr>
              <m:t>H</m:t>
            </m:r>
          </m:e>
          <m:sup>
            <m:r>
              <w:rPr>
                <w:rFonts w:ascii="Cambria Math" w:hAnsi="Cambria Math"/>
              </w:rPr>
              <m:t>0</m:t>
            </m:r>
          </m:sup>
        </m:sSup>
        <m:d>
          <m:dPr>
            <m:ctrlPr>
              <w:rPr>
                <w:rFonts w:ascii="Cambria Math" w:hAnsi="Cambria Math"/>
              </w:rPr>
            </m:ctrlPr>
          </m:dPr>
          <m:e>
            <m:r>
              <w:rPr>
                <w:rFonts w:ascii="Cambria Math" w:hAnsi="Cambria Math"/>
              </w:rPr>
              <m:t>G</m:t>
            </m:r>
            <m:r>
              <m:rPr>
                <m:scr m:val="double-struck"/>
                <m:sty m:val="p"/>
              </m:rPr>
              <w:rPr>
                <w:rFonts w:ascii="Cambria Math" w:hAnsi="Cambria Math"/>
              </w:rPr>
              <m:t>;R</m:t>
            </m:r>
          </m:e>
        </m:d>
      </m:oMath>
      <w:r>
        <w:t xml:space="preserve">, each of dimension one. The first reflects the horizontal cycle acting on a locally compatible coordinate. The second reflects a local residual direction that cannot be produced by the vertical differential and agrees across vertices. This is an exact algebraic example, not a numerical estimate of </w:t>
      </w:r>
      <w:r>
        <w:lastRenderedPageBreak/>
        <w:t>cortical inconsistency. Interpreting either coordinate biologically requires an independently justified residual map.</w:t>
      </w:r>
    </w:p>
    <w:p w14:paraId="036F1172" w14:textId="77777777" w:rsidR="003D3B95" w:rsidRDefault="00000000" w:rsidP="007B3797">
      <w:pPr>
        <w:pStyle w:val="Heading1"/>
        <w:jc w:val="both"/>
      </w:pPr>
      <w:bookmarkStart w:id="41" w:name="appendix-c-equivalence-power-calculation"/>
      <w:bookmarkEnd w:id="40"/>
      <w:r>
        <w:t>Appendix C Equivalence power calculation</w:t>
      </w:r>
    </w:p>
    <w:p w14:paraId="56FCF5F7" w14:textId="77777777" w:rsidR="003D3B95" w:rsidRDefault="00000000" w:rsidP="007B3797">
      <w:pPr>
        <w:pStyle w:val="FirstParagraph"/>
        <w:jc w:val="both"/>
      </w:pPr>
      <w:r>
        <w:t xml:space="preserve">Let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be independent animal-level paired accuracy differences with true mean zero and standard deviation </w:t>
      </w:r>
      <m:oMath>
        <m:r>
          <w:rPr>
            <w:rFonts w:ascii="Cambria Math" w:hAnsi="Cambria Math"/>
          </w:rPr>
          <m:t>σ</m:t>
        </m:r>
      </m:oMath>
      <w:r>
        <w:t xml:space="preserve">. For </w:t>
      </w:r>
      <m:oMath>
        <m:r>
          <w:rPr>
            <w:rFonts w:ascii="Cambria Math" w:hAnsi="Cambria Math"/>
          </w:rPr>
          <m:t>N</m:t>
        </m:r>
      </m:oMath>
      <w:r>
        <w:t xml:space="preserve"> animals, the equivalence criterion is </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D</m:t>
                </m:r>
              </m:e>
            </m:acc>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r>
          <w:rPr>
            <w:rFonts w:ascii="Cambria Math" w:hAnsi="Cambria Math"/>
          </w:rPr>
          <m:t>S</m:t>
        </m:r>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r>
          <m:rPr>
            <m:sty m:val="p"/>
          </m:rPr>
          <w:rPr>
            <w:rFonts w:ascii="Cambria Math" w:hAnsi="Cambria Math"/>
          </w:rPr>
          <m:t>&lt;</m:t>
        </m:r>
        <m:r>
          <w:rPr>
            <w:rFonts w:ascii="Cambria Math" w:hAnsi="Cambria Math"/>
          </w:rPr>
          <m:t>Δ</m:t>
        </m:r>
      </m:oMath>
      <w:r>
        <w:t xml:space="preserve">, where </w:t>
      </w:r>
      <m:oMath>
        <m:r>
          <w:rPr>
            <w:rFonts w:ascii="Cambria Math" w:hAnsi="Cambria Math"/>
          </w:rPr>
          <m:t>S</m:t>
        </m:r>
      </m:oMath>
      <w:r>
        <w:t xml:space="preserve"> is the sample standard deviation and </w:t>
      </w:r>
      <m:oMath>
        <m:r>
          <w:rPr>
            <w:rFonts w:ascii="Cambria Math" w:hAnsi="Cambria Math"/>
          </w:rPr>
          <m:t>Δ</m:t>
        </m:r>
      </m:oMath>
      <w:r>
        <w:t xml:space="preserve"> is the positive equivalence margin. Under the stated normal model, the mean and variance estimates are independent. With </w:t>
      </w:r>
      <m:oMath>
        <m:r>
          <w:rPr>
            <w:rFonts w:ascii="Cambria Math" w:hAnsi="Cambria Math"/>
          </w:rPr>
          <m:t>ν</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 xml:space="preserve"> and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ν</m:t>
            </m:r>
          </m:sub>
        </m:sSub>
      </m:oMath>
      <w:r>
        <w:t>, exact model-based power is</w:t>
      </w:r>
    </w:p>
    <w:p w14:paraId="4174DD5F" w14:textId="77777777" w:rsidR="003D3B95" w:rsidRDefault="00000000" w:rsidP="007B3797">
      <w:pPr>
        <w:pStyle w:val="BodyText"/>
        <w:keepLines/>
        <w:spacing w:before="100" w:after="140"/>
        <w:jc w:val="both"/>
      </w:pPr>
      <m:oMathPara>
        <m:oMathParaPr>
          <m:jc m:val="center"/>
        </m:oMathParaPr>
        <m:oMath>
          <m:nary>
            <m:naryPr>
              <m:limLoc m:val="subSup"/>
              <m:ctrlPr>
                <w:rPr>
                  <w:rFonts w:ascii="Cambria Math" w:hAnsi="Cambria Math"/>
                </w:rPr>
              </m:ctrlPr>
            </m:naryPr>
            <m:sub>
              <m:r>
                <w:rPr>
                  <w:rFonts w:ascii="Cambria Math" w:hAnsi="Cambria Math"/>
                </w:rPr>
                <m:t>0</m:t>
              </m:r>
            </m:sub>
            <m:sup>
              <m:r>
                <w:rPr>
                  <w:rFonts w:ascii="Cambria Math" w:hAnsi="Cambria Math"/>
                </w:rPr>
                <m:t>ν</m:t>
              </m:r>
              <m:sSup>
                <m:sSupPr>
                  <m:ctrlPr>
                    <w:rPr>
                      <w:rFonts w:ascii="Cambria Math" w:hAnsi="Cambria Math"/>
                    </w:rPr>
                  </m:ctrlPr>
                </m:sSupPr>
                <m:e>
                  <m:d>
                    <m:dPr>
                      <m:ctrlPr>
                        <w:rPr>
                          <w:rFonts w:ascii="Cambria Math" w:hAnsi="Cambria Math"/>
                        </w:rPr>
                      </m:ctrlPr>
                    </m:dPr>
                    <m:e>
                      <m:r>
                        <w:rPr>
                          <w:rFonts w:ascii="Cambria Math" w:hAnsi="Cambria Math"/>
                        </w:rPr>
                        <m:t>Δ</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d>
                        <m:dPr>
                          <m:ctrlPr>
                            <w:rPr>
                              <w:rFonts w:ascii="Cambria Math" w:hAnsi="Cambria Math"/>
                            </w:rPr>
                          </m:ctrlPr>
                        </m:dPr>
                        <m:e>
                          <m:r>
                            <w:rPr>
                              <w:rFonts w:ascii="Cambria Math" w:hAnsi="Cambria Math"/>
                            </w:rPr>
                            <m:t>σc</m:t>
                          </m:r>
                        </m:e>
                      </m:d>
                    </m:e>
                  </m:d>
                </m:e>
                <m:sup>
                  <m:r>
                    <w:rPr>
                      <w:rFonts w:ascii="Cambria Math" w:hAnsi="Cambria Math"/>
                    </w:rPr>
                    <m:t>2</m:t>
                  </m:r>
                </m:sup>
              </m:sSup>
            </m:sup>
            <m:e>
              <m:d>
                <m:dPr>
                  <m:begChr m:val="["/>
                  <m:endChr m:val="]"/>
                  <m:ctrlPr>
                    <w:rPr>
                      <w:rFonts w:ascii="Cambria Math" w:hAnsi="Cambria Math"/>
                    </w:rPr>
                  </m:ctrlPr>
                </m:dPr>
                <m:e>
                  <m:r>
                    <w:rPr>
                      <w:rFonts w:ascii="Cambria Math" w:hAnsi="Cambria Math"/>
                    </w:rPr>
                    <m:t>2Φ</m:t>
                  </m:r>
                  <m:d>
                    <m:dPr>
                      <m:ctrlPr>
                        <w:rPr>
                          <w:rFonts w:ascii="Cambria Math" w:hAnsi="Cambria Math"/>
                        </w:rPr>
                      </m:ctrlPr>
                    </m:dPr>
                    <m:e>
                      <m:f>
                        <m:fPr>
                          <m:ctrlPr>
                            <w:rPr>
                              <w:rFonts w:ascii="Cambria Math" w:hAnsi="Cambria Math"/>
                            </w:rPr>
                          </m:ctrlPr>
                        </m:fPr>
                        <m:num>
                          <m:r>
                            <w:rPr>
                              <w:rFonts w:ascii="Cambria Math" w:hAnsi="Cambria Math"/>
                            </w:rPr>
                            <m:t>Δ</m:t>
                          </m:r>
                          <m:rad>
                            <m:radPr>
                              <m:degHide m:val="1"/>
                              <m:ctrlPr>
                                <w:rPr>
                                  <w:rFonts w:ascii="Cambria Math" w:hAnsi="Cambria Math"/>
                                </w:rPr>
                              </m:ctrlPr>
                            </m:radPr>
                            <m:deg/>
                            <m:e>
                              <m:r>
                                <w:rPr>
                                  <w:rFonts w:ascii="Cambria Math" w:hAnsi="Cambria Math"/>
                                </w:rPr>
                                <m:t>N</m:t>
                              </m:r>
                            </m:e>
                          </m:rad>
                        </m:num>
                        <m:den>
                          <m:r>
                            <w:rPr>
                              <w:rFonts w:ascii="Cambria Math" w:hAnsi="Cambria Math"/>
                            </w:rPr>
                            <m:t>σ</m:t>
                          </m:r>
                        </m:den>
                      </m:f>
                      <m:r>
                        <m:rPr>
                          <m:sty m:val="p"/>
                        </m:rPr>
                        <w:rPr>
                          <w:rFonts w:ascii="Cambria Math" w:hAnsi="Cambria Math"/>
                        </w:rPr>
                        <m:t>-</m:t>
                      </m:r>
                      <m:r>
                        <w:rPr>
                          <w:rFonts w:ascii="Cambria Math" w:hAnsi="Cambria Math"/>
                        </w:rPr>
                        <m:t>c</m:t>
                      </m:r>
                      <m:rad>
                        <m:radPr>
                          <m:degHide m:val="1"/>
                          <m:ctrlPr>
                            <w:rPr>
                              <w:rFonts w:ascii="Cambria Math" w:hAnsi="Cambria Math"/>
                            </w:rPr>
                          </m:ctrlPr>
                        </m:radPr>
                        <m:deg/>
                        <m:e>
                          <m:f>
                            <m:fPr>
                              <m:ctrlPr>
                                <w:rPr>
                                  <w:rFonts w:ascii="Cambria Math" w:hAnsi="Cambria Math"/>
                                </w:rPr>
                              </m:ctrlPr>
                            </m:fPr>
                            <m:num>
                              <m:r>
                                <w:rPr>
                                  <w:rFonts w:ascii="Cambria Math" w:hAnsi="Cambria Math"/>
                                </w:rPr>
                                <m:t>z</m:t>
                              </m:r>
                            </m:num>
                            <m:den>
                              <m:r>
                                <w:rPr>
                                  <w:rFonts w:ascii="Cambria Math" w:hAnsi="Cambria Math"/>
                                </w:rPr>
                                <m:t>ν</m:t>
                              </m:r>
                            </m:den>
                          </m:f>
                        </m:e>
                      </m:rad>
                    </m:e>
                  </m:d>
                  <m:r>
                    <m:rPr>
                      <m:sty m:val="p"/>
                    </m:rPr>
                    <w:rPr>
                      <w:rFonts w:ascii="Cambria Math" w:hAnsi="Cambria Math"/>
                    </w:rPr>
                    <m:t>-</m:t>
                  </m:r>
                  <m:r>
                    <w:rPr>
                      <w:rFonts w:ascii="Cambria Math" w:hAnsi="Cambria Math"/>
                    </w:rPr>
                    <m:t>1</m:t>
                  </m:r>
                </m:e>
              </m:d>
            </m:e>
          </m:nary>
          <m:sSub>
            <m:sSubPr>
              <m:ctrlPr>
                <w:rPr>
                  <w:rFonts w:ascii="Cambria Math" w:hAnsi="Cambria Math"/>
                </w:rPr>
              </m:ctrlPr>
            </m:sSubPr>
            <m:e>
              <m:r>
                <w:rPr>
                  <w:rFonts w:ascii="Cambria Math" w:hAnsi="Cambria Math"/>
                </w:rPr>
                <m:t>f</m:t>
              </m:r>
            </m:e>
            <m:sub>
              <m:sSubSup>
                <m:sSubSupPr>
                  <m:ctrlPr>
                    <w:rPr>
                      <w:rFonts w:ascii="Cambria Math" w:hAnsi="Cambria Math"/>
                    </w:rPr>
                  </m:ctrlPr>
                </m:sSubSupPr>
                <m:e>
                  <m:r>
                    <w:rPr>
                      <w:rFonts w:ascii="Cambria Math" w:hAnsi="Cambria Math"/>
                    </w:rPr>
                    <m:t>χ</m:t>
                  </m:r>
                </m:e>
                <m:sub>
                  <m:r>
                    <w:rPr>
                      <w:rFonts w:ascii="Cambria Math" w:hAnsi="Cambria Math"/>
                    </w:rPr>
                    <m:t>ν</m:t>
                  </m:r>
                </m:sub>
                <m:sup>
                  <m:r>
                    <w:rPr>
                      <w:rFonts w:ascii="Cambria Math" w:hAnsi="Cambria Math"/>
                    </w:rPr>
                    <m:t>2</m:t>
                  </m:r>
                </m:sup>
              </m:sSubSup>
            </m:sub>
          </m:sSub>
          <m:d>
            <m:dPr>
              <m:ctrlPr>
                <w:rPr>
                  <w:rFonts w:ascii="Cambria Math" w:hAnsi="Cambria Math"/>
                </w:rPr>
              </m:ctrlPr>
            </m:dPr>
            <m:e>
              <m:r>
                <w:rPr>
                  <w:rFonts w:ascii="Cambria Math" w:hAnsi="Cambria Math"/>
                </w:rPr>
                <m:t>z</m:t>
              </m:r>
            </m:e>
          </m:d>
          <m:r>
            <w:rPr>
              <w:rFonts w:ascii="Cambria Math" w:hAnsi="Cambria Math"/>
            </w:rPr>
            <m:t> dz</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C1</m:t>
              </m:r>
            </m:e>
          </m:d>
        </m:oMath>
      </m:oMathPara>
    </w:p>
    <w:p w14:paraId="3B5D5AC8" w14:textId="77777777" w:rsidR="003D3B95" w:rsidRDefault="00000000" w:rsidP="007B3797">
      <w:pPr>
        <w:pStyle w:val="FirstParagraph"/>
        <w:jc w:val="both"/>
      </w:pPr>
      <w:r>
        <w:t xml:space="preserve">The integral was evaluated numerically with </w:t>
      </w:r>
      <m:oMath>
        <m:r>
          <w:rPr>
            <w:rFonts w:ascii="Cambria Math" w:hAnsi="Cambria Math"/>
          </w:rPr>
          <m:t>Δ</m:t>
        </m:r>
        <m:r>
          <m:rPr>
            <m:sty m:val="p"/>
          </m:rPr>
          <w:rPr>
            <w:rFonts w:ascii="Cambria Math" w:hAnsi="Cambria Math"/>
          </w:rPr>
          <m:t>=</m:t>
        </m:r>
        <m:r>
          <w:rPr>
            <w:rFonts w:ascii="Cambria Math" w:hAnsi="Cambria Math"/>
          </w:rPr>
          <m:t>0.03</m:t>
        </m:r>
      </m:oMath>
      <w:r>
        <w:t xml:space="preserve">, </w:t>
      </w:r>
      <m:oMath>
        <m:r>
          <w:rPr>
            <w:rFonts w:ascii="Cambria Math" w:hAnsi="Cambria Math"/>
          </w:rPr>
          <m:t>σ</m:t>
        </m:r>
        <m:r>
          <m:rPr>
            <m:sty m:val="p"/>
          </m:rPr>
          <w:rPr>
            <w:rFonts w:ascii="Cambria Math" w:hAnsi="Cambria Math"/>
          </w:rPr>
          <m:t>=</m:t>
        </m:r>
        <m:r>
          <w:rPr>
            <w:rFonts w:ascii="Cambria Math" w:hAnsi="Cambria Math"/>
          </w:rPr>
          <m:t>0.04</m:t>
        </m:r>
      </m:oMath>
      <w:r>
        <w:t xml:space="preserve">, and </w:t>
      </w:r>
      <m:oMath>
        <m:r>
          <w:rPr>
            <w:rFonts w:ascii="Cambria Math" w:hAnsi="Cambria Math"/>
          </w:rPr>
          <m:t>α</m:t>
        </m:r>
        <m:r>
          <m:rPr>
            <m:sty m:val="p"/>
          </m:rPr>
          <w:rPr>
            <w:rFonts w:ascii="Cambria Math" w:hAnsi="Cambria Math"/>
          </w:rPr>
          <m:t>=</m:t>
        </m:r>
        <m:r>
          <w:rPr>
            <w:rFonts w:ascii="Cambria Math" w:hAnsi="Cambria Math"/>
          </w:rPr>
          <m:t>0.05</m:t>
        </m:r>
      </m:oMath>
      <w:r>
        <w:t xml:space="preserve">. Power is 0.9056 for </w:t>
      </w:r>
      <m:oMath>
        <m:r>
          <w:rPr>
            <w:rFonts w:ascii="Cambria Math" w:hAnsi="Cambria Math"/>
          </w:rPr>
          <m:t>N</m:t>
        </m:r>
        <m:r>
          <m:rPr>
            <m:sty m:val="p"/>
          </m:rPr>
          <w:rPr>
            <w:rFonts w:ascii="Cambria Math" w:hAnsi="Cambria Math"/>
          </w:rPr>
          <m:t>=</m:t>
        </m:r>
        <m:r>
          <w:rPr>
            <w:rFonts w:ascii="Cambria Math" w:hAnsi="Cambria Math"/>
          </w:rPr>
          <m:t>21</m:t>
        </m:r>
      </m:oMath>
      <w:r>
        <w:t xml:space="preserve"> and 0.9541 for </w:t>
      </w:r>
      <m:oMath>
        <m:r>
          <w:rPr>
            <w:rFonts w:ascii="Cambria Math" w:hAnsi="Cambria Math"/>
          </w:rPr>
          <m:t>N</m:t>
        </m:r>
        <m:r>
          <m:rPr>
            <m:sty m:val="p"/>
          </m:rPr>
          <w:rPr>
            <w:rFonts w:ascii="Cambria Math" w:hAnsi="Cambria Math"/>
          </w:rPr>
          <m:t>=</m:t>
        </m:r>
        <m:r>
          <w:rPr>
            <w:rFonts w:ascii="Cambria Math" w:hAnsi="Cambria Math"/>
          </w:rPr>
          <m:t>25</m:t>
        </m:r>
      </m:oMath>
      <w:r>
        <w:t>. These calculations assume no attrition and no residual dependence between animals. They do not include uncertainty from learning the decoder or gain model, which belongs in the planned hierarchical simulation. All decimal values in Section 5 follow directly from the displayed four-by-four matrix and can be reproduced by eigendecomposition and matrix exponentiation.</w:t>
      </w:r>
    </w:p>
    <w:p w14:paraId="07707943" w14:textId="77777777" w:rsidR="003D3B95" w:rsidRDefault="00000000" w:rsidP="007B3797">
      <w:pPr>
        <w:pStyle w:val="Heading1"/>
        <w:pageBreakBefore/>
        <w:jc w:val="both"/>
      </w:pPr>
      <w:bookmarkStart w:id="42" w:name="references"/>
      <w:bookmarkEnd w:id="41"/>
      <w:r>
        <w:lastRenderedPageBreak/>
        <w:t>References</w:t>
      </w:r>
    </w:p>
    <w:p w14:paraId="00E8A136" w14:textId="77777777" w:rsidR="003D3B95" w:rsidRDefault="00000000" w:rsidP="007B3797">
      <w:pPr>
        <w:pStyle w:val="FirstParagraph"/>
        <w:keepLines/>
        <w:spacing w:after="140"/>
        <w:ind w:left="360" w:hanging="360"/>
        <w:jc w:val="both"/>
      </w:pPr>
      <w:r>
        <w:rPr>
          <w:sz w:val="21"/>
        </w:rPr>
        <w:t xml:space="preserve">[1] Curry, J. M. (2014). </w:t>
      </w:r>
      <w:r>
        <w:rPr>
          <w:i/>
          <w:iCs/>
          <w:sz w:val="21"/>
        </w:rPr>
        <w:t>Sheaves, Cosheaves and Applications</w:t>
      </w:r>
      <w:r>
        <w:rPr>
          <w:sz w:val="21"/>
        </w:rPr>
        <w:t xml:space="preserve">. PhD dissertation, University of Pennsylvania. </w:t>
      </w:r>
      <w:hyperlink r:id="rId9">
        <w:r>
          <w:t>arXiv:1303.3255</w:t>
        </w:r>
      </w:hyperlink>
      <w:r>
        <w:rPr>
          <w:sz w:val="21"/>
        </w:rPr>
        <w:t>.</w:t>
      </w:r>
    </w:p>
    <w:p w14:paraId="777D4BFC" w14:textId="77777777" w:rsidR="003D3B95" w:rsidRDefault="00000000" w:rsidP="007B3797">
      <w:pPr>
        <w:pStyle w:val="BodyText"/>
        <w:keepLines/>
        <w:spacing w:after="140"/>
        <w:ind w:left="360" w:hanging="360"/>
        <w:jc w:val="both"/>
      </w:pPr>
      <w:r>
        <w:rPr>
          <w:sz w:val="21"/>
        </w:rPr>
        <w:t xml:space="preserve">[2] Hansen, J., and Ghrist, R. (2019). Toward a spectral theory of cellular sheaves. </w:t>
      </w:r>
      <w:r>
        <w:rPr>
          <w:i/>
          <w:iCs/>
          <w:sz w:val="21"/>
        </w:rPr>
        <w:t>Journal of Applied and Computational Topology</w:t>
      </w:r>
      <w:r>
        <w:rPr>
          <w:sz w:val="21"/>
        </w:rPr>
        <w:t xml:space="preserve">, 3, 315–358. </w:t>
      </w:r>
      <w:hyperlink r:id="rId10">
        <w:r>
          <w:t>doi:10.1007/s41468-019-00038-7</w:t>
        </w:r>
      </w:hyperlink>
      <w:r>
        <w:rPr>
          <w:sz w:val="21"/>
        </w:rPr>
        <w:t xml:space="preserve">. Open manuscript: </w:t>
      </w:r>
      <w:hyperlink r:id="rId11">
        <w:r>
          <w:t>arXiv:1808.01513</w:t>
        </w:r>
      </w:hyperlink>
      <w:r>
        <w:rPr>
          <w:sz w:val="21"/>
        </w:rPr>
        <w:t>.</w:t>
      </w:r>
    </w:p>
    <w:p w14:paraId="1CD90BAB" w14:textId="77777777" w:rsidR="003D3B95" w:rsidRDefault="00000000" w:rsidP="007B3797">
      <w:pPr>
        <w:pStyle w:val="BodyText"/>
        <w:keepLines/>
        <w:spacing w:after="140"/>
        <w:ind w:left="360" w:hanging="360"/>
        <w:jc w:val="both"/>
      </w:pPr>
      <w:r>
        <w:rPr>
          <w:sz w:val="21"/>
        </w:rPr>
        <w:t xml:space="preserve">[3] Bodnar, C., Di Giovanni, F., Chamberlain, B. P., Liò, P., and Bronstein, M. M. (2022). Neural sheaf diffusion: A topological perspective on heterophily and oversmoothing in GNNs. </w:t>
      </w:r>
      <w:r>
        <w:rPr>
          <w:i/>
          <w:iCs/>
          <w:sz w:val="21"/>
        </w:rPr>
        <w:t>Advances in Neural Information Processing Systems</w:t>
      </w:r>
      <w:r>
        <w:rPr>
          <w:sz w:val="21"/>
        </w:rPr>
        <w:t xml:space="preserve">, 35. </w:t>
      </w:r>
      <w:hyperlink r:id="rId12">
        <w:r>
          <w:t>arXiv:2202.04579</w:t>
        </w:r>
      </w:hyperlink>
      <w:r>
        <w:rPr>
          <w:sz w:val="21"/>
        </w:rPr>
        <w:t>.</w:t>
      </w:r>
    </w:p>
    <w:p w14:paraId="4DA16D92" w14:textId="77777777" w:rsidR="003D3B95" w:rsidRDefault="00000000" w:rsidP="007B3797">
      <w:pPr>
        <w:pStyle w:val="BodyText"/>
        <w:keepLines/>
        <w:spacing w:after="140"/>
        <w:ind w:left="360" w:hanging="360"/>
        <w:jc w:val="both"/>
      </w:pPr>
      <w:r>
        <w:rPr>
          <w:sz w:val="21"/>
        </w:rPr>
        <w:t xml:space="preserve">[4] Horton, J. C., and Adams, D. L. (2005). The cortical column: A structure without a function. </w:t>
      </w:r>
      <w:r>
        <w:rPr>
          <w:i/>
          <w:iCs/>
          <w:sz w:val="21"/>
        </w:rPr>
        <w:t>Philosophical Transactions of the Royal Society B</w:t>
      </w:r>
      <w:r>
        <w:rPr>
          <w:sz w:val="21"/>
        </w:rPr>
        <w:t xml:space="preserve">, 360, 837–862. </w:t>
      </w:r>
      <w:hyperlink r:id="rId13">
        <w:r>
          <w:t>doi:10.1098/rstb.2005.1623</w:t>
        </w:r>
      </w:hyperlink>
      <w:r>
        <w:rPr>
          <w:sz w:val="21"/>
        </w:rPr>
        <w:t>.</w:t>
      </w:r>
    </w:p>
    <w:p w14:paraId="44F55AB2" w14:textId="77777777" w:rsidR="003D3B95" w:rsidRDefault="00000000" w:rsidP="007B3797">
      <w:pPr>
        <w:pStyle w:val="BodyText"/>
        <w:keepLines/>
        <w:spacing w:after="140"/>
        <w:ind w:left="360" w:hanging="360"/>
        <w:jc w:val="both"/>
      </w:pPr>
      <w:r>
        <w:rPr>
          <w:sz w:val="21"/>
        </w:rPr>
        <w:t xml:space="preserve">[5] Lee, C. C., and Sherman, S. M. (2009). Modulator property of the intrinsic cortical projection from layer 6 to layer 4. </w:t>
      </w:r>
      <w:r>
        <w:rPr>
          <w:i/>
          <w:iCs/>
          <w:sz w:val="21"/>
        </w:rPr>
        <w:t>Frontiers in Systems Neuroscience</w:t>
      </w:r>
      <w:r>
        <w:rPr>
          <w:sz w:val="21"/>
        </w:rPr>
        <w:t xml:space="preserve">, 3, 3. </w:t>
      </w:r>
      <w:hyperlink r:id="rId14">
        <w:r>
          <w:t>doi:10.3389/neuro.06.003.2009</w:t>
        </w:r>
      </w:hyperlink>
      <w:r>
        <w:rPr>
          <w:sz w:val="21"/>
        </w:rPr>
        <w:t>.</w:t>
      </w:r>
    </w:p>
    <w:p w14:paraId="13A544A5" w14:textId="77777777" w:rsidR="003D3B95" w:rsidRDefault="00000000" w:rsidP="007B3797">
      <w:pPr>
        <w:pStyle w:val="BodyText"/>
        <w:keepLines/>
        <w:spacing w:after="140"/>
        <w:ind w:left="360" w:hanging="360"/>
        <w:jc w:val="both"/>
      </w:pPr>
      <w:r>
        <w:rPr>
          <w:sz w:val="21"/>
        </w:rPr>
        <w:t xml:space="preserve">[6] Bortone, D. S., Olsen, S. R., and Scanziani, M. (2014). Translaminar inhibitory cells recruited by layer 6 corticothalamic neurons suppress visual cortex. </w:t>
      </w:r>
      <w:r>
        <w:rPr>
          <w:i/>
          <w:iCs/>
          <w:sz w:val="21"/>
        </w:rPr>
        <w:t>Neuron</w:t>
      </w:r>
      <w:r>
        <w:rPr>
          <w:sz w:val="21"/>
        </w:rPr>
        <w:t xml:space="preserve">, 82, 474–485. </w:t>
      </w:r>
      <w:hyperlink r:id="rId15">
        <w:r>
          <w:t>doi:10.1016/j.neuron.2014.02.021</w:t>
        </w:r>
      </w:hyperlink>
      <w:r>
        <w:rPr>
          <w:sz w:val="21"/>
        </w:rPr>
        <w:t>.</w:t>
      </w:r>
    </w:p>
    <w:p w14:paraId="46472996" w14:textId="77777777" w:rsidR="003D3B95" w:rsidRDefault="00000000" w:rsidP="007B3797">
      <w:pPr>
        <w:pStyle w:val="BodyText"/>
        <w:keepLines/>
        <w:spacing w:after="140"/>
        <w:ind w:left="360" w:hanging="360"/>
        <w:jc w:val="both"/>
      </w:pPr>
      <w:r>
        <w:rPr>
          <w:sz w:val="21"/>
        </w:rPr>
        <w:t xml:space="preserve">[7] Olsen, S. R., Bortone, D. S., Adesnik, H., and Scanziani, M. (2012). Gain control by layer six in cortical circuits of vision. </w:t>
      </w:r>
      <w:r>
        <w:rPr>
          <w:i/>
          <w:iCs/>
          <w:sz w:val="21"/>
        </w:rPr>
        <w:t>Nature</w:t>
      </w:r>
      <w:r>
        <w:rPr>
          <w:sz w:val="21"/>
        </w:rPr>
        <w:t xml:space="preserve">, 483, 47–52. </w:t>
      </w:r>
      <w:hyperlink r:id="rId16">
        <w:r>
          <w:t>doi:10.1038/nature10835</w:t>
        </w:r>
      </w:hyperlink>
      <w:r>
        <w:rPr>
          <w:sz w:val="21"/>
        </w:rPr>
        <w:t>.</w:t>
      </w:r>
    </w:p>
    <w:p w14:paraId="33132973" w14:textId="77777777" w:rsidR="003D3B95" w:rsidRDefault="00000000" w:rsidP="007B3797">
      <w:pPr>
        <w:pStyle w:val="BodyText"/>
        <w:keepLines/>
        <w:spacing w:after="140"/>
        <w:ind w:left="360" w:hanging="360"/>
        <w:jc w:val="both"/>
      </w:pPr>
      <w:r>
        <w:rPr>
          <w:sz w:val="21"/>
        </w:rPr>
        <w:t xml:space="preserve">[8] Schmitt, L. I., Wimmer, R. D., Nakajima, M., Happ, M., Mofakham, S., and Halassa, M. M. (2017). Thalamic amplification of cortical connectivity sustains attentional control. </w:t>
      </w:r>
      <w:r>
        <w:rPr>
          <w:i/>
          <w:iCs/>
          <w:sz w:val="21"/>
        </w:rPr>
        <w:t>Nature</w:t>
      </w:r>
      <w:r>
        <w:rPr>
          <w:sz w:val="21"/>
        </w:rPr>
        <w:t xml:space="preserve">, 545, 219–223. </w:t>
      </w:r>
      <w:hyperlink r:id="rId17">
        <w:r>
          <w:t>doi:10.1038/nature22073</w:t>
        </w:r>
      </w:hyperlink>
      <w:r>
        <w:rPr>
          <w:sz w:val="21"/>
        </w:rPr>
        <w:t>.</w:t>
      </w:r>
    </w:p>
    <w:p w14:paraId="0129DEF9" w14:textId="77777777" w:rsidR="003D3B95" w:rsidRDefault="00000000" w:rsidP="007B3797">
      <w:pPr>
        <w:pStyle w:val="BodyText"/>
        <w:keepLines/>
        <w:spacing w:after="140"/>
        <w:ind w:left="360" w:hanging="360"/>
        <w:jc w:val="both"/>
      </w:pPr>
      <w:r>
        <w:rPr>
          <w:sz w:val="21"/>
        </w:rPr>
        <w:t xml:space="preserve">[9] Theyel, B. B., Llano, D. A., and Sherman, S. M. (2010). The corticothalamocortical circuit drives higher-order cortex in the mouse. </w:t>
      </w:r>
      <w:r>
        <w:rPr>
          <w:i/>
          <w:iCs/>
          <w:sz w:val="21"/>
        </w:rPr>
        <w:t>Nature Neuroscience</w:t>
      </w:r>
      <w:r>
        <w:rPr>
          <w:sz w:val="21"/>
        </w:rPr>
        <w:t xml:space="preserve">, 13, 84–88. </w:t>
      </w:r>
      <w:hyperlink r:id="rId18">
        <w:r>
          <w:t>doi:10.1038/nn.2449</w:t>
        </w:r>
      </w:hyperlink>
      <w:r>
        <w:rPr>
          <w:sz w:val="21"/>
        </w:rPr>
        <w:t>.</w:t>
      </w:r>
    </w:p>
    <w:p w14:paraId="3E5BA0CB" w14:textId="77777777" w:rsidR="003D3B95" w:rsidRDefault="00000000" w:rsidP="007B3797">
      <w:pPr>
        <w:pStyle w:val="BodyText"/>
        <w:keepLines/>
        <w:spacing w:after="140"/>
        <w:ind w:left="360" w:hanging="360"/>
        <w:jc w:val="both"/>
      </w:pPr>
      <w:r>
        <w:rPr>
          <w:sz w:val="21"/>
        </w:rPr>
        <w:t xml:space="preserve">[10] Lakens, D. (2017). Equivalence tests: A practical primer for t tests, correlations, and meta-analyses. </w:t>
      </w:r>
      <w:r>
        <w:rPr>
          <w:i/>
          <w:iCs/>
          <w:sz w:val="21"/>
        </w:rPr>
        <w:t>Social Psychological and Personality Science</w:t>
      </w:r>
      <w:r>
        <w:rPr>
          <w:sz w:val="21"/>
        </w:rPr>
        <w:t xml:space="preserve">, 8, 355–362. </w:t>
      </w:r>
      <w:hyperlink r:id="rId19">
        <w:r>
          <w:t>doi:10.1177/1948550617697177</w:t>
        </w:r>
      </w:hyperlink>
      <w:r>
        <w:rPr>
          <w:sz w:val="21"/>
        </w:rPr>
        <w:t>.</w:t>
      </w:r>
    </w:p>
    <w:p w14:paraId="5C345746" w14:textId="77777777" w:rsidR="003D3B95" w:rsidRDefault="00000000" w:rsidP="007B3797">
      <w:pPr>
        <w:pStyle w:val="BodyText"/>
        <w:keepLines/>
        <w:spacing w:after="140"/>
        <w:ind w:left="360" w:hanging="360"/>
        <w:jc w:val="both"/>
      </w:pPr>
      <w:r>
        <w:rPr>
          <w:sz w:val="21"/>
        </w:rPr>
        <w:t xml:space="preserve">[11] Ghrist, L., and Ghrist, R. (2026). Impossible by degrees: Cohomology and bistable visual paradox. Preprint. </w:t>
      </w:r>
      <w:hyperlink r:id="rId20">
        <w:r>
          <w:t>arXiv:2602.09313</w:t>
        </w:r>
      </w:hyperlink>
      <w:r>
        <w:rPr>
          <w:sz w:val="21"/>
        </w:rPr>
        <w:t>.</w:t>
      </w:r>
    </w:p>
    <w:p w14:paraId="5F050154" w14:textId="77777777" w:rsidR="003D3B95" w:rsidRDefault="00000000" w:rsidP="007B3797">
      <w:pPr>
        <w:pStyle w:val="BodyText"/>
        <w:keepLines/>
        <w:spacing w:after="140"/>
        <w:ind w:left="360" w:hanging="360"/>
        <w:jc w:val="both"/>
      </w:pPr>
      <w:r>
        <w:rPr>
          <w:sz w:val="21"/>
        </w:rPr>
        <w:t xml:space="preserve">[12] The Stacks Project Authors. </w:t>
      </w:r>
      <w:r>
        <w:rPr>
          <w:i/>
          <w:iCs/>
          <w:sz w:val="21"/>
        </w:rPr>
        <w:t>The Stacks Project</w:t>
      </w:r>
      <w:r>
        <w:rPr>
          <w:sz w:val="21"/>
        </w:rPr>
        <w:t xml:space="preserve">. Section 12.25, Spectral sequences and double complexes, Tag 012X. </w:t>
      </w:r>
      <w:hyperlink r:id="rId21">
        <w:r>
          <w:t>stacks.math.columbia.edu/tag/012X</w:t>
        </w:r>
      </w:hyperlink>
      <w:r>
        <w:rPr>
          <w:sz w:val="21"/>
        </w:rPr>
        <w:t>. Accessed September 2026.</w:t>
      </w:r>
    </w:p>
    <w:p w14:paraId="5E10D8BE" w14:textId="77777777" w:rsidR="003D3B95" w:rsidRDefault="00000000" w:rsidP="007B3797">
      <w:pPr>
        <w:pStyle w:val="BodyText"/>
        <w:keepLines/>
        <w:spacing w:after="140"/>
        <w:ind w:left="360" w:hanging="360"/>
        <w:jc w:val="both"/>
      </w:pPr>
      <w:r>
        <w:rPr>
          <w:sz w:val="21"/>
        </w:rPr>
        <w:t xml:space="preserve">[13] Carlsson, G., and de Silva, V. (2010). Zigzag persistence. </w:t>
      </w:r>
      <w:r>
        <w:rPr>
          <w:i/>
          <w:iCs/>
          <w:sz w:val="21"/>
        </w:rPr>
        <w:t>Foundations of Computational Mathematics</w:t>
      </w:r>
      <w:r>
        <w:rPr>
          <w:sz w:val="21"/>
        </w:rPr>
        <w:t xml:space="preserve">, 10, 367–405. </w:t>
      </w:r>
      <w:hyperlink r:id="rId22">
        <w:r>
          <w:t>arXiv:0812.0197</w:t>
        </w:r>
      </w:hyperlink>
      <w:r>
        <w:rPr>
          <w:sz w:val="21"/>
        </w:rPr>
        <w:t>.</w:t>
      </w:r>
      <w:bookmarkEnd w:id="42"/>
    </w:p>
    <w:sectPr w:rsidR="003D3B95" w:rsidSect="00034616">
      <w:footerReference w:type="default" r:id="rId23"/>
      <w:pgSz w:w="12240" w:h="15840"/>
      <w:pgMar w:top="1152" w:right="1440"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7BB0F" w14:textId="77777777" w:rsidR="00147CD7" w:rsidRDefault="00147CD7">
      <w:pPr>
        <w:spacing w:after="0" w:line="240" w:lineRule="auto"/>
      </w:pPr>
      <w:r>
        <w:separator/>
      </w:r>
    </w:p>
  </w:endnote>
  <w:endnote w:type="continuationSeparator" w:id="0">
    <w:p w14:paraId="734588F0" w14:textId="77777777" w:rsidR="00147CD7" w:rsidRDefault="00147C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D7522" w14:textId="77777777" w:rsidR="003D3B95" w:rsidRDefault="00000000">
    <w:pPr>
      <w:pStyle w:val="Footer"/>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5B94F" w14:textId="77777777" w:rsidR="00147CD7" w:rsidRDefault="00147CD7">
      <w:r>
        <w:separator/>
      </w:r>
    </w:p>
  </w:footnote>
  <w:footnote w:type="continuationSeparator" w:id="0">
    <w:p w14:paraId="6403E16E" w14:textId="77777777" w:rsidR="00147CD7" w:rsidRDefault="00147C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1BB0B5A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479569026">
    <w:abstractNumId w:val="8"/>
  </w:num>
  <w:num w:numId="2" w16cid:durableId="1910312160">
    <w:abstractNumId w:val="6"/>
  </w:num>
  <w:num w:numId="3" w16cid:durableId="1059943145">
    <w:abstractNumId w:val="5"/>
  </w:num>
  <w:num w:numId="4" w16cid:durableId="940648207">
    <w:abstractNumId w:val="4"/>
  </w:num>
  <w:num w:numId="5" w16cid:durableId="667828894">
    <w:abstractNumId w:val="7"/>
  </w:num>
  <w:num w:numId="6" w16cid:durableId="167064425">
    <w:abstractNumId w:val="3"/>
  </w:num>
  <w:num w:numId="7" w16cid:durableId="1113325922">
    <w:abstractNumId w:val="2"/>
  </w:num>
  <w:num w:numId="8" w16cid:durableId="921790980">
    <w:abstractNumId w:val="1"/>
  </w:num>
  <w:num w:numId="9" w16cid:durableId="667173407">
    <w:abstractNumId w:val="0"/>
  </w:num>
  <w:num w:numId="10" w16cid:durableId="10689587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3B95"/>
    <w:rsid w:val="00147CD7"/>
    <w:rsid w:val="003D3B95"/>
    <w:rsid w:val="007B3797"/>
    <w:rsid w:val="00EF1431"/>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2D0B1"/>
  <w15:docId w15:val="{8E163A2D-D689-43B2-994A-46D4A78D5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240"/>
      <w:outlineLvl w:val="0"/>
    </w:pPr>
    <w:rPr>
      <w:b/>
      <w:bCs/>
      <w:sz w:val="2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hAnsi="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hAnsi="Times New Roman"/>
      <w:color w:val="000000"/>
    </w:rPr>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imes New Roman" w:hAnsi="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000000"/>
    </w:rPr>
  </w:style>
  <w:style w:type="paragraph" w:styleId="Title">
    <w:name w:val="Title"/>
    <w:basedOn w:val="Normal"/>
    <w:next w:val="Normal"/>
    <w:link w:val="TitleChar"/>
    <w:uiPriority w:val="10"/>
    <w:qFormat/>
    <w:rsid w:val="00FC693F"/>
    <w:pPr>
      <w:keepNext/>
      <w:spacing w:after="160" w:line="240" w:lineRule="auto"/>
      <w:contextualSpacing/>
      <w:jc w:val="center"/>
    </w:pPr>
    <w:rPr>
      <w:b/>
      <w:spacing w:val="5"/>
      <w:kern w:val="28"/>
      <w:sz w:val="40"/>
      <w:szCs w:val="52"/>
    </w:rPr>
  </w:style>
  <w:style w:type="character" w:customStyle="1" w:styleId="TitleChar">
    <w:name w:val="Title Char"/>
    <w:basedOn w:val="DefaultParagraphFont"/>
    <w:link w:val="Title"/>
    <w:uiPriority w:val="10"/>
    <w:rsid w:val="00FC693F"/>
    <w:rPr>
      <w:rFonts w:ascii="Times New Roman" w:hAnsi="Times New Roman"/>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jc w:val="center"/>
    </w:pPr>
    <w:rPr>
      <w:i/>
      <w:iCs/>
      <w:spacing w:val="15"/>
      <w:sz w:val="26"/>
      <w:szCs w:val="24"/>
    </w:rPr>
  </w:style>
  <w:style w:type="character" w:customStyle="1" w:styleId="SubtitleChar">
    <w:name w:val="Subtitle Char"/>
    <w:basedOn w:val="DefaultParagraphFont"/>
    <w:link w:val="Subtitle"/>
    <w:uiPriority w:val="11"/>
    <w:rsid w:val="00FC693F"/>
    <w:rPr>
      <w:rFonts w:ascii="Times New Roman" w:hAnsi="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hAnsi="Times New Roman"/>
      <w:color w:val="00000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hAnsi="Times New Roman"/>
      <w:color w:val="00000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hAnsi="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hAnsi="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000000"/>
      <w:sz w:val="20"/>
      <w:szCs w:val="20"/>
    </w:rPr>
  </w:style>
  <w:style w:type="paragraph" w:styleId="Caption">
    <w:name w:val="caption"/>
    <w:basedOn w:val="Normal"/>
    <w:next w:val="Normal"/>
    <w:uiPriority w:val="35"/>
    <w:semiHidden/>
    <w:unhideWhenUsed/>
    <w:qFormat/>
    <w:rsid w:val="00FC693F"/>
    <w:pPr>
      <w:spacing w:before="80" w:after="160" w:line="245" w:lineRule="auto"/>
    </w:pPr>
    <w:rPr>
      <w:bCs/>
      <w:sz w:val="19"/>
      <w:szCs w:val="18"/>
    </w:rPr>
  </w:style>
  <w:style w:type="character" w:styleId="Strong">
    <w:name w:val="Strong"/>
    <w:basedOn w:val="DefaultParagraphFont"/>
    <w:uiPriority w:val="22"/>
    <w:qFormat/>
    <w:rsid w:val="00FC693F"/>
    <w:rPr>
      <w:rFonts w:ascii="Times New Roman" w:hAnsi="Times New Roman"/>
      <w:b/>
      <w:bCs/>
      <w:color w:val="000000"/>
    </w:rPr>
  </w:style>
  <w:style w:type="character" w:styleId="Emphasis">
    <w:name w:val="Emphasis"/>
    <w:basedOn w:val="DefaultParagraphFont"/>
    <w:uiPriority w:val="20"/>
    <w:qFormat/>
    <w:rsid w:val="00FC693F"/>
    <w:rPr>
      <w:rFonts w:ascii="Times New Roman" w:hAnsi="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rPr>
  </w:style>
  <w:style w:type="character" w:styleId="SubtleEmphasis">
    <w:name w:val="Subtle Emphasis"/>
    <w:basedOn w:val="DefaultParagraphFont"/>
    <w:uiPriority w:val="19"/>
    <w:qFormat/>
    <w:rsid w:val="00FC693F"/>
    <w:rPr>
      <w:rFonts w:ascii="Times New Roman" w:hAnsi="Times New Roman"/>
      <w:i/>
      <w:iCs/>
      <w:color w:val="000000"/>
    </w:rPr>
  </w:style>
  <w:style w:type="character" w:styleId="IntenseEmphasis">
    <w:name w:val="Intense Emphasis"/>
    <w:basedOn w:val="DefaultParagraphFont"/>
    <w:uiPriority w:val="21"/>
    <w:qFormat/>
    <w:rsid w:val="00FC693F"/>
    <w:rPr>
      <w:rFonts w:ascii="Times New Roman" w:hAnsi="Times New Roman"/>
      <w:b/>
      <w:bCs/>
      <w:i/>
      <w:iCs/>
      <w:color w:val="000000"/>
    </w:rPr>
  </w:style>
  <w:style w:type="character" w:styleId="SubtleReference">
    <w:name w:val="Subtle Reference"/>
    <w:basedOn w:val="DefaultParagraphFont"/>
    <w:uiPriority w:val="31"/>
    <w:qFormat/>
    <w:rsid w:val="00FC693F"/>
    <w:rPr>
      <w:rFonts w:ascii="Times New Roman" w:hAnsi="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style>
  <w:style w:type="paragraph" w:customStyle="1" w:styleId="SourceCode">
    <w:name w:val="Source Code"/>
    <w:basedOn w:val="Normal"/>
    <w:pPr>
      <w:wordWrap w:val="0"/>
    </w:pPr>
  </w:style>
  <w:style w:type="character" w:customStyle="1" w:styleId="KeywordTok">
    <w:name w:val="KeywordTok"/>
    <w:rPr>
      <w:b/>
      <w:color w:val="000000"/>
    </w:rPr>
  </w:style>
  <w:style w:type="character" w:customStyle="1" w:styleId="DataTypeTok">
    <w:name w:val="DataTypeTok"/>
    <w:rPr>
      <w:color w:val="000000"/>
    </w:rPr>
  </w:style>
  <w:style w:type="character" w:customStyle="1" w:styleId="DecValTok">
    <w:name w:val="DecValTok"/>
    <w:rPr>
      <w:color w:val="000000"/>
    </w:rPr>
  </w:style>
  <w:style w:type="character" w:customStyle="1" w:styleId="BaseNTok">
    <w:name w:val="BaseNTok"/>
    <w:rPr>
      <w:color w:val="000000"/>
    </w:rPr>
  </w:style>
  <w:style w:type="character" w:customStyle="1" w:styleId="FloatTok">
    <w:name w:val="FloatTok"/>
    <w:rPr>
      <w:color w:val="000000"/>
    </w:rPr>
  </w:style>
  <w:style w:type="character" w:customStyle="1" w:styleId="ConstantTok">
    <w:name w:val="ConstantTok"/>
    <w:rPr>
      <w:color w:val="000000"/>
    </w:rPr>
  </w:style>
  <w:style w:type="character" w:customStyle="1" w:styleId="CharTok">
    <w:name w:val="CharTok"/>
    <w:rPr>
      <w:color w:val="000000"/>
    </w:rPr>
  </w:style>
  <w:style w:type="character" w:customStyle="1" w:styleId="SpecialCharTok">
    <w:name w:val="SpecialCharTok"/>
    <w:rPr>
      <w:color w:val="000000"/>
    </w:rPr>
  </w:style>
  <w:style w:type="character" w:customStyle="1" w:styleId="StringTok">
    <w:name w:val="StringTok"/>
    <w:rPr>
      <w:color w:val="000000"/>
    </w:rPr>
  </w:style>
  <w:style w:type="character" w:customStyle="1" w:styleId="VerbatimStringTok">
    <w:name w:val="VerbatimStringTok"/>
    <w:rPr>
      <w:color w:val="000000"/>
    </w:rPr>
  </w:style>
  <w:style w:type="character" w:customStyle="1" w:styleId="SpecialStringTok">
    <w:name w:val="SpecialStringTok"/>
    <w:rPr>
      <w:color w:val="000000"/>
    </w:rPr>
  </w:style>
  <w:style w:type="character" w:customStyle="1" w:styleId="ImportTok">
    <w:name w:val="ImportTok"/>
    <w:rPr>
      <w:b/>
      <w:color w:val="000000"/>
    </w:rPr>
  </w:style>
  <w:style w:type="character" w:customStyle="1" w:styleId="CommentTok">
    <w:name w:val="CommentTok"/>
    <w:rPr>
      <w:i/>
      <w:color w:val="000000"/>
    </w:rPr>
  </w:style>
  <w:style w:type="character" w:customStyle="1" w:styleId="DocumentationTok">
    <w:name w:val="DocumentationTok"/>
    <w:rPr>
      <w:i/>
      <w:color w:val="000000"/>
    </w:rPr>
  </w:style>
  <w:style w:type="character" w:customStyle="1" w:styleId="AnnotationTok">
    <w:name w:val="AnnotationTok"/>
    <w:rPr>
      <w:b/>
      <w:i/>
      <w:color w:val="000000"/>
    </w:rPr>
  </w:style>
  <w:style w:type="character" w:customStyle="1" w:styleId="CommentVarTok">
    <w:name w:val="CommentVarTok"/>
    <w:rPr>
      <w:b/>
      <w:i/>
      <w:color w:val="000000"/>
    </w:rPr>
  </w:style>
  <w:style w:type="character" w:customStyle="1" w:styleId="OtherTok">
    <w:name w:val="OtherTok"/>
    <w:rPr>
      <w:color w:val="000000"/>
    </w:rPr>
  </w:style>
  <w:style w:type="character" w:customStyle="1" w:styleId="FunctionTok">
    <w:name w:val="FunctionTok"/>
    <w:rPr>
      <w:color w:val="000000"/>
    </w:rPr>
  </w:style>
  <w:style w:type="character" w:customStyle="1" w:styleId="VariableTok">
    <w:name w:val="VariableTok"/>
    <w:rPr>
      <w:color w:val="000000"/>
    </w:rPr>
  </w:style>
  <w:style w:type="character" w:customStyle="1" w:styleId="ControlFlowTok">
    <w:name w:val="ControlFlowTok"/>
    <w:rPr>
      <w:b/>
      <w:color w:val="000000"/>
    </w:rPr>
  </w:style>
  <w:style w:type="character" w:customStyle="1" w:styleId="OperatorTok">
    <w:name w:val="OperatorTok"/>
    <w:rPr>
      <w:color w:val="000000"/>
    </w:rPr>
  </w:style>
  <w:style w:type="character" w:customStyle="1" w:styleId="BuiltInTok">
    <w:name w:val="BuiltInTok"/>
    <w:rPr>
      <w:color w:val="000000"/>
    </w:rPr>
  </w:style>
  <w:style w:type="character" w:customStyle="1" w:styleId="ExtensionTok">
    <w:name w:val="ExtensionTok"/>
    <w:rPr>
      <w:color w:val="000000"/>
    </w:rPr>
  </w:style>
  <w:style w:type="character" w:customStyle="1" w:styleId="PreprocessorTok">
    <w:name w:val="PreprocessorTok"/>
    <w:rPr>
      <w:color w:val="000000"/>
    </w:rPr>
  </w:style>
  <w:style w:type="character" w:customStyle="1" w:styleId="AttributeTok">
    <w:name w:val="AttributeTok"/>
    <w:rPr>
      <w:color w:val="000000"/>
    </w:rPr>
  </w:style>
  <w:style w:type="character" w:customStyle="1" w:styleId="RegionMarkerTok">
    <w:name w:val="RegionMarkerTok"/>
    <w:rPr>
      <w:color w:val="000000"/>
    </w:rPr>
  </w:style>
  <w:style w:type="character" w:customStyle="1" w:styleId="InformationTok">
    <w:name w:val="InformationTok"/>
    <w:rPr>
      <w:b/>
      <w:i/>
      <w:color w:val="000000"/>
    </w:rPr>
  </w:style>
  <w:style w:type="character" w:customStyle="1" w:styleId="WarningTok">
    <w:name w:val="WarningTok"/>
    <w:rPr>
      <w:b/>
      <w:i/>
      <w:color w:val="000000"/>
    </w:rPr>
  </w:style>
  <w:style w:type="character" w:customStyle="1" w:styleId="AlertTok">
    <w:name w:val="AlertTok"/>
    <w:rPr>
      <w:b/>
      <w:color w:val="000000"/>
    </w:rPr>
  </w:style>
  <w:style w:type="character" w:customStyle="1" w:styleId="ErrorTok">
    <w:name w:val="ErrorTok"/>
    <w:rPr>
      <w:b/>
      <w:color w:val="000000"/>
    </w:rPr>
  </w:style>
  <w:style w:type="character" w:customStyle="1" w:styleId="NormalTok">
    <w:name w:val="NormalTok"/>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98/rstb.2005.1623" TargetMode="External"/><Relationship Id="rId18" Type="http://schemas.openxmlformats.org/officeDocument/2006/relationships/hyperlink" Target="https://doi.org/10.1038/nn.2449" TargetMode="External"/><Relationship Id="rId3" Type="http://schemas.openxmlformats.org/officeDocument/2006/relationships/settings" Target="settings.xml"/><Relationship Id="rId21" Type="http://schemas.openxmlformats.org/officeDocument/2006/relationships/hyperlink" Target="https://stacks.math.columbia.edu/tag/012X" TargetMode="External"/><Relationship Id="rId7" Type="http://schemas.openxmlformats.org/officeDocument/2006/relationships/image" Target="media/image1.png"/><Relationship Id="rId12" Type="http://schemas.openxmlformats.org/officeDocument/2006/relationships/hyperlink" Target="https://arxiv.org/abs/2202.04579" TargetMode="External"/><Relationship Id="rId17" Type="http://schemas.openxmlformats.org/officeDocument/2006/relationships/hyperlink" Target="https://doi.org/10.1038/nature22073"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38/nature10835" TargetMode="External"/><Relationship Id="rId20" Type="http://schemas.openxmlformats.org/officeDocument/2006/relationships/hyperlink" Target="https://arxiv.org/abs/2602.0931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1808.01513"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16/j.neuron.2014.02.021" TargetMode="External"/><Relationship Id="rId23" Type="http://schemas.openxmlformats.org/officeDocument/2006/relationships/footer" Target="footer1.xml"/><Relationship Id="rId10" Type="http://schemas.openxmlformats.org/officeDocument/2006/relationships/hyperlink" Target="https://doi.org/10.1007/s41468-019-00038-7" TargetMode="External"/><Relationship Id="rId19" Type="http://schemas.openxmlformats.org/officeDocument/2006/relationships/hyperlink" Target="https://doi.org/10.1177/1948550617697177" TargetMode="External"/><Relationship Id="rId4" Type="http://schemas.openxmlformats.org/officeDocument/2006/relationships/webSettings" Target="webSettings.xml"/><Relationship Id="rId9" Type="http://schemas.openxmlformats.org/officeDocument/2006/relationships/hyperlink" Target="https://arxiv.org/abs/1303.3255" TargetMode="External"/><Relationship Id="rId14" Type="http://schemas.openxmlformats.org/officeDocument/2006/relationships/hyperlink" Target="https://doi.org/10.3389/neuro.06.003.2009" TargetMode="External"/><Relationship Id="rId22" Type="http://schemas.openxmlformats.org/officeDocument/2006/relationships/hyperlink" Target="https://arxiv.org/abs/0812.01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19</Pages>
  <Words>9094</Words>
  <Characters>51839</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Cortical Sheet as a Recurrent Cellular Sheaf</dc:title>
  <dc:subject>Horizontal topology and vertical algebra with falsifiable cortical and artificial-memory tests</dc:subject>
  <dc:creator>Debi Prasad Ghosh</dc:creator>
  <cp:keywords>cellular sheaf, cortex, recurrent inference, gain modulation, equivalence testing</cp:keywords>
  <dc:description/>
  <cp:lastModifiedBy>Debiprasad Ghosh</cp:lastModifiedBy>
  <cp:revision>2</cp:revision>
  <dcterms:created xsi:type="dcterms:W3CDTF">2026-09-19T14:20:00Z</dcterms:created>
  <dcterms:modified xsi:type="dcterms:W3CDTF">2026-09-19T14:42:00Z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Horizontal Topology and Vertical Algebra</vt:lpwstr>
  </property>
</Properties>
</file>