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Transfers Between Construction Customers?</w:t>
      </w:r>
    </w:p>
    <w:p>
      <w:pPr>
        <w:pStyle w:val="Subtitle"/>
      </w:pPr>
      <w:r>
        <w:t>A protocol for revalidation cost, evidence access and selective-label evaluation</w:t>
      </w:r>
    </w:p>
    <w:p>
      <w:pPr>
        <w:pStyle w:val="Meta"/>
      </w:pPr>
      <w:r>
        <w:t>Working paper  |  Version 2.0  |  5 September 2026</w:t>
      </w:r>
    </w:p>
    <w:p>
      <w:r/>
      <w:r>
        <w:rPr>
          <w:b/>
        </w:rPr>
        <w:t>Abstract.</w:t>
      </w:r>
      <w:r>
        <w:t xml:space="preserve"> This protocol tests an AI vendor’s claim that field deployment produces capability reusable across its customers. The primary quantity is revalidation effort at fixed scope and assurance, accompanied by total delivery cost across all evidence-supplying parties. A two-customer study establishes feasibility of one transfer; a larger series is required to estimate cost decay. The protocol separates evidence correctness, prediction under proceeding and the causal value of displaying a tool. It combines independent evidence audits, rotating shadow samples and a conditional contraction study. No data, permissions, numerical savings or identification assumptions are treated as established.</w:t>
      </w:r>
    </w:p>
    <w:p>
      <w:pPr>
        <w:pStyle w:val="Heading1"/>
      </w:pPr>
      <w:r>
        <w:t>1. Unit of analysis and hypotheses</w:t>
      </w:r>
    </w:p>
    <w:p>
      <w:r>
        <w:t>The primary transfer unit is a specified asset version deployed into a new customer’s authorized workflow. Customers contain projects; projects contain work packages and repeated decision cutoffs. Repeated snapshots are not independent transfers. Start with Customer A and Customer B using the same declared workflow family. Their identities, buyer roles, source systems, specification regimes and commercial boundaries are recorded before evaluation. A contractor readiness product and a client acceptance product must not be pooled merely because both use an evidence graph.</w:t>
      </w:r>
    </w:p>
    <w:p>
      <w:r>
        <w:t>A second customer supplies one test of transfer. Later projects within a customer help distinguish customer setup from project adaptation, but cannot replace independent customer replication. Subsequent studies should vary customers, source systems and rule regimes deliberately and include unsuccessful or commercially blocked candidates. Keep the original FDCE’s involvement visible; a transfer requiring that person’s tacit knowledge is a different result from documented independent deployment.</w:t>
      </w:r>
    </w:p>
    <w:p>
      <w:r/>
      <w:r>
        <w:rPr>
          <w:b/>
        </w:rPr>
        <w:t>H1: revalidation advantage.</w:t>
      </w:r>
      <w:r>
        <w:t xml:space="preserve"> Reusing a declared asset reduces the receiving deployment’s V relative to a prespecified alternative at comparable scope, evidence coverage and assurance. Also test net benefit after adaptation, support and generalization costs. A lower vendor bill accompanied by higher customer or supplier effort does not establish a system-wide saving.</w:t>
      </w:r>
    </w:p>
    <w:p>
      <w:r/>
      <w:r>
        <w:rPr>
          <w:b/>
        </w:rPr>
        <w:t>H2: bounded semantic transfer.</w:t>
      </w:r>
      <w:r>
        <w:t xml:space="preserve"> A frozen kernel and declared extension points represent the second customer’s required identities, revisions, provenance and scoped authority without changing their established meaning. Schema, connector and rule classes are explanatory categories, not presumed cost regimes. Rules may transfer; schemas may need revalidation.</w:t>
      </w:r>
    </w:p>
    <w:p>
      <w:r/>
      <w:r>
        <w:rPr>
          <w:b/>
        </w:rPr>
        <w:t>H3: evidence participation.</w:t>
      </w:r>
      <w:r>
        <w:t xml:space="preserve"> Under comparable record duties, cross-party sources have lower timely completeness or higher reconciliation effort than intra-party sources. Specify the comparison and adjust for source type, work-package risk, system maturity, record age and formal access arrangements. An unadjusted difference cannot establish adversarial withholding.</w:t>
      </w:r>
    </w:p>
    <w:p>
      <w:r/>
      <w:r>
        <w:rPr>
          <w:b/>
        </w:rPr>
        <w:t>H4: evaluated data benefit.</w:t>
      </w:r>
      <w:r>
        <w:t xml:space="preserve"> A separately updated learned component improves a prespecified metric on eligible unseen-customer or later-period cases. This claim requires a stated label target and defensible observation design. Successful reuse alone does not establish model learning, and failure of an optional risk model does not negate useful evidence reconciliation.</w:t>
      </w:r>
    </w:p>
    <w:p>
      <w:pPr>
        <w:pStyle w:val="Heading1"/>
      </w:pPr>
      <w:r>
        <w:t>2. Register the parties, rights and candidate workflows</w:t>
      </w:r>
    </w:p>
    <w:p>
      <w:r>
        <w:t>For each engagement record employer, paying customer, operational sponsor, product owner, construction authority and permitted output recipients. For every asset distinguish legal ownership, reuse licence, semantic authority, maintenance owner and the party paying revalidation. Review the actual vendor/customer agreement, relevant client/contractor terms and supplier or joint-venture provisions, including amendments. A public protocol can illustrate the issues [5]; it cannot clear the intended transfer. Unresolved access or reuse rights remain unresolved, not assumed from vendor employment.</w:t>
      </w:r>
    </w:p>
    <w:p>
      <w:pPr>
        <w:pStyle w:val="Caption"/>
      </w:pPr>
      <w:r>
        <w:t>Table 1. Required evidence-supplier register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8DC"/>
          <w:left w:val="single" w:sz="4" w:color="D4D8DC"/>
          <w:bottom w:val="single" w:sz="4" w:color="D4D8DC"/>
          <w:right w:val="single" w:sz="4" w:color="D4D8DC"/>
          <w:insideH w:val="single" w:sz="4" w:color="D4D8DC"/>
          <w:insideV w:val="single" w:sz="4" w:color="D4D8DC"/>
        </w:tblBorders>
      </w:tblPr>
      <w:tblGrid>
        <w:gridCol w:w="3120"/>
        <w:gridCol w:w="6240"/>
      </w:tblGrid>
      <w:tr>
        <w:trPr>
          <w:cantSplit/>
          <w:tblHeader/>
        </w:trPr>
        <w:tc>
          <w:tcPr>
            <w:tcW w:type="dxa" w:w="3120"/>
            <w:vAlign w:val="center"/>
            <w:shd w:fill="F2F4F7" w:val="clear"/>
          </w:tcPr>
          <w:p>
            <w:pPr>
              <w:pStyle w:val="TableText"/>
            </w:pPr>
            <w:r>
              <w:rPr>
                <w:b/>
              </w:rPr>
              <w:t>Field</w:t>
            </w:r>
          </w:p>
        </w:tc>
        <w:tc>
          <w:tcPr>
            <w:tcW w:type="dxa" w:w="6240"/>
            <w:vAlign w:val="center"/>
            <w:shd w:fill="F2F4F7" w:val="clear"/>
          </w:tcPr>
          <w:p>
            <w:pPr>
              <w:pStyle w:val="TableText"/>
            </w:pPr>
            <w:r>
              <w:rPr>
                <w:b/>
              </w:rPr>
              <w:t>What must be established</w:t>
            </w:r>
          </w:p>
        </w:tc>
      </w:tr>
      <w:tr>
        <w:trPr>
          <w:cantSplit/>
        </w:trPr>
        <w:tc>
          <w:tcPr>
            <w:tcW w:type="dxa" w:w="3120"/>
            <w:vAlign w:val="center"/>
          </w:tcPr>
          <w:p>
            <w:pPr>
              <w:pStyle w:val="TableText"/>
            </w:pPr>
            <w:r>
              <w:rPr>
                <w:b w:val="0"/>
              </w:rPr>
              <w:t>Record and custodian</w:t>
            </w:r>
          </w:p>
        </w:tc>
        <w:tc>
          <w:tcPr>
            <w:tcW w:type="dxa" w:w="6240"/>
            <w:vAlign w:val="center"/>
          </w:tcPr>
          <w:p>
            <w:pPr>
              <w:pStyle w:val="TableText"/>
            </w:pPr>
            <w:r>
              <w:rPr>
                <w:b w:val="0"/>
              </w:rPr>
              <w:t>Exact source, revision basis and accountable supplier</w:t>
            </w:r>
          </w:p>
        </w:tc>
      </w:tr>
      <w:tr>
        <w:trPr>
          <w:cantSplit/>
        </w:trPr>
        <w:tc>
          <w:tcPr>
            <w:tcW w:type="dxa" w:w="3120"/>
            <w:vAlign w:val="center"/>
          </w:tcPr>
          <w:p>
            <w:pPr>
              <w:pStyle w:val="TableText"/>
            </w:pPr>
            <w:r>
              <w:rPr>
                <w:b w:val="0"/>
              </w:rPr>
              <w:t>Access/control basis</w:t>
            </w:r>
          </w:p>
        </w:tc>
        <w:tc>
          <w:tcPr>
            <w:tcW w:type="dxa" w:w="6240"/>
            <w:vAlign w:val="center"/>
          </w:tcPr>
          <w:p>
            <w:pPr>
              <w:pStyle w:val="TableText"/>
            </w:pPr>
            <w:r>
              <w:rPr>
                <w:b w:val="0"/>
              </w:rPr>
              <w:t>Existing duty, licence, agreed interface or new arrangement</w:t>
            </w:r>
          </w:p>
        </w:tc>
      </w:tr>
      <w:tr>
        <w:trPr>
          <w:cantSplit/>
        </w:trPr>
        <w:tc>
          <w:tcPr>
            <w:tcW w:type="dxa" w:w="3120"/>
            <w:vAlign w:val="center"/>
          </w:tcPr>
          <w:p>
            <w:pPr>
              <w:pStyle w:val="TableText"/>
            </w:pPr>
            <w:r>
              <w:rPr>
                <w:b w:val="0"/>
              </w:rPr>
              <w:t>Existing purpose and delivery channel</w:t>
            </w:r>
          </w:p>
        </w:tc>
        <w:tc>
          <w:tcPr>
            <w:tcW w:type="dxa" w:w="6240"/>
            <w:vAlign w:val="center"/>
          </w:tcPr>
          <w:p>
            <w:pPr>
              <w:pStyle w:val="TableText"/>
            </w:pPr>
            <w:r>
              <w:rPr>
                <w:b w:val="0"/>
              </w:rPr>
              <w:t>Why the record already exists and how it can be consumed</w:t>
            </w:r>
          </w:p>
        </w:tc>
      </w:tr>
      <w:tr>
        <w:trPr>
          <w:cantSplit/>
        </w:trPr>
        <w:tc>
          <w:tcPr>
            <w:tcW w:type="dxa" w:w="3120"/>
            <w:vAlign w:val="center"/>
          </w:tcPr>
          <w:p>
            <w:pPr>
              <w:pStyle w:val="TableText"/>
            </w:pPr>
            <w:r>
              <w:rPr>
                <w:b w:val="0"/>
              </w:rPr>
              <w:t>Cost and benefit by party</w:t>
            </w:r>
          </w:p>
        </w:tc>
        <w:tc>
          <w:tcPr>
            <w:tcW w:type="dxa" w:w="6240"/>
            <w:vAlign w:val="center"/>
          </w:tcPr>
          <w:p>
            <w:pPr>
              <w:pStyle w:val="TableText"/>
            </w:pPr>
            <w:r>
              <w:rPr>
                <w:b w:val="0"/>
              </w:rPr>
              <w:t>Entry, correction, export, review, waiting and any compensation</w:t>
            </w:r>
          </w:p>
        </w:tc>
      </w:tr>
      <w:tr>
        <w:trPr>
          <w:cantSplit/>
        </w:trPr>
        <w:tc>
          <w:tcPr>
            <w:tcW w:type="dxa" w:w="3120"/>
            <w:vAlign w:val="center"/>
          </w:tcPr>
          <w:p>
            <w:pPr>
              <w:pStyle w:val="TableText"/>
            </w:pPr>
            <w:r>
              <w:rPr>
                <w:b w:val="0"/>
              </w:rPr>
              <w:t>Evidence and learning permissions</w:t>
            </w:r>
          </w:p>
        </w:tc>
        <w:tc>
          <w:tcPr>
            <w:tcW w:type="dxa" w:w="6240"/>
            <w:vAlign w:val="center"/>
          </w:tcPr>
          <w:p>
            <w:pPr>
              <w:pStyle w:val="TableText"/>
            </w:pPr>
            <w:r>
              <w:rPr>
                <w:b w:val="0"/>
              </w:rPr>
              <w:t>Recipients, use purpose, retention, onward transfer and exclusions</w:t>
            </w:r>
          </w:p>
        </w:tc>
      </w:tr>
      <w:tr>
        <w:trPr>
          <w:cantSplit/>
        </w:trPr>
        <w:tc>
          <w:tcPr>
            <w:tcW w:type="dxa" w:w="3120"/>
            <w:vAlign w:val="center"/>
          </w:tcPr>
          <w:p>
            <w:pPr>
              <w:pStyle w:val="TableText"/>
            </w:pPr>
            <w:r>
              <w:rPr>
                <w:b w:val="0"/>
              </w:rPr>
              <w:t>Dependency classification</w:t>
            </w:r>
          </w:p>
        </w:tc>
        <w:tc>
          <w:tcPr>
            <w:tcW w:type="dxa" w:w="6240"/>
            <w:vAlign w:val="center"/>
          </w:tcPr>
          <w:p>
            <w:pPr>
              <w:pStyle w:val="TableText"/>
            </w:pPr>
            <w:r>
              <w:rPr>
                <w:b w:val="0"/>
              </w:rPr>
              <w:t>Intra-party, assured cross-party, or unresolved external dependency</w:t>
            </w:r>
          </w:p>
        </w:tc>
      </w:tr>
    </w:tbl>
    <w:p>
      <w:pPr>
        <w:pStyle w:val="AfterTable"/>
      </w:pPr>
      <w:r>
        <w:t>A required input outside assured access/control is a high recurring-cost risk, irrespective of coding simplicity. Measure it rather than automatically assigning a numerical V. Start with extant records and zero new routine entry as a target; account for corrections, mappings and exceptions. Evidence audit work is a separately funded study activity and must not be hidden inside a claim of zero production entry burden.</w:t>
      </w:r>
    </w:p>
    <w:p>
      <w:r>
        <w:t>Register candidate workflows before choosing the pilot, including expected value, record access, source-party count, likely transfer envelope and exclusion reasons. A sponsor independent of the FDCE’s implementation choice applies the selection rubric. Retain the convenience-selection limitation. For delayed-start workflows, independently classify evidence, physical, design, material, resource, weather and access causes, preserving multiple causes and uncertainty. Any screening threshold must reflect avoidable severity, duration and cost, not a universal percentage.</w:t>
      </w:r>
    </w:p>
    <w:p>
      <w:r>
        <w:t>Define who can challenge a record and how correction preserves provenance. Source authority and agreed evidence procedures govern intended use; funding identity alone does not establish admissibility or trust. Internal reconciliation can still generate disputed or disclosable material. Apply actual record-preservation duties separately from optional learning exports; PD57AD is an English and Welsh example, not a clearance for the study’s eventual jurisdiction [6].</w:t>
      </w:r>
    </w:p>
    <w:p>
      <w:pPr>
        <w:pStyle w:val="Heading1"/>
      </w:pPr>
      <w:r>
        <w:t>3. Measure V without moving costs out of view</w:t>
      </w:r>
    </w:p>
    <w:p>
      <w:pPr>
        <w:pStyle w:val="Equation"/>
      </w:pPr>
      <m:oMath>
        <m:r>
          <m:rPr>
            <m:nor/>
          </m:rPr>
          <m:t xml:space="preserve">C(N) = F + </m:t>
        </m:r>
        <m:nary>
          <m:naryPr>
            <m:chr m:val="∑"/>
            <m:limLoc m:val="subSup"/>
          </m:naryPr>
          <m:sub>
            <m:r>
              <m:rPr>
                <m:nor/>
              </m:rPr>
              <m:t xml:space="preserve">d = 1</m:t>
            </m:r>
          </m:sub>
          <m:sup>
            <m:r>
              <m:rPr>
                <m:nor/>
              </m:rPr>
              <m:t xml:space="preserve">N</m:t>
            </m:r>
          </m:sup>
          <m:e>
            <m:r>
              <m:rPr>
                <m:nor/>
              </m:rPr>
              <m:t xml:space="preserve">(</m:t>
            </m:r>
            <m:sSub>
              <m:e>
                <m:r>
                  <m:rPr>
                    <m:nor/>
                  </m:rPr>
                  <m:t xml:space="preserve">V</m:t>
                </m:r>
              </m:e>
              <m:sub>
                <m:r>
                  <m:rPr>
                    <m:nor/>
                  </m:rPr>
                  <m:t xml:space="preserve">d</m:t>
                </m:r>
              </m:sub>
            </m:sSub>
            <m:r>
              <m:rPr>
                <m:nor/>
              </m:rPr>
              <m:t xml:space="preserve"> + </m:t>
            </m:r>
            <m:sSub>
              <m:e>
                <m:r>
                  <m:rPr>
                    <m:nor/>
                  </m:rPr>
                  <m:t xml:space="preserve">A</m:t>
                </m:r>
              </m:e>
              <m:sub>
                <m:r>
                  <m:rPr>
                    <m:nor/>
                  </m:rPr>
                  <m:t xml:space="preserve">d</m:t>
                </m:r>
              </m:sub>
            </m:sSub>
            <m:r>
              <m:rPr>
                <m:nor/>
              </m:rPr>
              <m:t xml:space="preserve"> + </m:t>
            </m:r>
            <m:sSub>
              <m:e>
                <m:r>
                  <m:rPr>
                    <m:nor/>
                  </m:rPr>
                  <m:t xml:space="preserve">O</m:t>
                </m:r>
              </m:e>
              <m:sub>
                <m:r>
                  <m:rPr>
                    <m:nor/>
                  </m:rPr>
                  <m:t xml:space="preserve">d</m:t>
                </m:r>
              </m:sub>
            </m:sSub>
            <m:r>
              <m:rPr>
                <m:nor/>
              </m:rPr>
              <m:t xml:space="preserve">)</m:t>
            </m:r>
          </m:e>
        </m:nary>
        <m:r>
          <m:rPr>
            <m:nor/>
          </m:rPr>
          <m:t xml:space="preserve"> + </m:t>
        </m:r>
        <m:nary>
          <m:naryPr>
            <m:chr m:val="∑"/>
            <m:limLoc m:val="subSup"/>
          </m:naryPr>
          <m:sub>
            <m:r>
              <m:rPr>
                <m:nor/>
              </m:rPr>
              <m:t xml:space="preserve">u = 1</m:t>
            </m:r>
          </m:sub>
          <m:sup>
            <m:r>
              <m:rPr>
                <m:nor/>
              </m:rPr>
              <m:t xml:space="preserve">U(N)</m:t>
            </m:r>
          </m:sup>
          <m:e>
            <m:sSub>
              <m:e>
                <m:r>
                  <m:rPr>
                    <m:nor/>
                  </m:rPr>
                  <m:t xml:space="preserve">M</m:t>
                </m:r>
              </m:e>
              <m:sub>
                <m:r>
                  <m:rPr>
                    <m:nor/>
                  </m:rPr>
                  <m:t xml:space="preserve">u</m:t>
                </m:r>
              </m:sub>
            </m:sSub>
          </m:e>
        </m:nary>
      </m:oMath>
    </w:p>
    <w:p>
      <w:r>
        <w:t>Use a consistent monetary basis for C, F, V, A, O and M, and retain underlying hours by staff role. F covers fixed development/generalization over the stated horizon; V covers establishing applicability and acceptable performance; A covers changes needed to achieve them; O covers deployment operations, support and maintenance; M covers each new physical unit. N is deployments and U(N) is new units. If analysing a rental purchaser’s cash flow, use rental payments in O instead of also charging the same unit acquisition cost.</w:t>
      </w:r>
    </w:p>
    <w:p>
      <w:r>
        <w:t xml:space="preserve">Every effort entry has three independent dimensions: </w:t>
      </w:r>
      <w:r>
        <w:rPr>
          <w:b/>
        </w:rPr>
        <w:t>purpose</w:t>
      </w:r>
      <w:r>
        <w:t xml:space="preserve"> (V, A or O); </w:t>
      </w:r>
      <w:r>
        <w:rPr>
          <w:b/>
        </w:rPr>
        <w:t>component</w:t>
      </w:r>
      <w:r>
        <w:t xml:space="preserve"> (kernel/schema, parser/connector, local rule, interface or inseparable combination); and </w:t>
      </w:r>
      <w:r>
        <w:rPr>
          <w:b/>
        </w:rPr>
        <w:t>cost bearer</w:t>
      </w:r>
      <w:r>
        <w:t xml:space="preserve"> (vendor, contractor, client or named supplier). Within V, tag semantic/specification review, technical verification, interoperability, rights/access checks and authorized acceptance review. Tags do not create extra charges. Record elapsed waiting separately from labour and assign mixed work once, with its interacting components identified.</w:t>
      </w:r>
    </w:p>
    <w:p>
      <w:r>
        <w:t>Keep fixed product costs and per-deployment work separate. Record exceptional revisions and joint interface conflicts explicitly; additive bookkeeping does not assume independently reusable contributions. In a system-cost view, invoices are transfers between parties, not extra labour to add again. In a party-specific cash-flow view they are real payments. Report both views with their boundaries and accounting horizon.</w:t>
      </w:r>
    </w:p>
    <w:p>
      <w:pPr>
        <w:pStyle w:val="Caption"/>
      </w:pPr>
      <w:r>
        <w:t>Table 2. Minimum deployment and asset cost record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8DC"/>
          <w:left w:val="single" w:sz="4" w:color="D4D8DC"/>
          <w:bottom w:val="single" w:sz="4" w:color="D4D8DC"/>
          <w:right w:val="single" w:sz="4" w:color="D4D8DC"/>
          <w:insideH w:val="single" w:sz="4" w:color="D4D8DC"/>
          <w:insideV w:val="single" w:sz="4" w:color="D4D8DC"/>
        </w:tblBorders>
      </w:tblPr>
      <w:tblGrid>
        <w:gridCol w:w="2880"/>
        <w:gridCol w:w="6480"/>
      </w:tblGrid>
      <w:tr>
        <w:trPr>
          <w:cantSplit/>
          <w:tblHeader/>
        </w:trPr>
        <w:tc>
          <w:tcPr>
            <w:tcW w:type="dxa" w:w="2880"/>
            <w:vAlign w:val="center"/>
            <w:shd w:fill="F2F4F7" w:val="clear"/>
          </w:tcPr>
          <w:p>
            <w:pPr>
              <w:pStyle w:val="TableText"/>
            </w:pPr>
            <w:r>
              <w:rPr>
                <w:b/>
              </w:rPr>
              <w:t>Record</w:t>
            </w:r>
          </w:p>
        </w:tc>
        <w:tc>
          <w:tcPr>
            <w:tcW w:type="dxa" w:w="6480"/>
            <w:vAlign w:val="center"/>
            <w:shd w:fill="F2F4F7" w:val="clear"/>
          </w:tcPr>
          <w:p>
            <w:pPr>
              <w:pStyle w:val="TableText"/>
            </w:pPr>
            <w:r>
              <w:rPr>
                <w:b/>
              </w:rPr>
              <w:t>Required content</w:t>
            </w:r>
          </w:p>
        </w:tc>
      </w:tr>
      <w:tr>
        <w:trPr>
          <w:cantSplit/>
        </w:trPr>
        <w:tc>
          <w:tcPr>
            <w:tcW w:type="dxa" w:w="2880"/>
            <w:vAlign w:val="center"/>
          </w:tcPr>
          <w:p>
            <w:pPr>
              <w:pStyle w:val="TableText"/>
            </w:pPr>
            <w:r>
              <w:rPr>
                <w:b w:val="0"/>
              </w:rPr>
              <w:t>Identity and version</w:t>
            </w:r>
          </w:p>
        </w:tc>
        <w:tc>
          <w:tcPr>
            <w:tcW w:type="dxa" w:w="6480"/>
            <w:vAlign w:val="center"/>
          </w:tcPr>
          <w:p>
            <w:pPr>
              <w:pStyle w:val="TableText"/>
            </w:pPr>
            <w:r>
              <w:rPr>
                <w:b w:val="0"/>
              </w:rPr>
              <w:t>Customer, project, workflow, asset version and declared envelope</w:t>
            </w:r>
          </w:p>
        </w:tc>
      </w:tr>
      <w:tr>
        <w:trPr>
          <w:cantSplit/>
        </w:trPr>
        <w:tc>
          <w:tcPr>
            <w:tcW w:type="dxa" w:w="2880"/>
            <w:vAlign w:val="center"/>
          </w:tcPr>
          <w:p>
            <w:pPr>
              <w:pStyle w:val="TableText"/>
            </w:pPr>
            <w:r>
              <w:rPr>
                <w:b w:val="0"/>
              </w:rPr>
              <w:t>Effort and purpose</w:t>
            </w:r>
          </w:p>
        </w:tc>
        <w:tc>
          <w:tcPr>
            <w:tcW w:type="dxa" w:w="6480"/>
            <w:vAlign w:val="center"/>
          </w:tcPr>
          <w:p>
            <w:pPr>
              <w:pStyle w:val="TableText"/>
            </w:pPr>
            <w:r>
              <w:rPr>
                <w:b w:val="0"/>
              </w:rPr>
              <w:t>Role-hours, V/A/O category, component tags and cost bearer</w:t>
            </w:r>
          </w:p>
        </w:tc>
      </w:tr>
      <w:tr>
        <w:trPr>
          <w:cantSplit/>
        </w:trPr>
        <w:tc>
          <w:tcPr>
            <w:tcW w:type="dxa" w:w="2880"/>
            <w:vAlign w:val="center"/>
          </w:tcPr>
          <w:p>
            <w:pPr>
              <w:pStyle w:val="TableText"/>
            </w:pPr>
            <w:r>
              <w:rPr>
                <w:b w:val="0"/>
              </w:rPr>
              <w:t>Reason and evidence</w:t>
            </w:r>
          </w:p>
        </w:tc>
        <w:tc>
          <w:tcPr>
            <w:tcW w:type="dxa" w:w="6480"/>
            <w:vAlign w:val="center"/>
          </w:tcPr>
          <w:p>
            <w:pPr>
              <w:pStyle w:val="TableText"/>
            </w:pPr>
            <w:r>
              <w:rPr>
                <w:b w:val="0"/>
              </w:rPr>
              <w:t>New requirement, dependency change, permission check or failed test</w:t>
            </w:r>
          </w:p>
        </w:tc>
      </w:tr>
      <w:tr>
        <w:trPr>
          <w:cantSplit/>
        </w:trPr>
        <w:tc>
          <w:tcPr>
            <w:tcW w:type="dxa" w:w="2880"/>
            <w:vAlign w:val="center"/>
          </w:tcPr>
          <w:p>
            <w:pPr>
              <w:pStyle w:val="TableText"/>
            </w:pPr>
            <w:r>
              <w:rPr>
                <w:b w:val="0"/>
              </w:rPr>
              <w:t>Quality and coverage</w:t>
            </w:r>
          </w:p>
        </w:tc>
        <w:tc>
          <w:tcPr>
            <w:tcW w:type="dxa" w:w="6480"/>
            <w:vAlign w:val="center"/>
          </w:tcPr>
          <w:p>
            <w:pPr>
              <w:pStyle w:val="TableText"/>
            </w:pPr>
            <w:r>
              <w:rPr>
                <w:b w:val="0"/>
              </w:rPr>
              <w:t>Acceptance criteria, audit findings, unknowns and unresolved conflicts</w:t>
            </w:r>
          </w:p>
        </w:tc>
      </w:tr>
      <w:tr>
        <w:trPr>
          <w:cantSplit/>
        </w:trPr>
        <w:tc>
          <w:tcPr>
            <w:tcW w:type="dxa" w:w="2880"/>
            <w:vAlign w:val="center"/>
          </w:tcPr>
          <w:p>
            <w:pPr>
              <w:pStyle w:val="TableText"/>
            </w:pPr>
            <w:r>
              <w:rPr>
                <w:b w:val="0"/>
              </w:rPr>
              <w:t>Comparator and outcome</w:t>
            </w:r>
          </w:p>
        </w:tc>
        <w:tc>
          <w:tcPr>
            <w:tcW w:type="dxa" w:w="6480"/>
            <w:vAlign w:val="center"/>
          </w:tcPr>
          <w:p>
            <w:pPr>
              <w:pStyle w:val="TableText"/>
            </w:pPr>
            <w:r>
              <w:rPr>
                <w:b w:val="0"/>
              </w:rPr>
              <w:t>Conventional approach; accepted, adapted, rejected or blocked</w:t>
            </w:r>
          </w:p>
        </w:tc>
      </w:tr>
      <w:tr>
        <w:trPr>
          <w:cantSplit/>
        </w:trPr>
        <w:tc>
          <w:tcPr>
            <w:tcW w:type="dxa" w:w="2880"/>
            <w:vAlign w:val="center"/>
          </w:tcPr>
          <w:p>
            <w:pPr>
              <w:pStyle w:val="TableText"/>
            </w:pPr>
            <w:r>
              <w:rPr>
                <w:b w:val="0"/>
              </w:rPr>
              <w:t>Follow-up burden</w:t>
            </w:r>
          </w:p>
        </w:tc>
        <w:tc>
          <w:tcPr>
            <w:tcW w:type="dxa" w:w="6480"/>
            <w:vAlign w:val="center"/>
          </w:tcPr>
          <w:p>
            <w:pPr>
              <w:pStyle w:val="TableText"/>
            </w:pPr>
            <w:r>
              <w:rPr>
                <w:b w:val="0"/>
              </w:rPr>
              <w:t>Support interval, incidents, revalidation trigger and retirement decision</w:t>
            </w:r>
          </w:p>
        </w:tc>
      </w:tr>
    </w:tbl>
    <w:p>
      <w:pPr>
        <w:pStyle w:val="AfterTable"/>
      </w:pPr>
      <w:r>
        <w:t>Freeze Customer A’s accepted version, semantic benchmark and known limitations before Customer B’s evaluation. Standard queries include finding an asset across identifiers, locating an operative revision at a cutoff, tracing source authority, representing revocation, and distinguishing failed, unknown and conflicting evidence. Generic text fields that conceal changed meanings do not pass semantic transfer. PROV-O and SHACL are architectural precedents, not empirical support for low construction V [3,4].</w:t>
      </w:r>
    </w:p>
    <w:p>
      <w:r>
        <w:t>Use matched receiving-customer tasks with identical inputs and acceptance criteria to compare reuse with the conventional toolkit. Where feasible use independent teams or randomized task allocation; record learning carry-over and shared dependencies. Neither approach can skip necessary review. Historical estimates alone yield an estimated comparator, which must be labelled accordingly. Freeze the learned model during this primary transfer comparison.</w:t>
      </w:r>
    </w:p>
    <w:p>
      <w:r>
        <w:t>Report per-asset V distributions and total delivery effort, including failed transfers and supplier costs, at a common quality threshold. Do not reward removal of required checks. Positive-V assets remain worthwhile when avoided work and outcomes justify the residual cost. Retire assets for lost fitness, poor net benefit or unsustainable maintenance, not simply because V has a floor.</w:t>
      </w:r>
    </w:p>
    <w:p>
      <w:r>
        <w:t>No asset class has measured V in this proposal. Two customers cannot identify a decay exponent or asymptote. Subsequent analysis should condition on changes of scope, specification and integration environment. A smooth decline in total cost cannot falsify a schema/rule split: a declining schema component plus a constant rule component also yields a smoothly declining total. Component changes and semantic failures are the relevant observations.</w:t>
      </w:r>
    </w:p>
    <w:p>
      <w:pPr>
        <w:pStyle w:val="Heading1"/>
      </w:pPr>
      <w:r>
        <w:t>4. Validate evidence status independently</w:t>
      </w:r>
    </w:p>
    <w:p>
      <w:r>
        <w:t>Freeze an observation contract specifying visible systems, covered assets, source authority, completeness assumptions, update latency and expiry. Freeze the applicable rule pack and record event, source-publication, ingestion and effective times separately. An affirmative status refers to that scope and cutoff; it does not authorize work.</w:t>
      </w:r>
    </w:p>
    <w:p>
      <w:r>
        <w:t>For each requirement use S for supported satisfaction, F for supported non-satisfaction and U for insufficient observation, with a separate unresolved-conflict guard. For an all-required rule, any supported F blocks affirmation; otherwise an unknown requirement or applicability remains U. S requires the established applicable catalogue to be satisfied without conflict. An empty catalogue does not pass. Not-applicable determinations require recorded authority.</w:t>
      </w:r>
    </w:p>
    <w:p>
      <w:r>
        <w:t>If concurrent approvals warrant a Petri-net model, explicitly encode the evidence states, actor scopes, revisions and expiry. Enumerate the bounded model’s reachable states and examine missing prerequisites, deadlocks, revocation and return from U after new evidence. Distinguish successful terminal states from harmful dead markings. Record model bounds and unexplored states. State-space tools support these analyses [7], but a diagram or partial run is not verification of the live process.</w:t>
      </w:r>
    </w:p>
    <w:p>
      <w:r>
        <w:t>Select a probability sample of eligible decisions for independent audits regardless of model recommendation or human action; any deliberate oversampling uses known inclusion probabilities. Two qualified reviewers, blinded to the tool’s status, assess admissible evidence available at the cutoff and, separately where possible, the underlying condition. Use independent source checks and authorized inspections. Preserve disagreement, incomplete coverage and rule-catalogue omissions. A later approval cannot be backdated into a valid earlier release.</w:t>
      </w:r>
    </w:p>
    <w:p>
      <w:r>
        <w:t>The audit estimates whether a stated evidence requirement was satisfied or supportable then. It does not reveal what erection would have produced had a deferred package proceeded. Sampling independently of the decision can reduce selection in these auditable state labels; audit refusal and inaccessible records still require reporting. Work starting or ending without incident is not the readiness reference.</w:t>
      </w:r>
    </w:p>
    <w:p>
      <w:pPr>
        <w:pStyle w:val="Heading1"/>
      </w:pPr>
      <w:r>
        <w:t>5. Keep shadow observation as continuing infrastructure</w:t>
      </w:r>
    </w:p>
    <w:p>
      <w:r>
        <w:t>Separate three targets: Z, the contemporaneous evidence condition; Y(1), the outcome under proceeding with a specified method at the cutoff; and the operational effect of displaying the tool. The last is a treatment-effect question. A later start after remediation is not an observation of the earlier Y(1). Record action, timing, method, interventions and outcome-window completeness independently of model status.</w:t>
      </w:r>
    </w:p>
    <w:p>
      <w:r>
        <w:t>On a registered rotating sample, compute immutable hidden outputs before the human decision and withhold display while normal site processes continue. Preserve the three evidence states even if a comparison later groups F and U as “does not support release”. Staff still report immediate hazards through existing channels; log resulting intervention and contamination. Continuing shadow operation needs an owner, budget, selection probabilities and version history.</w:t>
      </w:r>
    </w:p>
    <w:p>
      <w:pPr>
        <w:pStyle w:val="Caption"/>
      </w:pPr>
      <w:r>
        <w:t>Table 3. What a hidden recommendation can and cannot reveal</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8DC"/>
          <w:left w:val="single" w:sz="4" w:color="D4D8DC"/>
          <w:bottom w:val="single" w:sz="4" w:color="D4D8DC"/>
          <w:right w:val="single" w:sz="4" w:color="D4D8DC"/>
          <w:insideH w:val="single" w:sz="4" w:color="D4D8DC"/>
          <w:insideV w:val="single" w:sz="4" w:color="D4D8DC"/>
        </w:tblBorders>
      </w:tblPr>
      <w:tblGrid>
        <w:gridCol w:w="1800"/>
        <w:gridCol w:w="2640"/>
        <w:gridCol w:w="4920"/>
      </w:tblGrid>
      <w:tr>
        <w:trPr>
          <w:cantSplit/>
          <w:tblHeader/>
        </w:trPr>
        <w:tc>
          <w:tcPr>
            <w:tcW w:type="dxa" w:w="1800"/>
            <w:vAlign w:val="center"/>
            <w:shd w:fill="F2F4F7" w:val="clear"/>
          </w:tcPr>
          <w:p>
            <w:pPr>
              <w:pStyle w:val="TableText"/>
            </w:pPr>
            <w:r>
              <w:rPr>
                <w:b/>
              </w:rPr>
              <w:t>Human action</w:t>
            </w:r>
          </w:p>
        </w:tc>
        <w:tc>
          <w:tcPr>
            <w:tcW w:type="dxa" w:w="2640"/>
            <w:vAlign w:val="center"/>
            <w:shd w:fill="F2F4F7" w:val="clear"/>
          </w:tcPr>
          <w:p>
            <w:pPr>
              <w:pStyle w:val="TableText"/>
            </w:pPr>
            <w:r>
              <w:rPr>
                <w:b/>
              </w:rPr>
              <w:t>Hidden tool assessment</w:t>
            </w:r>
          </w:p>
        </w:tc>
        <w:tc>
          <w:tcPr>
            <w:tcW w:type="dxa" w:w="4920"/>
            <w:vAlign w:val="center"/>
            <w:shd w:fill="F2F4F7" w:val="clear"/>
          </w:tcPr>
          <w:p>
            <w:pPr>
              <w:pStyle w:val="TableText"/>
            </w:pPr>
            <w:r>
              <w:rPr>
                <w:b/>
              </w:rPr>
              <w:t>Outcome information</w:t>
            </w:r>
          </w:p>
        </w:tc>
      </w:tr>
      <w:tr>
        <w:trPr>
          <w:cantSplit/>
        </w:trPr>
        <w:tc>
          <w:tcPr>
            <w:tcW w:type="dxa" w:w="1800"/>
            <w:vAlign w:val="center"/>
          </w:tcPr>
          <w:p>
            <w:pPr>
              <w:pStyle w:val="TableText"/>
            </w:pPr>
            <w:r>
              <w:rPr>
                <w:b w:val="0"/>
              </w:rPr>
              <w:t>Proceeds</w:t>
            </w:r>
          </w:p>
        </w:tc>
        <w:tc>
          <w:tcPr>
            <w:tcW w:type="dxa" w:w="2640"/>
            <w:vAlign w:val="center"/>
          </w:tcPr>
          <w:p>
            <w:pPr>
              <w:pStyle w:val="TableText"/>
            </w:pPr>
            <w:r>
              <w:rPr>
                <w:b w:val="0"/>
              </w:rPr>
              <w:t>Supports release</w:t>
            </w:r>
          </w:p>
        </w:tc>
        <w:tc>
          <w:tcPr>
            <w:tcW w:type="dxa" w:w="4920"/>
            <w:vAlign w:val="center"/>
          </w:tcPr>
          <w:p>
            <w:pPr>
              <w:pStyle w:val="TableText"/>
            </w:pPr>
            <w:r>
              <w:rPr>
                <w:b w:val="0"/>
              </w:rPr>
              <w:t>Actual proceeding outcome, subject to follow-up</w:t>
            </w:r>
          </w:p>
        </w:tc>
      </w:tr>
      <w:tr>
        <w:trPr>
          <w:cantSplit/>
        </w:trPr>
        <w:tc>
          <w:tcPr>
            <w:tcW w:type="dxa" w:w="1800"/>
            <w:vAlign w:val="center"/>
          </w:tcPr>
          <w:p>
            <w:pPr>
              <w:pStyle w:val="TableText"/>
            </w:pPr>
            <w:r>
              <w:rPr>
                <w:b w:val="0"/>
              </w:rPr>
              <w:t>Proceeds</w:t>
            </w:r>
          </w:p>
        </w:tc>
        <w:tc>
          <w:tcPr>
            <w:tcW w:type="dxa" w:w="2640"/>
            <w:vAlign w:val="center"/>
          </w:tcPr>
          <w:p>
            <w:pPr>
              <w:pStyle w:val="TableText"/>
            </w:pPr>
            <w:r>
              <w:rPr>
                <w:b w:val="0"/>
              </w:rPr>
              <w:t>Does not support release</w:t>
            </w:r>
          </w:p>
        </w:tc>
        <w:tc>
          <w:tcPr>
            <w:tcW w:type="dxa" w:w="4920"/>
            <w:vAlign w:val="center"/>
          </w:tcPr>
          <w:p>
            <w:pPr>
              <w:pStyle w:val="TableText"/>
            </w:pPr>
            <w:r>
              <w:rPr>
                <w:b w:val="0"/>
              </w:rPr>
              <w:t>Outcome for a decision the tool would have opposed</w:t>
            </w:r>
          </w:p>
        </w:tc>
      </w:tr>
      <w:tr>
        <w:trPr>
          <w:cantSplit/>
        </w:trPr>
        <w:tc>
          <w:tcPr>
            <w:tcW w:type="dxa" w:w="1800"/>
            <w:vAlign w:val="center"/>
          </w:tcPr>
          <w:p>
            <w:pPr>
              <w:pStyle w:val="TableText"/>
            </w:pPr>
            <w:r>
              <w:rPr>
                <w:b w:val="0"/>
              </w:rPr>
              <w:t>Defers</w:t>
            </w:r>
          </w:p>
        </w:tc>
        <w:tc>
          <w:tcPr>
            <w:tcW w:type="dxa" w:w="2640"/>
            <w:vAlign w:val="center"/>
          </w:tcPr>
          <w:p>
            <w:pPr>
              <w:pStyle w:val="TableText"/>
            </w:pPr>
            <w:r>
              <w:rPr>
                <w:b w:val="0"/>
              </w:rPr>
              <w:t>Supports release</w:t>
            </w:r>
          </w:p>
        </w:tc>
        <w:tc>
          <w:tcPr>
            <w:tcW w:type="dxa" w:w="4920"/>
            <w:vAlign w:val="center"/>
          </w:tcPr>
          <w:p>
            <w:pPr>
              <w:pStyle w:val="TableText"/>
            </w:pPr>
            <w:r>
              <w:rPr>
                <w:b w:val="0"/>
              </w:rPr>
              <w:t>Earlier outcome under proceeding remains unobserved</w:t>
            </w:r>
          </w:p>
        </w:tc>
      </w:tr>
      <w:tr>
        <w:trPr>
          <w:cantSplit/>
        </w:trPr>
        <w:tc>
          <w:tcPr>
            <w:tcW w:type="dxa" w:w="1800"/>
            <w:vAlign w:val="center"/>
          </w:tcPr>
          <w:p>
            <w:pPr>
              <w:pStyle w:val="TableText"/>
            </w:pPr>
            <w:r>
              <w:rPr>
                <w:b w:val="0"/>
              </w:rPr>
              <w:t>Defers</w:t>
            </w:r>
          </w:p>
        </w:tc>
        <w:tc>
          <w:tcPr>
            <w:tcW w:type="dxa" w:w="2640"/>
            <w:vAlign w:val="center"/>
          </w:tcPr>
          <w:p>
            <w:pPr>
              <w:pStyle w:val="TableText"/>
            </w:pPr>
            <w:r>
              <w:rPr>
                <w:b w:val="0"/>
              </w:rPr>
              <w:t>Does not support release</w:t>
            </w:r>
          </w:p>
        </w:tc>
        <w:tc>
          <w:tcPr>
            <w:tcW w:type="dxa" w:w="4920"/>
            <w:vAlign w:val="center"/>
          </w:tcPr>
          <w:p>
            <w:pPr>
              <w:pStyle w:val="TableText"/>
            </w:pPr>
            <w:r>
              <w:rPr>
                <w:b w:val="0"/>
              </w:rPr>
              <w:t>Earlier outcome under proceeding remains unobserved</w:t>
            </w:r>
          </w:p>
        </w:tc>
      </w:tr>
    </w:tbl>
    <w:p>
      <w:pPr>
        <w:pStyle w:val="AfterTable"/>
      </w:pPr>
      <w:r>
        <w:t>Shadow data therefore remove this tool’s immediate influence on sampled decisions; they do not remove human selection. Prior exposure can also change human behaviour, so rotating a display off does not restore an untouched baseline. Record exposure history and use the actual comparator population. Do not characterize the sample as fully labelled or assume model-generated statuses are independent truth.</w:t>
      </w:r>
    </w:p>
    <w:p>
      <w:r>
        <w:t>Use independent audits for Z across both proceeded and deferred packages. For Y(1), report label coverage, missingness and the action-conditioned population. Additional evidence may come from ordinary authorized operations, but it must retain its selection mechanism. Neither shadow mode nor audit sampling justifies deliberately bypassing a mandatory release condition to acquire an outcome.</w:t>
      </w:r>
    </w:p>
    <w:p>
      <w:pPr>
        <w:pStyle w:val="Heading1"/>
      </w:pPr>
      <w:r>
        <w:t>6. Gate a contraction study on local evidence</w:t>
      </w:r>
    </w:p>
    <w:p>
      <w:r>
        <w:t>Lakkaraju et al.’s contraction method filters a more permissive decision maker’s accepted cases to match a stricter acceptance rate, then compares observed outcomes. It exploits comparable assignment and heterogeneous acceptance; it evaluates a constrained human-plus-model policy, not unrestricted model performance on all cases [1]. Here it is an optional outcome study, separate from validation of mandatory readiness predicates.</w:t>
      </w:r>
    </w:p>
    <w:p>
      <w:r>
        <w:t>Before using decision-maker variation, document actual package allocation. The judicial study by Kleinberg et al. investigates conditional quasi-random assignment rather than assuming it from organizational variety [2]. Construction allocation can depend on trade, risk, location, competence, shifts and available crews. Specify eligible strata and inspect both the assignment process and measured balance. A non-significant balance test cannot prove the absence of unmeasured selection.</w:t>
      </w:r>
    </w:p>
    <w:p>
      <w:r>
        <w:t>Also test the suitability of the construction outcome: a superintendent may change the execution method, supervision or resources after release. Then the decision maker changes Y(1), not merely which labels appear. Shared cranes and crews create interference between packages. Unless a narrowly defined comparison can address these differences, the contraction result cannot be attributed to better selection. Different release rates alone are insufficient and are not automatically a valid instrumental variable.</w:t>
      </w:r>
    </w:p>
    <w:p>
      <w:r>
        <w:t>For a defensible stratum, fix the model, outcome window and target acceptance rates before evaluation. Estimate decision-maker permissiveness out of sample or without the case itself. Restrict the replay to observed accepted cases; never infer the outcome of a package the source decision maker rejected. Report the constrained policy’s acceptance and observed start-related event counts per eligible case, plus deferral burden and outcome coverage. A deferred case has no observed start event in that window, but its potential outcome under proceeding is not labelled safe.</w:t>
      </w:r>
    </w:p>
    <w:p>
      <w:r>
        <w:t>Record where the unrestricted model would accept cases excluded by the source decision maker. Those recommendations lie outside directly observed support. Distinguish the constrained replay result from any bounds or assumption-dependent estimate for the unrestricted policy. Do not claim all-package accuracy, a pure-model superiority result or causal project savings from the replay.</w:t>
      </w:r>
    </w:p>
    <w:p>
      <w:r>
        <w:t>If comparable allocation, outcome stability or sufficient labelled support fails, retain the narrower evidence audit and observed-policy results. Report partial identification or sensitivity analysis only under explicit assumptions. Do not fill missing outcomes with the model’s predictions and then score it against those values. Preserving lawful discretionary variation is useful; maintaining inferior safety practice for identification is not a study objective.</w:t>
      </w:r>
    </w:p>
    <w:p>
      <w:pPr>
        <w:pStyle w:val="Heading1"/>
      </w:pPr>
      <w:r>
        <w:t>7. Separate reuse, model learning and operational impact</w:t>
      </w:r>
    </w:p>
    <w:p>
      <w:r>
        <w:t>Keep measurement definitions and provenance stable while retaining versions and assignment of discretionary workflow policies. A fixed rule prevents identification of its alternatives from variation that does not exist; it does not prevent learning document extraction, calibration across observed conditions or other varying relationships. Record exactly which target the retained variation can identify.</w:t>
      </w:r>
    </w:p>
    <w:p>
      <w:r>
        <w:t>For a separate model experiment, hold reusable interfaces fixed and compare frozen versus updated models on permitted labels from unseen customers or later periods. Prevent near-duplicate and future-information leakage. Distribution-shift evidence such as WILDS motivates evaluating outside the development environment [8]. Model updates trained on action-selected outcomes must retain the scope limitations above.</w:t>
      </w:r>
    </w:p>
    <w:p>
      <w:r>
        <w:t>Replay authorized rule or workflow variants against independently audited conditions where possible. To estimate live business impact, separately register a permissible randomized or staggered rollout of display, routing or optional review procedures. Keep mandatory inspection and acceptance obligations fixed; use preauthorized alternatives where genuine discretion exists. Document cluster assignment and spillovers. Randomizing tool display can identify its policy effect under the design; it does not reveal every package’s counterfactual proceeding outcome.</w:t>
      </w:r>
    </w:p>
    <w:p>
      <w:r>
        <w:t>Separate root-cause hypotheses from demonstrated effects. Record attributable delay ranges, review burden, corrections, supplier effort and operational interruptions. A low evidence-gap incidence can still matter if its consequences are severe; a high incidence need not justify intervention. Retain sources and adjudicator uncertainty for both cost and cause claims.</w:t>
      </w:r>
    </w:p>
    <w:p>
      <w:pPr>
        <w:pStyle w:val="Heading1"/>
      </w:pPr>
      <w:r>
        <w:t>8. Analysis, reporting and preregistration</w:t>
      </w:r>
    </w:p>
    <w:p>
      <w:pPr>
        <w:pStyle w:val="Caption"/>
      </w:pPr>
      <w:r>
        <w:t>Table 4. Core measures with explicit scope and denominators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8DC"/>
          <w:left w:val="single" w:sz="4" w:color="D4D8DC"/>
          <w:bottom w:val="single" w:sz="4" w:color="D4D8DC"/>
          <w:right w:val="single" w:sz="4" w:color="D4D8DC"/>
          <w:insideH w:val="single" w:sz="4" w:color="D4D8DC"/>
          <w:insideV w:val="single" w:sz="4" w:color="D4D8DC"/>
        </w:tblBorders>
      </w:tblPr>
      <w:tblGrid>
        <w:gridCol w:w="2880"/>
        <w:gridCol w:w="6480"/>
      </w:tblGrid>
      <w:tr>
        <w:trPr>
          <w:cantSplit/>
          <w:tblHeader/>
        </w:trPr>
        <w:tc>
          <w:tcPr>
            <w:tcW w:type="dxa" w:w="2880"/>
            <w:vAlign w:val="center"/>
            <w:shd w:fill="F2F4F7" w:val="clear"/>
          </w:tcPr>
          <w:p>
            <w:pPr>
              <w:pStyle w:val="TableText"/>
            </w:pPr>
            <w:r>
              <w:rPr>
                <w:b/>
              </w:rPr>
              <w:t>Measure</w:t>
            </w:r>
          </w:p>
        </w:tc>
        <w:tc>
          <w:tcPr>
            <w:tcW w:type="dxa" w:w="6480"/>
            <w:vAlign w:val="center"/>
            <w:shd w:fill="F2F4F7" w:val="clear"/>
          </w:tcPr>
          <w:p>
            <w:pPr>
              <w:pStyle w:val="TableText"/>
            </w:pPr>
            <w:r>
              <w:rPr>
                <w:b/>
              </w:rPr>
              <w:t>Definition or reporting boundary</w:t>
            </w:r>
          </w:p>
        </w:tc>
      </w:tr>
      <w:tr>
        <w:trPr>
          <w:cantSplit/>
        </w:trPr>
        <w:tc>
          <w:tcPr>
            <w:tcW w:type="dxa" w:w="2880"/>
            <w:vAlign w:val="center"/>
          </w:tcPr>
          <w:p>
            <w:pPr>
              <w:pStyle w:val="TableText"/>
            </w:pPr>
            <w:r>
              <w:rPr>
                <w:b w:val="0"/>
              </w:rPr>
              <w:t>Revalidation</w:t>
            </w:r>
          </w:p>
        </w:tc>
        <w:tc>
          <w:tcPr>
            <w:tcW w:type="dxa" w:w="6480"/>
            <w:vAlign w:val="center"/>
          </w:tcPr>
          <w:p>
            <w:pPr>
              <w:pStyle w:val="TableText"/>
            </w:pPr>
            <w:r>
              <w:rPr>
                <w:b w:val="0"/>
              </w:rPr>
              <w:t>V hours/cost per asset redeployment; scope, assurance and payer fixed or reported</w:t>
            </w:r>
          </w:p>
        </w:tc>
      </w:tr>
      <w:tr>
        <w:trPr>
          <w:cantSplit/>
        </w:trPr>
        <w:tc>
          <w:tcPr>
            <w:tcW w:type="dxa" w:w="2880"/>
            <w:vAlign w:val="center"/>
          </w:tcPr>
          <w:p>
            <w:pPr>
              <w:pStyle w:val="TableText"/>
            </w:pPr>
            <w:r>
              <w:rPr>
                <w:b w:val="0"/>
              </w:rPr>
              <w:t>Total delivery effort</w:t>
            </w:r>
          </w:p>
        </w:tc>
        <w:tc>
          <w:tcPr>
            <w:tcW w:type="dxa" w:w="6480"/>
            <w:vAlign w:val="center"/>
          </w:tcPr>
          <w:p>
            <w:pPr>
              <w:pStyle w:val="TableText"/>
            </w:pPr>
            <w:r>
              <w:rPr>
                <w:b w:val="0"/>
              </w:rPr>
              <w:t>All-party V + A + O; fixed costs allocated once and comparator disclosed</w:t>
            </w:r>
          </w:p>
        </w:tc>
      </w:tr>
      <w:tr>
        <w:trPr>
          <w:cantSplit/>
        </w:trPr>
        <w:tc>
          <w:tcPr>
            <w:tcW w:type="dxa" w:w="2880"/>
            <w:vAlign w:val="center"/>
          </w:tcPr>
          <w:p>
            <w:pPr>
              <w:pStyle w:val="TableText"/>
            </w:pPr>
            <w:r>
              <w:rPr>
                <w:b w:val="0"/>
              </w:rPr>
              <w:t>Timely completeness</w:t>
            </w:r>
          </w:p>
        </w:tc>
        <w:tc>
          <w:tcPr>
            <w:tcW w:type="dxa" w:w="6480"/>
            <w:vAlign w:val="center"/>
          </w:tcPr>
          <w:p>
            <w:pPr>
              <w:pStyle w:val="TableText"/>
            </w:pPr>
            <w:r>
              <w:rPr>
                <w:b w:val="0"/>
              </w:rPr>
              <w:t>Required records available by cutoff / expected records under the local regime</w:t>
            </w:r>
          </w:p>
        </w:tc>
      </w:tr>
      <w:tr>
        <w:trPr>
          <w:cantSplit/>
        </w:trPr>
        <w:tc>
          <w:tcPr>
            <w:tcW w:type="dxa" w:w="2880"/>
            <w:vAlign w:val="center"/>
          </w:tcPr>
          <w:p>
            <w:pPr>
              <w:pStyle w:val="TableText"/>
            </w:pPr>
            <w:r>
              <w:rPr>
                <w:b w:val="0"/>
              </w:rPr>
              <w:t>Unsupported affirmative fraction</w:t>
            </w:r>
          </w:p>
        </w:tc>
        <w:tc>
          <w:tcPr>
            <w:tcW w:type="dxa" w:w="6480"/>
            <w:vAlign w:val="center"/>
          </w:tcPr>
          <w:p>
            <w:pPr>
              <w:pStyle w:val="TableText"/>
            </w:pPr>
            <w:r>
              <w:rPr>
                <w:b w:val="0"/>
              </w:rPr>
              <w:t>Audited affirmatives lacking support / adjudicable audited affirmatives; unresolved fraction also reported</w:t>
            </w:r>
          </w:p>
        </w:tc>
      </w:tr>
      <w:tr>
        <w:trPr>
          <w:cantSplit/>
        </w:trPr>
        <w:tc>
          <w:tcPr>
            <w:tcW w:type="dxa" w:w="2880"/>
            <w:vAlign w:val="center"/>
          </w:tcPr>
          <w:p>
            <w:pPr>
              <w:pStyle w:val="TableText"/>
            </w:pPr>
            <w:r>
              <w:rPr>
                <w:b w:val="0"/>
              </w:rPr>
              <w:t>Unknown/conflict burden</w:t>
            </w:r>
          </w:p>
        </w:tc>
        <w:tc>
          <w:tcPr>
            <w:tcW w:type="dxa" w:w="6480"/>
            <w:vAlign w:val="center"/>
          </w:tcPr>
          <w:p>
            <w:pPr>
              <w:pStyle w:val="TableText"/>
            </w:pPr>
            <w:r>
              <w:rPr>
                <w:b w:val="0"/>
              </w:rPr>
              <w:t>U and conflict counts / all eligible assessed decisions; reported separately</w:t>
            </w:r>
          </w:p>
        </w:tc>
      </w:tr>
      <w:tr>
        <w:trPr>
          <w:cantSplit/>
        </w:trPr>
        <w:tc>
          <w:tcPr>
            <w:tcW w:type="dxa" w:w="2880"/>
            <w:vAlign w:val="center"/>
          </w:tcPr>
          <w:p>
            <w:pPr>
              <w:pStyle w:val="TableText"/>
            </w:pPr>
            <w:r>
              <w:rPr>
                <w:b w:val="0"/>
              </w:rPr>
              <w:t>Label coverage</w:t>
            </w:r>
          </w:p>
        </w:tc>
        <w:tc>
          <w:tcPr>
            <w:tcW w:type="dxa" w:w="6480"/>
            <w:vAlign w:val="center"/>
          </w:tcPr>
          <w:p>
            <w:pPr>
              <w:pStyle w:val="TableText"/>
            </w:pPr>
            <w:r>
              <w:rPr>
                <w:b w:val="0"/>
              </w:rPr>
              <w:t>Usable target-specific labels / eligible decisions, by human action and hidden status</w:t>
            </w:r>
          </w:p>
        </w:tc>
      </w:tr>
      <w:tr>
        <w:trPr>
          <w:cantSplit/>
        </w:trPr>
        <w:tc>
          <w:tcPr>
            <w:tcW w:type="dxa" w:w="2880"/>
            <w:vAlign w:val="center"/>
          </w:tcPr>
          <w:p>
            <w:pPr>
              <w:pStyle w:val="TableText"/>
            </w:pPr>
            <w:r>
              <w:rPr>
                <w:b w:val="0"/>
              </w:rPr>
              <w:t>Contraction result, if eligible</w:t>
            </w:r>
          </w:p>
        </w:tc>
        <w:tc>
          <w:tcPr>
            <w:tcW w:type="dxa" w:w="6480"/>
            <w:vAlign w:val="center"/>
          </w:tcPr>
          <w:p>
            <w:pPr>
              <w:pStyle w:val="TableText"/>
            </w:pPr>
            <w:r>
              <w:rPr>
                <w:b w:val="0"/>
              </w:rPr>
              <w:t>Acceptance and observed event rates on declared support; deferral costs and limits</w:t>
            </w:r>
          </w:p>
        </w:tc>
      </w:tr>
      <w:tr>
        <w:trPr>
          <w:cantSplit/>
        </w:trPr>
        <w:tc>
          <w:tcPr>
            <w:tcW w:type="dxa" w:w="2880"/>
            <w:vAlign w:val="center"/>
          </w:tcPr>
          <w:p>
            <w:pPr>
              <w:pStyle w:val="TableText"/>
            </w:pPr>
            <w:r>
              <w:rPr>
                <w:b w:val="0"/>
              </w:rPr>
              <w:t>Product transfer</w:t>
            </w:r>
          </w:p>
        </w:tc>
        <w:tc>
          <w:tcPr>
            <w:tcW w:type="dxa" w:w="6480"/>
            <w:vAlign w:val="center"/>
          </w:tcPr>
          <w:p>
            <w:pPr>
              <w:pStyle w:val="TableText"/>
            </w:pPr>
            <w:r>
              <w:rPr>
                <w:b w:val="0"/>
              </w:rPr>
              <w:t>Later customer effort and support, including dependence on the originating FDCE</w:t>
            </w:r>
          </w:p>
        </w:tc>
      </w:tr>
    </w:tbl>
    <w:p>
      <w:pPr>
        <w:pStyle w:val="AfterTable"/>
      </w:pPr>
      <w:r>
        <w:t>Publish the full state-by-reference table, disagreements, audit refusals, cancelled work and unadjudicable cases. Do not hide exclusions in a smaller denominator. Report unknowns alongside errors so an always-unknown system cannot win. Weight probability samples appropriately; unknown withholding or missing potential outcomes cannot generally be repaired by ordinary weighting. Use package, project and customer clustering as the design permits.</w:t>
      </w:r>
    </w:p>
    <w:p>
      <w:r>
        <w:t>Plan sample size from precision or effect targets, expected label coverage and clustering before collecting evaluation outcomes. Two customers do not support a dependable customer-level learning curve or population random-effects estimate. A small study should report case-specific intervals and uncertainty. More repeated observations of the same package do not supply more independent customers.</w:t>
      </w:r>
    </w:p>
    <w:p>
      <w:r>
        <w:t>An exploratory vendor-scaling indicator is deployment headcount growing more slowly than comparable revenue, with quality maintained. Include outsourced implementation and product-support labour; disclose changes in prices, customer mix, acquisitions and service scope. Public revenue/headcount ratios are screening signals only. Stronger evidence is falling full delivery effort in comparable customer cohorts after a specific product release, with sustained outcomes and no cost transfer to customers.</w:t>
      </w:r>
    </w:p>
    <w:p>
      <w:r>
        <w:t>Before the relevant study phase begins, register these commitments:</w:t>
      </w:r>
    </w:p>
    <w:p>
      <w:pPr>
        <w:pStyle w:val="ListNumber"/>
      </w:pPr>
      <w:r>
        <w:t>Name the customers, sponsor roles, workflow family, eligible projects/packages and intended population of inference.</w:t>
      </w:r>
    </w:p>
    <w:p>
      <w:pPr>
        <w:pStyle w:val="ListNumber"/>
      </w:pPr>
      <w:r>
        <w:t>Resolve asset and learning permissions, source-party dependencies, retention duties and cost-bearing arrangements.</w:t>
      </w:r>
    </w:p>
    <w:p>
      <w:pPr>
        <w:pStyle w:val="ListNumber"/>
      </w:pPr>
      <w:r>
        <w:t>Freeze the transfer envelope, reference queries, rule pack, observation contract, model version and conventional comparator.</w:t>
      </w:r>
    </w:p>
    <w:p>
      <w:pPr>
        <w:pStyle w:val="ListNumber"/>
      </w:pPr>
      <w:r>
        <w:t>Define V/A/O accounting, quality conditions, support horizon and treatment of joint work, failed transfers and supplier costs.</w:t>
      </w:r>
    </w:p>
    <w:p>
      <w:pPr>
        <w:pStyle w:val="ListNumber"/>
      </w:pPr>
      <w:r>
        <w:t>Define Z, Y(1), any live policy-effect estimand, their observation windows and label-coverage reporting.</w:t>
      </w:r>
    </w:p>
    <w:p>
      <w:pPr>
        <w:pStyle w:val="ListNumber"/>
      </w:pPr>
      <w:r>
        <w:t>Register independent audit sampling, rotating shadow assignment, prior-exposure handling and hazard exceptions.</w:t>
      </w:r>
    </w:p>
    <w:p>
      <w:pPr>
        <w:pStyle w:val="ListNumber"/>
      </w:pPr>
      <w:r>
        <w:t>State contraction eligibility checks, permitted discretionary variation, support limits and fallback analysis.</w:t>
      </w:r>
    </w:p>
    <w:p>
      <w:pPr>
        <w:pStyle w:val="ListNumber"/>
      </w:pPr>
      <w:r>
        <w:t>Set the primary outcome, precision/effect target, stopping rule, exclusions, uncertainty analysis and release/publication scope.</w:t>
      </w:r>
    </w:p>
    <w:p>
      <w:r/>
      <w:r>
        <w:rPr>
          <w:b/>
        </w:rPr>
        <w:t>Assumptions remaining open.</w:t>
      </w:r>
      <w:r>
        <w:t xml:space="preserve"> V is unmeasured for every proposed asset class. Access rights, supplier participation, customer comparability, quasi-random assignment, stable outcomes and sufficient overlap have not been demonstrated. The first two customers can test a bounded transfer and feasibility of an evaluation instrument. They cannot establish a universal low-V layer, a decay profile, a robotics ownership rule or a vendor-wide flywheel. Report negative findings and blocked transfers as part of the result.</w:t>
      </w:r>
    </w:p>
    <w:p>
      <w:pPr>
        <w:pStyle w:val="Heading1"/>
        <w:pageBreakBefore/>
      </w:pPr>
      <w:r>
        <w:t>References and source scope</w:t>
      </w:r>
    </w:p>
    <w:p>
      <w:pPr>
        <w:pStyle w:val="Source"/>
      </w:pPr>
      <w:r>
        <w:t xml:space="preserve">[1] Lakkaraju, H., Kleinberg, J., Leskovec, J., Ludwig, J., and Mullainathan, S. (2017). The Selective Labels Problem: Evaluating Algorithmic Predictions in the Presence of Unobservables. KDD, 275–284. DOI: 10.1145/3097983.3098066. </w:t>
      </w:r>
      <w:hyperlink r:id="rId11">
        <w:r>
          <w:rPr>
            <w:color w:val="2E74B5"/>
            <w:u w:val="single"/>
          </w:rPr>
          <w:t>Source</w:t>
        </w:r>
      </w:hyperlink>
    </w:p>
    <w:p>
      <w:pPr>
        <w:pStyle w:val="Source"/>
      </w:pPr>
      <w:r>
        <w:t xml:space="preserve">[2] Kleinberg, J., Lakkaraju, H., Leskovec, J., Ludwig, J., and Mullainathan, S. (2017). Human Decisions and Machine Predictions. NBER Working Paper 23180. See assignment design and Appendix A; the setting is judicial, not construction. </w:t>
      </w:r>
      <w:hyperlink r:id="rId12">
        <w:r>
          <w:rPr>
            <w:color w:val="2E74B5"/>
            <w:u w:val="single"/>
          </w:rPr>
          <w:t>Source</w:t>
        </w:r>
      </w:hyperlink>
    </w:p>
    <w:p>
      <w:pPr>
        <w:pStyle w:val="Source"/>
      </w:pPr>
      <w:r>
        <w:t xml:space="preserve">[3] W3C (2013). PROV-O: The PROV Ontology. Recommendation, 30 April 2013. </w:t>
      </w:r>
      <w:hyperlink r:id="rId13">
        <w:r>
          <w:rPr>
            <w:color w:val="2E74B5"/>
            <w:u w:val="single"/>
          </w:rPr>
          <w:t>Source</w:t>
        </w:r>
      </w:hyperlink>
    </w:p>
    <w:p>
      <w:pPr>
        <w:pStyle w:val="Source"/>
      </w:pPr>
      <w:r>
        <w:t xml:space="preserve">[4] W3C (2017). Shapes Constraint Language (SHACL). Recommendation, 20 July 2017. </w:t>
      </w:r>
      <w:hyperlink r:id="rId14">
        <w:r>
          <w:rPr>
            <w:color w:val="2E74B5"/>
            <w:u w:val="single"/>
          </w:rPr>
          <w:t>Source</w:t>
        </w:r>
      </w:hyperlink>
    </w:p>
    <w:p>
      <w:pPr>
        <w:pStyle w:val="Source"/>
      </w:pPr>
      <w:r>
        <w:t xml:space="preserve">[5] UK BIM Framework (2020). Information Protocol to support BS EN ISO 19650-2, May 2020; clauses 8 and 13.23. Illustrative English-law template. </w:t>
      </w:r>
      <w:hyperlink r:id="rId15">
        <w:r>
          <w:rPr>
            <w:color w:val="2E74B5"/>
            <w:u w:val="single"/>
          </w:rPr>
          <w:t>Source</w:t>
        </w:r>
      </w:hyperlink>
    </w:p>
    <w:p>
      <w:pPr>
        <w:pStyle w:val="Source"/>
      </w:pPr>
      <w:r>
        <w:t xml:space="preserve">[6] Ministry of Justice, England and Wales. Practice Direction 57AD, paragraphs 3, 4 and 14; accessed 5 September 2026. Jurisdiction-specific disclosure rules. </w:t>
      </w:r>
      <w:hyperlink r:id="rId16">
        <w:r>
          <w:rPr>
            <w:color w:val="2E74B5"/>
            <w:u w:val="single"/>
          </w:rPr>
          <w:t>Source</w:t>
        </w:r>
      </w:hyperlink>
    </w:p>
    <w:p>
      <w:pPr>
        <w:pStyle w:val="Source"/>
      </w:pPr>
      <w:r>
        <w:t xml:space="preserve">[7] CPN Tools documentation (2018). Saving a standard state space report. Example includes boundedness, dead markings and liveness properties. </w:t>
      </w:r>
      <w:hyperlink r:id="rId17">
        <w:r>
          <w:rPr>
            <w:color w:val="2E74B5"/>
            <w:u w:val="single"/>
          </w:rPr>
          <w:t>Source</w:t>
        </w:r>
      </w:hyperlink>
    </w:p>
    <w:p>
      <w:pPr>
        <w:pStyle w:val="Source"/>
      </w:pPr>
      <w:r>
        <w:t xml:space="preserve">[8] Koh, P. W., et al. (2021). WILDS: A Benchmark of in-the-Wild Distribution Shifts. Proceedings of ICML, 139. Preprint arXiv:2012.07421. </w:t>
      </w:r>
      <w:hyperlink r:id="rId18">
        <w:r>
          <w:rPr>
            <w:color w:val="2E74B5"/>
            <w:u w:val="single"/>
          </w:rPr>
          <w:t>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FDCE | Transfer study protocol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720"/>
        </w:tabs>
        <w:ind w:left="720" w:hanging="360"/>
        <w:spacing w:before="0" w:after="160" w:line="280" w:lineRule="auto"/>
      </w:pPr>
    </w:lvl>
  </w:abstractNum>
  <w:num w:numId="90">
    <w:abstractNumId w:val="90"/>
  </w:num>
  <w:abstractNum w:abstractNumId="91">
    <w:multiLevelType w:val="singleLevel"/>
    <w:lvl w:ilvl="0">
      <w:start w:val="1"/>
      <w:numFmt w:val="decimal"/>
      <w:lvlText w:val="%1."/>
      <w:lvlJc w:val="left"/>
      <w:pPr>
        <w:tabs>
          <w:tab w:val="num" w:pos="720"/>
        </w:tabs>
        <w:ind w:left="720" w:hanging="360"/>
        <w:spacing w:before="0" w:after="160" w:line="280" w:lineRule="auto"/>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202020"/>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asciiTheme="majorHAnsi" w:eastAsiaTheme="majorEastAsia" w:hAnsiTheme="majorHAnsi" w:cstheme="majorBidi" w:ascii="Calibri" w:hAnsi="Calibri" w:eastAsia="Calibri" w:cs="Calibri"/>
      <w:b/>
      <w:i w:val="0"/>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line="264" w:lineRule="auto"/>
    </w:pPr>
    <w:rPr>
      <w:rFonts w:asciiTheme="majorHAnsi" w:eastAsiaTheme="majorEastAsia" w:hAnsiTheme="majorHAnsi" w:cstheme="majorBidi" w:ascii="Calibri" w:hAnsi="Calibri" w:eastAsia="Calibri" w:cs="Calibri"/>
      <w:b w:val="0"/>
      <w:i w:val="0"/>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spacing w:before="0" w:after="160" w:line="280" w:lineRule="auto"/>
      <w:ind w:left="720" w:hanging="360"/>
      <w:contextualSpacing/>
      <w:numPr>
        <w:ilvl w:val="0"/>
        <w:numId w:val="90"/>
      </w:numPr>
    </w:pPr>
    <w:rPr>
      <w:rFonts w:ascii="Calibri" w:hAnsi="Calibri" w:eastAsia="Calibri" w:cs="Calibri"/>
      <w:b w:val="0"/>
      <w:i w:val="0"/>
      <w:color w:val="20202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spacing w:before="0" w:after="160" w:line="280" w:lineRule="auto"/>
      <w:ind w:left="720" w:hanging="360"/>
      <w:contextualSpacing/>
      <w:numPr>
        <w:ilvl w:val="0"/>
        <w:numId w:val="91"/>
      </w:numPr>
    </w:pPr>
    <w:rPr>
      <w:rFonts w:ascii="Calibri" w:hAnsi="Calibri" w:eastAsia="Calibri" w:cs="Calibri"/>
      <w:b w:val="0"/>
      <w:i w:val="0"/>
      <w:color w:val="20202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4" w:lineRule="auto" w:before="120" w:after="100"/>
    </w:pPr>
    <w:rPr>
      <w:rFonts w:ascii="Calibri" w:hAnsi="Calibri" w:eastAsia="Calibri" w:cs="Calibri"/>
      <w:b w:val="0"/>
      <w:bCs/>
      <w:i w:val="0"/>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widowControl/>
      <w:spacing w:before="0" w:after="180" w:line="264" w:lineRule="auto"/>
    </w:pPr>
    <w:rPr>
      <w:rFonts w:ascii="Calibri" w:hAnsi="Calibri" w:eastAsia="Calibri" w:cs="Calibri"/>
      <w:b w:val="0"/>
      <w:i w:val="0"/>
      <w:color w:val="555555"/>
      <w:sz w:val="18"/>
    </w:rPr>
  </w:style>
  <w:style w:type="paragraph" w:customStyle="1" w:styleId="Source">
    <w:name w:val="Source"/>
    <w:pPr>
      <w:widowControl/>
      <w:spacing w:before="0" w:after="100" w:line="264" w:lineRule="auto"/>
    </w:pPr>
    <w:rPr>
      <w:rFonts w:ascii="Calibri" w:hAnsi="Calibri" w:eastAsia="Calibri" w:cs="Calibri"/>
      <w:b w:val="0"/>
      <w:i w:val="0"/>
      <w:color w:val="333333"/>
      <w:sz w:val="19"/>
    </w:rPr>
  </w:style>
  <w:style w:type="paragraph" w:customStyle="1" w:styleId="TableText">
    <w:name w:val="Table Text"/>
    <w:pPr>
      <w:widowControl/>
      <w:spacing w:before="0" w:after="60" w:line="264" w:lineRule="auto"/>
    </w:pPr>
    <w:rPr>
      <w:rFonts w:ascii="Calibri" w:hAnsi="Calibri" w:eastAsia="Calibri" w:cs="Calibri"/>
      <w:b w:val="0"/>
      <w:i w:val="0"/>
      <w:color w:val="202020"/>
      <w:sz w:val="19"/>
    </w:rPr>
  </w:style>
  <w:style w:type="paragraph" w:customStyle="1" w:styleId="Equation">
    <w:name w:val="Equation"/>
    <w:pPr>
      <w:keepNext/>
      <w:widowControl/>
      <w:spacing w:before="100" w:after="140" w:line="264" w:lineRule="auto"/>
    </w:pPr>
    <w:rPr>
      <w:rFonts w:ascii="Calibri" w:hAnsi="Calibri" w:eastAsia="Calibri" w:cs="Calibri"/>
      <w:b w:val="0"/>
      <w:i w:val="0"/>
      <w:color w:val="202020"/>
      <w:sz w:val="22"/>
    </w:rPr>
  </w:style>
  <w:style w:type="paragraph" w:customStyle="1" w:styleId="Furniture">
    <w:name w:val="Furniture"/>
    <w:pPr>
      <w:widowControl/>
      <w:spacing w:before="0" w:after="0" w:line="264" w:lineRule="auto"/>
    </w:pPr>
    <w:rPr>
      <w:rFonts w:ascii="Calibri" w:hAnsi="Calibri" w:eastAsia="Calibri" w:cs="Calibri"/>
      <w:b w:val="0"/>
      <w:i w:val="0"/>
      <w:color w:val="666666"/>
      <w:sz w:val="16"/>
    </w:rPr>
  </w:style>
  <w:style w:type="paragraph" w:customStyle="1" w:styleId="AfterTable">
    <w:name w:val="After Table"/>
    <w:pPr>
      <w:widowControl/>
      <w:spacing w:before="120" w:after="120" w:line="264" w:lineRule="auto"/>
    </w:pPr>
    <w:rPr>
      <w:rFonts w:ascii="Calibri" w:hAnsi="Calibri" w:eastAsia="Calibri" w:cs="Calibri"/>
      <w:b w:val="0"/>
      <w:i w:val="0"/>
      <w:color w:val="202020"/>
      <w:sz w:val="22"/>
    </w:rPr>
  </w:style>
  <w:style w:type="paragraph" w:customStyle="1" w:styleId="TableCitation">
    <w:name w:val="Table Citation"/>
    <w:pPr>
      <w:widowControl/>
      <w:spacing w:before="80" w:after="80" w:line="264" w:lineRule="auto"/>
    </w:pPr>
    <w:rPr>
      <w:rFonts w:ascii="Calibri" w:hAnsi="Calibri" w:eastAsia="Calibri" w:cs="Calibri"/>
      <w:b w:val="0"/>
      <w:i w:val="0"/>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s.cornell.edu/home/kleinber/kdd17-selective.pdf" TargetMode="External"/><Relationship Id="rId12" Type="http://schemas.openxmlformats.org/officeDocument/2006/relationships/hyperlink" Target="https://www.cs.cornell.edu/home/kleinber/w23180.pdf" TargetMode="External"/><Relationship Id="rId13" Type="http://schemas.openxmlformats.org/officeDocument/2006/relationships/hyperlink" Target="https://www.w3.org/TR/prov-o/" TargetMode="External"/><Relationship Id="rId14" Type="http://schemas.openxmlformats.org/officeDocument/2006/relationships/hyperlink" Target="https://www.w3.org/TR/shacl/" TargetMode="External"/><Relationship Id="rId15" Type="http://schemas.openxmlformats.org/officeDocument/2006/relationships/hyperlink" Target="https://ukbimframework.org/wp-content/uploads/2020/06/Information-Protocol-to-support-BS-EN-ISO19650-2.pdf" TargetMode="External"/><Relationship Id="rId16" Type="http://schemas.openxmlformats.org/officeDocument/2006/relationships/hyperlink" Target="https://www.justice.gov.uk/courts/procedure-rules/civil/rules/part-57a-business-and-property-courts/practice-direction-57ad-disclosure-in-the-business-and-property-courts" TargetMode="External"/><Relationship Id="rId17" Type="http://schemas.openxmlformats.org/officeDocument/2006/relationships/hyperlink" Target="https://cpntools.org/2018/01/15/saving-a-standard-state-space-report/" TargetMode="External"/><Relationship Id="rId18" Type="http://schemas.openxmlformats.org/officeDocument/2006/relationships/hyperlink" Target="https://arxiv.org/abs/2012.07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Transfers Between Construction Customers?</dc:title>
  <dc:subject>A protocol for revalidation cost, evidence access and selective-label evaluation</dc:subject>
  <dc:creator/>
  <cp:keywords>FDCE; construction; reuse; data; evidence; deployment</cp:keywords>
  <dc:description>generated by python-docx</dc:description>
  <cp:lastModifiedBy/>
  <cp:revision>1</cp:revision>
  <dcterms:created xsi:type="dcterms:W3CDTF">2013-12-23T23:15:00Z</dcterms:created>
  <dcterms:modified xsi:type="dcterms:W3CDTF">2013-12-23T23:15:00Z</dcterms:modified>
  <cp:category/>
</cp:coreProperties>
</file>