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2DA8C" w14:textId="77777777" w:rsidR="00FE0FFF" w:rsidRDefault="00000000" w:rsidP="00511687">
      <w:pPr>
        <w:pStyle w:val="Title"/>
        <w:jc w:val="center"/>
      </w:pPr>
      <w:r>
        <w:t>Hierarchical Predictive Memory for Generative Artificial Intelligence</w:t>
      </w:r>
    </w:p>
    <w:p w14:paraId="7CE704BF" w14:textId="77777777" w:rsidR="00FE0FFF" w:rsidRDefault="00000000" w:rsidP="00511687">
      <w:pPr>
        <w:pStyle w:val="Subtitle"/>
        <w:jc w:val="center"/>
      </w:pPr>
      <w:r>
        <w:t>A conceptual framework for joint GPT and RLCD pretraining</w:t>
      </w:r>
    </w:p>
    <w:p w14:paraId="45AE1610" w14:textId="77777777" w:rsidR="00FE0FFF" w:rsidRDefault="00000000" w:rsidP="00511687">
      <w:pPr>
        <w:pStyle w:val="Author"/>
        <w:jc w:val="center"/>
      </w:pPr>
      <w:r>
        <w:t>Debi Prasad Ghosh</w:t>
      </w:r>
    </w:p>
    <w:p w14:paraId="42913542" w14:textId="77777777" w:rsidR="00FE0FFF" w:rsidRDefault="00000000" w:rsidP="00511687">
      <w:pPr>
        <w:pStyle w:val="Date1"/>
        <w:jc w:val="center"/>
      </w:pPr>
      <w:r>
        <w:t>September 2026</w:t>
      </w:r>
    </w:p>
    <w:p w14:paraId="57B50FD3" w14:textId="77777777" w:rsidR="00FE0FFF" w:rsidRDefault="00000000" w:rsidP="00511687">
      <w:pPr>
        <w:pStyle w:val="FirstParagraph"/>
        <w:spacing w:after="240"/>
        <w:jc w:val="center"/>
      </w:pPr>
      <w:r>
        <w:rPr>
          <w:sz w:val="22"/>
        </w:rPr>
        <w:t>Debias Parametric Guru, Kolkata, India</w:t>
      </w:r>
    </w:p>
    <w:p w14:paraId="582CEC3D" w14:textId="77777777" w:rsidR="00FE0FFF" w:rsidRDefault="00000000" w:rsidP="00511687">
      <w:pPr>
        <w:pStyle w:val="Heading1"/>
        <w:jc w:val="both"/>
      </w:pPr>
      <w:bookmarkStart w:id="0" w:name="abstract"/>
      <w:r>
        <w:t>Abstract</w:t>
      </w:r>
    </w:p>
    <w:p w14:paraId="4E6FD127" w14:textId="77777777" w:rsidR="00FE0FFF" w:rsidRDefault="00000000" w:rsidP="00511687">
      <w:pPr>
        <w:pStyle w:val="FirstParagraph"/>
        <w:jc w:val="both"/>
      </w:pPr>
      <w:r>
        <w:t>Long term memory should allow a generative model to use an extensive history without repeatedly processing that history. We propose hierarchical predictive consolidation, a framework that combines GPT style pretraining with calibrated, question conditioned decision heads inspired by reinforcement learning for calibrated decisions, or RLCD. A transient sequence of key–value states is consolidated into three complementary objects: an executable book of probabilistic rules, entity bound state, and a reservoir of episodic evidence. A generic hierarchical classifier prices information loss, encodes typed events, and searches for residual predictive structure. Its answer hierarchies support reporting at the most specific resolution justified by the available evidence. The central design requirement is that memory preserve information useful after future observations arrive. An exact binary example shows that a perfectly calibrated write time predictor can assign zero value to information that later changes the optimal error rate from one half to zero. We therefore formulate consolidation as prediction with future side information, derive its log loss decomposition, and extend the pricing objective through a hierarchy using the chain rule for relative entropy. We state the additional assumptions needed for coherent probabilities, reliable adaptive reporting, and age dependent coarsening. The framework yields a concrete joint pretraining protocol and a resource matched experimental programme. Connections to complementary learning systems and the regulation of memory report specificity motivate discriminating cognitive experiments. This is a conceptual paper with analytical examples; gains in language modelling, memory efficiency, or brain predictivity remain empirical hypotheses.</w:t>
      </w:r>
    </w:p>
    <w:p w14:paraId="32B79BB6" w14:textId="77777777" w:rsidR="00FE0FFF" w:rsidRDefault="00000000" w:rsidP="00511687">
      <w:pPr>
        <w:pStyle w:val="BodyText"/>
        <w:jc w:val="both"/>
      </w:pPr>
      <w:r>
        <w:rPr>
          <w:b/>
          <w:bCs/>
        </w:rPr>
        <w:t>Keywords</w:t>
      </w:r>
      <w:r>
        <w:t xml:space="preserve"> memory consolidation; calibrated decisions; hierarchical classification; generative pretraining; semi symbolic memory; future side information; selective prediction</w:t>
      </w:r>
    </w:p>
    <w:p w14:paraId="48DD6717" w14:textId="77777777" w:rsidR="00FE0FFF" w:rsidRDefault="00000000" w:rsidP="00511687">
      <w:pPr>
        <w:pStyle w:val="Heading1"/>
        <w:pageBreakBefore/>
        <w:jc w:val="both"/>
      </w:pPr>
      <w:bookmarkStart w:id="1" w:name="introduction"/>
      <w:bookmarkEnd w:id="0"/>
      <w:r>
        <w:lastRenderedPageBreak/>
        <w:t>1 Introduction</w:t>
      </w:r>
    </w:p>
    <w:p w14:paraId="70C8AC41" w14:textId="77777777" w:rsidR="00FE0FFF" w:rsidRDefault="00000000" w:rsidP="00511687">
      <w:pPr>
        <w:pStyle w:val="FirstParagraph"/>
        <w:jc w:val="both"/>
      </w:pPr>
      <w:r>
        <w:t>A useful memory is defined by the decisions it supports after the original experience has disappeared from active context. For a generative transformer, this requires more than compressing a key–value cache. The model must retain recurring regularities, preserve the identities and current states of particular entities, and keep enough evidence to revise an earlier interpretation. These requirements motivate a memory architecture that is learned together with the language model from the beginning of pretraining.</w:t>
      </w:r>
    </w:p>
    <w:p w14:paraId="5D851DB7" w14:textId="77777777" w:rsidR="00FE0FFF" w:rsidRDefault="00000000" w:rsidP="00511687">
      <w:pPr>
        <w:pStyle w:val="BodyText"/>
        <w:jc w:val="both"/>
      </w:pPr>
      <w:r>
        <w:t>The proposed amalgamation combines the generative capacity of GPT style models with an explicit interface for calibrated decisions. TypeSafe describes RLCD as reinforcement learning for calibrated decisions and presents Jev as a model that returns structured decisions with associated probabilities [1, 2]. That public output contract motivates this paper. We do not assume access to TypeSafe’s training algorithm, and the architecture developed here is an independent research proposal. Its decision heads can initially be implemented with supervised proper scoring rules; reinforcement learning is a candidate method for learning sequential memory actions.</w:t>
      </w:r>
    </w:p>
    <w:p w14:paraId="56D1E918" w14:textId="77777777" w:rsidR="00FE0FFF" w:rsidRDefault="00000000" w:rsidP="00511687">
      <w:pPr>
        <w:pStyle w:val="BodyText"/>
        <w:jc w:val="both"/>
      </w:pPr>
      <w:r>
        <w:t>Three distinctions determine whether the proposal is testable. First, calibration is a property of predictions on a specified distribution, not a consequence automatically conferred on a finite network by cross entropy training. Second, a collection of calibrated marginal predictions need not preserve the information required by a later combination of questions and observations. Third, a rule about a population cannot replace a fact about an identified entity. A system can satisfy one requirement while failing the others.</w:t>
      </w:r>
    </w:p>
    <w:p w14:paraId="4DE821F9" w14:textId="77777777" w:rsidR="00FE0FFF" w:rsidRDefault="00000000" w:rsidP="00511687">
      <w:pPr>
        <w:pStyle w:val="BodyText"/>
        <w:jc w:val="both"/>
      </w:pPr>
      <w:r>
        <w:t>Hierarchical predictive consolidation addresses these distinctions within a single architecture. A declared hierarchy gives each question several valid levels of answer. The memory controller can preserve fine detail, retain a broader fact, or keep an episode for later extraction. At recall, the classifier reports the most specific answer supported by a validated decision policy. The architecture is evaluated against full history prediction, under explicit storage and compute budgets.</w:t>
      </w:r>
    </w:p>
    <w:p w14:paraId="5D6C28A5" w14:textId="77777777" w:rsidR="00FE0FFF" w:rsidRDefault="00000000" w:rsidP="00511687">
      <w:pPr>
        <w:pStyle w:val="BodyText"/>
        <w:jc w:val="both"/>
      </w:pPr>
      <w:r>
        <w:t>The main contribution is this integration and its falsifiable research programme. The information identities, calibration implications, and tree decompositions used below build on established theory. The proposed empirical claim is more specific: on streams containing reusable rules, persistent entity states, and delayed contextual interactions, joint pretraining of hierarchical decision heads and memory control will improve the trade off among predictive loss, useful answer specificity, memory bytes, and computation. Sections 3 and 10 specify conditions under which that claim can fail.</w:t>
      </w:r>
    </w:p>
    <w:p w14:paraId="19601DF5" w14:textId="77777777" w:rsidR="00FE0FFF" w:rsidRDefault="00000000" w:rsidP="00511687">
      <w:pPr>
        <w:pStyle w:val="Heading1"/>
        <w:jc w:val="both"/>
      </w:pPr>
      <w:bookmarkStart w:id="2" w:name="X71490fec3dca574cbce70355edb049ae3f94cef"/>
      <w:bookmarkEnd w:id="1"/>
      <w:r>
        <w:t>2 Foundations and the proposed memory object</w:t>
      </w:r>
    </w:p>
    <w:p w14:paraId="1769F595" w14:textId="77777777" w:rsidR="00FE0FFF" w:rsidRDefault="00000000" w:rsidP="00511687">
      <w:pPr>
        <w:pStyle w:val="Heading2"/>
        <w:jc w:val="both"/>
      </w:pPr>
      <w:bookmarkStart w:id="3" w:name="position-relative-to-existing-work"/>
      <w:r>
        <w:t>Position relative to existing work</w:t>
      </w:r>
    </w:p>
    <w:p w14:paraId="56FF03BC" w14:textId="77777777" w:rsidR="00FE0FFF" w:rsidRDefault="00000000" w:rsidP="00511687">
      <w:pPr>
        <w:pStyle w:val="FirstParagraph"/>
        <w:jc w:val="both"/>
      </w:pPr>
      <w:r>
        <w:t xml:space="preserve">Multi token prediction already introduces additional predictive heads during language model pretraining [3]. Recurrent Memory Transformer demonstrates a learned mechanism for carrying information across segments [4]. Hierarchical recognition already permits predictions at different levels of specificity [5], and hierarchical conformal prediction provides methods for controlling coverage with structured answer sets [6]. Multicalibration and omniprediction connect distributional forecasts to performance across groups and downstream losses [7–9]. The present proposal places </w:t>
      </w:r>
      <w:r>
        <w:lastRenderedPageBreak/>
        <w:t>these capabilities around a consolidated, typed memory and makes the value of future context part of the write objective.</w:t>
      </w:r>
    </w:p>
    <w:p w14:paraId="103F1C64" w14:textId="77777777" w:rsidR="00FE0FFF" w:rsidRDefault="00000000" w:rsidP="00511687">
      <w:pPr>
        <w:pStyle w:val="BodyText"/>
        <w:jc w:val="both"/>
      </w:pPr>
      <w:r>
        <w:t>Next token log loss is strictly proper for the token distribution. At the unrestricted population optimum it recovers that distribution. Finite data, model restrictions, imperfect optimization, and distribution shift separate this ideal from empirical calibration. Modern neural networks can be miscalibrated despite cross entropy training [10]. The GPT 4 technical report gives a specific example of good calibration before post training and worse calibration afterward on an MMLU evaluation [11]; it does not establish universal calibration of pretrained models or universal damage from every post training method.</w:t>
      </w:r>
    </w:p>
    <w:p w14:paraId="6030DAAE" w14:textId="77777777" w:rsidR="00FE0FFF" w:rsidRDefault="00000000" w:rsidP="00511687">
      <w:pPr>
        <w:pStyle w:val="BodyText"/>
        <w:jc w:val="both"/>
      </w:pPr>
      <w:r>
        <w:t>The novelty claim should therefore concern the combined memory system. Adding a confidence head, using a hierarchy, or preserving an episodic buffer is not independently new. Table 1 identifies the contribution sought from their integration.</w:t>
      </w:r>
    </w:p>
    <w:p w14:paraId="4D422172" w14:textId="77777777" w:rsidR="00FE0FFF" w:rsidRDefault="00000000" w:rsidP="00511687">
      <w:pPr>
        <w:pStyle w:val="TableCaption"/>
        <w:keepNext/>
        <w:jc w:val="both"/>
      </w:pPr>
      <w:r>
        <w:t>Table 1. Existing capabilities and the proposed integration</w:t>
      </w:r>
    </w:p>
    <w:tbl>
      <w:tblPr>
        <w:tblStyle w:val="TableGrid"/>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448"/>
        <w:gridCol w:w="3067"/>
        <w:gridCol w:w="4133"/>
      </w:tblGrid>
      <w:tr w:rsidR="00FE0FFF" w14:paraId="420BAEFD" w14:textId="77777777">
        <w:trPr>
          <w:cantSplit/>
          <w:tblHeader/>
          <w:jc w:val="center"/>
        </w:trPr>
        <w:tc>
          <w:tcPr>
            <w:tcW w:w="2448" w:type="dxa"/>
            <w:shd w:val="clear" w:color="auto" w:fill="E7EDF1"/>
            <w:vAlign w:val="center"/>
          </w:tcPr>
          <w:p w14:paraId="7D0A0341" w14:textId="77777777" w:rsidR="00FE0FFF" w:rsidRDefault="00000000" w:rsidP="00511687">
            <w:pPr>
              <w:spacing w:before="40" w:after="40" w:line="242" w:lineRule="auto"/>
              <w:jc w:val="both"/>
            </w:pPr>
            <w:r>
              <w:rPr>
                <w:b/>
                <w:sz w:val="21"/>
              </w:rPr>
              <w:t>Existing capability</w:t>
            </w:r>
          </w:p>
        </w:tc>
        <w:tc>
          <w:tcPr>
            <w:tcW w:w="3067" w:type="dxa"/>
            <w:shd w:val="clear" w:color="auto" w:fill="E7EDF1"/>
            <w:vAlign w:val="center"/>
          </w:tcPr>
          <w:p w14:paraId="042BC396" w14:textId="77777777" w:rsidR="00FE0FFF" w:rsidRDefault="00000000" w:rsidP="00511687">
            <w:pPr>
              <w:spacing w:before="40" w:after="40" w:line="242" w:lineRule="auto"/>
              <w:jc w:val="both"/>
            </w:pPr>
            <w:r>
              <w:rPr>
                <w:b/>
                <w:sz w:val="21"/>
              </w:rPr>
              <w:t>Established role</w:t>
            </w:r>
          </w:p>
        </w:tc>
        <w:tc>
          <w:tcPr>
            <w:tcW w:w="4133" w:type="dxa"/>
            <w:shd w:val="clear" w:color="auto" w:fill="E7EDF1"/>
            <w:vAlign w:val="center"/>
          </w:tcPr>
          <w:p w14:paraId="1DFB056B" w14:textId="77777777" w:rsidR="00FE0FFF" w:rsidRDefault="00000000" w:rsidP="00511687">
            <w:pPr>
              <w:spacing w:before="40" w:after="40" w:line="242" w:lineRule="auto"/>
              <w:jc w:val="both"/>
            </w:pPr>
            <w:r>
              <w:rPr>
                <w:b/>
                <w:sz w:val="21"/>
              </w:rPr>
              <w:t>Additional requirement in this paper</w:t>
            </w:r>
          </w:p>
        </w:tc>
      </w:tr>
      <w:tr w:rsidR="00FE0FFF" w14:paraId="015B400B" w14:textId="77777777">
        <w:trPr>
          <w:cantSplit/>
          <w:jc w:val="center"/>
        </w:trPr>
        <w:tc>
          <w:tcPr>
            <w:tcW w:w="2448" w:type="dxa"/>
            <w:shd w:val="clear" w:color="auto" w:fill="FFFFFF"/>
            <w:vAlign w:val="center"/>
          </w:tcPr>
          <w:p w14:paraId="554506F0" w14:textId="77777777" w:rsidR="00FE0FFF" w:rsidRDefault="00000000" w:rsidP="00511687">
            <w:pPr>
              <w:spacing w:before="40" w:after="40" w:line="242" w:lineRule="auto"/>
              <w:jc w:val="both"/>
            </w:pPr>
            <w:r>
              <w:rPr>
                <w:sz w:val="21"/>
              </w:rPr>
              <w:t>Auxiliary prediction heads [3]</w:t>
            </w:r>
          </w:p>
        </w:tc>
        <w:tc>
          <w:tcPr>
            <w:tcW w:w="3067" w:type="dxa"/>
            <w:shd w:val="clear" w:color="auto" w:fill="FFFFFF"/>
            <w:vAlign w:val="center"/>
          </w:tcPr>
          <w:p w14:paraId="5427F5A9" w14:textId="77777777" w:rsidR="00FE0FFF" w:rsidRDefault="00000000" w:rsidP="00511687">
            <w:pPr>
              <w:spacing w:before="40" w:after="40" w:line="242" w:lineRule="auto"/>
              <w:jc w:val="both"/>
            </w:pPr>
            <w:r>
              <w:rPr>
                <w:sz w:val="21"/>
              </w:rPr>
              <w:t>Learn additional forecasts during pretraining</w:t>
            </w:r>
          </w:p>
        </w:tc>
        <w:tc>
          <w:tcPr>
            <w:tcW w:w="4133" w:type="dxa"/>
            <w:shd w:val="clear" w:color="auto" w:fill="FFFFFF"/>
            <w:vAlign w:val="center"/>
          </w:tcPr>
          <w:p w14:paraId="1C083162" w14:textId="77777777" w:rsidR="00FE0FFF" w:rsidRDefault="00000000" w:rsidP="00511687">
            <w:pPr>
              <w:spacing w:before="40" w:after="40" w:line="242" w:lineRule="auto"/>
              <w:jc w:val="both"/>
            </w:pPr>
            <w:r>
              <w:rPr>
                <w:sz w:val="21"/>
              </w:rPr>
              <w:t>Predict typed events whose value is assessed at later recall</w:t>
            </w:r>
          </w:p>
        </w:tc>
      </w:tr>
      <w:tr w:rsidR="00FE0FFF" w14:paraId="5E2B08CE" w14:textId="77777777">
        <w:trPr>
          <w:cantSplit/>
          <w:jc w:val="center"/>
        </w:trPr>
        <w:tc>
          <w:tcPr>
            <w:tcW w:w="2448" w:type="dxa"/>
            <w:shd w:val="clear" w:color="auto" w:fill="FFFFFF"/>
            <w:vAlign w:val="center"/>
          </w:tcPr>
          <w:p w14:paraId="24B48565" w14:textId="77777777" w:rsidR="00FE0FFF" w:rsidRDefault="00000000" w:rsidP="00511687">
            <w:pPr>
              <w:spacing w:before="40" w:after="40" w:line="242" w:lineRule="auto"/>
              <w:jc w:val="both"/>
            </w:pPr>
            <w:r>
              <w:rPr>
                <w:sz w:val="21"/>
              </w:rPr>
              <w:t>Recurrent neural memory [4]</w:t>
            </w:r>
          </w:p>
        </w:tc>
        <w:tc>
          <w:tcPr>
            <w:tcW w:w="3067" w:type="dxa"/>
            <w:shd w:val="clear" w:color="auto" w:fill="FFFFFF"/>
            <w:vAlign w:val="center"/>
          </w:tcPr>
          <w:p w14:paraId="3C6E2B4A" w14:textId="77777777" w:rsidR="00FE0FFF" w:rsidRDefault="00000000" w:rsidP="00511687">
            <w:pPr>
              <w:spacing w:before="40" w:after="40" w:line="242" w:lineRule="auto"/>
              <w:jc w:val="both"/>
            </w:pPr>
            <w:r>
              <w:rPr>
                <w:sz w:val="21"/>
              </w:rPr>
              <w:t>Carry information across context segments</w:t>
            </w:r>
          </w:p>
        </w:tc>
        <w:tc>
          <w:tcPr>
            <w:tcW w:w="4133" w:type="dxa"/>
            <w:shd w:val="clear" w:color="auto" w:fill="FFFFFF"/>
            <w:vAlign w:val="center"/>
          </w:tcPr>
          <w:p w14:paraId="697F92AE" w14:textId="77777777" w:rsidR="00FE0FFF" w:rsidRDefault="00000000" w:rsidP="00511687">
            <w:pPr>
              <w:spacing w:before="40" w:after="40" w:line="242" w:lineRule="auto"/>
              <w:jc w:val="both"/>
            </w:pPr>
            <w:r>
              <w:rPr>
                <w:sz w:val="21"/>
              </w:rPr>
              <w:t>Separate reusable rules, entity state, and recoverable evidence</w:t>
            </w:r>
          </w:p>
        </w:tc>
      </w:tr>
      <w:tr w:rsidR="00FE0FFF" w14:paraId="0DD59DC4" w14:textId="77777777">
        <w:trPr>
          <w:cantSplit/>
          <w:jc w:val="center"/>
        </w:trPr>
        <w:tc>
          <w:tcPr>
            <w:tcW w:w="2448" w:type="dxa"/>
            <w:shd w:val="clear" w:color="auto" w:fill="FFFFFF"/>
            <w:vAlign w:val="center"/>
          </w:tcPr>
          <w:p w14:paraId="33FDC0BF" w14:textId="77777777" w:rsidR="00FE0FFF" w:rsidRDefault="00000000" w:rsidP="00511687">
            <w:pPr>
              <w:spacing w:before="40" w:after="40" w:line="242" w:lineRule="auto"/>
              <w:jc w:val="both"/>
            </w:pPr>
            <w:r>
              <w:rPr>
                <w:sz w:val="21"/>
              </w:rPr>
              <w:t>Hierarchical prediction [5, 6]</w:t>
            </w:r>
          </w:p>
        </w:tc>
        <w:tc>
          <w:tcPr>
            <w:tcW w:w="3067" w:type="dxa"/>
            <w:shd w:val="clear" w:color="auto" w:fill="FFFFFF"/>
            <w:vAlign w:val="center"/>
          </w:tcPr>
          <w:p w14:paraId="28D8272B" w14:textId="77777777" w:rsidR="00FE0FFF" w:rsidRDefault="00000000" w:rsidP="00511687">
            <w:pPr>
              <w:spacing w:before="40" w:after="40" w:line="242" w:lineRule="auto"/>
              <w:jc w:val="both"/>
            </w:pPr>
            <w:r>
              <w:rPr>
                <w:sz w:val="21"/>
              </w:rPr>
              <w:t>Trade answer specificity against reliability</w:t>
            </w:r>
          </w:p>
        </w:tc>
        <w:tc>
          <w:tcPr>
            <w:tcW w:w="4133" w:type="dxa"/>
            <w:shd w:val="clear" w:color="auto" w:fill="FFFFFF"/>
            <w:vAlign w:val="center"/>
          </w:tcPr>
          <w:p w14:paraId="076376EA" w14:textId="77777777" w:rsidR="00FE0FFF" w:rsidRDefault="00000000" w:rsidP="00511687">
            <w:pPr>
              <w:spacing w:before="40" w:after="40" w:line="242" w:lineRule="auto"/>
              <w:jc w:val="both"/>
            </w:pPr>
            <w:r>
              <w:rPr>
                <w:sz w:val="21"/>
              </w:rPr>
              <w:t>Apply that trade off to consolidation, staleness, and recall</w:t>
            </w:r>
          </w:p>
        </w:tc>
      </w:tr>
      <w:tr w:rsidR="00FE0FFF" w14:paraId="6C08D9C2" w14:textId="77777777">
        <w:trPr>
          <w:cantSplit/>
          <w:jc w:val="center"/>
        </w:trPr>
        <w:tc>
          <w:tcPr>
            <w:tcW w:w="2448" w:type="dxa"/>
            <w:shd w:val="clear" w:color="auto" w:fill="FFFFFF"/>
            <w:vAlign w:val="center"/>
          </w:tcPr>
          <w:p w14:paraId="571228DD" w14:textId="77777777" w:rsidR="00FE0FFF" w:rsidRDefault="00000000" w:rsidP="00511687">
            <w:pPr>
              <w:spacing w:before="40" w:after="40" w:line="242" w:lineRule="auto"/>
              <w:jc w:val="both"/>
            </w:pPr>
            <w:r>
              <w:rPr>
                <w:sz w:val="21"/>
              </w:rPr>
              <w:t>Multicalibration and omniprediction [7–9]</w:t>
            </w:r>
          </w:p>
        </w:tc>
        <w:tc>
          <w:tcPr>
            <w:tcW w:w="3067" w:type="dxa"/>
            <w:shd w:val="clear" w:color="auto" w:fill="FFFFFF"/>
            <w:vAlign w:val="center"/>
          </w:tcPr>
          <w:p w14:paraId="6EB69D1E" w14:textId="77777777" w:rsidR="00FE0FFF" w:rsidRDefault="00000000" w:rsidP="00511687">
            <w:pPr>
              <w:spacing w:before="40" w:after="40" w:line="242" w:lineRule="auto"/>
              <w:jc w:val="both"/>
            </w:pPr>
            <w:r>
              <w:rPr>
                <w:sz w:val="21"/>
              </w:rPr>
              <w:t>Audit forecasts and support families of losses</w:t>
            </w:r>
          </w:p>
        </w:tc>
        <w:tc>
          <w:tcPr>
            <w:tcW w:w="4133" w:type="dxa"/>
            <w:shd w:val="clear" w:color="auto" w:fill="FFFFFF"/>
            <w:vAlign w:val="center"/>
          </w:tcPr>
          <w:p w14:paraId="6EB68B3F" w14:textId="77777777" w:rsidR="00FE0FFF" w:rsidRDefault="00000000" w:rsidP="00511687">
            <w:pPr>
              <w:spacing w:before="40" w:after="40" w:line="242" w:lineRule="auto"/>
              <w:jc w:val="both"/>
            </w:pPr>
            <w:r>
              <w:rPr>
                <w:sz w:val="21"/>
              </w:rPr>
              <w:t>Declare external audit classes and include memory selection effects</w:t>
            </w:r>
          </w:p>
        </w:tc>
      </w:tr>
      <w:tr w:rsidR="00FE0FFF" w14:paraId="5CF1989B" w14:textId="77777777">
        <w:trPr>
          <w:cantSplit/>
          <w:jc w:val="center"/>
        </w:trPr>
        <w:tc>
          <w:tcPr>
            <w:tcW w:w="2448" w:type="dxa"/>
            <w:shd w:val="clear" w:color="auto" w:fill="FFFFFF"/>
            <w:vAlign w:val="center"/>
          </w:tcPr>
          <w:p w14:paraId="2A96DAA5" w14:textId="77777777" w:rsidR="00FE0FFF" w:rsidRDefault="00000000" w:rsidP="00511687">
            <w:pPr>
              <w:spacing w:before="40" w:after="40" w:line="242" w:lineRule="auto"/>
              <w:jc w:val="both"/>
            </w:pPr>
            <w:r>
              <w:rPr>
                <w:sz w:val="21"/>
              </w:rPr>
              <w:t>Complementary learning systems [12]</w:t>
            </w:r>
          </w:p>
        </w:tc>
        <w:tc>
          <w:tcPr>
            <w:tcW w:w="3067" w:type="dxa"/>
            <w:shd w:val="clear" w:color="auto" w:fill="FFFFFF"/>
            <w:vAlign w:val="center"/>
          </w:tcPr>
          <w:p w14:paraId="784EA675" w14:textId="77777777" w:rsidR="00FE0FFF" w:rsidRDefault="00000000" w:rsidP="00511687">
            <w:pPr>
              <w:spacing w:before="40" w:after="40" w:line="242" w:lineRule="auto"/>
              <w:jc w:val="both"/>
            </w:pPr>
            <w:r>
              <w:rPr>
                <w:sz w:val="21"/>
              </w:rPr>
              <w:t>Regulate transfer between memory systems</w:t>
            </w:r>
          </w:p>
        </w:tc>
        <w:tc>
          <w:tcPr>
            <w:tcW w:w="4133" w:type="dxa"/>
            <w:shd w:val="clear" w:color="auto" w:fill="FFFFFF"/>
            <w:vAlign w:val="center"/>
          </w:tcPr>
          <w:p w14:paraId="7C54D162" w14:textId="77777777" w:rsidR="00FE0FFF" w:rsidRDefault="00000000" w:rsidP="00511687">
            <w:pPr>
              <w:spacing w:before="40" w:after="40" w:line="242" w:lineRule="auto"/>
              <w:jc w:val="both"/>
            </w:pPr>
            <w:r>
              <w:rPr>
                <w:sz w:val="21"/>
              </w:rPr>
              <w:t>Measure transfer by future conditional predictive value</w:t>
            </w:r>
          </w:p>
        </w:tc>
      </w:tr>
    </w:tbl>
    <w:p w14:paraId="3B7863D3" w14:textId="77777777" w:rsidR="00FE0FFF" w:rsidRDefault="00000000" w:rsidP="00511687">
      <w:pPr>
        <w:pStyle w:val="Heading2"/>
        <w:jc w:val="both"/>
      </w:pPr>
      <w:bookmarkStart w:id="4" w:name="three-complementary-stores"/>
      <w:bookmarkEnd w:id="3"/>
      <w:r>
        <w:t>Three complementary stores</w:t>
      </w:r>
    </w:p>
    <w:p w14:paraId="149A769D" w14:textId="77777777" w:rsidR="00FE0FFF" w:rsidRDefault="00000000" w:rsidP="00511687">
      <w:pPr>
        <w:pStyle w:val="FirstParagraph"/>
        <w:jc w:val="both"/>
      </w:pPr>
      <w:r>
        <w:t>Let the persistent memory be</w:t>
      </w:r>
    </w:p>
    <w:p w14:paraId="04C51A2A"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Pr>
          <w:sz w:val="21"/>
        </w:rPr>
        <w:tab/>
        <w:t>(1)</w:t>
      </w:r>
    </w:p>
    <w:p w14:paraId="1889686B" w14:textId="77777777" w:rsidR="00FE0FFF" w:rsidRDefault="00000000" w:rsidP="00511687">
      <w:pPr>
        <w:pStyle w:val="FirstParagraph"/>
        <w:jc w:val="both"/>
      </w:pPr>
      <w:r>
        <w:t xml:space="preserve">The rule book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contains typed antecedents, prediction heads, parameters, and their domains of applicability. A rule can express a regularity such as whether a changed interface is likely to require a new review. The state store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contains facts bound to identified entities: which revision a drawing has reached, which event superseded an approval, or which actor currently owns an action. The episodic store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retains selected source windows or loss controlled representations that support re-extraction, anomaly investigation, and new questions.</w:t>
      </w:r>
    </w:p>
    <w:p w14:paraId="6A779C52" w14:textId="77777777" w:rsidR="00FE0FFF" w:rsidRDefault="00000000" w:rsidP="00511687">
      <w:pPr>
        <w:pStyle w:val="BodyText"/>
        <w:jc w:val="both"/>
      </w:pPr>
      <w:r>
        <w:t>These stores have different failure modes. A correct rule can be applied to the wrong entity. An accurately encoded state can become stale. A reservoir can preserve an episode but fail to retrieve it. Calling all three objects a rule book would hide these distinctions. Conversely, storing only episodes postpones consolidation and shifts its cost to every recall.</w:t>
      </w:r>
    </w:p>
    <w:p w14:paraId="09B4F2A0" w14:textId="77777777" w:rsidR="00FE0FFF" w:rsidRDefault="00000000" w:rsidP="00511687">
      <w:pPr>
        <w:pStyle w:val="BodyText"/>
        <w:jc w:val="both"/>
      </w:pPr>
      <w:r>
        <w:lastRenderedPageBreak/>
        <w:t>A typed record states an event, an entity binding, a time or horizon, a value distribution, and the extractor and ontology versions used to produce it. Its type gives the value an observable interpretation. Its probabilities do not themselves establish that the source was correct. A deterministic update such as a recorded revision change should use an explicit transition operation; uncertain extraction remains a distribution with provenance.</w:t>
      </w:r>
    </w:p>
    <w:p w14:paraId="7DCC88C3" w14:textId="77777777" w:rsidR="00FE0FFF" w:rsidRDefault="00000000" w:rsidP="00511687">
      <w:pPr>
        <w:pStyle w:val="BodyText"/>
        <w:jc w:val="both"/>
      </w:pPr>
      <w:r>
        <w:t>The key–value cache is the transient substrate from which records can be extracted. Its coordinates depend on the backbone parameters and need not retain a stable interpretation during joint training. A typed record offers a more stable interface, but continued calibration still requires validation on the distribution in which the record is retained and retrieved.</w:t>
      </w:r>
    </w:p>
    <w:p w14:paraId="2AA79A3A" w14:textId="77777777" w:rsidR="00FE0FFF" w:rsidRDefault="00000000" w:rsidP="00511687">
      <w:pPr>
        <w:pStyle w:val="CaptionedFigure"/>
        <w:keepLines/>
        <w:spacing w:before="120" w:after="160" w:line="245" w:lineRule="auto"/>
        <w:jc w:val="both"/>
      </w:pPr>
      <w:r>
        <w:rPr>
          <w:noProof/>
        </w:rPr>
        <w:drawing>
          <wp:inline distT="0" distB="0" distL="0" distR="0" wp14:anchorId="13840DC0" wp14:editId="4C104974">
            <wp:extent cx="5852160" cy="3367895"/>
            <wp:effectExtent l="0" t="0" r="0" b="0"/>
            <wp:docPr id="24" name="Picture" descr="The proposed architecture separates the measurement roles from memory actions. The future outcome stream trains and audits predictions. Recall combines current observations with the rule book, entity state, and episodic evidence."/>
            <wp:cNvGraphicFramePr/>
            <a:graphic xmlns:a="http://schemas.openxmlformats.org/drawingml/2006/main">
              <a:graphicData uri="http://schemas.openxmlformats.org/drawingml/2006/picture">
                <pic:pic xmlns:pic="http://schemas.openxmlformats.org/drawingml/2006/picture">
                  <pic:nvPicPr>
                    <pic:cNvPr id="25" name="Picture" descr="figures/architecture.png"/>
                    <pic:cNvPicPr>
                      <a:picLocks noChangeAspect="1" noChangeArrowheads="1"/>
                    </pic:cNvPicPr>
                  </pic:nvPicPr>
                  <pic:blipFill>
                    <a:blip r:embed="rId7"/>
                    <a:stretch>
                      <a:fillRect/>
                    </a:stretch>
                  </pic:blipFill>
                  <pic:spPr bwMode="auto">
                    <a:xfrm>
                      <a:off x="0" y="0"/>
                      <a:ext cx="5852160" cy="3367895"/>
                    </a:xfrm>
                    <a:prstGeom prst="rect">
                      <a:avLst/>
                    </a:prstGeom>
                    <a:noFill/>
                    <a:ln w="9525">
                      <a:noFill/>
                      <a:headEnd/>
                      <a:tailEnd/>
                    </a:ln>
                  </pic:spPr>
                </pic:pic>
              </a:graphicData>
            </a:graphic>
          </wp:inline>
        </w:drawing>
      </w:r>
      <w:r>
        <w:br/>
      </w:r>
      <w:r>
        <w:rPr>
          <w:sz w:val="21"/>
        </w:rPr>
        <w:t>Figure 1. The proposed architecture separates the measurement roles from memory actions. The future outcome stream trains and audits predictions. Recall combines current observations with the rule book, entity state, and episodic evidence.</w:t>
      </w:r>
    </w:p>
    <w:p w14:paraId="7AD4606F" w14:textId="77777777" w:rsidR="00FE0FFF" w:rsidRDefault="00000000" w:rsidP="00511687">
      <w:pPr>
        <w:pStyle w:val="Heading2"/>
        <w:jc w:val="both"/>
      </w:pPr>
      <w:bookmarkStart w:id="5" w:name="notation-and-scope"/>
      <w:bookmarkEnd w:id="4"/>
      <w:r>
        <w:t>Notation and scope</w:t>
      </w:r>
    </w:p>
    <w:p w14:paraId="40847976" w14:textId="77777777" w:rsidR="00FE0FFF" w:rsidRDefault="00000000" w:rsidP="00511687">
      <w:pPr>
        <w:pStyle w:val="FirstParagraph"/>
        <w:jc w:val="both"/>
      </w:pPr>
      <w:r>
        <w:t xml:space="preserve">Let </w:t>
      </w:r>
      <m:oMath>
        <m:r>
          <w:rPr>
            <w:rFonts w:ascii="Cambria Math" w:hAnsi="Cambria Math"/>
          </w:rPr>
          <m:t>H</m:t>
        </m:r>
      </m:oMath>
      <w:r>
        <w:t xml:space="preserve"> denote history available at encoding and let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be its consolidated representation. For the basic analysis, </w:t>
      </w:r>
      <m:oMath>
        <m:r>
          <w:rPr>
            <w:rFonts w:ascii="Cambria Math" w:hAnsi="Cambria Math"/>
          </w:rPr>
          <m:t>C</m:t>
        </m:r>
      </m:oMath>
      <w:r>
        <w:t xml:space="preserve"> is deterministic. Independent compression randomness can instead be included in the conditioning variables. Let </w:t>
      </w:r>
      <m:oMath>
        <m:r>
          <w:rPr>
            <w:rFonts w:ascii="Cambria Math" w:hAnsi="Cambria Math"/>
          </w:rPr>
          <m:t>Z</m:t>
        </m:r>
      </m:oMath>
      <w:r>
        <w:t xml:space="preserve"> contain the information available at recall outside </w:t>
      </w:r>
      <m:oMath>
        <m:r>
          <w:rPr>
            <w:rFonts w:ascii="Cambria Math" w:hAnsi="Cambria Math"/>
          </w:rPr>
          <m:t>M</m:t>
        </m:r>
      </m:oMath>
      <w:r>
        <w:t xml:space="preserve">, including the surviving active window and later observations. A typed question </w:t>
      </w:r>
      <m:oMath>
        <m:r>
          <w:rPr>
            <w:rFonts w:ascii="Cambria Math" w:hAnsi="Cambria Math"/>
          </w:rPr>
          <m:t>Q</m:t>
        </m:r>
      </m:oMath>
      <w:r>
        <w:t xml:space="preserve"> identifies its event, answer space, entity arguments, and horizon. The corresponding outcome is </w:t>
      </w:r>
      <m:oMath>
        <m:r>
          <w:rPr>
            <w:rFonts w:ascii="Cambria Math" w:hAnsi="Cambria Math"/>
          </w:rPr>
          <m:t>Y</m:t>
        </m:r>
      </m:oMath>
      <w:r>
        <w:t>.</w:t>
      </w:r>
    </w:p>
    <w:p w14:paraId="35347684" w14:textId="77777777" w:rsidR="00FE0FFF" w:rsidRDefault="00000000" w:rsidP="00511687">
      <w:pPr>
        <w:pStyle w:val="BodyText"/>
        <w:jc w:val="both"/>
      </w:pPr>
      <w:r>
        <w:t xml:space="preserve">The decoder </w:t>
      </w:r>
      <m:oMath>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returns a probability distribution over the declared answer space. Probabilities and information quantities in this paper use natural logarithms unless bits are explicitly stated. The analysis initially assumes passive observation of a fixed joint distribution. When memory actions change later observations or the environment, their value must be evaluated under the induced policy distribution.</w:t>
      </w:r>
    </w:p>
    <w:p w14:paraId="38B366D8" w14:textId="77777777" w:rsidR="00FE0FFF" w:rsidRDefault="00000000" w:rsidP="00511687">
      <w:pPr>
        <w:pStyle w:val="BodyText"/>
        <w:jc w:val="both"/>
      </w:pPr>
      <w:r>
        <w:t xml:space="preserve">The operational goal is contextual sufficiency: within a declared family of future observation and question distributions, using </w:t>
      </w:r>
      <m:oMath>
        <m:r>
          <w:rPr>
            <w:rFonts w:ascii="Cambria Math" w:hAnsi="Cambria Math"/>
          </w:rPr>
          <m:t>M</m:t>
        </m:r>
      </m:oMath>
      <w:r>
        <w:t xml:space="preserve"> should incur acceptably little loss relative to using </w:t>
      </w:r>
      <m:oMath>
        <m:r>
          <w:rPr>
            <w:rFonts w:ascii="Cambria Math" w:hAnsi="Cambria Math"/>
          </w:rPr>
          <m:t>H</m:t>
        </m:r>
      </m:oMath>
      <w:r>
        <w:t xml:space="preserve">. This is a task </w:t>
      </w:r>
      <w:r>
        <w:lastRenderedPageBreak/>
        <w:t>relative definition. No finite memory can preserve every possible answer about an unrestricted history.</w:t>
      </w:r>
    </w:p>
    <w:p w14:paraId="557D2B7C" w14:textId="77777777" w:rsidR="00FE0FFF" w:rsidRDefault="00000000" w:rsidP="00511687">
      <w:pPr>
        <w:pStyle w:val="BodyText"/>
        <w:jc w:val="both"/>
      </w:pPr>
      <w:r>
        <w:rPr>
          <w:b/>
          <w:bCs/>
        </w:rPr>
        <w:t>Definition.</w:t>
      </w:r>
      <w:r>
        <w:t xml:space="preserve"> Semi symbolic consolidation is the induction and maintenance of a typed memory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whose executable decoder approximates full history prediction for a declared family of recall contexts and questions, under an explicit resource budget. Hierarchical consolidation additionally assigns every reported answer a node in a versioned outcome hierarchy and validates the policy that chooses its specificity. Calibration is assessed against a declared audit class and deployment distribution; it is a requirement to measure, rather than an automatic property of this definition.</w:t>
      </w:r>
    </w:p>
    <w:p w14:paraId="3DFA04AC" w14:textId="77777777" w:rsidR="00FE0FFF" w:rsidRDefault="00000000" w:rsidP="00511687">
      <w:pPr>
        <w:pStyle w:val="Heading1"/>
        <w:jc w:val="both"/>
      </w:pPr>
      <w:bookmarkStart w:id="6" w:name="X37e338b3fc3392498593dc8356bcd44e05885db"/>
      <w:bookmarkEnd w:id="2"/>
      <w:bookmarkEnd w:id="5"/>
      <w:r>
        <w:t>3 Consolidation must anticipate future context</w:t>
      </w:r>
    </w:p>
    <w:p w14:paraId="3B91FF0B" w14:textId="77777777" w:rsidR="00FE0FFF" w:rsidRDefault="00000000" w:rsidP="00511687">
      <w:pPr>
        <w:pStyle w:val="Heading2"/>
        <w:jc w:val="both"/>
      </w:pPr>
      <w:bookmarkStart w:id="7" w:name="the-exact-loss-decomposition"/>
      <w:r>
        <w:t>The exact loss decomposition</w:t>
      </w:r>
    </w:p>
    <w:p w14:paraId="6AF22A8D" w14:textId="77777777" w:rsidR="00FE0FFF" w:rsidRDefault="00000000" w:rsidP="00511687">
      <w:pPr>
        <w:pStyle w:val="FirstParagraph"/>
        <w:jc w:val="both"/>
      </w:pPr>
      <w:r>
        <w:t xml:space="preserve">Write </w:t>
      </w:r>
      <m:oMath>
        <m:sSub>
          <m:sSubPr>
            <m:ctrlPr>
              <w:rPr>
                <w:rFonts w:ascii="Cambria Math" w:hAnsi="Cambria Math"/>
              </w:rPr>
            </m:ctrlPr>
          </m:sSubPr>
          <m:e>
            <m:r>
              <w:rPr>
                <w:rFonts w:ascii="Cambria Math" w:hAnsi="Cambria Math"/>
              </w:rPr>
              <m:t>R</m:t>
            </m:r>
          </m:e>
          <m:sub>
            <m:r>
              <w:rPr>
                <w:rFonts w:ascii="Cambria Math" w:hAnsi="Cambria Math"/>
              </w:rPr>
              <m:t>F</m:t>
            </m:r>
          </m:sub>
        </m:sSub>
        <m:r>
          <m:rPr>
            <m:scr m:val="double-struck"/>
            <m:sty m:val="p"/>
          </m:rPr>
          <w:rPr>
            <w:rFonts w:ascii="Cambria Math" w:hAnsi="Cambria Math"/>
          </w:rPr>
          <m:t>=E</m:t>
        </m:r>
        <m:r>
          <m:rPr>
            <m:sty m:val="p"/>
          </m:rPr>
          <w:rPr>
            <w:rFonts w:ascii="Cambria Math" w:hAnsi="Cambria Math"/>
          </w:rPr>
          <m:t>[-log</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for expected log loss, and abbreviate the true and predicted recall distributions as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The memory decoder admits the decomposition</w:t>
      </w:r>
    </w:p>
    <w:p w14:paraId="67575017"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cr m:val="double-struck"/>
            <m:sty m:val="p"/>
          </m:rPr>
          <w:rPr>
            <w:rFonts w:ascii="Cambria Math" w:hAnsi="Cambria Math"/>
          </w:rPr>
          <m:t>)+E</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oMath>
      <w:r>
        <w:rPr>
          <w:sz w:val="21"/>
        </w:rPr>
        <w:tab/>
        <w:t>(2)</w:t>
      </w:r>
    </w:p>
    <w:p w14:paraId="1BA87FB7" w14:textId="77777777" w:rsidR="00FE0FFF" w:rsidRDefault="00000000" w:rsidP="00511687">
      <w:pPr>
        <w:pStyle w:val="FirstParagraph"/>
        <w:jc w:val="both"/>
      </w:pPr>
      <w:r>
        <w:t xml:space="preserve">The first term measures information lost by consolidation for the specified recall distribution. The second measures how poorly the decoder uses the information that remains. Equation 2 follows by adding and subtracting </w:t>
      </w:r>
      <m:oMath>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and using the fact that </w:t>
      </w:r>
      <m:oMath>
        <m:r>
          <w:rPr>
            <w:rFonts w:ascii="Cambria Math" w:hAnsi="Cambria Math"/>
          </w:rPr>
          <m:t>M</m:t>
        </m:r>
      </m:oMath>
      <w:r>
        <w:t xml:space="preserve"> is a function of </w:t>
      </w:r>
      <m:oMath>
        <m:r>
          <w:rPr>
            <w:rFonts w:ascii="Cambria Math" w:hAnsi="Cambria Math"/>
          </w:rPr>
          <m:t>H</m:t>
        </m:r>
      </m:oMath>
      <w:r>
        <w:t>. It separates a memory failure from a readout failure; improving the decoder cannot recover information removed from every retained representation.</w:t>
      </w:r>
    </w:p>
    <w:p w14:paraId="2A383E89" w14:textId="77777777" w:rsidR="00FE0FFF" w:rsidRDefault="00000000" w:rsidP="00511687">
      <w:pPr>
        <w:pStyle w:val="BodyText"/>
        <w:jc w:val="both"/>
      </w:pPr>
      <w:r>
        <w:t>This formulation connects to source coding with side information at the decoder [13] and to predictive representations of state [14]. The proposed objective does not require reproducing the historical sequence. It requires preserving distinctions that influence later predictions once the decoder has received its other observations.</w:t>
      </w:r>
    </w:p>
    <w:p w14:paraId="4AC3EA4E" w14:textId="77777777" w:rsidR="00FE0FFF" w:rsidRDefault="00000000" w:rsidP="00511687">
      <w:pPr>
        <w:pStyle w:val="Heading2"/>
        <w:jc w:val="both"/>
      </w:pPr>
      <w:bookmarkStart w:id="8" w:name="X2f0fe805d4a03a2777eb2d5302802456caa4e20"/>
      <w:bookmarkEnd w:id="7"/>
      <w:r>
        <w:t>A calibrated predictor can price essential information at zero</w:t>
      </w:r>
    </w:p>
    <w:p w14:paraId="590098B0" w14:textId="77777777" w:rsidR="00FE0FFF" w:rsidRDefault="00000000" w:rsidP="00511687">
      <w:pPr>
        <w:pStyle w:val="FirstParagraph"/>
        <w:jc w:val="both"/>
      </w:pPr>
      <w:r>
        <w:t xml:space="preserve">Consider independent fair bits </w:t>
      </w:r>
      <m:oMath>
        <m:r>
          <w:rPr>
            <w:rFonts w:ascii="Cambria Math" w:hAnsi="Cambria Math"/>
          </w:rPr>
          <m:t>U</m:t>
        </m:r>
      </m:oMath>
      <w:r>
        <w:t xml:space="preserve"> and </w:t>
      </w:r>
      <m:oMath>
        <m:r>
          <w:rPr>
            <w:rFonts w:ascii="Cambria Math" w:hAnsi="Cambria Math"/>
          </w:rPr>
          <m:t>V</m:t>
        </m:r>
      </m:oMath>
      <w:r>
        <w:t xml:space="preserve">. The encoder observes </w:t>
      </w:r>
      <m:oMath>
        <m:r>
          <w:rPr>
            <w:rFonts w:ascii="Cambria Math" w:hAnsi="Cambria Math"/>
          </w:rPr>
          <m:t>U</m:t>
        </m:r>
      </m:oMath>
      <w:r>
        <w:t xml:space="preserve"> now; the decoder observes </w:t>
      </w:r>
      <m:oMath>
        <m:r>
          <w:rPr>
            <w:rFonts w:ascii="Cambria Math" w:hAnsi="Cambria Math"/>
          </w:rPr>
          <m:t>V</m:t>
        </m:r>
      </m:oMath>
      <w:r>
        <w:t xml:space="preserve"> later. The future answer is</w:t>
      </w:r>
    </w:p>
    <w:p w14:paraId="06EE766D" w14:textId="77777777" w:rsidR="00FE0FFF" w:rsidRDefault="00000000" w:rsidP="00511687">
      <w:pPr>
        <w:pStyle w:val="BodyText"/>
        <w:keepLines/>
        <w:tabs>
          <w:tab w:val="right" w:pos="9605"/>
        </w:tabs>
        <w:spacing w:before="100" w:after="140"/>
        <w:jc w:val="both"/>
      </w:pPr>
      <m:oMath>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  N</m:t>
        </m:r>
        <m:r>
          <m:rPr>
            <m:sty m:val="p"/>
          </m:rPr>
          <w:rPr>
            <w:rFonts w:ascii="Cambria Math" w:hAnsi="Cambria Math"/>
          </w:rPr>
          <m:t>∼Bernoulli(</m:t>
        </m:r>
        <m:r>
          <w:rPr>
            <w:rFonts w:ascii="Cambria Math" w:hAnsi="Cambria Math"/>
          </w:rPr>
          <m:t>ϵ</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ϵ</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oMath>
      <w:r>
        <w:rPr>
          <w:sz w:val="21"/>
        </w:rPr>
        <w:tab/>
        <w:t>(3)</w:t>
      </w:r>
    </w:p>
    <w:p w14:paraId="0541E8F3" w14:textId="77777777" w:rsidR="00FE0FFF" w:rsidRDefault="00000000" w:rsidP="00511687">
      <w:pPr>
        <w:pStyle w:val="FirstParagraph"/>
        <w:jc w:val="both"/>
      </w:pPr>
      <w:r>
        <w:t xml:space="preserve">Here </w:t>
      </w:r>
      <m:oMath>
        <m:r>
          <w:rPr>
            <w:rFonts w:ascii="Cambria Math" w:hAnsi="Cambria Math"/>
          </w:rPr>
          <m:t>N</m:t>
        </m:r>
      </m:oMath>
      <w:r>
        <w:t xml:space="preserve"> is independent noise and </w:t>
      </w:r>
      <m:oMath>
        <m:r>
          <m:rPr>
            <m:sty m:val="p"/>
          </m:rPr>
          <w:rPr>
            <w:rFonts w:ascii="Cambria Math" w:hAnsi="Cambria Math"/>
          </w:rPr>
          <m:t>⊕</m:t>
        </m:r>
      </m:oMath>
      <w:r>
        <w:t xml:space="preserve"> denotes exclusive OR. Before </w:t>
      </w:r>
      <m:oMath>
        <m:r>
          <w:rPr>
            <w:rFonts w:ascii="Cambria Math" w:hAnsi="Cambria Math"/>
          </w:rPr>
          <m:t>V</m:t>
        </m:r>
      </m:oMath>
      <w:r>
        <w:t xml:space="preserve"> arrives, the distribution of </w:t>
      </w:r>
      <m:oMath>
        <m:r>
          <w:rPr>
            <w:rFonts w:ascii="Cambria Math" w:hAnsi="Cambria Math"/>
          </w:rPr>
          <m:t>Y</m:t>
        </m:r>
      </m:oMath>
      <w:r>
        <w:t xml:space="preserve"> is uniform whether or not </w:t>
      </w:r>
      <m:oMath>
        <m:r>
          <w:rPr>
            <w:rFonts w:ascii="Cambria Math" w:hAnsi="Cambria Math"/>
          </w:rPr>
          <m:t>U</m:t>
        </m:r>
      </m:oMath>
      <w:r>
        <w:t xml:space="preserve"> is retained. Therefore a write time comparison of the two marginal predictions assigns zero KL loss to deleting </w:t>
      </w:r>
      <m:oMath>
        <m:r>
          <w:rPr>
            <w:rFonts w:ascii="Cambria Math" w:hAnsi="Cambria Math"/>
          </w:rPr>
          <m:t>U</m:t>
        </m:r>
      </m:oMath>
      <w:r>
        <w:t xml:space="preserve">. Both predictions are exactly calibrated. After </w:t>
      </w:r>
      <m:oMath>
        <m:r>
          <w:rPr>
            <w:rFonts w:ascii="Cambria Math" w:hAnsi="Cambria Math"/>
          </w:rPr>
          <m:t>V</m:t>
        </m:r>
      </m:oMath>
      <w:r>
        <w:t xml:space="preserve"> arrives, retaining </w:t>
      </w:r>
      <m:oMath>
        <m:r>
          <w:rPr>
            <w:rFonts w:ascii="Cambria Math" w:hAnsi="Cambria Math"/>
          </w:rPr>
          <m:t>U</m:t>
        </m:r>
      </m:oMath>
      <w:r>
        <w:t xml:space="preserve"> reduces the optimal error from </w:t>
      </w:r>
      <m:oMath>
        <m:r>
          <w:rPr>
            <w:rFonts w:ascii="Cambria Math" w:hAnsi="Cambria Math"/>
          </w:rPr>
          <m:t>1</m:t>
        </m:r>
        <m:r>
          <m:rPr>
            <m:sty m:val="p"/>
          </m:rPr>
          <w:rPr>
            <w:rFonts w:ascii="Cambria Math" w:hAnsi="Cambria Math"/>
          </w:rPr>
          <m:t>/</m:t>
        </m:r>
        <m:r>
          <w:rPr>
            <w:rFonts w:ascii="Cambria Math" w:hAnsi="Cambria Math"/>
          </w:rPr>
          <m:t>2</m:t>
        </m:r>
      </m:oMath>
      <w:r>
        <w:t xml:space="preserve"> to </w:t>
      </w:r>
      <m:oMath>
        <m:r>
          <w:rPr>
            <w:rFonts w:ascii="Cambria Math" w:hAnsi="Cambria Math"/>
          </w:rPr>
          <m:t>ϵ</m:t>
        </m:r>
      </m:oMath>
      <w:r>
        <w:t xml:space="preserve"> and reduces log loss by</w:t>
      </w:r>
    </w:p>
    <w:p w14:paraId="4C927257" w14:textId="77777777" w:rsidR="00FE0FFF" w:rsidRDefault="00000000" w:rsidP="00511687">
      <w:pPr>
        <w:pStyle w:val="BodyText"/>
        <w:keepLines/>
        <w:tabs>
          <w:tab w:val="right" w:pos="9605"/>
        </w:tabs>
        <w:spacing w:before="100" w:after="140"/>
        <w:jc w:val="both"/>
      </w:pPr>
      <m:oMath>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)=log</m:t>
        </m:r>
        <m:r>
          <w:rPr>
            <w:rFonts w:ascii="Cambria Math" w:hAnsi="Cambria Math"/>
          </w:rPr>
          <m:t>2</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ϵ</m:t>
        </m:r>
        <m:r>
          <m:rPr>
            <m:sty m:val="p"/>
          </m:rPr>
          <w:rPr>
            <w:rFonts w:ascii="Cambria Math" w:hAnsi="Cambria Math"/>
          </w:rPr>
          <m:t>log</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oMath>
      <w:r>
        <w:rPr>
          <w:sz w:val="21"/>
        </w:rPr>
        <w:tab/>
        <w:t>(4)</w:t>
      </w:r>
    </w:p>
    <w:p w14:paraId="2939590F" w14:textId="77777777" w:rsidR="00FE0FFF" w:rsidRDefault="00000000" w:rsidP="00511687">
      <w:pPr>
        <w:pStyle w:val="FirstParagraph"/>
        <w:jc w:val="both"/>
      </w:pPr>
      <w:r>
        <w:t xml:space="preserve">At </w:t>
      </w:r>
      <m:oMath>
        <m:r>
          <w:rPr>
            <w:rFonts w:ascii="Cambria Math" w:hAnsi="Cambria Math"/>
          </w:rPr>
          <m:t>ϵ</m:t>
        </m:r>
        <m:r>
          <m:rPr>
            <m:sty m:val="p"/>
          </m:rPr>
          <w:rPr>
            <w:rFonts w:ascii="Cambria Math" w:hAnsi="Cambria Math"/>
          </w:rPr>
          <m:t>=</m:t>
        </m:r>
        <m:r>
          <w:rPr>
            <w:rFonts w:ascii="Cambria Math" w:hAnsi="Cambria Math"/>
          </w:rPr>
          <m:t>0</m:t>
        </m:r>
      </m:oMath>
      <w:r>
        <w:t xml:space="preserve">, one retained bit removes all uncertainty. At </w:t>
      </w:r>
      <m:oMath>
        <m:r>
          <w:rPr>
            <w:rFonts w:ascii="Cambria Math" w:hAnsi="Cambria Math"/>
          </w:rPr>
          <m:t>ϵ</m:t>
        </m:r>
        <m:r>
          <m:rPr>
            <m:sty m:val="p"/>
          </m:rPr>
          <w:rPr>
            <w:rFonts w:ascii="Cambria Math" w:hAnsi="Cambria Math"/>
          </w:rPr>
          <m:t>=</m:t>
        </m:r>
        <m:r>
          <w:rPr>
            <w:rFonts w:ascii="Cambria Math" w:hAnsi="Cambria Math"/>
          </w:rPr>
          <m:t>0.1</m:t>
        </m:r>
      </m:oMath>
      <w:r>
        <w:t>, its value is approximately 0.3681 nats, or 0.5310 bits, and optimal error falls from 0.5 to 0.1. These are exact consequences of the specified distribution, not results from a trained model. The example establishes that good write time calibration alone cannot justify eviction.</w:t>
      </w:r>
    </w:p>
    <w:p w14:paraId="181A6C0B" w14:textId="77777777" w:rsidR="00FE0FFF" w:rsidRDefault="00000000" w:rsidP="00511687">
      <w:pPr>
        <w:pStyle w:val="CaptionedFigure"/>
        <w:keepLines/>
        <w:spacing w:before="120" w:after="160" w:line="245" w:lineRule="auto"/>
        <w:jc w:val="both"/>
      </w:pPr>
      <w:r>
        <w:rPr>
          <w:noProof/>
        </w:rPr>
        <w:lastRenderedPageBreak/>
        <w:drawing>
          <wp:inline distT="0" distB="0" distL="0" distR="0" wp14:anchorId="27DEC4A7" wp14:editId="282B0885">
            <wp:extent cx="5852160" cy="2121377"/>
            <wp:effectExtent l="0" t="0" r="0" b="0"/>
            <wp:docPr id="31" name="Picture" descr="Analytical value of retaining one bit in the delayed XOR example. The write time marginal KL remains zero for every noise level. Future conditional information value and the reduction in decision error are positive whenever the noise rate is below one half."/>
            <wp:cNvGraphicFramePr/>
            <a:graphic xmlns:a="http://schemas.openxmlformats.org/drawingml/2006/main">
              <a:graphicData uri="http://schemas.openxmlformats.org/drawingml/2006/picture">
                <pic:pic xmlns:pic="http://schemas.openxmlformats.org/drawingml/2006/picture">
                  <pic:nvPicPr>
                    <pic:cNvPr id="32" name="Picture" descr="figures/future_context.png"/>
                    <pic:cNvPicPr>
                      <a:picLocks noChangeAspect="1" noChangeArrowheads="1"/>
                    </pic:cNvPicPr>
                  </pic:nvPicPr>
                  <pic:blipFill>
                    <a:blip r:embed="rId8"/>
                    <a:stretch>
                      <a:fillRect/>
                    </a:stretch>
                  </pic:blipFill>
                  <pic:spPr bwMode="auto">
                    <a:xfrm>
                      <a:off x="0" y="0"/>
                      <a:ext cx="5852160" cy="2121377"/>
                    </a:xfrm>
                    <a:prstGeom prst="rect">
                      <a:avLst/>
                    </a:prstGeom>
                    <a:noFill/>
                    <a:ln w="9525">
                      <a:noFill/>
                      <a:headEnd/>
                      <a:tailEnd/>
                    </a:ln>
                  </pic:spPr>
                </pic:pic>
              </a:graphicData>
            </a:graphic>
          </wp:inline>
        </w:drawing>
      </w:r>
      <w:r>
        <w:br/>
      </w:r>
      <w:r>
        <w:rPr>
          <w:sz w:val="21"/>
        </w:rPr>
        <w:t>Figure 2. Analytical value of retaining one bit in the delayed XOR example. The write time marginal KL remains zero for every noise level. Future conditional information value and the reduction in decision error are positive whenever the noise rate is below one half.</w:t>
      </w:r>
    </w:p>
    <w:p w14:paraId="48AFA26F" w14:textId="77777777" w:rsidR="00FE0FFF" w:rsidRDefault="00000000" w:rsidP="00511687">
      <w:pPr>
        <w:pStyle w:val="Heading2"/>
        <w:jc w:val="both"/>
      </w:pPr>
      <w:bookmarkStart w:id="9" w:name="a-future-conditional-price"/>
      <w:bookmarkEnd w:id="8"/>
      <w:r>
        <w:t>A future conditional price</w:t>
      </w:r>
    </w:p>
    <w:p w14:paraId="14F75E42" w14:textId="77777777" w:rsidR="00FE0FFF" w:rsidRDefault="00000000" w:rsidP="00511687">
      <w:pPr>
        <w:pStyle w:val="FirstParagraph"/>
        <w:jc w:val="both"/>
      </w:pPr>
      <w:r>
        <w:t xml:space="preserve">A write policy should instead approximate the loss under the contexts in which memory will be recalled. With a retained history reference </w:t>
      </w:r>
      <m:oMath>
        <m:sSub>
          <m:sSubPr>
            <m:ctrlPr>
              <w:rPr>
                <w:rFonts w:ascii="Cambria Math" w:hAnsi="Cambria Math"/>
              </w:rPr>
            </m:ctrlPr>
          </m:sSubPr>
          <m:e>
            <m:r>
              <w:rPr>
                <w:rFonts w:ascii="Cambria Math" w:hAnsi="Cambria Math"/>
              </w:rPr>
              <m:t>G</m:t>
            </m:r>
          </m:e>
          <m:sub>
            <m:r>
              <m:rPr>
                <m:sty m:val="p"/>
              </m:rPr>
              <w:rPr>
                <w:rFonts w:ascii="Cambria Math" w:hAnsi="Cambria Math"/>
              </w:rPr>
              <m:t>full</m:t>
            </m:r>
          </m:sub>
        </m:sSub>
      </m:oMath>
      <w:r>
        <w:t xml:space="preserve"> and a compressed memory predictor </w:t>
      </w:r>
      <m:oMath>
        <m:sSub>
          <m:sSubPr>
            <m:ctrlPr>
              <w:rPr>
                <w:rFonts w:ascii="Cambria Math" w:hAnsi="Cambria Math"/>
              </w:rPr>
            </m:ctrlPr>
          </m:sSubPr>
          <m:e>
            <m:r>
              <w:rPr>
                <w:rFonts w:ascii="Cambria Math" w:hAnsi="Cambria Math"/>
              </w:rPr>
              <m:t>G</m:t>
            </m:r>
          </m:e>
          <m:sub>
            <m:r>
              <m:rPr>
                <m:sty m:val="p"/>
              </m:rPr>
              <w:rPr>
                <w:rFonts w:ascii="Cambria Math" w:hAnsi="Cambria Math"/>
              </w:rPr>
              <m:t>mem</m:t>
            </m:r>
          </m:sub>
        </m:sSub>
      </m:oMath>
      <w:r>
        <w:t>, a candidate price is</w:t>
      </w:r>
    </w:p>
    <w:p w14:paraId="70E7CCF6"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Δ</m:t>
            </m:r>
          </m:e>
          <m:sub>
            <m:r>
              <m:rPr>
                <m:sty m:val="p"/>
              </m:rPr>
              <w:rPr>
                <w:rFonts w:ascii="Cambria Math" w:hAnsi="Cambria Math"/>
              </w:rPr>
              <m:t>future</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full</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sty m:val="p"/>
              </m:rPr>
              <w:rPr>
                <w:rFonts w:ascii="Cambria Math" w:hAnsi="Cambria Math"/>
              </w:rPr>
              <m:t>mem</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rPr>
          <w:sz w:val="21"/>
        </w:rPr>
        <w:tab/>
        <w:t>(5)</w:t>
      </w:r>
    </w:p>
    <w:p w14:paraId="07AEE20C" w14:textId="77777777" w:rsidR="00FE0FFF" w:rsidRDefault="00000000" w:rsidP="00511687">
      <w:pPr>
        <w:pStyle w:val="FirstParagraph"/>
        <w:jc w:val="both"/>
      </w:pPr>
      <w:r>
        <w:t>At ideal Bayes reference and decoder predictions, averaging Equation 5 over histories recovers the information loss term in Equation 2. In practice it is a model based estimate. It can be measured retrospectively through shadow evaluations in which retained and consolidated branches receive the same later observations. At write time, estimating the expectation requires a forecast of future contexts, sampled continuations, delayed supervision, or a conservative reservoir. It generally costs more than two classifier passes.</w:t>
      </w:r>
    </w:p>
    <w:p w14:paraId="5B229065" w14:textId="77777777" w:rsidR="00FE0FFF" w:rsidRDefault="00000000" w:rsidP="00511687">
      <w:pPr>
        <w:pStyle w:val="BodyText"/>
        <w:jc w:val="both"/>
      </w:pPr>
      <w:r>
        <w:t>A prior over questions alone does not cover the XOR failure: the question was already fixed. The declared evaluation distribution must include future observations and their interaction with the retained history. Similarly, synthetic continuations are useful only to the extent that the generative model represents these interactions. An early model may not yet be able to use information that a later model will need.</w:t>
      </w:r>
    </w:p>
    <w:p w14:paraId="580A48B5" w14:textId="77777777" w:rsidR="00FE0FFF" w:rsidRDefault="00000000" w:rsidP="00511687">
      <w:pPr>
        <w:pStyle w:val="BodyText"/>
        <w:jc w:val="both"/>
      </w:pPr>
      <w:r>
        <w:t>This motivates a reservoir schedule that retains more evidence while the extractor is changing rapidly. A front loaded schedule is a hypothesis, not a deduction that all early experience deserves storage. It should be compared with constant and adaptive schedules at the same integrated byte cost. If actions affect the environment, shadow branches sharing a logged future provide only an observational comparison; policy dependent rollouts or justified off policy evaluation are then required.</w:t>
      </w:r>
    </w:p>
    <w:p w14:paraId="1D9435AD" w14:textId="77777777" w:rsidR="00FE0FFF" w:rsidRDefault="00000000" w:rsidP="00511687">
      <w:pPr>
        <w:pStyle w:val="Heading1"/>
        <w:jc w:val="both"/>
      </w:pPr>
      <w:bookmarkStart w:id="10" w:name="the-generic-hierarchical-classifier"/>
      <w:bookmarkEnd w:id="6"/>
      <w:bookmarkEnd w:id="9"/>
      <w:r>
        <w:t>4 The generic hierarchical classifier</w:t>
      </w:r>
    </w:p>
    <w:p w14:paraId="59DBF33B" w14:textId="77777777" w:rsidR="00FE0FFF" w:rsidRDefault="00000000" w:rsidP="00511687">
      <w:pPr>
        <w:pStyle w:val="Heading2"/>
        <w:jc w:val="both"/>
      </w:pPr>
      <w:bookmarkStart w:id="11" w:name="declared-answer-and-question-semantics"/>
      <w:r>
        <w:t>Declared answer and question semantics</w:t>
      </w:r>
    </w:p>
    <w:p w14:paraId="660EFFEA" w14:textId="77777777" w:rsidR="00FE0FFF" w:rsidRDefault="00000000" w:rsidP="00511687">
      <w:pPr>
        <w:pStyle w:val="FirstParagraph"/>
        <w:jc w:val="both"/>
      </w:pPr>
      <w:r>
        <w:t xml:space="preserve">A generic hierarchical classifier, or GHC, accepts a context and a typed question. Each question </w:t>
      </w:r>
      <m:oMath>
        <m:r>
          <w:rPr>
            <w:rFonts w:ascii="Cambria Math" w:hAnsi="Cambria Math"/>
          </w:rPr>
          <m:t>q</m:t>
        </m:r>
      </m:oMath>
      <w:r>
        <w:t xml:space="preserve"> has a finite leaf answer space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and a declared rooted tree </w:t>
      </w:r>
      <m:oMath>
        <m:sSub>
          <m:sSubPr>
            <m:ctrlPr>
              <w:rPr>
                <w:rFonts w:ascii="Cambria Math" w:hAnsi="Cambria Math"/>
              </w:rPr>
            </m:ctrlPr>
          </m:sSubPr>
          <m:e>
            <m:r>
              <w:rPr>
                <w:rFonts w:ascii="Cambria Math" w:hAnsi="Cambria Math"/>
              </w:rPr>
              <m:t>T</m:t>
            </m:r>
          </m:e>
          <m:sub>
            <m:r>
              <w:rPr>
                <w:rFonts w:ascii="Cambria Math" w:hAnsi="Cambria Math"/>
              </w:rPr>
              <m:t>q</m:t>
            </m:r>
          </m:sub>
        </m:sSub>
      </m:oMath>
      <w:r>
        <w:t xml:space="preserve">. A node </w:t>
      </w:r>
      <m:oMath>
        <m:r>
          <w:rPr>
            <w:rFonts w:ascii="Cambria Math" w:hAnsi="Cambria Math"/>
          </w:rPr>
          <m:t>v</m:t>
        </m:r>
      </m:oMath>
      <w:r>
        <w:t xml:space="preserve"> denotes a set of leaves </w:t>
      </w:r>
      <m:oMath>
        <m:r>
          <w:rPr>
            <w:rFonts w:ascii="Cambria Math" w:hAnsi="Cambria Math"/>
          </w:rPr>
          <w:lastRenderedPageBreak/>
          <m:t>L</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Children partition their parent, and the root denotes all valid outcomes. With leaf vector </w:t>
      </w:r>
      <m:oMath>
        <m:sSub>
          <m:sSubPr>
            <m:ctrlPr>
              <w:rPr>
                <w:rFonts w:ascii="Cambria Math" w:hAnsi="Cambria Math"/>
              </w:rPr>
            </m:ctrlPr>
          </m:sSubPr>
          <m:e>
            <m:r>
              <w:rPr>
                <w:rFonts w:ascii="Cambria Math" w:hAnsi="Cambria Math"/>
              </w:rPr>
              <m:t>p</m:t>
            </m:r>
          </m:e>
          <m:sub>
            <m:r>
              <w:rPr>
                <w:rFonts w:ascii="Cambria Math" w:hAnsi="Cambria Math"/>
              </w:rPr>
              <m:t>q</m:t>
            </m:r>
          </m:sub>
        </m:sSub>
      </m:oMath>
      <w:r>
        <w:t>, the probability assigned to a node is</w:t>
      </w:r>
    </w:p>
    <w:p w14:paraId="687C99E8"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q</m:t>
                </m:r>
              </m:sub>
            </m:sSub>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sz w:val="21"/>
        </w:rPr>
        <w:tab/>
        <w:t>(6)</w:t>
      </w:r>
    </w:p>
    <w:p w14:paraId="0F295AB0" w14:textId="77777777" w:rsidR="00FE0FFF" w:rsidRDefault="00000000" w:rsidP="00511687">
      <w:pPr>
        <w:pStyle w:val="FirstParagraph"/>
        <w:jc w:val="both"/>
      </w:pPr>
      <w:r>
        <w:t xml:space="preserve">Question dependencies require a separate semantic layer. For example, asking for the current revision of drawing </w:t>
      </w:r>
      <m:oMath>
        <m:r>
          <w:rPr>
            <w:rFonts w:ascii="Cambria Math" w:hAnsi="Cambria Math"/>
          </w:rPr>
          <m:t>d</m:t>
        </m:r>
      </m:oMath>
      <w:r>
        <w:t xml:space="preserve"> presupposes that the drawing exists. A presupposition failure must have an explicit outcome. It differs from uncertainty about whether the drawing exists and from a decision to abstain. These are respectively an event in the world, uncertainty about an event, and an action by the system.</w:t>
      </w:r>
    </w:p>
    <w:p w14:paraId="4088B9A6" w14:textId="77777777" w:rsidR="00FE0FFF" w:rsidRDefault="00000000" w:rsidP="00511687">
      <w:pPr>
        <w:pStyle w:val="BodyText"/>
        <w:jc w:val="both"/>
      </w:pPr>
      <w:r>
        <w:t>A hierarchy is an ontology commitment. If its node definitions change during pretraining, a probability saved under one version may refer to a different event under another. Hierarchies learned from data must therefore be versioned, and the mapping between versions must be checked. Freezing a hierarchy before calibration is the simplest initial implementation. The question hierarchy and the answer tree should not be conflated with the network’s computational routing graph.</w:t>
      </w:r>
    </w:p>
    <w:p w14:paraId="5846F97C" w14:textId="77777777" w:rsidR="00FE0FFF" w:rsidRDefault="00000000" w:rsidP="00511687">
      <w:pPr>
        <w:pStyle w:val="Heading2"/>
        <w:jc w:val="both"/>
      </w:pPr>
      <w:bookmarkStart w:id="12" w:name="X32c6b78675935264523a1a223e46ef7ce8f0b5e"/>
      <w:bookmarkEnd w:id="11"/>
      <w:r>
        <w:t>Coherence and calibration are separate requirements</w:t>
      </w:r>
    </w:p>
    <w:p w14:paraId="35DDDE44" w14:textId="77777777" w:rsidR="00FE0FFF" w:rsidRDefault="00000000" w:rsidP="00511687">
      <w:pPr>
        <w:pStyle w:val="FirstParagraph"/>
        <w:jc w:val="both"/>
      </w:pPr>
      <w:r>
        <w:t>Nonnegative leaf probabilities summing to one induce coherent probabilities for every node through Equation 6. On a partition tree, consistency can be checked through parent–child equalities. If the represented children are not exhaustive, an explicit remainder event is needed. A numerical projection can restore feasibility, but a projection of separately calibrated probabilities need not preserve calibration. The repaired predictor must be evaluated again.</w:t>
      </w:r>
    </w:p>
    <w:p w14:paraId="1BA4B6D7" w14:textId="77777777" w:rsidR="00FE0FFF" w:rsidRDefault="00000000" w:rsidP="00511687">
      <w:pPr>
        <w:pStyle w:val="BodyText"/>
        <w:jc w:val="both"/>
      </w:pPr>
      <w:r>
        <w:t xml:space="preserve">Overlapping event families require stronger constraints. Let the outcome space be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with events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Assigning probability 0.3 to each event is incompatible with </w:t>
      </w:r>
      <m:oMath>
        <m:r>
          <w:rPr>
            <w:rFonts w:ascii="Cambria Math" w:hAnsi="Cambria Math"/>
          </w:rPr>
          <m:t>A</m:t>
        </m:r>
        <m:r>
          <m:rPr>
            <m:sty m:val="p"/>
          </m:rPr>
          <w:rPr>
            <w:rFonts w:ascii="Cambria Math" w:hAnsi="Cambria Math"/>
          </w:rPr>
          <m:t>∪</m:t>
        </m:r>
        <m:r>
          <w:rPr>
            <w:rFonts w:ascii="Cambria Math" w:hAnsi="Cambria Math"/>
          </w:rPr>
          <m:t>B</m:t>
        </m:r>
      </m:oMath>
      <w:r>
        <w:t xml:space="preserve"> being the whole space. Monotonicity relative to the root does not detect the contradiction. If the joint atomic state space is finite and explicitly listed, coherence can be tested by a linear feasibility problem; constructing that state space may itself be expensive.</w:t>
      </w:r>
    </w:p>
    <w:p w14:paraId="19070B4F" w14:textId="77777777" w:rsidR="00FE0FFF" w:rsidRDefault="00000000" w:rsidP="00511687">
      <w:pPr>
        <w:pStyle w:val="BodyText"/>
        <w:jc w:val="both"/>
      </w:pPr>
      <w:r>
        <w:t>The useful tree property is laminarity: two represented events are disjoint or nested, together with explicit partition relations. A graph that merely has a tree shaped Hasse diagram need not establish those set theoretic properties. Likewise, cycles in a routing diagram do not by themselves establish a probabilistic gluing obstruction.</w:t>
      </w:r>
    </w:p>
    <w:p w14:paraId="3E4987D4" w14:textId="77777777" w:rsidR="00FE0FFF" w:rsidRDefault="00000000" w:rsidP="00511687">
      <w:pPr>
        <w:pStyle w:val="BodyText"/>
        <w:jc w:val="both"/>
      </w:pPr>
      <w:r>
        <w:t>Calibration answers a different question: do predicted frequencies match observed frequencies? A sufficient upward composition condition is full vector calibration,</w:t>
      </w:r>
    </w:p>
    <w:p w14:paraId="25EC9759" w14:textId="77777777" w:rsidR="00FE0FFF" w:rsidRDefault="00000000" w:rsidP="00511687">
      <w:pPr>
        <w:pStyle w:val="BodyText"/>
        <w:keepLines/>
        <w:tabs>
          <w:tab w:val="right" w:pos="9605"/>
        </w:tabs>
        <w:spacing w:before="100" w:after="140"/>
        <w:jc w:val="both"/>
      </w:pPr>
      <m:oMath>
        <m:r>
          <m:rPr>
            <m:scr m:val="double-struck"/>
            <m:sty m:val="p"/>
          </m:rPr>
          <w:rPr>
            <w:rFonts w:ascii="Cambria Math" w:hAnsi="Cambria Math"/>
          </w:rPr>
          <m:t>E[</m:t>
        </m:r>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oMath>
      <w:r>
        <w:rPr>
          <w:sz w:val="21"/>
        </w:rPr>
        <w:tab/>
        <w:t>(7)</w:t>
      </w:r>
    </w:p>
    <w:p w14:paraId="0077082E" w14:textId="77777777" w:rsidR="00FE0FFF" w:rsidRDefault="00000000" w:rsidP="00511687">
      <w:pPr>
        <w:pStyle w:val="FirstParagraph"/>
        <w:jc w:val="both"/>
      </w:pPr>
      <w:r>
        <w:t>Summing Equation 7 over a node and applying conditional expectation establishes calibration of its aggregate probability. Calibration of each leaf against its own scalar probability alone does not provide the same result, because conditioning on a sum changes the conditioning information.</w:t>
      </w:r>
    </w:p>
    <w:p w14:paraId="71816DD4" w14:textId="77777777" w:rsidR="00FE0FFF" w:rsidRDefault="00000000" w:rsidP="00511687">
      <w:pPr>
        <w:pStyle w:val="BodyText"/>
        <w:jc w:val="both"/>
      </w:pPr>
      <w:r>
        <w:t>Multiplying exact conditional probabilities down a path is valid. The difficulty arises when separately calibrated estimates are treated as if they were exact conditional probabilities under a shared conditioning distribution. In particular, a child classifier trained only on examples whose true label lies under its parent may be applied to incorrectly routed inputs. Conditional nodes should represent the outside event or be composed within a joint model, and validation must include the distribution actually delivered by the router.</w:t>
      </w:r>
    </w:p>
    <w:p w14:paraId="0D5F42CC" w14:textId="77777777" w:rsidR="00FE0FFF" w:rsidRDefault="00000000" w:rsidP="00511687">
      <w:pPr>
        <w:pStyle w:val="Heading2"/>
        <w:jc w:val="both"/>
      </w:pPr>
      <w:bookmarkStart w:id="13" w:name="connection-to-the-generative-joint"/>
      <w:bookmarkEnd w:id="12"/>
      <w:r>
        <w:lastRenderedPageBreak/>
        <w:t>Connection to the generative joint</w:t>
      </w:r>
    </w:p>
    <w:p w14:paraId="1A9256F7" w14:textId="77777777" w:rsidR="00FE0FFF" w:rsidRDefault="00000000" w:rsidP="00511687">
      <w:pPr>
        <w:pStyle w:val="FirstParagraph"/>
        <w:jc w:val="both"/>
      </w:pPr>
      <w:r>
        <w:t xml:space="preserve">For event labels defined by a measurable map </w:t>
      </w:r>
      <m:oMath>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of a modelled continuation </w:t>
      </w:r>
      <m:oMath>
        <m:r>
          <w:rPr>
            <w:rFonts w:ascii="Cambria Math" w:hAnsi="Cambria Math"/>
          </w:rPr>
          <m:t>c</m:t>
        </m:r>
      </m:oMath>
      <w:r>
        <w:t>, a generative backbone provides a common reference:</w:t>
      </w:r>
    </w:p>
    <w:p w14:paraId="7B1F06D0"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limLow>
          <m:limLowPr>
            <m:ctrlPr>
              <w:rPr>
                <w:rFonts w:ascii="Cambria Math" w:hAnsi="Cambria Math"/>
              </w:rPr>
            </m:ctrlPr>
          </m:limLowPr>
          <m:e>
            <m:r>
              <m:rPr>
                <m:sty m:val="p"/>
              </m:rPr>
              <w:rPr>
                <w:rFonts w:ascii="Cambria Math" w:hAnsi="Cambria Math"/>
              </w:rPr>
              <m:t>Pr</m:t>
            </m:r>
          </m:e>
          <m:lim>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x</m:t>
            </m:r>
            <m:r>
              <m:rPr>
                <m:sty m:val="p"/>
              </m:rPr>
              <w:rPr>
                <w:rFonts w:ascii="Cambria Math" w:hAnsi="Cambria Math"/>
              </w:rPr>
              <m:t>)</m:t>
            </m:r>
          </m:lim>
        </m:limLow>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rPr>
          <w:sz w:val="21"/>
        </w:rPr>
        <w:tab/>
        <w:t>(8)</w:t>
      </w:r>
    </w:p>
    <w:p w14:paraId="70554588" w14:textId="77777777" w:rsidR="00FE0FFF" w:rsidRDefault="00000000" w:rsidP="00511687">
      <w:pPr>
        <w:pStyle w:val="FirstParagraph"/>
        <w:jc w:val="both"/>
      </w:pPr>
      <w:r>
        <w:t xml:space="preserve">The fast head can be trained as an amortized approximation to </w:t>
      </w:r>
      <m:oMath>
        <m:sSub>
          <m:sSubPr>
            <m:ctrlPr>
              <w:rPr>
                <w:rFonts w:ascii="Cambria Math" w:hAnsi="Cambria Math"/>
              </w:rPr>
            </m:ctrlPr>
          </m:sSubPr>
          <m:e>
            <m:r>
              <w:rPr>
                <w:rFonts w:ascii="Cambria Math" w:hAnsi="Cambria Math"/>
              </w:rPr>
              <m:t>m</m:t>
            </m:r>
          </m:e>
          <m:sub>
            <m:r>
              <w:rPr>
                <w:rFonts w:ascii="Cambria Math" w:hAnsi="Cambria Math"/>
              </w:rPr>
              <m:t>q</m:t>
            </m:r>
          </m:sub>
        </m:sSub>
      </m:oMath>
      <w:r>
        <w:t>. Exact agreement gives a coherent family relative to that generative model. It does not establish correctness relative to the environment. Nor do a few matching marginals identify all joint relationships needed by unseen conjunctions. The slow path must actually evaluate the requested joint event or sample the corresponding continuation.</w:t>
      </w:r>
    </w:p>
    <w:p w14:paraId="125968DF" w14:textId="77777777" w:rsidR="00FE0FFF" w:rsidRDefault="00000000" w:rsidP="00511687">
      <w:pPr>
        <w:pStyle w:val="BodyText"/>
        <w:jc w:val="both"/>
      </w:pPr>
      <w:r>
        <w:t xml:space="preserve">Define </w:t>
      </w:r>
      <m:oMath>
        <m:sSubSup>
          <m:sSubSupPr>
            <m:ctrlPr>
              <w:rPr>
                <w:rFonts w:ascii="Cambria Math" w:hAnsi="Cambria Math"/>
              </w:rPr>
            </m:ctrlPr>
          </m:sSubSupPr>
          <m:e>
            <m:r>
              <w:rPr>
                <w:rFonts w:ascii="Cambria Math" w:hAnsi="Cambria Math"/>
              </w:rPr>
              <m:t>Δ</m:t>
            </m:r>
          </m:e>
          <m:sub>
            <m:r>
              <w:rPr>
                <w:rFonts w:ascii="Cambria Math" w:hAnsi="Cambria Math"/>
              </w:rPr>
              <m:t>q</m:t>
            </m:r>
          </m:sub>
          <m:sup>
            <m:r>
              <m:rPr>
                <m:sty m:val="p"/>
              </m:rPr>
              <w:rPr>
                <w:rFonts w:ascii="Cambria Math" w:hAnsi="Cambria Math"/>
              </w:rPr>
              <m:t>am</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oMath>
      <w:r>
        <w:t xml:space="preserve">. Pinsker’s inequality bounds each marginal total variation discrepancy by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Δ</m:t>
                </m:r>
              </m:e>
              <m:sub>
                <m:r>
                  <w:rPr>
                    <w:rFonts w:ascii="Cambria Math" w:hAnsi="Cambria Math"/>
                  </w:rPr>
                  <m:t>q</m:t>
                </m:r>
              </m:sub>
              <m:sup>
                <m:r>
                  <m:rPr>
                    <m:sty m:val="p"/>
                  </m:rPr>
                  <w:rPr>
                    <w:rFonts w:ascii="Cambria Math" w:hAnsi="Cambria Math"/>
                  </w:rPr>
                  <m:t>am</m:t>
                </m:r>
              </m:sup>
            </m:sSubSup>
            <m:r>
              <m:rPr>
                <m:sty m:val="p"/>
              </m:rPr>
              <w:rPr>
                <w:rFonts w:ascii="Cambria Math" w:hAnsi="Cambria Math"/>
              </w:rPr>
              <m:t>/</m:t>
            </m:r>
            <m:r>
              <w:rPr>
                <w:rFonts w:ascii="Cambria Math" w:hAnsi="Cambria Math"/>
              </w:rPr>
              <m:t>2</m:t>
            </m:r>
          </m:e>
        </m:rad>
      </m:oMath>
      <w:r>
        <w:t>. Summing these bounds controls distance to this particular coherent family in the sum of marginal total variation distances. It does not provide a total variation bound for an unrepresented joint distribution over all head outputs.</w:t>
      </w:r>
    </w:p>
    <w:p w14:paraId="0B18ED3C" w14:textId="77777777" w:rsidR="00FE0FFF" w:rsidRDefault="00000000" w:rsidP="00511687">
      <w:pPr>
        <w:pStyle w:val="BodyText"/>
        <w:jc w:val="both"/>
      </w:pPr>
      <w:r>
        <w:t>Observed event outcomes must remain an independent training and evaluation target. If a teacher is wrong, a weighted sum of true outcome cross entropy and teacher cross entropy generally shifts the population optimum toward the teacher. A proper loss does not turn erroneous targets into truth. Coherence regularization and distillation therefore require an explicit trade off and external validation.</w:t>
      </w:r>
    </w:p>
    <w:p w14:paraId="5651CF71" w14:textId="77777777" w:rsidR="00FE0FFF" w:rsidRDefault="00000000" w:rsidP="00511687">
      <w:pPr>
        <w:pStyle w:val="Heading1"/>
        <w:jc w:val="both"/>
      </w:pPr>
      <w:bookmarkStart w:id="14" w:name="Xea208e514fd13d2002cb1a160b08790ce4df052"/>
      <w:bookmarkEnd w:id="10"/>
      <w:bookmarkEnd w:id="13"/>
      <w:r>
        <w:t>5 Reliable reporting at the supported resolution</w:t>
      </w:r>
    </w:p>
    <w:p w14:paraId="1B90082E" w14:textId="77777777" w:rsidR="00FE0FFF" w:rsidRDefault="00000000" w:rsidP="00511687">
      <w:pPr>
        <w:pStyle w:val="Heading2"/>
        <w:jc w:val="both"/>
      </w:pPr>
      <w:bookmarkStart w:id="15" w:name="Xa4f33519936a3be849822196754ea0ae8b2bf24"/>
      <w:r>
        <w:t>Adaptive selection needs the right conditioning</w:t>
      </w:r>
    </w:p>
    <w:p w14:paraId="7F969649" w14:textId="77777777" w:rsidR="00FE0FFF" w:rsidRDefault="00000000" w:rsidP="00511687">
      <w:pPr>
        <w:pStyle w:val="FirstParagraph"/>
        <w:jc w:val="both"/>
      </w:pPr>
      <w:r>
        <w:t xml:space="preserve">A natural reporting rule chooses the most specific node whose predicted mass exceeds </w:t>
      </w:r>
      <m:oMath>
        <m:r>
          <w:rPr>
            <w:rFonts w:ascii="Cambria Math" w:hAnsi="Cambria Math"/>
          </w:rPr>
          <m:t>1</m:t>
        </m:r>
        <m:r>
          <m:rPr>
            <m:sty m:val="p"/>
          </m:rPr>
          <w:rPr>
            <w:rFonts w:ascii="Cambria Math" w:hAnsi="Cambria Math"/>
          </w:rPr>
          <m:t>-</m:t>
        </m:r>
        <m:r>
          <w:rPr>
            <w:rFonts w:ascii="Cambria Math" w:hAnsi="Cambria Math"/>
          </w:rPr>
          <m:t>d</m:t>
        </m:r>
      </m:oMath>
      <w:r>
        <w:t xml:space="preserve">, where </w:t>
      </w:r>
      <m:oMath>
        <m:r>
          <w:rPr>
            <w:rFonts w:ascii="Cambria Math" w:hAnsi="Cambria Math"/>
          </w:rPr>
          <m:t>d</m:t>
        </m:r>
      </m:oMath>
      <w:r>
        <w:t xml:space="preserve"> is an error tolerance. On a laminar tree, if </w:t>
      </w:r>
      <m:oMath>
        <m:r>
          <w:rPr>
            <w:rFonts w:ascii="Cambria Math" w:hAnsi="Cambria Math"/>
          </w:rPr>
          <m:t>d</m:t>
        </m:r>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any two qualifying nodes must be nested: disjoint events cannot both have probability above one half. The deepest qualifying node is therefore unique after redundant nodes with identical leaf sets are removed.</w:t>
      </w:r>
    </w:p>
    <w:p w14:paraId="4F107CF5" w14:textId="77777777" w:rsidR="00FE0FFF" w:rsidRDefault="00000000" w:rsidP="00511687">
      <w:pPr>
        <w:pStyle w:val="BodyText"/>
        <w:jc w:val="both"/>
      </w:pPr>
      <w:r>
        <w:t xml:space="preserve">This geometric observation is not itself an error certificate. Suppose the deployed selector uses the entire probability vector and metadata </w:t>
      </w:r>
      <m:oMath>
        <m:r>
          <w:rPr>
            <w:rFonts w:ascii="Cambria Math" w:hAnsi="Cambria Math"/>
          </w:rPr>
          <m:t>D</m:t>
        </m:r>
      </m:oMath>
      <w:r>
        <w:t>, such as record age, retrieval route, or extractor version. A sufficient calibration condition is</w:t>
      </w:r>
    </w:p>
    <w:p w14:paraId="4696A862" w14:textId="77777777" w:rsidR="00FE0FFF" w:rsidRDefault="00000000" w:rsidP="00511687">
      <w:pPr>
        <w:pStyle w:val="BodyText"/>
        <w:keepLines/>
        <w:tabs>
          <w:tab w:val="right" w:pos="9605"/>
        </w:tabs>
        <w:spacing w:before="100" w:after="140"/>
        <w:jc w:val="both"/>
      </w:pPr>
      <m:oMath>
        <m:r>
          <m:rPr>
            <m:scr m:val="double-struck"/>
            <m:sty m:val="p"/>
          </m:rPr>
          <w:rPr>
            <w:rFonts w:ascii="Cambria Math" w:hAnsi="Cambria Math"/>
          </w:rPr>
          <m:t>E[</m:t>
        </m:r>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for every leaf </m:t>
        </m:r>
        <m:r>
          <w:rPr>
            <w:rFonts w:ascii="Cambria Math" w:hAnsi="Cambria Math"/>
          </w:rPr>
          <m:t>a</m:t>
        </m:r>
        <m:r>
          <m:rPr>
            <m:sty m:val="p"/>
          </m:rPr>
          <w:rPr>
            <w:rFonts w:ascii="Cambria Math" w:hAnsi="Cambria Math"/>
          </w:rPr>
          <m:t>.</m:t>
        </m:r>
      </m:oMath>
      <w:r>
        <w:rPr>
          <w:sz w:val="21"/>
        </w:rPr>
        <w:tab/>
        <w:t>(9)</w:t>
      </w:r>
    </w:p>
    <w:p w14:paraId="1CC6883A" w14:textId="77777777" w:rsidR="00FE0FFF" w:rsidRDefault="00000000" w:rsidP="00511687">
      <w:pPr>
        <w:pStyle w:val="FirstParagraph"/>
        <w:jc w:val="both"/>
      </w:pPr>
      <w:r>
        <w:t xml:space="preserve">If acceptance and the selected node are measurable functions of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and every accepted node has mass at least </w:t>
      </w:r>
      <m:oMath>
        <m:r>
          <w:rPr>
            <w:rFonts w:ascii="Cambria Math" w:hAnsi="Cambria Math"/>
          </w:rPr>
          <m:t>1</m:t>
        </m:r>
        <m:r>
          <m:rPr>
            <m:sty m:val="p"/>
          </m:rPr>
          <w:rPr>
            <w:rFonts w:ascii="Cambria Math" w:hAnsi="Cambria Math"/>
          </w:rPr>
          <m:t>-</m:t>
        </m:r>
        <m:r>
          <w:rPr>
            <w:rFonts w:ascii="Cambria Math" w:hAnsi="Cambria Math"/>
          </w:rPr>
          <m:t>d</m:t>
        </m:r>
      </m:oMath>
      <w:r>
        <w:t>, then</w:t>
      </w:r>
    </w:p>
    <w:p w14:paraId="0764DDA2" w14:textId="77777777" w:rsidR="00FE0FFF" w:rsidRDefault="00000000" w:rsidP="00511687">
      <w:pPr>
        <w:pStyle w:val="BodyText"/>
        <w:keepLines/>
        <w:tabs>
          <w:tab w:val="right" w:pos="9605"/>
        </w:tabs>
        <w:spacing w:before="100" w:after="140"/>
        <w:jc w:val="both"/>
      </w:pPr>
      <m:oMath>
        <m:r>
          <m:rPr>
            <m:sty m:val="p"/>
          </m:rPr>
          <w:rPr>
            <w:rFonts w:ascii="Cambria Math" w:hAnsi="Cambria Math"/>
          </w:rPr>
          <m:t>Pr{</m:t>
        </m:r>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m:rPr>
            <m:nor/>
          </m:rPr>
          <m:t>accepted</m:t>
        </m:r>
        <m:r>
          <m:rPr>
            <m:sty m:val="p"/>
          </m:rPr>
          <w:rPr>
            <w:rFonts w:ascii="Cambria Math" w:hAnsi="Cambria Math"/>
          </w:rPr>
          <m:t>}≤</m:t>
        </m:r>
        <m:r>
          <w:rPr>
            <w:rFonts w:ascii="Cambria Math" w:hAnsi="Cambria Math"/>
          </w:rPr>
          <m:t>d</m:t>
        </m:r>
        <m:r>
          <m:rPr>
            <m:sty m:val="p"/>
          </m:rPr>
          <w:rPr>
            <w:rFonts w:ascii="Cambria Math" w:hAnsi="Cambria Math"/>
          </w:rPr>
          <m:t>.</m:t>
        </m:r>
      </m:oMath>
      <w:r>
        <w:rPr>
          <w:sz w:val="21"/>
        </w:rPr>
        <w:tab/>
        <w:t>(10)</w:t>
      </w:r>
    </w:p>
    <w:p w14:paraId="43974B0C" w14:textId="77777777" w:rsidR="00FE0FFF" w:rsidRDefault="00000000" w:rsidP="00511687">
      <w:pPr>
        <w:pStyle w:val="FirstParagraph"/>
        <w:jc w:val="both"/>
      </w:pPr>
      <w:r>
        <w:t>The proof conditions on the information used by the selector and sums the leaf probabilities inside the selected node. Equation 9 is deliberately strong. Marginal calibration of an individual node, or calibration before a retrieval filter is applied, does not justify Equation 10 for an arbitrary adaptive policy. A predictor that assigns 0.8 everywhere can be calibrated overall while being correct only 0.6 of the time in a selected half of its cases and always correct in the other half.</w:t>
      </w:r>
    </w:p>
    <w:p w14:paraId="1E26D1DF" w14:textId="77777777" w:rsidR="00FE0FFF" w:rsidRDefault="00000000" w:rsidP="00511687">
      <w:pPr>
        <w:pStyle w:val="BodyText"/>
        <w:jc w:val="both"/>
      </w:pPr>
      <w:r>
        <w:lastRenderedPageBreak/>
        <w:t>For finite samples, an independent calibration set can instead validate a fixed selection policy. A second practical route constructs a split conformal leaf prediction set and reports its lowest common ancestor, using the root if the set is empty. Because the ancestor contains the leaf set, it preserves the set’s marginal coverage under the exchangeability assumptions of the calibration procedure. It may be much less specific. Hierarchical conformal methods offer more direct alternatives [6]. Marginal coverage is not automatically coverage within every selected node, age band, or shifted environment.</w:t>
      </w:r>
    </w:p>
    <w:p w14:paraId="524E0891" w14:textId="77777777" w:rsidR="00FE0FFF" w:rsidRDefault="00000000" w:rsidP="00511687">
      <w:pPr>
        <w:pStyle w:val="Heading2"/>
        <w:jc w:val="both"/>
      </w:pPr>
      <w:bookmarkStart w:id="16" w:name="specificity-and-deferral-have-costs"/>
      <w:bookmarkEnd w:id="15"/>
      <w:r>
        <w:t>Specificity and deferral have costs</w:t>
      </w:r>
    </w:p>
    <w:p w14:paraId="16AB7121" w14:textId="77777777" w:rsidR="00FE0FFF" w:rsidRDefault="00000000" w:rsidP="00511687">
      <w:pPr>
        <w:pStyle w:val="FirstParagraph"/>
        <w:jc w:val="both"/>
      </w:pPr>
      <w:r>
        <w:t>Always reporting the root achieves perfect set coverage but conveys no distinction. Coverage must therefore be reported with specificity and application utility. A simple descriptive measure is</w:t>
      </w:r>
    </w:p>
    <w:p w14:paraId="4A1FB948" w14:textId="77777777" w:rsidR="00FE0FFF" w:rsidRDefault="00000000" w:rsidP="00511687">
      <w:pPr>
        <w:pStyle w:val="BodyText"/>
        <w:keepLines/>
        <w:tabs>
          <w:tab w:val="right" w:pos="9605"/>
        </w:tabs>
        <w:spacing w:before="100" w:after="140"/>
        <w:jc w:val="both"/>
      </w:pPr>
      <m:oMath>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num>
          <m:den>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den>
        </m:f>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|&gt;</m:t>
        </m:r>
        <m:r>
          <w:rPr>
            <w:rFonts w:ascii="Cambria Math" w:hAnsi="Cambria Math"/>
          </w:rPr>
          <m:t>1</m:t>
        </m:r>
        <m:r>
          <m:rPr>
            <m:sty m:val="p"/>
          </m:rPr>
          <w:rPr>
            <w:rFonts w:ascii="Cambria Math" w:hAnsi="Cambria Math"/>
          </w:rPr>
          <m:t>.</m:t>
        </m:r>
      </m:oMath>
      <w:r>
        <w:rPr>
          <w:sz w:val="21"/>
        </w:rPr>
        <w:tab/>
        <w:t>(11)</w:t>
      </w:r>
    </w:p>
    <w:p w14:paraId="3E13E522" w14:textId="77777777" w:rsidR="00FE0FFF" w:rsidRDefault="00000000" w:rsidP="00511687">
      <w:pPr>
        <w:pStyle w:val="FirstParagraph"/>
        <w:jc w:val="both"/>
      </w:pPr>
      <w:r>
        <w:t>It assigns zero to the root and one to a leaf. It avoids treating an arbitrary number of internal levels as useful information. A task specific utility or a predeclared reference measure over leaves may be more appropriate when outcomes have unequal value. The hierarchy itself must be held fixed when comparing this score.</w:t>
      </w:r>
    </w:p>
    <w:p w14:paraId="1C4A2B5C" w14:textId="77777777" w:rsidR="00FE0FFF" w:rsidRDefault="00000000" w:rsidP="00511687">
      <w:pPr>
        <w:pStyle w:val="BodyText"/>
        <w:jc w:val="both"/>
      </w:pPr>
      <w:r>
        <w:t xml:space="preserve">The same decision framework distinguishes reporting broadly from asking the slow path for more information. Under unit error loss, a fast answer has expected loss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Deferral is preferable when its incremental cost plus conditional expected slow error is smaller. The familiar threshold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oMath>
      <w:r>
        <w:t xml:space="preserve"> follows only when deferral costs </w:t>
      </w:r>
      <m:oMath>
        <m:r>
          <w:rPr>
            <w:rFonts w:ascii="Cambria Math" w:hAnsi="Cambria Math"/>
          </w:rPr>
          <m:t>d</m:t>
        </m:r>
      </m:oMath>
      <w:r>
        <w:t xml:space="preserve"> and resolves the answer without error. Learning to defer must account for expert error and selection [15]. In this architecture, slow reasoning can exploit stored evidence but cannot reconstruct arbitrary information erased from all three memory stores.</w:t>
      </w:r>
    </w:p>
    <w:p w14:paraId="646E3260" w14:textId="77777777" w:rsidR="00FE0FFF" w:rsidRDefault="00000000" w:rsidP="00511687">
      <w:pPr>
        <w:pStyle w:val="Heading2"/>
        <w:jc w:val="both"/>
      </w:pPr>
      <w:bookmarkStart w:id="17" w:name="staleness-can-justify-coarser-reports"/>
      <w:bookmarkEnd w:id="16"/>
      <w:r>
        <w:t>Staleness can justify coarser reports</w:t>
      </w:r>
    </w:p>
    <w:p w14:paraId="728F716D" w14:textId="77777777" w:rsidR="00FE0FFF" w:rsidRDefault="00000000" w:rsidP="00511687">
      <w:pPr>
        <w:pStyle w:val="FirstParagraph"/>
        <w:jc w:val="both"/>
      </w:pPr>
      <w:r>
        <w:t xml:space="preserve">Suppose the state initially lies in a known leaf. Let </w:t>
      </w:r>
      <m:oMath>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be its first exit time from the event represented by node </w:t>
      </w:r>
      <m:oMath>
        <m:r>
          <w:rPr>
            <w:rFonts w:ascii="Cambria Math" w:hAnsi="Cambria Math"/>
          </w:rPr>
          <m:t>v</m:t>
        </m:r>
      </m:oMath>
      <w:r>
        <w:t xml:space="preserve">, and let </w:t>
      </w:r>
      <m:oMath>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)=Pr(</m:t>
        </m:r>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&gt;</m:t>
        </m:r>
        <m:r>
          <w:rPr>
            <w:rFonts w:ascii="Cambria Math" w:hAnsi="Cambria Math"/>
          </w:rPr>
          <m:t>t</m:t>
        </m:r>
        <m:r>
          <m:rPr>
            <m:sty m:val="p"/>
          </m:rPr>
          <w:rPr>
            <w:rFonts w:ascii="Cambria Math" w:hAnsi="Cambria Math"/>
          </w:rPr>
          <m:t>)</m:t>
        </m:r>
      </m:oMath>
      <w:r>
        <w:t xml:space="preserve"> be the survival probability. If </w:t>
      </w:r>
      <m:oMath>
        <m:r>
          <w:rPr>
            <w:rFonts w:ascii="Cambria Math" w:hAnsi="Cambria Math"/>
          </w:rPr>
          <m:t>c</m:t>
        </m:r>
      </m:oMath>
      <w:r>
        <w:t xml:space="preserve"> is a descendant of </w:t>
      </w:r>
      <m:oMath>
        <m:r>
          <w:rPr>
            <w:rFonts w:ascii="Cambria Math" w:hAnsi="Cambria Math"/>
          </w:rPr>
          <m:t>v</m:t>
        </m:r>
      </m:oMath>
      <w:r>
        <w:t xml:space="preserve">, then first exit from </w:t>
      </w:r>
      <m:oMath>
        <m:r>
          <w:rPr>
            <w:rFonts w:ascii="Cambria Math" w:hAnsi="Cambria Math"/>
          </w:rPr>
          <m:t>v</m:t>
        </m:r>
      </m:oMath>
      <w:r>
        <w:t xml:space="preserve"> cannot occur before first exit from </w:t>
      </w:r>
      <m:oMath>
        <m:r>
          <w:rPr>
            <w:rFonts w:ascii="Cambria Math" w:hAnsi="Cambria Math"/>
          </w:rPr>
          <m:t>c</m:t>
        </m:r>
      </m:oMath>
      <w:r>
        <w:t xml:space="preserve">. Thus </w:t>
      </w:r>
      <m:oMath>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oMath>
      <w:r>
        <w:t>. This ordering of survival functions does not imply an ordering of instantaneous hazard functions in general.</w:t>
      </w:r>
    </w:p>
    <w:p w14:paraId="03FF59AA" w14:textId="77777777" w:rsidR="00FE0FFF" w:rsidRDefault="00000000" w:rsidP="00511687">
      <w:pPr>
        <w:pStyle w:val="BodyText"/>
        <w:jc w:val="both"/>
      </w:pPr>
      <w:r>
        <w:t xml:space="preserve">No exit implies current membership, so </w:t>
      </w:r>
      <m:oMath>
        <m:sSub>
          <m:sSubPr>
            <m:ctrlPr>
              <w:rPr>
                <w:rFonts w:ascii="Cambria Math" w:hAnsi="Cambria Math"/>
              </w:rPr>
            </m:ctrlPr>
          </m:sSubPr>
          <m:e>
            <m:r>
              <w:rPr>
                <w:rFonts w:ascii="Cambria Math" w:hAnsi="Cambria Math"/>
              </w:rPr>
              <m:t>S</m:t>
            </m:r>
          </m:e>
          <m:sub>
            <m:r>
              <w:rPr>
                <w:rFonts w:ascii="Cambria Math" w:hAnsi="Cambria Math"/>
              </w:rPr>
              <m:t>v</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a lower bound on the probability that the state remains in </w:t>
      </w:r>
      <m:oMath>
        <m:r>
          <w:rPr>
            <w:rFonts w:ascii="Cambria Math" w:hAnsi="Cambria Math"/>
          </w:rPr>
          <m:t>v</m:t>
        </m:r>
      </m:oMath>
      <w:r>
        <w:t>. Equality needs a no return assumption or a model that treats exit as absorbing. Under the illustrative constant hazard model, a sufficient reporting rule among the ancestors of the initially known leaf is</w:t>
      </w:r>
    </w:p>
    <w:p w14:paraId="761F73FF" w14:textId="77777777" w:rsidR="00FE0FFF" w:rsidRDefault="00000000" w:rsidP="00511687">
      <w:pPr>
        <w:pStyle w:val="BodyText"/>
        <w:keepLines/>
        <w:tabs>
          <w:tab w:val="right" w:pos="9605"/>
        </w:tabs>
        <w:spacing w:before="100" w:after="140"/>
        <w:jc w:val="both"/>
      </w:pP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most specific</m:t>
            </m:r>
          </m:e>
          <m:lim>
            <m:r>
              <w:rPr>
                <w:rFonts w:ascii="Cambria Math" w:hAnsi="Cambria Math"/>
              </w:rPr>
              <m:t>v</m:t>
            </m:r>
          </m:lim>
        </m:limLow>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:exp(-</m:t>
        </m:r>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rPr>
          <w:sz w:val="21"/>
        </w:rPr>
        <w:tab/>
        <w:t>(12)</w:t>
      </w:r>
    </w:p>
    <w:p w14:paraId="2FB1E20B" w14:textId="77777777" w:rsidR="00FE0FFF" w:rsidRDefault="00000000" w:rsidP="00511687">
      <w:pPr>
        <w:pStyle w:val="FirstParagraph"/>
        <w:jc w:val="both"/>
      </w:pPr>
      <w:r>
        <w:t xml:space="preserve">With nonconstant hazards, replace </w:t>
      </w:r>
      <m:oMath>
        <m:sSub>
          <m:sSubPr>
            <m:ctrlPr>
              <w:rPr>
                <w:rFonts w:ascii="Cambria Math" w:hAnsi="Cambria Math"/>
              </w:rPr>
            </m:ctrlPr>
          </m:sSubPr>
          <m:e>
            <m:r>
              <w:rPr>
                <w:rFonts w:ascii="Cambria Math" w:hAnsi="Cambria Math"/>
              </w:rPr>
              <m:t>λ</m:t>
            </m:r>
          </m:e>
          <m:sub>
            <m:r>
              <w:rPr>
                <w:rFonts w:ascii="Cambria Math" w:hAnsi="Cambria Math"/>
              </w:rPr>
              <m:t>v</m:t>
            </m:r>
          </m:sub>
        </m:sSub>
        <m:r>
          <w:rPr>
            <w:rFonts w:ascii="Cambria Math" w:hAnsi="Cambria Math"/>
          </w:rPr>
          <m:t>t</m:t>
        </m:r>
      </m:oMath>
      <w:r>
        <w:t xml:space="preserve"> by cumulative hazard. With estimation uncertainty, use a validated lower bound on survival. Uncertain initial membership also enters the bound. In the absence of new evidence, nested survival thresholds produce stepwise coarsening. Fresh observations can increase specificity again.</w:t>
      </w:r>
    </w:p>
    <w:p w14:paraId="563982C2" w14:textId="77777777" w:rsidR="00FE0FFF" w:rsidRDefault="00000000" w:rsidP="00511687">
      <w:pPr>
        <w:pStyle w:val="CaptionedFigure"/>
        <w:keepLines/>
        <w:spacing w:before="120" w:after="160" w:line="245" w:lineRule="auto"/>
        <w:jc w:val="both"/>
      </w:pPr>
      <w:r>
        <w:rPr>
          <w:noProof/>
        </w:rPr>
        <w:lastRenderedPageBreak/>
        <w:drawing>
          <wp:inline distT="0" distB="0" distL="0" distR="0" wp14:anchorId="15F2A598" wp14:editId="18C77271">
            <wp:extent cx="5852160" cy="2039909"/>
            <wp:effectExtent l="0" t="0" r="0" b="0"/>
            <wp:docPr id="43" name="Picture" descr="Illustrative age dependent reporting under constant hazards. The fine event has exit rate 0.10 per time unit and its ancestor has rate 0.02. At an error tolerance of 0.10, the corresponding thresholds are approximately 1.05 and 5.27 time units. The root remains valid but has zero specificity. Parameters are illustrative and are not fitted biological rates."/>
            <wp:cNvGraphicFramePr/>
            <a:graphic xmlns:a="http://schemas.openxmlformats.org/drawingml/2006/main">
              <a:graphicData uri="http://schemas.openxmlformats.org/drawingml/2006/picture">
                <pic:pic xmlns:pic="http://schemas.openxmlformats.org/drawingml/2006/picture">
                  <pic:nvPicPr>
                    <pic:cNvPr id="44" name="Picture" descr="figures/staleness.png"/>
                    <pic:cNvPicPr>
                      <a:picLocks noChangeAspect="1" noChangeArrowheads="1"/>
                    </pic:cNvPicPr>
                  </pic:nvPicPr>
                  <pic:blipFill>
                    <a:blip r:embed="rId9"/>
                    <a:stretch>
                      <a:fillRect/>
                    </a:stretch>
                  </pic:blipFill>
                  <pic:spPr bwMode="auto">
                    <a:xfrm>
                      <a:off x="0" y="0"/>
                      <a:ext cx="5852160" cy="2039909"/>
                    </a:xfrm>
                    <a:prstGeom prst="rect">
                      <a:avLst/>
                    </a:prstGeom>
                    <a:noFill/>
                    <a:ln w="9525">
                      <a:noFill/>
                      <a:headEnd/>
                      <a:tailEnd/>
                    </a:ln>
                  </pic:spPr>
                </pic:pic>
              </a:graphicData>
            </a:graphic>
          </wp:inline>
        </w:drawing>
      </w:r>
      <w:r>
        <w:br/>
      </w:r>
      <w:r>
        <w:rPr>
          <w:sz w:val="21"/>
        </w:rPr>
        <w:t>Figure 3. Illustrative age dependent reporting under constant hazards. The fine event has exit rate 0.10 per time unit and its ancestor has rate 0.02. At an error tolerance of 0.10, the corresponding thresholds are approximately 1.05 and 5.27 time units. The root remains valid but has zero specificity. Parameters are illustrative and are not fitted biological rates.</w:t>
      </w:r>
    </w:p>
    <w:p w14:paraId="775A203E" w14:textId="77777777" w:rsidR="00FE0FFF" w:rsidRDefault="00000000" w:rsidP="00511687">
      <w:pPr>
        <w:pStyle w:val="BodyText"/>
        <w:jc w:val="both"/>
      </w:pPr>
      <w:r>
        <w:t>This is a policy for what to claim, not proof that the underlying trace has been semantically transformed. The distinction matters for both AI and neuroscience: withholding a detail that could still be recovered is different from destroying it.</w:t>
      </w:r>
    </w:p>
    <w:p w14:paraId="5793ED92" w14:textId="77777777" w:rsidR="00FE0FFF" w:rsidRDefault="00000000" w:rsidP="00511687">
      <w:pPr>
        <w:pStyle w:val="Heading1"/>
        <w:jc w:val="both"/>
      </w:pPr>
      <w:bookmarkStart w:id="18" w:name="consolidating-executable-rule-books"/>
      <w:bookmarkEnd w:id="14"/>
      <w:bookmarkEnd w:id="17"/>
      <w:r>
        <w:t>6 Consolidating executable rule books</w:t>
      </w:r>
    </w:p>
    <w:p w14:paraId="610DEE67" w14:textId="77777777" w:rsidR="00FE0FFF" w:rsidRDefault="00000000" w:rsidP="00511687">
      <w:pPr>
        <w:pStyle w:val="Heading2"/>
        <w:jc w:val="both"/>
      </w:pPr>
      <w:bookmarkStart w:id="19" w:name="X4693cf7607ff88b336644721b0e6dd774491420"/>
      <w:r>
        <w:t>From typed records to conditional structure</w:t>
      </w:r>
    </w:p>
    <w:p w14:paraId="6E7FC2A0" w14:textId="77777777" w:rsidR="00FE0FFF" w:rsidRDefault="00000000" w:rsidP="00511687">
      <w:pPr>
        <w:pStyle w:val="FirstParagraph"/>
        <w:jc w:val="both"/>
      </w:pPr>
      <w:r>
        <w:t xml:space="preserve">A semi symbolic rule has an antecedent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a typed head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and parameters governing its contribution to a prediction. The antecedent can include entity arguments, time relations, and previously typed events. A lifted rule is instantiated by binding variables to entities; this binding is part of memory execution and must be tested. Markov logic provides an established precedent for combining weighted logical templates and probabilistic models [16].</w:t>
      </w:r>
    </w:p>
    <w:p w14:paraId="365A72D4" w14:textId="77777777" w:rsidR="00FE0FFF" w:rsidRDefault="00000000" w:rsidP="00511687">
      <w:pPr>
        <w:pStyle w:val="BodyText"/>
        <w:jc w:val="both"/>
      </w:pPr>
      <w:r>
        <w:t>For a fixed finite head, an initial gluing law is a conditional log linear model,</w:t>
      </w:r>
    </w:p>
    <w:p w14:paraId="46F40ED9"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q</m:t>
                </m:r>
                <m:r>
                  <m:rPr>
                    <m:sty m:val="p"/>
                  </m:rPr>
                  <w:rPr>
                    <w:rFonts w:ascii="Cambria Math" w:hAnsi="Cambria Math"/>
                  </w:rPr>
                  <m:t>,</m:t>
                </m:r>
                <m:r>
                  <w:rPr>
                    <w:rFonts w:ascii="Cambria Math" w:hAnsi="Cambria Math"/>
                  </w:rPr>
                  <m:t>a</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sub>
                </m:sSub>
              </m:e>
            </m:nary>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sub>
                </m:sSub>
              </m:e>
            </m:nary>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den>
        </m:f>
        <m:r>
          <m:rPr>
            <m:sty m:val="p"/>
          </m:rPr>
          <w:rPr>
            <w:rFonts w:ascii="Cambria Math" w:hAnsi="Cambria Math"/>
          </w:rPr>
          <m:t>.</m:t>
        </m:r>
      </m:oMath>
      <w:r>
        <w:rPr>
          <w:sz w:val="21"/>
        </w:rPr>
        <w:tab/>
        <w:t>(13)</w:t>
      </w:r>
    </w:p>
    <w:p w14:paraId="1BEA80E3" w14:textId="77777777" w:rsidR="00FE0FFF" w:rsidRDefault="00000000" w:rsidP="00511687">
      <w:pPr>
        <w:pStyle w:val="FirstParagraph"/>
        <w:jc w:val="both"/>
      </w:pPr>
      <w:r>
        <w:t>At a finite unregularized maximum likelihood optimum on a common dataset, the score equations match empirical antecedent weighted residual moments [17]. Regularization, early stopping, separation, or incompatible rates imported from different datasets alter that statement. A new rule requires a joint refit; it does not guarantee that arbitrary historical rates remain exactly satisfied.</w:t>
      </w:r>
    </w:p>
    <w:p w14:paraId="0E5F4714" w14:textId="77777777" w:rsidR="00FE0FFF" w:rsidRDefault="00000000" w:rsidP="00511687">
      <w:pPr>
        <w:pStyle w:val="BodyText"/>
        <w:jc w:val="both"/>
      </w:pPr>
      <w:r>
        <w:t>Log linear gluing specifies how overlapping evidence combines. The result can be viewed through maximum entropy under the relevant moment constraints, but it is not assumption free. It has a chosen feature family and base measure. Complex interactions may require additional features or an explicit residual correction component.</w:t>
      </w:r>
    </w:p>
    <w:p w14:paraId="78369018" w14:textId="77777777" w:rsidR="00FE0FFF" w:rsidRDefault="00000000" w:rsidP="00511687">
      <w:pPr>
        <w:pStyle w:val="BodyText"/>
        <w:jc w:val="both"/>
      </w:pPr>
      <w:r>
        <w:t>A conditional parameterization can transfer under covariate shift when the conditional model is correctly specified, identifiable, and supported in the new domain. Under misspecification, the best parameters can change as the context distribution changes. Therefore a stored coefficient is a conditional predictive parameter, not an automatically invariant causal law. Retained rules should state their domain and be audited in each deployment context.</w:t>
      </w:r>
    </w:p>
    <w:p w14:paraId="6042F402" w14:textId="77777777" w:rsidR="00FE0FFF" w:rsidRDefault="00000000" w:rsidP="00511687">
      <w:pPr>
        <w:pStyle w:val="BodyText"/>
        <w:jc w:val="both"/>
      </w:pPr>
      <w:r>
        <w:lastRenderedPageBreak/>
        <w:t>A stored antecedent rate instead averages conditional outcomes over the contexts in which that antecedent happened to fire. It can change when those contexts change, even if the underlying conditional mechanism remains fixed. Keeping conditional parameters and rechecking antecedent rates is therefore a useful design principle. It preserves a distinction between the model used to transport a prediction and the empirical frequencies used to audit it, without claiming that either is universally invariant.</w:t>
      </w:r>
    </w:p>
    <w:p w14:paraId="0397E458" w14:textId="77777777" w:rsidR="00FE0FFF" w:rsidRDefault="00000000" w:rsidP="00511687">
      <w:pPr>
        <w:pStyle w:val="Heading2"/>
        <w:jc w:val="both"/>
      </w:pPr>
      <w:bookmarkStart w:id="20" w:name="auditing-beyond-the-existing-rules"/>
      <w:bookmarkEnd w:id="19"/>
      <w:r>
        <w:t>Auditing beyond the existing rules</w:t>
      </w:r>
    </w:p>
    <w:p w14:paraId="751FC1DB" w14:textId="77777777" w:rsidR="00FE0FFF" w:rsidRDefault="00000000" w:rsidP="00511687">
      <w:pPr>
        <w:pStyle w:val="FirstParagraph"/>
        <w:jc w:val="both"/>
      </w:pPr>
      <w:r>
        <w:t xml:space="preserve">Let </w:t>
      </w:r>
      <m:oMath>
        <m:r>
          <m:rPr>
            <m:scr m:val="script"/>
            <m:sty m:val="p"/>
          </m:rPr>
          <w:rPr>
            <w:rFonts w:ascii="Cambria Math" w:hAnsi="Cambria Math"/>
          </w:rPr>
          <m:t>C</m:t>
        </m:r>
      </m:oMath>
      <w:r>
        <w:t xml:space="preserve"> be a declared class of audit functions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chosen independently of the currently accepted rules. For answer </w:t>
      </w:r>
      <m:oMath>
        <m:r>
          <w:rPr>
            <w:rFonts w:ascii="Cambria Math" w:hAnsi="Cambria Math"/>
          </w:rPr>
          <m:t>a</m:t>
        </m:r>
      </m:oMath>
      <w:r>
        <w:t>, multiaccuracy controls moments of the form</w:t>
      </w:r>
    </w:p>
    <w:p w14:paraId="5E5CF01C" w14:textId="77777777" w:rsidR="00FE0FFF" w:rsidRDefault="00000000" w:rsidP="00511687">
      <w:pPr>
        <w:pStyle w:val="BodyText"/>
        <w:keepLines/>
        <w:tabs>
          <w:tab w:val="right" w:pos="9605"/>
        </w:tabs>
        <w:spacing w:before="100" w:after="140"/>
        <w:jc w:val="both"/>
      </w:pPr>
      <m:oMath>
        <m:r>
          <m:rPr>
            <m:scr m:val="double-struck"/>
            <m:sty m:val="p"/>
          </m:rPr>
          <w:rPr>
            <w:rFonts w:ascii="Cambria Math" w:hAnsi="Cambria Math"/>
          </w:rPr>
          <m:t>|E[</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  c</m:t>
        </m:r>
        <m:r>
          <m:rPr>
            <m:scr m:val="script"/>
            <m:sty m:val="p"/>
          </m:rPr>
          <w:rPr>
            <w:rFonts w:ascii="Cambria Math" w:hAnsi="Cambria Math"/>
          </w:rPr>
          <m:t>∈C.</m:t>
        </m:r>
      </m:oMath>
      <w:r>
        <w:rPr>
          <w:sz w:val="21"/>
        </w:rPr>
        <w:tab/>
        <w:t>(14)</w:t>
      </w:r>
    </w:p>
    <w:p w14:paraId="2E743E43" w14:textId="77777777" w:rsidR="00FE0FFF" w:rsidRDefault="00000000" w:rsidP="00511687">
      <w:pPr>
        <w:pStyle w:val="FirstParagraph"/>
        <w:jc w:val="both"/>
      </w:pPr>
      <w:r>
        <w:t>Multicalibration additionally tests such residuals within prediction levels or suitably discretized bins [7]. The distinction matters because a predictor may reproduce every antecedent’s average rate while failing systematically among its high confidence predictions. Atomic antecedents also need not expose interactions; an XOR pattern can escape a test class that includes only its separate inputs.</w:t>
      </w:r>
    </w:p>
    <w:p w14:paraId="3C854CE2" w14:textId="77777777" w:rsidR="00FE0FFF" w:rsidRDefault="00000000" w:rsidP="00511687">
      <w:pPr>
        <w:pStyle w:val="BodyText"/>
        <w:jc w:val="both"/>
      </w:pPr>
      <w:r>
        <w:t>Omniprediction results give loss dependent postprocessing guarantees relative to specified comparator and loss classes [8]. They do not make a finite predictor generic across arbitrary new questions. Calibrated multiaccuracy can suffice for important loss families with a suitable derived test class [9], providing a less demanding design option than full multicalibration. The paper therefore treats the audit class, outcome scope, and loss family as part of the model specification. Any patches added during calibration belong to the executable predictor and count toward storage and latency.</w:t>
      </w:r>
    </w:p>
    <w:p w14:paraId="60E34AF3" w14:textId="77777777" w:rsidR="00FE0FFF" w:rsidRDefault="00000000" w:rsidP="00511687">
      <w:pPr>
        <w:pStyle w:val="BodyText"/>
        <w:jc w:val="both"/>
      </w:pPr>
      <w:r>
        <w:t>Soft antecedents also require a semantic choice. If a probability is used as a numerical feature, Equation 13 is well defined. If that number represents uncertainty about a latent Boolean fact, substituting its expectation inside a nonlinear model generally differs from marginalizing over the latent fact. The latter requires a distribution over compatible grounded states, including relevant dependencies.</w:t>
      </w:r>
    </w:p>
    <w:p w14:paraId="0ABF25BF" w14:textId="77777777" w:rsidR="00FE0FFF" w:rsidRDefault="00000000" w:rsidP="00511687">
      <w:pPr>
        <w:pStyle w:val="Heading2"/>
        <w:jc w:val="both"/>
      </w:pPr>
      <w:bookmarkStart w:id="21" w:name="hierarchical-prices-and-rule-granularity"/>
      <w:bookmarkEnd w:id="20"/>
      <w:r>
        <w:t>Hierarchical prices and rule granularity</w:t>
      </w:r>
    </w:p>
    <w:p w14:paraId="6217BF37" w14:textId="77777777" w:rsidR="00FE0FFF" w:rsidRDefault="00000000" w:rsidP="00511687">
      <w:pPr>
        <w:pStyle w:val="FirstParagraph"/>
        <w:jc w:val="both"/>
      </w:pPr>
      <w:r>
        <w:t xml:space="preserve">For two coherent leaf distributions </w:t>
      </w:r>
      <m:oMath>
        <m:r>
          <w:rPr>
            <w:rFonts w:ascii="Cambria Math" w:hAnsi="Cambria Math"/>
          </w:rPr>
          <m:t>P</m:t>
        </m:r>
      </m:oMath>
      <w:r>
        <w:t xml:space="preserve"> and </w:t>
      </w:r>
      <m:oMath>
        <m:r>
          <w:rPr>
            <w:rFonts w:ascii="Cambria Math" w:hAnsi="Cambria Math"/>
          </w:rPr>
          <m:t>R</m:t>
        </m:r>
      </m:oMath>
      <w:r>
        <w:t xml:space="preserve"> on the same partition tree, relative entropy decomposes as</w:t>
      </w:r>
    </w:p>
    <w:p w14:paraId="440F8EFA" w14:textId="77777777" w:rsidR="00FE0FFF" w:rsidRDefault="00000000" w:rsidP="00511687">
      <w:pPr>
        <w:pStyle w:val="BodyText"/>
        <w:keepLines/>
        <w:tabs>
          <w:tab w:val="right" w:pos="9605"/>
        </w:tabs>
        <w:spacing w:before="100" w:after="140"/>
        <w:jc w:val="both"/>
      </w:pP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∈internal(</m:t>
            </m:r>
            <m:r>
              <w:rPr>
                <w:rFonts w:ascii="Cambria Math" w:hAnsi="Cambria Math"/>
              </w:rPr>
              <m:t>T</m:t>
            </m:r>
            <m:r>
              <m:rPr>
                <m:sty m:val="p"/>
              </m:rPr>
              <w:rPr>
                <w:rFonts w:ascii="Cambria Math" w:hAnsi="Cambria Math"/>
              </w:rPr>
              <m:t>)</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KL</m:t>
            </m:r>
          </m:sub>
        </m:sSub>
        <m:r>
          <w:rPr>
            <w:rFonts w:ascii="Cambria Math" w:hAnsi="Cambria Math"/>
          </w:rPr>
          <m: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v</m:t>
        </m:r>
        <m:r>
          <m:rPr>
            <m:sty m:val="p"/>
          </m:rPr>
          <w:rPr>
            <w:rFonts w:ascii="Cambria Math" w:hAnsi="Cambria Math"/>
          </w:rPr>
          <m:t>)).</m:t>
        </m:r>
      </m:oMath>
      <w:r>
        <w:rPr>
          <w:sz w:val="21"/>
        </w:rPr>
        <w:tab/>
        <w:t>(15)</w:t>
      </w:r>
    </w:p>
    <w:p w14:paraId="23ECD92D" w14:textId="77777777" w:rsidR="00FE0FFF" w:rsidRDefault="00000000" w:rsidP="00511687">
      <w:pPr>
        <w:pStyle w:val="FirstParagraph"/>
        <w:jc w:val="both"/>
      </w:pPr>
      <w:r>
        <w:t xml:space="preserve">The inner distributions are over children. Appropriate zero mass conventions apply; assigning zero mass under </w:t>
      </w:r>
      <m:oMath>
        <m:r>
          <w:rPr>
            <w:rFonts w:ascii="Cambria Math" w:hAnsi="Cambria Math"/>
          </w:rPr>
          <m:t>R</m:t>
        </m:r>
      </m:oMath>
      <w:r>
        <w:t xml:space="preserve"> to a positive mass outcome under </w:t>
      </w:r>
      <m:oMath>
        <m:r>
          <w:rPr>
            <w:rFonts w:ascii="Cambria Math" w:hAnsi="Cambria Math"/>
          </w:rPr>
          <m:t>P</m:t>
        </m:r>
      </m:oMath>
      <w:r>
        <w:t xml:space="preserve"> gives infinite loss. Applying Equation 15 inside Equation 5 attributes future predictive damage to branches of the answer hierarchy. It distinguishes loss of fine detail within a preserved category from loss of the category itself. Which branch losses are acceptable remains a question of downstream utility, not depth alone.</w:t>
      </w:r>
    </w:p>
    <w:p w14:paraId="50544A58" w14:textId="77777777" w:rsidR="00FE0FFF" w:rsidRDefault="00000000" w:rsidP="00511687">
      <w:pPr>
        <w:pStyle w:val="BodyText"/>
        <w:jc w:val="both"/>
      </w:pPr>
      <w:r>
        <w:t xml:space="preserve">Rule antecedents can also be coarsened. If </w:t>
      </w:r>
      <m:oMath>
        <m:r>
          <w:rPr>
            <w:rFonts w:ascii="Cambria Math" w:hAnsi="Cambria Math"/>
          </w:rPr>
          <m:t>L</m:t>
        </m:r>
      </m:oMath>
      <w:r>
        <w:t xml:space="preserve"> denotes a fine input category and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a coarser one, the increase in optimal log loss for a fixed target is </w:t>
      </w:r>
      <m:oMath>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This is different from replacing a fine answer by a set valued report: the latter changes the reporting action and its loss. Under regular, fixed dimensional multinomial assumptions, estimation excess loss has an </w:t>
      </w:r>
      <w:r>
        <w:lastRenderedPageBreak/>
        <w:t xml:space="preserve">asymptotic scale of </w:t>
      </w: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2n</m:t>
        </m:r>
        <m:r>
          <m:rPr>
            <m:sty m:val="p"/>
          </m:rPr>
          <w:rPr>
            <w:rFonts w:ascii="Cambria Math" w:hAnsi="Cambria Math"/>
          </w:rPr>
          <m:t>)</m:t>
        </m:r>
      </m:oMath>
      <w:r>
        <w:t xml:space="preserve"> for </w:t>
      </w:r>
      <m:oMath>
        <m:r>
          <w:rPr>
            <w:rFonts w:ascii="Cambria Math" w:hAnsi="Cambria Math"/>
          </w:rPr>
          <m:t>K</m:t>
        </m:r>
      </m:oMath>
      <w:r>
        <w:t xml:space="preserve"> outcomes and </w:t>
      </w:r>
      <m:oMath>
        <m:r>
          <w:rPr>
            <w:rFonts w:ascii="Cambria Math" w:hAnsi="Cambria Math"/>
          </w:rPr>
          <m:t>n</m:t>
        </m:r>
      </m:oMath>
      <w:r>
        <w:t xml:space="preserve"> independent observations. This motivates a bias–variance trade off, but it does not establish a universal rule addition threshold.</w:t>
      </w:r>
    </w:p>
    <w:p w14:paraId="4CB4F83F" w14:textId="77777777" w:rsidR="00FE0FFF" w:rsidRDefault="00000000" w:rsidP="00511687">
      <w:pPr>
        <w:pStyle w:val="BodyText"/>
        <w:jc w:val="both"/>
      </w:pPr>
      <w:r>
        <w:t>Description length criteria must also pay for choosing antecedents, their bindings, and their position in the hierarchy. Context tree weighting provides an exacting baseline when the candidates are suffix context models over a discrete stream [18]. It is not a universal Bayesian baseline for lifted relational rules with arbitrary entities and exogenous observations.</w:t>
      </w:r>
    </w:p>
    <w:p w14:paraId="55A46067" w14:textId="77777777" w:rsidR="00FE0FFF" w:rsidRDefault="00000000" w:rsidP="00511687">
      <w:pPr>
        <w:pStyle w:val="Heading1"/>
        <w:jc w:val="both"/>
      </w:pPr>
      <w:bookmarkStart w:id="22" w:name="Xf324cd4593d1698828b80f3feb17db8232b7e12"/>
      <w:bookmarkEnd w:id="18"/>
      <w:bookmarkEnd w:id="21"/>
      <w:r>
        <w:t>7 Joint pretraining and the separation of measurement roles</w:t>
      </w:r>
    </w:p>
    <w:p w14:paraId="1E132F41" w14:textId="77777777" w:rsidR="00FE0FFF" w:rsidRDefault="00000000" w:rsidP="00511687">
      <w:pPr>
        <w:pStyle w:val="Heading2"/>
        <w:jc w:val="both"/>
      </w:pPr>
      <w:bookmarkStart w:id="23" w:name="a-concrete-training-configuration"/>
      <w:r>
        <w:t>A concrete training configuration</w:t>
      </w:r>
    </w:p>
    <w:p w14:paraId="6108904D" w14:textId="77777777" w:rsidR="00FE0FFF" w:rsidRDefault="00000000" w:rsidP="00511687">
      <w:pPr>
        <w:pStyle w:val="FirstParagraph"/>
        <w:jc w:val="both"/>
      </w:pPr>
      <w:r>
        <w:t>The first implementation should use a moderate size autoregressive transformer, a fixed library of typed events, a finite answer hierarchy for each event, and a bounded memory budget. It should expose entity binding and memory operations explicitly before attempting unrestricted natural language rule induction. The head library can include recurrence, revision transitions, completion of dependencies, and delayed combinations of independently presented facts.</w:t>
      </w:r>
    </w:p>
    <w:p w14:paraId="2094C2F3" w14:textId="77777777" w:rsidR="00FE0FFF" w:rsidRDefault="00000000" w:rsidP="00511687">
      <w:pPr>
        <w:pStyle w:val="BodyText"/>
        <w:jc w:val="both"/>
      </w:pPr>
      <w:r>
        <w:t>The backbone learns next token prediction and to read the memory interface. Typed heads learn from observed event outcomes with proper scores. The controller chooses whether to write state, propose a rule, preserve evidence, merge compatible records, retrieve evidence, or defer. A candidate controller objective combines future loss with measured resource use:</w:t>
      </w:r>
    </w:p>
    <w:p w14:paraId="0607AA1D" w14:textId="77777777" w:rsidR="00FE0FFF" w:rsidRDefault="00000000" w:rsidP="00511687">
      <w:pPr>
        <w:pStyle w:val="BodyText"/>
        <w:keepLines/>
        <w:tabs>
          <w:tab w:val="right" w:pos="9605"/>
        </w:tabs>
        <w:spacing w:before="100" w:after="140"/>
        <w:jc w:val="both"/>
      </w:pPr>
      <m:oMath>
        <m:r>
          <w:rPr>
            <w:rFonts w:ascii="Cambria Math" w:hAnsi="Cambria Math"/>
          </w:rPr>
          <m:t>J</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bytes(</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compute</m:t>
                </m:r>
              </m:e>
              <m:sub>
                <m:r>
                  <w:rPr>
                    <w:rFonts w:ascii="Cambria Math" w:hAnsi="Cambria Math"/>
                  </w:rPr>
                  <m:t>t</m:t>
                </m:r>
              </m:sub>
            </m:sSub>
            <m:r>
              <m:rPr>
                <m:sty m:val="p"/>
              </m:rPr>
              <w:rPr>
                <w:rFonts w:ascii="Cambria Math" w:hAnsi="Cambria Math"/>
              </w:rPr>
              <m:t>)</m:t>
            </m:r>
          </m:e>
        </m:nary>
        <m:r>
          <m:rPr>
            <m:sty m:val="p"/>
          </m:rPr>
          <w:rPr>
            <w:rFonts w:ascii="Cambria Math" w:hAnsi="Cambria Math"/>
          </w:rPr>
          <m:t>].</m:t>
        </m:r>
      </m:oMath>
      <w:r>
        <w:rPr>
          <w:sz w:val="21"/>
        </w:rPr>
        <w:tab/>
        <w:t>(16)</w:t>
      </w:r>
    </w:p>
    <w:p w14:paraId="6F15D919" w14:textId="77777777" w:rsidR="00FE0FFF" w:rsidRDefault="00000000" w:rsidP="00511687">
      <w:pPr>
        <w:pStyle w:val="FirstParagraph"/>
        <w:jc w:val="both"/>
      </w:pPr>
      <w:r>
        <w:t>The time convention for the byte penalty must be fixed: summing it over steps prices occupancy, while a peak constraint prices capacity. Reinforcement learning is suitable for delayed consequences and discrete actions, but it is not mathematically required for every operation. Exact enumeration on small tasks, differentiable relaxations, or supervised decisions from a teacher provide useful initial controls.</w:t>
      </w:r>
    </w:p>
    <w:p w14:paraId="3436879F" w14:textId="77777777" w:rsidR="00FE0FFF" w:rsidRDefault="00000000" w:rsidP="00511687">
      <w:pPr>
        <w:pStyle w:val="Heading2"/>
        <w:jc w:val="both"/>
      </w:pPr>
      <w:bookmarkStart w:id="24" w:name="three-roles-of-the-classifier"/>
      <w:bookmarkEnd w:id="23"/>
      <w:r>
        <w:t>Three roles of the classifier</w:t>
      </w:r>
    </w:p>
    <w:p w14:paraId="2AFDBC33" w14:textId="77777777" w:rsidR="00FE0FFF" w:rsidRDefault="00000000" w:rsidP="00511687">
      <w:pPr>
        <w:pStyle w:val="FirstParagraph"/>
        <w:jc w:val="both"/>
      </w:pPr>
      <w:r>
        <w:t>The pricer compares retained history and consolidated memory under future recall contexts. The encoder creates typed records. The auditor searches for residual structure in the current predictor. They can share architectural ideas, but their outputs have different evidential roles. Table 2 specifies a conservative initial design.</w:t>
      </w:r>
    </w:p>
    <w:p w14:paraId="6329B768" w14:textId="77777777" w:rsidR="00FE0FFF" w:rsidRDefault="00000000" w:rsidP="00511687">
      <w:pPr>
        <w:pStyle w:val="TableCaption"/>
        <w:keepNext/>
        <w:jc w:val="both"/>
      </w:pPr>
      <w:r>
        <w:t>Table 2. Measurement roles and their controls</w:t>
      </w:r>
    </w:p>
    <w:tbl>
      <w:tblPr>
        <w:tblStyle w:val="TableGrid"/>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195"/>
        <w:gridCol w:w="2909"/>
        <w:gridCol w:w="2837"/>
        <w:gridCol w:w="2707"/>
      </w:tblGrid>
      <w:tr w:rsidR="00FE0FFF" w14:paraId="387D36B3" w14:textId="77777777">
        <w:trPr>
          <w:cantSplit/>
          <w:tblHeader/>
          <w:jc w:val="center"/>
        </w:trPr>
        <w:tc>
          <w:tcPr>
            <w:tcW w:w="1195" w:type="dxa"/>
            <w:shd w:val="clear" w:color="auto" w:fill="E7EDF1"/>
            <w:vAlign w:val="center"/>
          </w:tcPr>
          <w:p w14:paraId="526E0A8A" w14:textId="77777777" w:rsidR="00FE0FFF" w:rsidRDefault="00000000" w:rsidP="00511687">
            <w:pPr>
              <w:spacing w:before="40" w:after="40" w:line="242" w:lineRule="auto"/>
              <w:jc w:val="both"/>
            </w:pPr>
            <w:r>
              <w:rPr>
                <w:b/>
                <w:sz w:val="21"/>
              </w:rPr>
              <w:t>Role</w:t>
            </w:r>
          </w:p>
        </w:tc>
        <w:tc>
          <w:tcPr>
            <w:tcW w:w="2909" w:type="dxa"/>
            <w:shd w:val="clear" w:color="auto" w:fill="E7EDF1"/>
            <w:vAlign w:val="center"/>
          </w:tcPr>
          <w:p w14:paraId="62973057" w14:textId="77777777" w:rsidR="00FE0FFF" w:rsidRDefault="00000000" w:rsidP="00511687">
            <w:pPr>
              <w:spacing w:before="40" w:after="40" w:line="242" w:lineRule="auto"/>
              <w:jc w:val="both"/>
            </w:pPr>
            <w:r>
              <w:rPr>
                <w:b/>
                <w:sz w:val="21"/>
              </w:rPr>
              <w:t>Information available</w:t>
            </w:r>
          </w:p>
        </w:tc>
        <w:tc>
          <w:tcPr>
            <w:tcW w:w="2837" w:type="dxa"/>
            <w:shd w:val="clear" w:color="auto" w:fill="E7EDF1"/>
            <w:vAlign w:val="center"/>
          </w:tcPr>
          <w:p w14:paraId="5D265C22" w14:textId="77777777" w:rsidR="00FE0FFF" w:rsidRDefault="00000000" w:rsidP="00511687">
            <w:pPr>
              <w:spacing w:before="40" w:after="40" w:line="242" w:lineRule="auto"/>
              <w:jc w:val="both"/>
            </w:pPr>
            <w:r>
              <w:rPr>
                <w:b/>
                <w:sz w:val="21"/>
              </w:rPr>
              <w:t>Learning target</w:t>
            </w:r>
          </w:p>
        </w:tc>
        <w:tc>
          <w:tcPr>
            <w:tcW w:w="2707" w:type="dxa"/>
            <w:shd w:val="clear" w:color="auto" w:fill="E7EDF1"/>
            <w:vAlign w:val="center"/>
          </w:tcPr>
          <w:p w14:paraId="23A97F16" w14:textId="77777777" w:rsidR="00FE0FFF" w:rsidRDefault="00000000" w:rsidP="00511687">
            <w:pPr>
              <w:spacing w:before="40" w:after="40" w:line="242" w:lineRule="auto"/>
              <w:jc w:val="both"/>
            </w:pPr>
            <w:r>
              <w:rPr>
                <w:b/>
                <w:sz w:val="21"/>
              </w:rPr>
              <w:t>Essential validation</w:t>
            </w:r>
          </w:p>
        </w:tc>
      </w:tr>
      <w:tr w:rsidR="00FE0FFF" w14:paraId="4FF54E94" w14:textId="77777777">
        <w:trPr>
          <w:cantSplit/>
          <w:jc w:val="center"/>
        </w:trPr>
        <w:tc>
          <w:tcPr>
            <w:tcW w:w="1195" w:type="dxa"/>
            <w:shd w:val="clear" w:color="auto" w:fill="FFFFFF"/>
            <w:vAlign w:val="center"/>
          </w:tcPr>
          <w:p w14:paraId="36A84459" w14:textId="77777777" w:rsidR="00FE0FFF" w:rsidRDefault="00000000" w:rsidP="00511687">
            <w:pPr>
              <w:spacing w:before="40" w:after="40" w:line="242" w:lineRule="auto"/>
              <w:jc w:val="both"/>
            </w:pPr>
            <w:r>
              <w:rPr>
                <w:sz w:val="21"/>
              </w:rPr>
              <w:t>Pricer</w:t>
            </w:r>
          </w:p>
        </w:tc>
        <w:tc>
          <w:tcPr>
            <w:tcW w:w="2909" w:type="dxa"/>
            <w:shd w:val="clear" w:color="auto" w:fill="FFFFFF"/>
            <w:vAlign w:val="center"/>
          </w:tcPr>
          <w:p w14:paraId="7052E392" w14:textId="77777777" w:rsidR="00FE0FFF" w:rsidRDefault="00000000" w:rsidP="00511687">
            <w:pPr>
              <w:spacing w:before="40" w:after="40" w:line="242" w:lineRule="auto"/>
              <w:jc w:val="both"/>
            </w:pPr>
            <w:r>
              <w:rPr>
                <w:sz w:val="21"/>
              </w:rPr>
              <w:t>Retained history, proposed memory, sampled or realized recall context</w:t>
            </w:r>
          </w:p>
        </w:tc>
        <w:tc>
          <w:tcPr>
            <w:tcW w:w="2837" w:type="dxa"/>
            <w:shd w:val="clear" w:color="auto" w:fill="FFFFFF"/>
            <w:vAlign w:val="center"/>
          </w:tcPr>
          <w:p w14:paraId="36F13EB1" w14:textId="77777777" w:rsidR="00FE0FFF" w:rsidRDefault="00000000" w:rsidP="00511687">
            <w:pPr>
              <w:spacing w:before="40" w:after="40" w:line="242" w:lineRule="auto"/>
              <w:jc w:val="both"/>
            </w:pPr>
            <w:r>
              <w:rPr>
                <w:sz w:val="21"/>
              </w:rPr>
              <w:t>Observed event outcomes; candidate prices use a fixed reference</w:t>
            </w:r>
          </w:p>
        </w:tc>
        <w:tc>
          <w:tcPr>
            <w:tcW w:w="2707" w:type="dxa"/>
            <w:shd w:val="clear" w:color="auto" w:fill="FFFFFF"/>
            <w:vAlign w:val="center"/>
          </w:tcPr>
          <w:p w14:paraId="5FFEE072" w14:textId="77777777" w:rsidR="00FE0FFF" w:rsidRDefault="00000000" w:rsidP="00511687">
            <w:pPr>
              <w:spacing w:before="40" w:after="40" w:line="242" w:lineRule="auto"/>
              <w:jc w:val="both"/>
            </w:pPr>
            <w:r>
              <w:rPr>
                <w:sz w:val="21"/>
              </w:rPr>
              <w:t>Does predicted eviction damage rank and estimate realized damage?</w:t>
            </w:r>
          </w:p>
        </w:tc>
      </w:tr>
      <w:tr w:rsidR="00FE0FFF" w14:paraId="5D3FB605" w14:textId="77777777">
        <w:trPr>
          <w:cantSplit/>
          <w:jc w:val="center"/>
        </w:trPr>
        <w:tc>
          <w:tcPr>
            <w:tcW w:w="1195" w:type="dxa"/>
            <w:shd w:val="clear" w:color="auto" w:fill="FFFFFF"/>
            <w:vAlign w:val="center"/>
          </w:tcPr>
          <w:p w14:paraId="10D46374" w14:textId="77777777" w:rsidR="00FE0FFF" w:rsidRDefault="00000000" w:rsidP="00511687">
            <w:pPr>
              <w:spacing w:before="40" w:after="40" w:line="242" w:lineRule="auto"/>
              <w:jc w:val="both"/>
            </w:pPr>
            <w:r>
              <w:rPr>
                <w:sz w:val="21"/>
              </w:rPr>
              <w:t>Encoder</w:t>
            </w:r>
          </w:p>
        </w:tc>
        <w:tc>
          <w:tcPr>
            <w:tcW w:w="2909" w:type="dxa"/>
            <w:shd w:val="clear" w:color="auto" w:fill="FFFFFF"/>
            <w:vAlign w:val="center"/>
          </w:tcPr>
          <w:p w14:paraId="3EF80AE5" w14:textId="77777777" w:rsidR="00FE0FFF" w:rsidRDefault="00000000" w:rsidP="00511687">
            <w:pPr>
              <w:spacing w:before="40" w:after="40" w:line="242" w:lineRule="auto"/>
              <w:jc w:val="both"/>
            </w:pPr>
            <w:r>
              <w:rPr>
                <w:sz w:val="21"/>
              </w:rPr>
              <w:t>Source window, entity arguments, declared event</w:t>
            </w:r>
          </w:p>
        </w:tc>
        <w:tc>
          <w:tcPr>
            <w:tcW w:w="2837" w:type="dxa"/>
            <w:shd w:val="clear" w:color="auto" w:fill="FFFFFF"/>
            <w:vAlign w:val="center"/>
          </w:tcPr>
          <w:p w14:paraId="4CC6BE0B" w14:textId="77777777" w:rsidR="00FE0FFF" w:rsidRDefault="00000000" w:rsidP="00511687">
            <w:pPr>
              <w:spacing w:before="40" w:after="40" w:line="242" w:lineRule="auto"/>
              <w:jc w:val="both"/>
            </w:pPr>
            <w:r>
              <w:rPr>
                <w:sz w:val="21"/>
              </w:rPr>
              <w:t>Proper score on that event</w:t>
            </w:r>
          </w:p>
        </w:tc>
        <w:tc>
          <w:tcPr>
            <w:tcW w:w="2707" w:type="dxa"/>
            <w:shd w:val="clear" w:color="auto" w:fill="FFFFFF"/>
            <w:vAlign w:val="center"/>
          </w:tcPr>
          <w:p w14:paraId="7F759771" w14:textId="77777777" w:rsidR="00FE0FFF" w:rsidRDefault="00000000" w:rsidP="00511687">
            <w:pPr>
              <w:spacing w:before="40" w:after="40" w:line="242" w:lineRule="auto"/>
              <w:jc w:val="both"/>
            </w:pPr>
            <w:r>
              <w:rPr>
                <w:sz w:val="21"/>
              </w:rPr>
              <w:t>Calibration after retention, retrieval, and version changes</w:t>
            </w:r>
          </w:p>
        </w:tc>
      </w:tr>
      <w:tr w:rsidR="00FE0FFF" w14:paraId="2DE64CD1" w14:textId="77777777">
        <w:trPr>
          <w:cantSplit/>
          <w:jc w:val="center"/>
        </w:trPr>
        <w:tc>
          <w:tcPr>
            <w:tcW w:w="1195" w:type="dxa"/>
            <w:shd w:val="clear" w:color="auto" w:fill="FFFFFF"/>
            <w:vAlign w:val="center"/>
          </w:tcPr>
          <w:p w14:paraId="7036D447" w14:textId="77777777" w:rsidR="00FE0FFF" w:rsidRDefault="00000000" w:rsidP="00511687">
            <w:pPr>
              <w:spacing w:before="40" w:after="40" w:line="242" w:lineRule="auto"/>
              <w:jc w:val="both"/>
            </w:pPr>
            <w:r>
              <w:rPr>
                <w:sz w:val="21"/>
              </w:rPr>
              <w:t>Auditor</w:t>
            </w:r>
          </w:p>
        </w:tc>
        <w:tc>
          <w:tcPr>
            <w:tcW w:w="2909" w:type="dxa"/>
            <w:shd w:val="clear" w:color="auto" w:fill="FFFFFF"/>
            <w:vAlign w:val="center"/>
          </w:tcPr>
          <w:p w14:paraId="027A884E" w14:textId="77777777" w:rsidR="00FE0FFF" w:rsidRDefault="00000000" w:rsidP="00511687">
            <w:pPr>
              <w:spacing w:before="40" w:after="40" w:line="242" w:lineRule="auto"/>
              <w:jc w:val="both"/>
            </w:pPr>
            <w:r>
              <w:rPr>
                <w:sz w:val="21"/>
              </w:rPr>
              <w:t>Predictions, outcomes, held evidence, declared audit class</w:t>
            </w:r>
          </w:p>
        </w:tc>
        <w:tc>
          <w:tcPr>
            <w:tcW w:w="2837" w:type="dxa"/>
            <w:shd w:val="clear" w:color="auto" w:fill="FFFFFF"/>
            <w:vAlign w:val="center"/>
          </w:tcPr>
          <w:p w14:paraId="31CBCA04" w14:textId="77777777" w:rsidR="00FE0FFF" w:rsidRDefault="00000000" w:rsidP="00511687">
            <w:pPr>
              <w:spacing w:before="40" w:after="40" w:line="242" w:lineRule="auto"/>
              <w:jc w:val="both"/>
            </w:pPr>
            <w:r>
              <w:rPr>
                <w:sz w:val="21"/>
              </w:rPr>
              <w:t>Residual structure in separate parameters</w:t>
            </w:r>
          </w:p>
        </w:tc>
        <w:tc>
          <w:tcPr>
            <w:tcW w:w="2707" w:type="dxa"/>
            <w:shd w:val="clear" w:color="auto" w:fill="FFFFFF"/>
            <w:vAlign w:val="center"/>
          </w:tcPr>
          <w:p w14:paraId="7211BF56" w14:textId="77777777" w:rsidR="00FE0FFF" w:rsidRDefault="00000000" w:rsidP="00511687">
            <w:pPr>
              <w:spacing w:before="40" w:after="40" w:line="242" w:lineRule="auto"/>
              <w:jc w:val="both"/>
            </w:pPr>
            <w:r>
              <w:rPr>
                <w:sz w:val="21"/>
              </w:rPr>
              <w:t>Prospective detection power and comparison with fixed external tests</w:t>
            </w:r>
          </w:p>
        </w:tc>
      </w:tr>
      <w:tr w:rsidR="00FE0FFF" w14:paraId="3143EF60" w14:textId="77777777">
        <w:trPr>
          <w:cantSplit/>
          <w:jc w:val="center"/>
        </w:trPr>
        <w:tc>
          <w:tcPr>
            <w:tcW w:w="1195" w:type="dxa"/>
            <w:shd w:val="clear" w:color="auto" w:fill="FFFFFF"/>
            <w:vAlign w:val="center"/>
          </w:tcPr>
          <w:p w14:paraId="771DAA17" w14:textId="77777777" w:rsidR="00FE0FFF" w:rsidRDefault="00000000" w:rsidP="00511687">
            <w:pPr>
              <w:spacing w:before="40" w:after="40" w:line="242" w:lineRule="auto"/>
              <w:jc w:val="both"/>
            </w:pPr>
            <w:r>
              <w:rPr>
                <w:sz w:val="21"/>
              </w:rPr>
              <w:lastRenderedPageBreak/>
              <w:t>Controller</w:t>
            </w:r>
          </w:p>
        </w:tc>
        <w:tc>
          <w:tcPr>
            <w:tcW w:w="2909" w:type="dxa"/>
            <w:shd w:val="clear" w:color="auto" w:fill="FFFFFF"/>
            <w:vAlign w:val="center"/>
          </w:tcPr>
          <w:p w14:paraId="48132F16" w14:textId="77777777" w:rsidR="00FE0FFF" w:rsidRDefault="00000000" w:rsidP="00511687">
            <w:pPr>
              <w:spacing w:before="40" w:after="40" w:line="242" w:lineRule="auto"/>
              <w:jc w:val="both"/>
            </w:pPr>
            <w:r>
              <w:rPr>
                <w:sz w:val="21"/>
              </w:rPr>
              <w:t>Candidate operations, prices, budgets, retrieval state</w:t>
            </w:r>
          </w:p>
        </w:tc>
        <w:tc>
          <w:tcPr>
            <w:tcW w:w="2837" w:type="dxa"/>
            <w:shd w:val="clear" w:color="auto" w:fill="FFFFFF"/>
            <w:vAlign w:val="center"/>
          </w:tcPr>
          <w:p w14:paraId="23024D37" w14:textId="77777777" w:rsidR="00FE0FFF" w:rsidRDefault="00000000" w:rsidP="00511687">
            <w:pPr>
              <w:spacing w:before="40" w:after="40" w:line="242" w:lineRule="auto"/>
              <w:jc w:val="both"/>
            </w:pPr>
            <w:r>
              <w:rPr>
                <w:sz w:val="21"/>
              </w:rPr>
              <w:t>Future predictive loss and resource costs</w:t>
            </w:r>
          </w:p>
        </w:tc>
        <w:tc>
          <w:tcPr>
            <w:tcW w:w="2707" w:type="dxa"/>
            <w:shd w:val="clear" w:color="auto" w:fill="FFFFFF"/>
            <w:vAlign w:val="center"/>
          </w:tcPr>
          <w:p w14:paraId="2A58F1E0" w14:textId="77777777" w:rsidR="00FE0FFF" w:rsidRDefault="00000000" w:rsidP="00511687">
            <w:pPr>
              <w:spacing w:before="40" w:after="40" w:line="242" w:lineRule="auto"/>
              <w:jc w:val="both"/>
            </w:pPr>
            <w:r>
              <w:rPr>
                <w:sz w:val="21"/>
              </w:rPr>
              <w:t>Performance against matched memory and compute baselines</w:t>
            </w:r>
          </w:p>
        </w:tc>
      </w:tr>
    </w:tbl>
    <w:p w14:paraId="1642F6EA" w14:textId="77777777" w:rsidR="00FE0FFF" w:rsidRDefault="00000000" w:rsidP="00511687">
      <w:pPr>
        <w:pStyle w:val="BodyText"/>
        <w:spacing w:before="160"/>
        <w:jc w:val="both"/>
      </w:pPr>
      <w:r>
        <w:t>During a controller update, the reference used to price eviction should be frozen or receive no gradient from the price. Otherwise reducing measured disagreement can be achieved by weakening the reference. A frozen head on a trainable shared trunk is not a frozen reference: its effective function still changes. A reference snapshot must therefore freeze the relevant feature computation or consume an independently stable input.</w:t>
      </w:r>
    </w:p>
    <w:p w14:paraId="22073BF6" w14:textId="77777777" w:rsidR="00FE0FFF" w:rsidRDefault="00000000" w:rsidP="00511687">
      <w:pPr>
        <w:pStyle w:val="BodyText"/>
        <w:jc w:val="both"/>
      </w:pPr>
      <w:r>
        <w:t>Typed record values should initially be protected from language modelling gradients that could turn their probability channels into uninterpretable codes. This is an architectural safeguard, not a general theorem that shared representations cannot be trained responsibly. Joint representation learning can be investigated later while preserving the proper scoring target and auditing the semantics of the resulting interface.</w:t>
      </w:r>
    </w:p>
    <w:p w14:paraId="0A9414C0" w14:textId="77777777" w:rsidR="00FE0FFF" w:rsidRDefault="00000000" w:rsidP="00511687">
      <w:pPr>
        <w:pStyle w:val="BodyText"/>
        <w:jc w:val="both"/>
      </w:pPr>
      <w:r>
        <w:t xml:space="preserve">The auditor must also be protected from a loss that rewards the model for suppressing detections. Separate audit parameters, fixed external test functions, and future evaluation episodes make that protection concrete. A residual learner that finds no violation has supplied evidence only at its measured power. Treating failure to find a rule as a certificate over all of </w:t>
      </w:r>
      <m:oMath>
        <m:r>
          <m:rPr>
            <m:scr m:val="script"/>
            <m:sty m:val="p"/>
          </m:rPr>
          <w:rPr>
            <w:rFonts w:ascii="Cambria Math" w:hAnsi="Cambria Math"/>
          </w:rPr>
          <m:t>C</m:t>
        </m:r>
      </m:oMath>
      <w:r>
        <w:t xml:space="preserve"> requires an explicit weak learning oracle assumption or another justified uniform bound.</w:t>
      </w:r>
    </w:p>
    <w:p w14:paraId="6DECCF0E" w14:textId="77777777" w:rsidR="00FE0FFF" w:rsidRDefault="00000000" w:rsidP="00511687">
      <w:pPr>
        <w:pStyle w:val="Heading2"/>
        <w:jc w:val="both"/>
      </w:pPr>
      <w:bookmarkStart w:id="25" w:name="a-staged-online-procedure"/>
      <w:bookmarkEnd w:id="24"/>
      <w:r>
        <w:t>A staged online procedure</w:t>
      </w:r>
    </w:p>
    <w:p w14:paraId="30D04CF7" w14:textId="77777777" w:rsidR="00FE0FFF" w:rsidRDefault="00000000" w:rsidP="00511687">
      <w:pPr>
        <w:pStyle w:val="Compact"/>
        <w:numPr>
          <w:ilvl w:val="0"/>
          <w:numId w:val="11"/>
        </w:numPr>
        <w:jc w:val="both"/>
      </w:pPr>
      <w:r>
        <w:rPr>
          <w:b/>
          <w:bCs/>
        </w:rPr>
        <w:t>Observe and predict.</w:t>
      </w:r>
      <w:r>
        <w:t xml:space="preserve"> Process a new segment, maintain the active cache, and issue typed event forecasts before their outcomes are known. Record entity bindings, horizons, and version identifiers.</w:t>
      </w:r>
    </w:p>
    <w:p w14:paraId="42256364" w14:textId="77777777" w:rsidR="00FE0FFF" w:rsidRDefault="00000000" w:rsidP="00511687">
      <w:pPr>
        <w:pStyle w:val="Compact"/>
        <w:numPr>
          <w:ilvl w:val="0"/>
          <w:numId w:val="11"/>
        </w:numPr>
        <w:jc w:val="both"/>
      </w:pPr>
      <w:r>
        <w:rPr>
          <w:b/>
          <w:bCs/>
        </w:rPr>
        <w:t>Propose memory operations.</w:t>
      </w:r>
      <w:r>
        <w:t xml:space="preserve"> Generate candidate updates to the rule book, state store, and episodic reservoir. Estimate future conditional damage and the cost of each candidate.</w:t>
      </w:r>
    </w:p>
    <w:p w14:paraId="2F62CDFE" w14:textId="77777777" w:rsidR="00FE0FFF" w:rsidRDefault="00000000" w:rsidP="00511687">
      <w:pPr>
        <w:pStyle w:val="Compact"/>
        <w:numPr>
          <w:ilvl w:val="0"/>
          <w:numId w:val="11"/>
        </w:numPr>
        <w:jc w:val="both"/>
      </w:pPr>
      <w:r>
        <w:rPr>
          <w:b/>
          <w:bCs/>
        </w:rPr>
        <w:t>Commit under budget.</w:t>
      </w:r>
      <w:r>
        <w:t xml:space="preserve"> Apply the selected operation. Retain a randomized shadow sample of source episodes for later comparison, including examples judged unimportant by the current pricer.</w:t>
      </w:r>
    </w:p>
    <w:p w14:paraId="7C855ADE" w14:textId="77777777" w:rsidR="00FE0FFF" w:rsidRDefault="00000000" w:rsidP="00511687">
      <w:pPr>
        <w:pStyle w:val="Compact"/>
        <w:numPr>
          <w:ilvl w:val="0"/>
          <w:numId w:val="11"/>
        </w:numPr>
        <w:jc w:val="both"/>
      </w:pPr>
      <w:r>
        <w:rPr>
          <w:b/>
          <w:bCs/>
        </w:rPr>
        <w:t>Score when outcomes arrive.</w:t>
      </w:r>
      <w:r>
        <w:t xml:space="preserve"> Use identical realized recall contexts to compare retained and compressed branches when passive observation permits it. Train predictive heads on observed outcomes and train the controller on delayed consequences.</w:t>
      </w:r>
    </w:p>
    <w:p w14:paraId="22FBEF6F" w14:textId="77777777" w:rsidR="00FE0FFF" w:rsidRDefault="00000000" w:rsidP="00511687">
      <w:pPr>
        <w:pStyle w:val="Compact"/>
        <w:numPr>
          <w:ilvl w:val="0"/>
          <w:numId w:val="11"/>
        </w:numPr>
        <w:jc w:val="both"/>
      </w:pPr>
      <w:r>
        <w:rPr>
          <w:b/>
          <w:bCs/>
        </w:rPr>
        <w:t>Search and repair.</w:t>
      </w:r>
      <w:r>
        <w:t xml:space="preserve"> Use a discovery split for new rules and residual patches. Evaluate selected changes prospectively or on independent episode blocks before promoting them to the active book.</w:t>
      </w:r>
    </w:p>
    <w:p w14:paraId="361D47AC" w14:textId="77777777" w:rsidR="00FE0FFF" w:rsidRDefault="00000000" w:rsidP="00511687">
      <w:pPr>
        <w:pStyle w:val="Compact"/>
        <w:numPr>
          <w:ilvl w:val="0"/>
          <w:numId w:val="11"/>
        </w:numPr>
        <w:jc w:val="both"/>
      </w:pPr>
      <w:r>
        <w:rPr>
          <w:b/>
          <w:bCs/>
        </w:rPr>
        <w:t>Revalidate.</w:t>
      </w:r>
      <w:r>
        <w:t xml:space="preserve"> Audit the deployed selection policy after material changes to the backbone, router, ontology, memory policy, or environment. Preserve enough provenance to distinguish a changed event from a changed predictor.</w:t>
      </w:r>
    </w:p>
    <w:p w14:paraId="1C535CDD" w14:textId="77777777" w:rsidR="00FE0FFF" w:rsidRDefault="00000000" w:rsidP="00511687">
      <w:pPr>
        <w:pStyle w:val="FirstParagraph"/>
        <w:jc w:val="both"/>
      </w:pPr>
      <w:r>
        <w:t xml:space="preserve">Online multivalid learning supplies relevant guarantees for explicitly defined sequential prediction procedures, even against adversarial sequences [19]. Those results do not automatically certify a </w:t>
      </w:r>
      <w:r>
        <w:lastRenderedPageBreak/>
        <w:t>jointly changing neural controller and auditor. An implementation must either satisfy the theorem’s protocol or report empirical, time indexed reliability without borrowing a stronger guarantee.</w:t>
      </w:r>
    </w:p>
    <w:p w14:paraId="451E59C9" w14:textId="77777777" w:rsidR="00FE0FFF" w:rsidRDefault="00000000" w:rsidP="00511687">
      <w:pPr>
        <w:pStyle w:val="BodyText"/>
        <w:jc w:val="both"/>
      </w:pPr>
      <w:r>
        <w:t>Replay can improve extraction, optimization, and rule discovery. Repeated presentation of the same episode does not create independent evidence for an event rate. At the same time, improved reasoning from existing evidence can legitimately increase confidence. The relevant distinction is between a sharper justified predictive distribution and an unjustifiably smaller uncertainty interval obtained by counting duplicate replays as new observations.</w:t>
      </w:r>
    </w:p>
    <w:p w14:paraId="38674325" w14:textId="77777777" w:rsidR="00FE0FFF" w:rsidRDefault="00000000" w:rsidP="00511687">
      <w:pPr>
        <w:pStyle w:val="Heading1"/>
        <w:jc w:val="both"/>
      </w:pPr>
      <w:bookmarkStart w:id="26" w:name="Xba9bc627c88b46dcc29e188d899bda0946ba67f"/>
      <w:bookmarkEnd w:id="22"/>
      <w:bookmarkEnd w:id="25"/>
      <w:r>
        <w:t>8 Hierarchical auditing without cancellation</w:t>
      </w:r>
    </w:p>
    <w:p w14:paraId="6C87B516" w14:textId="77777777" w:rsidR="00FE0FFF" w:rsidRDefault="00000000" w:rsidP="00511687">
      <w:pPr>
        <w:pStyle w:val="FirstParagraph"/>
        <w:jc w:val="both"/>
      </w:pPr>
      <w:r>
        <w:t xml:space="preserve">A top down audit that descends only when a parent residual is large can miss equal and opposite errors. To state the issue precisely, fix one target event and its residual </w:t>
      </w:r>
      <m:oMath>
        <m:r>
          <w:rPr>
            <w:rFonts w:ascii="Cambria Math" w:hAnsi="Cambria Math"/>
          </w:rPr>
          <m:t>r</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Partition an input group into cells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conditional means </w:t>
      </w:r>
      <m:oMath>
        <m:sSub>
          <m:sSubPr>
            <m:ctrlPr>
              <w:rPr>
                <w:rFonts w:ascii="Cambria Math" w:hAnsi="Cambria Math"/>
              </w:rPr>
            </m:ctrlPr>
          </m:sSubPr>
          <m:e>
            <m:r>
              <w:rPr>
                <w:rFonts w:ascii="Cambria Math" w:hAnsi="Cambria Math"/>
              </w:rPr>
              <m:t>μ</m:t>
            </m:r>
          </m:e>
          <m:sub>
            <m:r>
              <w:rPr>
                <w:rFonts w:ascii="Cambria Math" w:hAnsi="Cambria Math"/>
              </w:rPr>
              <m:t>j</m:t>
            </m:r>
          </m:sub>
        </m:sSub>
        <m:r>
          <m:rPr>
            <m:scr m:val="double-struck"/>
            <m:sty m:val="p"/>
          </m:rPr>
          <w:rPr>
            <w:rFonts w:ascii="Cambria Math" w:hAnsi="Cambria Math"/>
          </w:rPr>
          <m:t>=E[</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t>. Then</w:t>
      </w:r>
    </w:p>
    <w:p w14:paraId="2D3AF43F" w14:textId="77777777" w:rsidR="00FE0FFF" w:rsidRDefault="00000000" w:rsidP="00511687">
      <w:pPr>
        <w:pStyle w:val="BodyText"/>
        <w:keepLines/>
        <w:tabs>
          <w:tab w:val="right" w:pos="9605"/>
        </w:tabs>
        <w:spacing w:before="100" w:after="140"/>
        <w:jc w:val="both"/>
      </w:pPr>
      <m:oMath>
        <m:sSup>
          <m:sSupPr>
            <m:ctrlPr>
              <w:rPr>
                <w:rFonts w:ascii="Cambria Math" w:hAnsi="Cambria Math"/>
              </w:rPr>
            </m:ctrlPr>
          </m:sSup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Sup>
          <m:sSubSupPr>
            <m:ctrlPr>
              <w:rPr>
                <w:rFonts w:ascii="Cambria Math" w:hAnsi="Cambria Math"/>
              </w:rPr>
            </m:ctrlPr>
          </m:sSubSupPr>
          <m:e>
            <m:r>
              <w:rPr>
                <w:rFonts w:ascii="Cambria Math" w:hAnsi="Cambria Math"/>
              </w:rPr>
              <m:t>μ</m:t>
            </m:r>
          </m:e>
          <m:sub>
            <m:r>
              <w:rPr>
                <w:rFonts w:ascii="Cambria Math" w:hAnsi="Cambria Math"/>
              </w:rPr>
              <m:t>j</m:t>
            </m:r>
          </m:sub>
          <m:sup>
            <m:r>
              <w:rPr>
                <w:rFonts w:ascii="Cambria Math" w:hAnsi="Cambria Math"/>
              </w:rPr>
              <m:t>2</m:t>
            </m:r>
          </m:sup>
        </m:sSubSup>
        <m:r>
          <m:rPr>
            <m:sty m:val="p"/>
          </m:rPr>
          <w:rPr>
            <w:rFonts w:ascii="Cambria Math" w:hAnsi="Cambria Math"/>
          </w:rPr>
          <m:t>.</m:t>
        </m:r>
      </m:oMath>
      <w:r>
        <w:rPr>
          <w:sz w:val="21"/>
        </w:rPr>
        <w:tab/>
        <w:t>(17)</w:t>
      </w:r>
    </w:p>
    <w:p w14:paraId="49B8D40D" w14:textId="77777777" w:rsidR="00FE0FFF" w:rsidRDefault="00000000" w:rsidP="00511687">
      <w:pPr>
        <w:pStyle w:val="FirstParagraph"/>
        <w:jc w:val="both"/>
      </w:pPr>
      <w:r>
        <w:t xml:space="preserve">For two equally weighted cells with means </w:t>
      </w:r>
      <m:oMath>
        <m:r>
          <m:rPr>
            <m:sty m:val="p"/>
          </m:rPr>
          <w:rPr>
            <w:rFonts w:ascii="Cambria Math" w:hAnsi="Cambria Math"/>
          </w:rPr>
          <m:t>+</m:t>
        </m:r>
        <m:r>
          <w:rPr>
            <w:rFonts w:ascii="Cambria Math" w:hAnsi="Cambria Math"/>
          </w:rPr>
          <m:t>0.2</m:t>
        </m:r>
      </m:oMath>
      <w:r>
        <w:t xml:space="preserve"> and </w:t>
      </w:r>
      <m:oMath>
        <m:r>
          <m:rPr>
            <m:sty m:val="p"/>
          </m:rPr>
          <w:rPr>
            <w:rFonts w:ascii="Cambria Math" w:hAnsi="Cambria Math"/>
          </w:rPr>
          <m:t>-</m:t>
        </m:r>
        <m:r>
          <w:rPr>
            <w:rFonts w:ascii="Cambria Math" w:hAnsi="Cambria Math"/>
          </w:rPr>
          <m:t>0.2</m:t>
        </m:r>
      </m:oMath>
      <w:r>
        <w:t>, the parent mean is zero but the right hand side is 0.04. The parent passes a signed mean test despite systematic child failures. The cells here partition inputs for a fixed outcome residual; they are not automatically the child outcomes of the answer tree. Mixing those two hierarchies would invalidate the interpretation.</w:t>
      </w:r>
    </w:p>
    <w:p w14:paraId="52ABD548" w14:textId="77777777" w:rsidR="00FE0FFF" w:rsidRDefault="00000000" w:rsidP="00511687">
      <w:pPr>
        <w:pStyle w:val="BodyText"/>
        <w:jc w:val="both"/>
      </w:pPr>
      <w:r>
        <w:t xml:space="preserve">The energy on the right bounds the weighted squared residual energy of any coarsening of that partition. For a subgroup with probability mass </w:t>
      </w:r>
      <m:oMath>
        <m:r>
          <w:rPr>
            <w:rFonts w:ascii="Cambria Math" w:hAnsi="Cambria Math"/>
          </w:rPr>
          <m:t>w</m:t>
        </m:r>
      </m:oMath>
      <w:r>
        <w:t xml:space="preserve">, it bounds that subgroup’s squared mean only after division by </w:t>
      </w:r>
      <m:oMath>
        <m:r>
          <w:rPr>
            <w:rFonts w:ascii="Cambria Math" w:hAnsi="Cambria Math"/>
          </w:rPr>
          <m:t>w</m:t>
        </m:r>
      </m:oMath>
      <w:r>
        <w:t xml:space="preserve">; rare groups require particular attention. A sound pruning rule would therefore need an upper confidence bound on the relevant fine scale energy and a declared group support requirement. With independent identically distributed observations in a fixed cell,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r</m:t>
                </m:r>
              </m:e>
            </m:bar>
          </m:e>
          <m:sub>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is an unbiased estimator of </w:t>
      </w:r>
      <m:oMath>
        <m:sSubSup>
          <m:sSubSupPr>
            <m:ctrlPr>
              <w:rPr>
                <w:rFonts w:ascii="Cambria Math" w:hAnsi="Cambria Math"/>
              </w:rPr>
            </m:ctrlPr>
          </m:sSubSupPr>
          <m:e>
            <m:r>
              <w:rPr>
                <w:rFonts w:ascii="Cambria Math" w:hAnsi="Cambria Math"/>
              </w:rPr>
              <m:t>μ</m:t>
            </m:r>
          </m:e>
          <m:sub>
            <m:r>
              <w:rPr>
                <w:rFonts w:ascii="Cambria Math" w:hAnsi="Cambria Math"/>
              </w:rPr>
              <m:t>j</m:t>
            </m:r>
          </m:sub>
          <m:sup>
            <m:r>
              <w:rPr>
                <w:rFonts w:ascii="Cambria Math" w:hAnsi="Cambria Math"/>
              </w:rPr>
              <m:t>2</m:t>
            </m:r>
          </m:sup>
        </m:sSubSup>
      </m:oMath>
      <w:r>
        <w:t xml:space="preserve">, where </w:t>
      </w:r>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2</m:t>
            </m:r>
          </m:sup>
        </m:sSubSup>
      </m:oMath>
      <w:r>
        <w:t xml:space="preserve"> is the unbiased sample variance and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r>
          <w:rPr>
            <w:rFonts w:ascii="Cambria Math" w:hAnsi="Cambria Math"/>
          </w:rPr>
          <m:t>1</m:t>
        </m:r>
      </m:oMath>
      <w:r>
        <w:t>. It can be negative and is not itself an upper confidence bound. Data dependent cells, selected hypotheses, and correlated episodes require additional control.</w:t>
      </w:r>
    </w:p>
    <w:p w14:paraId="25220DD7" w14:textId="77777777" w:rsidR="00FE0FFF" w:rsidRDefault="00000000" w:rsidP="00511687">
      <w:pPr>
        <w:pStyle w:val="BodyText"/>
        <w:jc w:val="both"/>
      </w:pPr>
      <w:r>
        <w:t>Consequently, hierarchy organizes audit effort but does not remove the need to inspect fine structure. Practical alternatives include predeclared partitions with simultaneous uncertainty bounds, randomized descent, and separate holdout searches for interactions. If a fine scale energy bound is unavailable, a small signed parent residual is insufficient grounds to stop auditing its descendants.</w:t>
      </w:r>
    </w:p>
    <w:p w14:paraId="2679AD0D" w14:textId="77777777" w:rsidR="00FE0FFF" w:rsidRDefault="00000000" w:rsidP="00511687">
      <w:pPr>
        <w:pStyle w:val="BodyText"/>
        <w:jc w:val="both"/>
      </w:pPr>
      <w:r>
        <w:t xml:space="preserve">The often cited bound of order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on residual correction updates comes from a bounded potential under a fixed distribution, target, and guaranteed update strength. It is not a lifetime bound on the number of rules in a nonstationary memory. New entities, new events, and environmental change can require continued growth or replacement.</w:t>
      </w:r>
    </w:p>
    <w:p w14:paraId="24F08B30" w14:textId="77777777" w:rsidR="00FE0FFF" w:rsidRDefault="00000000" w:rsidP="00511687">
      <w:pPr>
        <w:pStyle w:val="Heading1"/>
        <w:jc w:val="both"/>
      </w:pPr>
      <w:bookmarkStart w:id="27" w:name="Xeef2df28f44f6cbdc3c9bc88cd5ea8d0b6cf4bc"/>
      <w:bookmarkEnd w:id="26"/>
      <w:r>
        <w:t>9 Cognitive implications and discriminating predictions</w:t>
      </w:r>
    </w:p>
    <w:p w14:paraId="3B188482" w14:textId="77777777" w:rsidR="00FE0FFF" w:rsidRDefault="00000000" w:rsidP="00511687">
      <w:pPr>
        <w:pStyle w:val="FirstParagraph"/>
        <w:jc w:val="both"/>
      </w:pPr>
      <w:r>
        <w:t>The architecture is a computational hypothesis about memory use. It does not identify a key–value cache with hippocampus, a rule book with cortex, or a calibrated head with a particular neural circuit. Such mappings would require independent evidence about representation, learning dynamics, and causal intervention.</w:t>
      </w:r>
    </w:p>
    <w:p w14:paraId="36A0416C" w14:textId="77777777" w:rsidR="00FE0FFF" w:rsidRDefault="00000000" w:rsidP="00511687">
      <w:pPr>
        <w:pStyle w:val="BodyText"/>
        <w:jc w:val="both"/>
      </w:pPr>
      <w:r>
        <w:t xml:space="preserve">Complementary learning systems nevertheless supply a relevant starting point. Sun and colleagues model regulated transfer that supports generalization in partly unpredictable environments [12]. In </w:t>
      </w:r>
      <w:r>
        <w:lastRenderedPageBreak/>
        <w:t>the proposed architecture, episodes support reconstruction and later extraction, while rules capture recurring conditional structure. The additional claim is that the transfer criterion should consider what later observations make predictable. A delayed XOR task offers a simple way to distinguish marginal predictability gating from future conditional gating.</w:t>
      </w:r>
    </w:p>
    <w:p w14:paraId="3CFAB00A" w14:textId="77777777" w:rsidR="00FE0FFF" w:rsidRDefault="00000000" w:rsidP="00511687">
      <w:pPr>
        <w:pStyle w:val="BodyText"/>
        <w:jc w:val="both"/>
      </w:pPr>
      <w:r>
        <w:t>Goldsmith and colleagues show that people regulate the grain of memory reports and that this control can protect accuracy across retention intervals [20, 21]. That finding motivates the reporting policy in Section 5. A discriminating experiment measures forced fine and coarse responses at several delays, then predicts voluntary report granularity using independently estimated survival and decision costs. If people change their voluntary reports after incentives change while forced fine recall remains stable, report policy explains part of the apparent semanticization. If fine information remains unavailable despite changed incentives and cues, a reporting policy alone is insufficient; representation loss and retrieval failure remain competing explanations.</w:t>
      </w:r>
    </w:p>
    <w:p w14:paraId="7840475F" w14:textId="77777777" w:rsidR="00FE0FFF" w:rsidRDefault="00000000" w:rsidP="00511687">
      <w:pPr>
        <w:pStyle w:val="BodyText"/>
        <w:jc w:val="both"/>
      </w:pPr>
      <w:r>
        <w:t>Saxe and colleagues derive structured semantic learning dynamics in deep linear networks [22]. Their result motivates testing whether a transformer learns reliable broad distinctions before fine ones for suitably hierarchical data. It does not imply a universal coarse first developmental law. A consolidation curriculum based on such an ordering is justified only if the ordering appears in held out resolution and predictive loss, and its benefit survives comparison with schedules matched for storage and compute.</w:t>
      </w:r>
    </w:p>
    <w:p w14:paraId="54FEFC40" w14:textId="77777777" w:rsidR="00FE0FFF" w:rsidRDefault="00000000" w:rsidP="00511687">
      <w:pPr>
        <w:pStyle w:val="BodyText"/>
        <w:jc w:val="both"/>
      </w:pPr>
      <w:r>
        <w:t>Work relating language model forecasts to human brain responses provides another empirical anchor [23]. Typed event heads may improve prediction of neural responses associated with longer horizon or more abstract information. The comparison should use held out participants or stimuli, matched model resources, and causal head inputs that do not contain the future outcomes being predicted. An apparent gain obtained from supplying actual future words would test representational fit under privileged information, not online forecasting.</w:t>
      </w:r>
    </w:p>
    <w:p w14:paraId="551FFD17" w14:textId="77777777" w:rsidR="00FE0FFF" w:rsidRDefault="00000000" w:rsidP="00511687">
      <w:pPr>
        <w:pStyle w:val="BodyText"/>
        <w:jc w:val="both"/>
      </w:pPr>
      <w:r>
        <w:t>The strongest brain facing prediction concerns dissociation. The model predicts that intervention on a reporting threshold can change answer specificity without changing recoverable detail, whereas intervention on the retained episodic evidence should change recoverable detail. Separately manipulating uncertainty, reporting incentives, and access to cues provides a more discriminating test than a single correlation between model activations and brain measurements.</w:t>
      </w:r>
    </w:p>
    <w:p w14:paraId="473D2D07" w14:textId="77777777" w:rsidR="00FE0FFF" w:rsidRDefault="00000000" w:rsidP="00511687">
      <w:pPr>
        <w:pStyle w:val="Heading1"/>
        <w:jc w:val="both"/>
      </w:pPr>
      <w:bookmarkStart w:id="28" w:name="experimental-programme"/>
      <w:bookmarkEnd w:id="27"/>
      <w:r>
        <w:t>10 Experimental programme</w:t>
      </w:r>
    </w:p>
    <w:p w14:paraId="10F53EF0" w14:textId="77777777" w:rsidR="00FE0FFF" w:rsidRDefault="00000000" w:rsidP="00511687">
      <w:pPr>
        <w:pStyle w:val="Heading2"/>
        <w:jc w:val="both"/>
      </w:pPr>
      <w:bookmarkStart w:id="29" w:name="a-resource-matched-pretraining-study"/>
      <w:r>
        <w:t>A resource matched pretraining study</w:t>
      </w:r>
    </w:p>
    <w:p w14:paraId="2B7C250D" w14:textId="77777777" w:rsidR="00FE0FFF" w:rsidRDefault="00000000" w:rsidP="00511687">
      <w:pPr>
        <w:pStyle w:val="FirstParagraph"/>
        <w:jc w:val="both"/>
      </w:pPr>
      <w:r>
        <w:t>The main study should cross two factors: introducing typed heads early or late, and introducing the memory controller early or late. This yields a two by two design that separates learning the measurement interface from learning how to use persistent memory. All arms receive the same overall training compute allowance; late components must fit within that allowance. A next token baseline, a multi token prediction baseline, and a recurrent memory baseline should use the same data exposure where compatible with the compute constraint.</w:t>
      </w:r>
    </w:p>
    <w:p w14:paraId="54A62F79" w14:textId="77777777" w:rsidR="00FE0FFF" w:rsidRDefault="00000000" w:rsidP="00511687">
      <w:pPr>
        <w:pStyle w:val="BodyText"/>
        <w:jc w:val="both"/>
      </w:pPr>
      <w:r>
        <w:t xml:space="preserve">Run at least two prespecified model scales and report actual training operations, peak memory, persistent storage, and inference latency. Equal parameter count alone is insufficient. The primary comparison is a Pareto frontier over future typed log loss, language model loss, reliable answer specificity, memory occupancy, and inference cost. Calibration error is reported together with </w:t>
      </w:r>
      <w:r>
        <w:lastRenderedPageBreak/>
        <w:t>resolution and proper score; a constant base rate predictor must not appear successful solely because it is calibrated.</w:t>
      </w:r>
    </w:p>
    <w:p w14:paraId="0678274D" w14:textId="77777777" w:rsidR="00FE0FFF" w:rsidRDefault="00000000" w:rsidP="00511687">
      <w:pPr>
        <w:pStyle w:val="BodyText"/>
        <w:jc w:val="both"/>
      </w:pPr>
      <w:r>
        <w:t>The joint pretraining hypothesis fails within the tested regime if the early components provide no reproducible improvement over resource matched late components. A small model null result is informative about that regime, not proof of a universal impossibility. Conversely, a benefit at one scale does not establish a new scaling law. The scale range, data family, and minimum useful effect should be declared before comparison.</w:t>
      </w:r>
    </w:p>
    <w:p w14:paraId="4A886F7E" w14:textId="77777777" w:rsidR="00FE0FFF" w:rsidRDefault="00000000" w:rsidP="00511687">
      <w:pPr>
        <w:pStyle w:val="Heading2"/>
        <w:jc w:val="both"/>
      </w:pPr>
      <w:bookmarkStart w:id="30" w:name="mechanism-tests"/>
      <w:bookmarkEnd w:id="29"/>
      <w:r>
        <w:t>Mechanism tests</w:t>
      </w:r>
    </w:p>
    <w:p w14:paraId="6F2A094A" w14:textId="77777777" w:rsidR="00FE0FFF" w:rsidRDefault="00000000" w:rsidP="00511687">
      <w:pPr>
        <w:pStyle w:val="TableCaption"/>
        <w:keepNext/>
        <w:jc w:val="both"/>
      </w:pPr>
      <w:r>
        <w:t>Table 3. Experiments that can reject the proposed mechanisms</w:t>
      </w:r>
    </w:p>
    <w:tbl>
      <w:tblPr>
        <w:tblStyle w:val="TableGrid"/>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71"/>
        <w:gridCol w:w="3413"/>
        <w:gridCol w:w="4464"/>
      </w:tblGrid>
      <w:tr w:rsidR="00FE0FFF" w14:paraId="3F561691" w14:textId="77777777">
        <w:trPr>
          <w:cantSplit/>
          <w:tblHeader/>
          <w:jc w:val="center"/>
        </w:trPr>
        <w:tc>
          <w:tcPr>
            <w:tcW w:w="1771" w:type="dxa"/>
            <w:shd w:val="clear" w:color="auto" w:fill="E7EDF1"/>
            <w:vAlign w:val="center"/>
          </w:tcPr>
          <w:p w14:paraId="3AB357E4" w14:textId="77777777" w:rsidR="00FE0FFF" w:rsidRDefault="00000000" w:rsidP="00511687">
            <w:pPr>
              <w:spacing w:before="40" w:after="40" w:line="242" w:lineRule="auto"/>
              <w:jc w:val="both"/>
            </w:pPr>
            <w:r>
              <w:rPr>
                <w:b/>
                <w:sz w:val="21"/>
              </w:rPr>
              <w:t>Mechanism</w:t>
            </w:r>
          </w:p>
        </w:tc>
        <w:tc>
          <w:tcPr>
            <w:tcW w:w="3413" w:type="dxa"/>
            <w:shd w:val="clear" w:color="auto" w:fill="E7EDF1"/>
            <w:vAlign w:val="center"/>
          </w:tcPr>
          <w:p w14:paraId="0D3F90FC" w14:textId="77777777" w:rsidR="00FE0FFF" w:rsidRDefault="00000000" w:rsidP="00511687">
            <w:pPr>
              <w:spacing w:before="40" w:after="40" w:line="242" w:lineRule="auto"/>
              <w:jc w:val="both"/>
            </w:pPr>
            <w:r>
              <w:rPr>
                <w:b/>
                <w:sz w:val="21"/>
              </w:rPr>
              <w:t>Controlled comparison</w:t>
            </w:r>
          </w:p>
        </w:tc>
        <w:tc>
          <w:tcPr>
            <w:tcW w:w="4464" w:type="dxa"/>
            <w:shd w:val="clear" w:color="auto" w:fill="E7EDF1"/>
            <w:vAlign w:val="center"/>
          </w:tcPr>
          <w:p w14:paraId="5AA9CE24" w14:textId="77777777" w:rsidR="00FE0FFF" w:rsidRDefault="00000000" w:rsidP="00511687">
            <w:pPr>
              <w:spacing w:before="40" w:after="40" w:line="242" w:lineRule="auto"/>
              <w:jc w:val="both"/>
            </w:pPr>
            <w:r>
              <w:rPr>
                <w:b/>
                <w:sz w:val="21"/>
              </w:rPr>
              <w:t>Primary endpoint and adverse result</w:t>
            </w:r>
          </w:p>
        </w:tc>
      </w:tr>
      <w:tr w:rsidR="00FE0FFF" w14:paraId="24B871AC" w14:textId="77777777">
        <w:trPr>
          <w:cantSplit/>
          <w:jc w:val="center"/>
        </w:trPr>
        <w:tc>
          <w:tcPr>
            <w:tcW w:w="1771" w:type="dxa"/>
            <w:shd w:val="clear" w:color="auto" w:fill="FFFFFF"/>
            <w:vAlign w:val="center"/>
          </w:tcPr>
          <w:p w14:paraId="64AC8A32" w14:textId="77777777" w:rsidR="00FE0FFF" w:rsidRDefault="00000000" w:rsidP="00511687">
            <w:pPr>
              <w:spacing w:before="40" w:after="40" w:line="242" w:lineRule="auto"/>
              <w:jc w:val="both"/>
            </w:pPr>
            <w:r>
              <w:rPr>
                <w:sz w:val="21"/>
              </w:rPr>
              <w:t>Future conditional pricing</w:t>
            </w:r>
          </w:p>
        </w:tc>
        <w:tc>
          <w:tcPr>
            <w:tcW w:w="3413" w:type="dxa"/>
            <w:shd w:val="clear" w:color="auto" w:fill="FFFFFF"/>
            <w:vAlign w:val="center"/>
          </w:tcPr>
          <w:p w14:paraId="4A3E91FB" w14:textId="77777777" w:rsidR="00FE0FFF" w:rsidRDefault="00000000" w:rsidP="00511687">
            <w:pPr>
              <w:spacing w:before="40" w:after="40" w:line="242" w:lineRule="auto"/>
              <w:jc w:val="both"/>
            </w:pPr>
            <w:r>
              <w:rPr>
                <w:sz w:val="21"/>
              </w:rPr>
              <w:t>Marginal price versus future context price on delayed XOR and compositional streams</w:t>
            </w:r>
          </w:p>
        </w:tc>
        <w:tc>
          <w:tcPr>
            <w:tcW w:w="4464" w:type="dxa"/>
            <w:shd w:val="clear" w:color="auto" w:fill="FFFFFF"/>
            <w:vAlign w:val="center"/>
          </w:tcPr>
          <w:p w14:paraId="5D7320A6" w14:textId="77777777" w:rsidR="00FE0FFF" w:rsidRDefault="00000000" w:rsidP="00511687">
            <w:pPr>
              <w:spacing w:before="40" w:after="40" w:line="242" w:lineRule="auto"/>
              <w:jc w:val="both"/>
            </w:pPr>
            <w:r>
              <w:rPr>
                <w:sz w:val="21"/>
              </w:rPr>
              <w:t>Realized excess loss after eviction; failure if the proposed price does not improve retention of useful information</w:t>
            </w:r>
          </w:p>
        </w:tc>
      </w:tr>
      <w:tr w:rsidR="00FE0FFF" w14:paraId="3782F3C6" w14:textId="77777777">
        <w:trPr>
          <w:cantSplit/>
          <w:jc w:val="center"/>
        </w:trPr>
        <w:tc>
          <w:tcPr>
            <w:tcW w:w="1771" w:type="dxa"/>
            <w:shd w:val="clear" w:color="auto" w:fill="FFFFFF"/>
            <w:vAlign w:val="center"/>
          </w:tcPr>
          <w:p w14:paraId="52EDA681" w14:textId="77777777" w:rsidR="00FE0FFF" w:rsidRDefault="00000000" w:rsidP="00511687">
            <w:pPr>
              <w:spacing w:before="40" w:after="40" w:line="242" w:lineRule="auto"/>
              <w:jc w:val="both"/>
            </w:pPr>
            <w:r>
              <w:rPr>
                <w:sz w:val="21"/>
              </w:rPr>
              <w:t>Hierarchical reporting</w:t>
            </w:r>
          </w:p>
        </w:tc>
        <w:tc>
          <w:tcPr>
            <w:tcW w:w="3413" w:type="dxa"/>
            <w:shd w:val="clear" w:color="auto" w:fill="FFFFFF"/>
            <w:vAlign w:val="center"/>
          </w:tcPr>
          <w:p w14:paraId="02198699" w14:textId="77777777" w:rsidR="00FE0FFF" w:rsidRDefault="00000000" w:rsidP="00511687">
            <w:pPr>
              <w:spacing w:before="40" w:after="40" w:line="242" w:lineRule="auto"/>
              <w:jc w:val="both"/>
            </w:pPr>
            <w:r>
              <w:rPr>
                <w:sz w:val="21"/>
              </w:rPr>
              <w:t>Full vector or policy calibration versus independent node calibration</w:t>
            </w:r>
          </w:p>
        </w:tc>
        <w:tc>
          <w:tcPr>
            <w:tcW w:w="4464" w:type="dxa"/>
            <w:shd w:val="clear" w:color="auto" w:fill="FFFFFF"/>
            <w:vAlign w:val="center"/>
          </w:tcPr>
          <w:p w14:paraId="284D45FE" w14:textId="77777777" w:rsidR="00FE0FFF" w:rsidRDefault="00000000" w:rsidP="00511687">
            <w:pPr>
              <w:spacing w:before="40" w:after="40" w:line="242" w:lineRule="auto"/>
              <w:jc w:val="both"/>
            </w:pPr>
            <w:r>
              <w:rPr>
                <w:sz w:val="21"/>
              </w:rPr>
              <w:t>Selective error and specificity; failure if the deployed policy exceeds its validated error target</w:t>
            </w:r>
          </w:p>
        </w:tc>
      </w:tr>
      <w:tr w:rsidR="00FE0FFF" w14:paraId="3A5DB876" w14:textId="77777777">
        <w:trPr>
          <w:cantSplit/>
          <w:jc w:val="center"/>
        </w:trPr>
        <w:tc>
          <w:tcPr>
            <w:tcW w:w="1771" w:type="dxa"/>
            <w:shd w:val="clear" w:color="auto" w:fill="FFFFFF"/>
            <w:vAlign w:val="center"/>
          </w:tcPr>
          <w:p w14:paraId="35CEBCE3" w14:textId="77777777" w:rsidR="00FE0FFF" w:rsidRDefault="00000000" w:rsidP="00511687">
            <w:pPr>
              <w:spacing w:before="40" w:after="40" w:line="242" w:lineRule="auto"/>
              <w:jc w:val="both"/>
            </w:pPr>
            <w:r>
              <w:rPr>
                <w:sz w:val="21"/>
              </w:rPr>
              <w:t>Staleness model</w:t>
            </w:r>
          </w:p>
        </w:tc>
        <w:tc>
          <w:tcPr>
            <w:tcW w:w="3413" w:type="dxa"/>
            <w:shd w:val="clear" w:color="auto" w:fill="FFFFFF"/>
            <w:vAlign w:val="center"/>
          </w:tcPr>
          <w:p w14:paraId="57310EA7" w14:textId="77777777" w:rsidR="00FE0FFF" w:rsidRDefault="00000000" w:rsidP="00511687">
            <w:pPr>
              <w:spacing w:before="40" w:after="40" w:line="242" w:lineRule="auto"/>
              <w:jc w:val="both"/>
            </w:pPr>
            <w:r>
              <w:rPr>
                <w:sz w:val="21"/>
              </w:rPr>
              <w:t>Known hazard simulation, then estimated hazards under change</w:t>
            </w:r>
          </w:p>
        </w:tc>
        <w:tc>
          <w:tcPr>
            <w:tcW w:w="4464" w:type="dxa"/>
            <w:shd w:val="clear" w:color="auto" w:fill="FFFFFF"/>
            <w:vAlign w:val="center"/>
          </w:tcPr>
          <w:p w14:paraId="100C13BB" w14:textId="77777777" w:rsidR="00FE0FFF" w:rsidRDefault="00000000" w:rsidP="00511687">
            <w:pPr>
              <w:spacing w:before="40" w:after="40" w:line="242" w:lineRule="auto"/>
              <w:jc w:val="both"/>
            </w:pPr>
            <w:r>
              <w:rPr>
                <w:sz w:val="21"/>
              </w:rPr>
              <w:t>Coverage by age and node; failure if survival bounds systematically overstate current validity</w:t>
            </w:r>
          </w:p>
        </w:tc>
      </w:tr>
      <w:tr w:rsidR="00FE0FFF" w14:paraId="5B9C90DE" w14:textId="77777777">
        <w:trPr>
          <w:cantSplit/>
          <w:jc w:val="center"/>
        </w:trPr>
        <w:tc>
          <w:tcPr>
            <w:tcW w:w="1771" w:type="dxa"/>
            <w:shd w:val="clear" w:color="auto" w:fill="FFFFFF"/>
            <w:vAlign w:val="center"/>
          </w:tcPr>
          <w:p w14:paraId="387A644E" w14:textId="77777777" w:rsidR="00FE0FFF" w:rsidRDefault="00000000" w:rsidP="00511687">
            <w:pPr>
              <w:spacing w:before="40" w:after="40" w:line="242" w:lineRule="auto"/>
              <w:jc w:val="both"/>
            </w:pPr>
            <w:r>
              <w:rPr>
                <w:sz w:val="21"/>
              </w:rPr>
              <w:t>Hierarchical audit</w:t>
            </w:r>
          </w:p>
        </w:tc>
        <w:tc>
          <w:tcPr>
            <w:tcW w:w="3413" w:type="dxa"/>
            <w:shd w:val="clear" w:color="auto" w:fill="FFFFFF"/>
            <w:vAlign w:val="center"/>
          </w:tcPr>
          <w:p w14:paraId="4A66CB38" w14:textId="77777777" w:rsidR="00FE0FFF" w:rsidRDefault="00000000" w:rsidP="00511687">
            <w:pPr>
              <w:spacing w:before="40" w:after="40" w:line="242" w:lineRule="auto"/>
              <w:jc w:val="both"/>
            </w:pPr>
            <w:r>
              <w:rPr>
                <w:sz w:val="21"/>
              </w:rPr>
              <w:t>Signed parent descent versus energy bounds or randomized fine tests</w:t>
            </w:r>
          </w:p>
        </w:tc>
        <w:tc>
          <w:tcPr>
            <w:tcW w:w="4464" w:type="dxa"/>
            <w:shd w:val="clear" w:color="auto" w:fill="FFFFFF"/>
            <w:vAlign w:val="center"/>
          </w:tcPr>
          <w:p w14:paraId="648EF6BD" w14:textId="77777777" w:rsidR="00FE0FFF" w:rsidRDefault="00000000" w:rsidP="00511687">
            <w:pPr>
              <w:spacing w:before="40" w:after="40" w:line="242" w:lineRule="auto"/>
              <w:jc w:val="both"/>
            </w:pPr>
            <w:r>
              <w:rPr>
                <w:sz w:val="21"/>
              </w:rPr>
              <w:t>Detection of opposite signed child errors; failure if the proposed audit misses planted violations at its stated power</w:t>
            </w:r>
          </w:p>
        </w:tc>
      </w:tr>
      <w:tr w:rsidR="00FE0FFF" w14:paraId="2A426390" w14:textId="77777777">
        <w:trPr>
          <w:cantSplit/>
          <w:jc w:val="center"/>
        </w:trPr>
        <w:tc>
          <w:tcPr>
            <w:tcW w:w="1771" w:type="dxa"/>
            <w:shd w:val="clear" w:color="auto" w:fill="FFFFFF"/>
            <w:vAlign w:val="center"/>
          </w:tcPr>
          <w:p w14:paraId="206E772E" w14:textId="77777777" w:rsidR="00FE0FFF" w:rsidRDefault="00000000" w:rsidP="00511687">
            <w:pPr>
              <w:spacing w:before="40" w:after="40" w:line="242" w:lineRule="auto"/>
              <w:jc w:val="both"/>
            </w:pPr>
            <w:r>
              <w:rPr>
                <w:sz w:val="21"/>
              </w:rPr>
              <w:t>Semantic anchoring</w:t>
            </w:r>
          </w:p>
        </w:tc>
        <w:tc>
          <w:tcPr>
            <w:tcW w:w="3413" w:type="dxa"/>
            <w:shd w:val="clear" w:color="auto" w:fill="FFFFFF"/>
            <w:vAlign w:val="center"/>
          </w:tcPr>
          <w:p w14:paraId="48DEF414" w14:textId="77777777" w:rsidR="00FE0FFF" w:rsidRDefault="00000000" w:rsidP="00511687">
            <w:pPr>
              <w:spacing w:before="40" w:after="40" w:line="242" w:lineRule="auto"/>
              <w:jc w:val="both"/>
            </w:pPr>
            <w:r>
              <w:rPr>
                <w:sz w:val="21"/>
              </w:rPr>
              <w:t>Typed records versus raw cache prototypes under further training</w:t>
            </w:r>
          </w:p>
        </w:tc>
        <w:tc>
          <w:tcPr>
            <w:tcW w:w="4464" w:type="dxa"/>
            <w:shd w:val="clear" w:color="auto" w:fill="FFFFFF"/>
            <w:vAlign w:val="center"/>
          </w:tcPr>
          <w:p w14:paraId="2C469156" w14:textId="77777777" w:rsidR="00FE0FFF" w:rsidRDefault="00000000" w:rsidP="00511687">
            <w:pPr>
              <w:spacing w:before="40" w:after="40" w:line="242" w:lineRule="auto"/>
              <w:jc w:val="both"/>
            </w:pPr>
            <w:r>
              <w:rPr>
                <w:sz w:val="21"/>
              </w:rPr>
              <w:t>Own event and cross event loss by extractor version; failure if typed storage offers no robustness benefit</w:t>
            </w:r>
          </w:p>
        </w:tc>
      </w:tr>
      <w:tr w:rsidR="00FE0FFF" w14:paraId="5DB22BBD" w14:textId="77777777">
        <w:trPr>
          <w:cantSplit/>
          <w:jc w:val="center"/>
        </w:trPr>
        <w:tc>
          <w:tcPr>
            <w:tcW w:w="1771" w:type="dxa"/>
            <w:shd w:val="clear" w:color="auto" w:fill="FFFFFF"/>
            <w:vAlign w:val="center"/>
          </w:tcPr>
          <w:p w14:paraId="4FF2648D" w14:textId="77777777" w:rsidR="00FE0FFF" w:rsidRDefault="00000000" w:rsidP="00511687">
            <w:pPr>
              <w:spacing w:before="40" w:after="40" w:line="242" w:lineRule="auto"/>
              <w:jc w:val="both"/>
            </w:pPr>
            <w:r>
              <w:rPr>
                <w:sz w:val="21"/>
              </w:rPr>
              <w:t>Reservoir scheduling</w:t>
            </w:r>
          </w:p>
        </w:tc>
        <w:tc>
          <w:tcPr>
            <w:tcW w:w="3413" w:type="dxa"/>
            <w:shd w:val="clear" w:color="auto" w:fill="FFFFFF"/>
            <w:vAlign w:val="center"/>
          </w:tcPr>
          <w:p w14:paraId="21085BE0" w14:textId="77777777" w:rsidR="00FE0FFF" w:rsidRDefault="00000000" w:rsidP="00511687">
            <w:pPr>
              <w:spacing w:before="40" w:after="40" w:line="242" w:lineRule="auto"/>
              <w:jc w:val="both"/>
            </w:pPr>
            <w:r>
              <w:rPr>
                <w:sz w:val="21"/>
              </w:rPr>
              <w:t>Front loaded, constant, and adaptive evidence at equal integrated bytes</w:t>
            </w:r>
          </w:p>
        </w:tc>
        <w:tc>
          <w:tcPr>
            <w:tcW w:w="4464" w:type="dxa"/>
            <w:shd w:val="clear" w:color="auto" w:fill="FFFFFF"/>
            <w:vAlign w:val="center"/>
          </w:tcPr>
          <w:p w14:paraId="58B9745E" w14:textId="77777777" w:rsidR="00FE0FFF" w:rsidRDefault="00000000" w:rsidP="00511687">
            <w:pPr>
              <w:spacing w:before="40" w:after="40" w:line="242" w:lineRule="auto"/>
              <w:jc w:val="both"/>
            </w:pPr>
            <w:r>
              <w:rPr>
                <w:sz w:val="21"/>
              </w:rPr>
              <w:t>Late training recall and new question performance; failure if front loading offers no advantage</w:t>
            </w:r>
          </w:p>
        </w:tc>
      </w:tr>
      <w:tr w:rsidR="00FE0FFF" w14:paraId="300C1B39" w14:textId="77777777">
        <w:trPr>
          <w:cantSplit/>
          <w:jc w:val="center"/>
        </w:trPr>
        <w:tc>
          <w:tcPr>
            <w:tcW w:w="1771" w:type="dxa"/>
            <w:shd w:val="clear" w:color="auto" w:fill="FFFFFF"/>
            <w:vAlign w:val="center"/>
          </w:tcPr>
          <w:p w14:paraId="1744D997" w14:textId="77777777" w:rsidR="00FE0FFF" w:rsidRDefault="00000000" w:rsidP="00511687">
            <w:pPr>
              <w:spacing w:before="40" w:after="40" w:line="242" w:lineRule="auto"/>
              <w:jc w:val="both"/>
            </w:pPr>
            <w:r>
              <w:rPr>
                <w:sz w:val="21"/>
              </w:rPr>
              <w:t>Rule transfer</w:t>
            </w:r>
          </w:p>
        </w:tc>
        <w:tc>
          <w:tcPr>
            <w:tcW w:w="3413" w:type="dxa"/>
            <w:shd w:val="clear" w:color="auto" w:fill="FFFFFF"/>
            <w:vAlign w:val="center"/>
          </w:tcPr>
          <w:p w14:paraId="475C26DC" w14:textId="77777777" w:rsidR="00FE0FFF" w:rsidRDefault="00000000" w:rsidP="00511687">
            <w:pPr>
              <w:spacing w:before="40" w:after="40" w:line="242" w:lineRule="auto"/>
              <w:jc w:val="both"/>
            </w:pPr>
            <w:r>
              <w:rPr>
                <w:sz w:val="21"/>
              </w:rPr>
              <w:t>Stable conditional mechanism with shifted input frequencies</w:t>
            </w:r>
          </w:p>
        </w:tc>
        <w:tc>
          <w:tcPr>
            <w:tcW w:w="4464" w:type="dxa"/>
            <w:shd w:val="clear" w:color="auto" w:fill="FFFFFF"/>
            <w:vAlign w:val="center"/>
          </w:tcPr>
          <w:p w14:paraId="354B97D2" w14:textId="77777777" w:rsidR="00FE0FFF" w:rsidRDefault="00000000" w:rsidP="00511687">
            <w:pPr>
              <w:spacing w:before="40" w:after="40" w:line="242" w:lineRule="auto"/>
              <w:jc w:val="both"/>
            </w:pPr>
            <w:r>
              <w:rPr>
                <w:sz w:val="21"/>
              </w:rPr>
              <w:t>Out of distribution loss and subgroup reliability; failure if purportedly transferable rules require comparable refitting to tallies</w:t>
            </w:r>
          </w:p>
        </w:tc>
      </w:tr>
    </w:tbl>
    <w:p w14:paraId="5B7D1B91" w14:textId="77777777" w:rsidR="00FE0FFF" w:rsidRDefault="00000000" w:rsidP="00511687">
      <w:pPr>
        <w:pStyle w:val="BodyText"/>
        <w:spacing w:before="160"/>
        <w:jc w:val="both"/>
      </w:pPr>
      <w:r>
        <w:t>These tests should be staged. First use small distributions with exact Bayes predictors and known entity states. Then use synthetic event streams whose causal structure and hidden updates are controlled. Only after those mechanisms work should the study rely on natural language streams, where extraction errors and unverifiable outcomes can obscure the source of failure.</w:t>
      </w:r>
    </w:p>
    <w:p w14:paraId="69977CEA" w14:textId="77777777" w:rsidR="00FE0FFF" w:rsidRDefault="00000000" w:rsidP="00511687">
      <w:pPr>
        <w:pStyle w:val="BodyText"/>
        <w:jc w:val="both"/>
      </w:pPr>
      <w:r>
        <w:t>Minimum support is reported in distinct episodes or justified effective information units. Confidence intervals should respect the dependence structure, with episode or trajectory level resampling where appropriate and explicit sequential procedures when making online guarantees. Auditors must be assessed with planted interactions of varying frequency, strength, and order. Such detection curves measure empirical power on those alternatives; they do not certify arbitrary unseen functions.</w:t>
      </w:r>
    </w:p>
    <w:p w14:paraId="73A004C8" w14:textId="77777777" w:rsidR="00FE0FFF" w:rsidRDefault="00000000" w:rsidP="00511687">
      <w:pPr>
        <w:pStyle w:val="Heading2"/>
        <w:jc w:val="both"/>
      </w:pPr>
      <w:bookmarkStart w:id="31" w:name="a-construction-information-benchmark"/>
      <w:bookmarkEnd w:id="30"/>
      <w:r>
        <w:lastRenderedPageBreak/>
        <w:t>A construction information benchmark</w:t>
      </w:r>
    </w:p>
    <w:p w14:paraId="5CE45C73" w14:textId="77777777" w:rsidR="00FE0FFF" w:rsidRDefault="00000000" w:rsidP="00511687">
      <w:pPr>
        <w:pStyle w:val="FirstParagraph"/>
        <w:jc w:val="both"/>
      </w:pPr>
      <w:r>
        <w:t>A useful domain benchmark is a stream of drawing revisions, equipment substitutions, review decisions, and interface dependencies. Each event has an immutable identifier, timestamp, entity binding, and source. Questions arrive after long delays and may combine information that was uninformative in isolation. For example, a later equipment selection can determine which of two earlier design constraints governs a pending action.</w:t>
      </w:r>
    </w:p>
    <w:p w14:paraId="3FBB81EB" w14:textId="77777777" w:rsidR="00FE0FFF" w:rsidRDefault="00000000" w:rsidP="00511687">
      <w:pPr>
        <w:pStyle w:val="BodyText"/>
        <w:jc w:val="both"/>
      </w:pPr>
      <w:r>
        <w:t>The rule book captures recurring transition patterns, the state store retains the latest known entity state, and the evidence reservoir preserves the source of an exception. The answer hierarchy should partition explicit categorical outcomes, such as workflow status families and their subtypes. It should not impose an unjustified tree on naturally overlapping disciplines, responsibilities, or constraints. Overlapping relations require explicit joint semantics or a separate constraint layer.</w:t>
      </w:r>
    </w:p>
    <w:p w14:paraId="1773DB8E" w14:textId="77777777" w:rsidR="00FE0FFF" w:rsidRDefault="00000000" w:rsidP="00511687">
      <w:pPr>
        <w:pStyle w:val="BodyText"/>
        <w:jc w:val="both"/>
      </w:pPr>
      <w:r>
        <w:t>Hold out projects, entity identities, rule combinations, and time regimes separately. Include adversarially long gaps, conflicting revisions, missing observations, and ontology changes. Report retrieval accuracy, entity binding errors, stale state errors, and rule generalization alongside end to end answer quality. A statistical forecast of release status is distinct from an authoritative release record; the benchmark must keep those target types separate.</w:t>
      </w:r>
    </w:p>
    <w:p w14:paraId="52BA9F7E" w14:textId="77777777" w:rsidR="00FE0FFF" w:rsidRDefault="00000000" w:rsidP="00511687">
      <w:pPr>
        <w:pStyle w:val="Heading2"/>
        <w:jc w:val="both"/>
      </w:pPr>
      <w:bookmarkStart w:id="32" w:name="resource-and-baseline-accounting"/>
      <w:bookmarkEnd w:id="31"/>
      <w:r>
        <w:t>Resource and baseline accounting</w:t>
      </w:r>
    </w:p>
    <w:p w14:paraId="5C85747F" w14:textId="77777777" w:rsidR="00FE0FFF" w:rsidRDefault="00000000" w:rsidP="00511687">
      <w:pPr>
        <w:pStyle w:val="FirstParagraph"/>
        <w:jc w:val="both"/>
      </w:pPr>
      <w:r>
        <w:t>Count the entire operational memory: rule parameters and structure, entity bindings, state values, episodic bytes, retrieval indexes, provenance, calibration patches, and uncertainty statistics. Count sampling used by the slow path, shadow evaluations, grounding, and audit search. Report mean and tail latency as well as total computation. An inexpensive head may still depend on an expensive retrieval or grounding operation.</w:t>
      </w:r>
    </w:p>
    <w:p w14:paraId="06D3102B" w14:textId="77777777" w:rsidR="00FE0FFF" w:rsidRDefault="00000000" w:rsidP="00511687">
      <w:pPr>
        <w:pStyle w:val="BodyText"/>
        <w:jc w:val="both"/>
      </w:pPr>
      <w:r>
        <w:t>Baselines should include a longer active context at matched resources, retrieval of source episodes without consolidation, learned recurrent memory, flat typed memory, and hierarchical typed memory. Context tree weighting is included for the discrete suffix subset of the benchmark. An oracle retaining the full relevant state gives a task specific upper reference, while random eviction at the same budget reveals whether the controller adds value.</w:t>
      </w:r>
    </w:p>
    <w:p w14:paraId="6A2007E7" w14:textId="77777777" w:rsidR="00FE0FFF" w:rsidRDefault="00000000" w:rsidP="00511687">
      <w:pPr>
        <w:pStyle w:val="BodyText"/>
        <w:jc w:val="both"/>
      </w:pPr>
      <w:r>
        <w:t>An increase in memory ablated perplexity is a diagnostic of dependence on external memory, not automatically a failure. Offloading can be beneficial. The relevant tests are performance under the intended memory regime, resilience to specified retrieval faults, and whether the complete system improves the resource frontier. The paper’s core hypothesis is rejected if the integrated architecture only moves costs into hidden storage, audit, or slow path computation.</w:t>
      </w:r>
    </w:p>
    <w:p w14:paraId="69DC114A" w14:textId="77777777" w:rsidR="00FE0FFF" w:rsidRDefault="00000000" w:rsidP="00511687">
      <w:pPr>
        <w:pStyle w:val="Heading1"/>
        <w:jc w:val="both"/>
      </w:pPr>
      <w:bookmarkStart w:id="33" w:name="limitations-and-research-commitments"/>
      <w:bookmarkEnd w:id="28"/>
      <w:bookmarkEnd w:id="32"/>
      <w:r>
        <w:t>11 Limitations and research commitments</w:t>
      </w:r>
    </w:p>
    <w:p w14:paraId="3A90450F" w14:textId="77777777" w:rsidR="00FE0FFF" w:rsidRDefault="00000000" w:rsidP="00511687">
      <w:pPr>
        <w:pStyle w:val="FirstParagraph"/>
        <w:jc w:val="both"/>
      </w:pPr>
      <w:r>
        <w:t>The framework requires a declared set of questions and event semantics. A rule book cannot promise reliable answers to every future question, and a question conditioned neural interface does not remove that limitation. Expansion to new questions requires retained evidence, shared world structure, or new data. The reservoir is therefore part of the method rather than an optional exception to consolidation.</w:t>
      </w:r>
    </w:p>
    <w:p w14:paraId="4BB62FFB" w14:textId="77777777" w:rsidR="00FE0FFF" w:rsidRDefault="00000000" w:rsidP="00511687">
      <w:pPr>
        <w:pStyle w:val="BodyText"/>
        <w:jc w:val="both"/>
      </w:pPr>
      <w:r>
        <w:t xml:space="preserve">Full vector calibration with all deployment metadata is a demanding population property, particularly for large answer spaces. Finite calibration sets support weaker guarantees with explicit uncertainty and group coverage limits. Similarly, a coherent generative joint can be wrong; </w:t>
      </w:r>
      <w:r>
        <w:lastRenderedPageBreak/>
        <w:t>consistency of its heads cannot replace tests against outcomes. Nonstationarity requires revalidation, and observations censored by the model’s own actions can prevent direct estimation of the desired quantities.</w:t>
      </w:r>
    </w:p>
    <w:p w14:paraId="275BA0BA" w14:textId="77777777" w:rsidR="00FE0FFF" w:rsidRDefault="00000000" w:rsidP="00511687">
      <w:pPr>
        <w:pStyle w:val="BodyText"/>
        <w:jc w:val="both"/>
      </w:pPr>
      <w:r>
        <w:t>The proposed hierarchy can also be poor. If confusion crosses its branches, reliable predictions retreat to the root. Leaf count based specificity is only a descriptive score, and learned hierarchies can make that score misleading if compared without fixed semantics. A successful implementation must demonstrate useful distinctions under the same downstream decision loss, not merely deeper node labels.</w:t>
      </w:r>
    </w:p>
    <w:p w14:paraId="0131D2AC" w14:textId="77777777" w:rsidR="00FE0FFF" w:rsidRDefault="00000000" w:rsidP="00511687">
      <w:pPr>
        <w:pStyle w:val="BodyText"/>
        <w:jc w:val="both"/>
      </w:pPr>
      <w:r>
        <w:t>Three commitments keep the proposal empirically substantive. The initial implementation will use future conditional rather than solely marginal eviction pricing. It will compare early and late training of both heads and memory control within a fixed resource envelope. It will report the reliability of the actual recall and reporting policy, including entity, age, and selection effects. Failure on any of these tests narrows or rejects the associated architectural claim.</w:t>
      </w:r>
    </w:p>
    <w:p w14:paraId="6F6BAE74" w14:textId="77777777" w:rsidR="00FE0FFF" w:rsidRDefault="00000000" w:rsidP="00511687">
      <w:pPr>
        <w:pStyle w:val="Heading1"/>
        <w:jc w:val="both"/>
      </w:pPr>
      <w:bookmarkStart w:id="34" w:name="conclusion"/>
      <w:bookmarkEnd w:id="33"/>
      <w:r>
        <w:t>12 Conclusion</w:t>
      </w:r>
    </w:p>
    <w:p w14:paraId="11108B29" w14:textId="77777777" w:rsidR="00FE0FFF" w:rsidRDefault="00000000" w:rsidP="00511687">
      <w:pPr>
        <w:pStyle w:val="FirstParagraph"/>
        <w:jc w:val="both"/>
      </w:pPr>
      <w:r>
        <w:t>Hierarchical predictive consolidation treats memory as an executable interface between past experience and future decisions. GPT style generation supplies flexible modelling and a slow route for difficult questions. Calibrated typed heads supply fast predictions and measurable semantics. Rules, entity state, and episodic evidence preserve different kinds of information, while a declared hierarchy controls the specificity of what the system reports.</w:t>
      </w:r>
    </w:p>
    <w:p w14:paraId="42B75C04" w14:textId="77777777" w:rsidR="00FE0FFF" w:rsidRDefault="00000000" w:rsidP="00511687">
      <w:pPr>
        <w:pStyle w:val="BodyText"/>
        <w:jc w:val="both"/>
      </w:pPr>
      <w:r>
        <w:t>The decisive requirement is future contextual sufficiency. Information that appears useless when written may become essential after another observation arrives. Pricing, training, and evaluation must represent that possibility. Hierarchical coherence, calibration after selection, and controlled auditing then determine whether the resulting memory can support reliable economical recall. The prospect of a stronger AI architecture and a useful model of human memory rests on those experiments, rather than on the analogy alone.</w:t>
      </w:r>
    </w:p>
    <w:p w14:paraId="0F51E12B" w14:textId="77777777" w:rsidR="00FE0FFF" w:rsidRDefault="00000000" w:rsidP="00511687">
      <w:pPr>
        <w:pStyle w:val="Heading1"/>
        <w:pageBreakBefore/>
        <w:jc w:val="both"/>
      </w:pPr>
      <w:bookmarkStart w:id="35" w:name="appendix-a-proof-details"/>
      <w:bookmarkEnd w:id="34"/>
      <w:r>
        <w:lastRenderedPageBreak/>
        <w:t>Appendix A Proof details</w:t>
      </w:r>
    </w:p>
    <w:p w14:paraId="5337EEAF" w14:textId="77777777" w:rsidR="00FE0FFF" w:rsidRDefault="00000000" w:rsidP="00511687">
      <w:pPr>
        <w:pStyle w:val="Heading2"/>
        <w:jc w:val="both"/>
      </w:pPr>
      <w:bookmarkStart w:id="36" w:name="a1-future-conditional-loss"/>
      <w:r>
        <w:t>A1 Future conditional loss</w:t>
      </w:r>
    </w:p>
    <w:p w14:paraId="23CC9507" w14:textId="77777777" w:rsidR="00FE0FFF" w:rsidRDefault="00000000" w:rsidP="00511687">
      <w:pPr>
        <w:pStyle w:val="FirstParagraph"/>
        <w:jc w:val="both"/>
      </w:pPr>
      <w:r>
        <w:t xml:space="preserve">For any decoder, conditional cross entropy is conditional entropy plus expected KL divergence. Apply this with conditioning variables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Since </w:t>
      </w:r>
      <m:oMath>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adding </w:t>
      </w:r>
      <m:oMath>
        <m:r>
          <w:rPr>
            <w:rFonts w:ascii="Cambria Math" w:hAnsi="Cambria Math"/>
          </w:rPr>
          <m:t>M</m:t>
        </m:r>
      </m:oMath>
      <w:r>
        <w:t xml:space="preserve"> to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changes no conditional entropy. The entropy difference is therefore </w:t>
      </w:r>
      <m:oMath>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proving Equation 2. In the XOR example, </w:t>
      </w:r>
      <m:oMath>
        <m:r>
          <w:rPr>
            <w:rFonts w:ascii="Cambria Math" w:hAnsi="Cambria Math"/>
          </w:rPr>
          <m:t>Y</m:t>
        </m:r>
      </m:oMath>
      <w:r>
        <w:t xml:space="preserve"> is uniform conditional on </w:t>
      </w:r>
      <m:oMath>
        <m:r>
          <w:rPr>
            <w:rFonts w:ascii="Cambria Math" w:hAnsi="Cambria Math"/>
          </w:rPr>
          <m:t>U</m:t>
        </m:r>
      </m:oMath>
      <w:r>
        <w:t xml:space="preserve"> and is uniform conditional on </w:t>
      </w:r>
      <m:oMath>
        <m:r>
          <w:rPr>
            <w:rFonts w:ascii="Cambria Math" w:hAnsi="Cambria Math"/>
          </w:rPr>
          <m:t>V</m:t>
        </m:r>
      </m:oMath>
      <w:r>
        <w:t xml:space="preserve">, but its entropy conditional on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is </w:t>
      </w:r>
      <m:oMath>
        <m:r>
          <w:rPr>
            <w:rFonts w:ascii="Cambria Math" w:hAnsi="Cambria Math"/>
          </w:rPr>
          <m:t>h</m:t>
        </m:r>
        <m:r>
          <m:rPr>
            <m:sty m:val="p"/>
          </m:rPr>
          <w:rPr>
            <w:rFonts w:ascii="Cambria Math" w:hAnsi="Cambria Math"/>
          </w:rPr>
          <m:t>(</m:t>
        </m:r>
        <m:r>
          <w:rPr>
            <w:rFonts w:ascii="Cambria Math" w:hAnsi="Cambria Math"/>
          </w:rPr>
          <m:t>ϵ</m:t>
        </m:r>
        <m:r>
          <m:rPr>
            <m:sty m:val="p"/>
          </m:rPr>
          <w:rPr>
            <w:rFonts w:ascii="Cambria Math" w:hAnsi="Cambria Math"/>
          </w:rPr>
          <m:t>)</m:t>
        </m:r>
      </m:oMath>
      <w:r>
        <w:t>, proving Equation 4.</w:t>
      </w:r>
    </w:p>
    <w:p w14:paraId="7A7E0522" w14:textId="77777777" w:rsidR="00FE0FFF" w:rsidRDefault="00000000" w:rsidP="00511687">
      <w:pPr>
        <w:pStyle w:val="Heading2"/>
        <w:jc w:val="both"/>
      </w:pPr>
      <w:bookmarkStart w:id="37" w:name="X27300f85fa813768f696c306819bbe400926d33"/>
      <w:bookmarkEnd w:id="36"/>
      <w:r>
        <w:t>A2 Upward calibration and adaptive reporting</w:t>
      </w:r>
    </w:p>
    <w:p w14:paraId="4F97D027" w14:textId="77777777" w:rsidR="00FE0FFF" w:rsidRDefault="00000000" w:rsidP="00511687">
      <w:pPr>
        <w:pStyle w:val="FirstParagraph"/>
        <w:jc w:val="both"/>
      </w:pPr>
      <w:r>
        <w:t xml:space="preserve">Sum Equation 7 over the leaves below </w:t>
      </w:r>
      <m:oMath>
        <m:r>
          <w:rPr>
            <w:rFonts w:ascii="Cambria Math" w:hAnsi="Cambria Math"/>
          </w:rPr>
          <m:t>v</m:t>
        </m:r>
      </m:oMath>
      <w:r>
        <w:t xml:space="preserve"> to obtain </w:t>
      </w:r>
      <m:oMath>
        <m:r>
          <m:rPr>
            <m:scr m:val="double-struck"/>
            <m:sty m:val="p"/>
          </m:rPr>
          <w:rPr>
            <w:rFonts w:ascii="Cambria Math" w:hAnsi="Cambria Math"/>
          </w:rPr>
          <m:t>E[</m:t>
        </m:r>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Conditioning again on </w:t>
      </w:r>
      <m:oMath>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proves node calibration. For adaptive reporting, use Equation 9 and condition on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The selected node is then fixed, so its conditional error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t xml:space="preserve"> on every accepted case. Averaging over accepted cases proves Equation 10. Without conditioning on information used by the selector, that intermediate equality need not hold.</w:t>
      </w:r>
    </w:p>
    <w:p w14:paraId="0E194A1A" w14:textId="77777777" w:rsidR="00FE0FFF" w:rsidRDefault="00000000" w:rsidP="00511687">
      <w:pPr>
        <w:pStyle w:val="Heading2"/>
        <w:jc w:val="both"/>
      </w:pPr>
      <w:bookmarkStart w:id="38" w:name="a3-tree-relative-entropy"/>
      <w:bookmarkEnd w:id="37"/>
      <w:r>
        <w:t>A3 Tree relative entropy</w:t>
      </w:r>
    </w:p>
    <w:p w14:paraId="7B3C8A6E" w14:textId="77777777" w:rsidR="00FE0FFF" w:rsidRDefault="00000000" w:rsidP="00511687">
      <w:pPr>
        <w:pStyle w:val="FirstParagraph"/>
        <w:jc w:val="both"/>
      </w:pPr>
      <w:r>
        <w:t xml:space="preserve">Factor each leaf probability into conditional child probabilities along its root to leaf path. The logarithm of the ratio of two leaf probabilities is the sum of the corresponding conditional log ratios. Average with respect to </w:t>
      </w:r>
      <m:oMath>
        <m:r>
          <w:rPr>
            <w:rFonts w:ascii="Cambria Math" w:hAnsi="Cambria Math"/>
          </w:rPr>
          <m:t>P</m:t>
        </m:r>
      </m:oMath>
      <w:r>
        <w:t xml:space="preserve">, interchange the finite sums, and group terms by internal node. The probability that a sampled path visits node </w:t>
      </w:r>
      <m:oMath>
        <m:r>
          <w:rPr>
            <w:rFonts w:ascii="Cambria Math" w:hAnsi="Cambria Math"/>
          </w:rPr>
          <m:t>v</m:t>
        </m:r>
      </m:oMath>
      <w:r>
        <w:t xml:space="preserve"> is </w:t>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oMath>
      <w:r>
        <w:t>, yielding Equation 15. This argument requires compatible partition semantics for both distributions.</w:t>
      </w:r>
    </w:p>
    <w:p w14:paraId="5C9786A2" w14:textId="77777777" w:rsidR="00FE0FFF" w:rsidRDefault="00000000" w:rsidP="00511687">
      <w:pPr>
        <w:pStyle w:val="Heading2"/>
        <w:jc w:val="both"/>
      </w:pPr>
      <w:bookmarkStart w:id="39" w:name="a4-survival-and-energy-bounds"/>
      <w:bookmarkEnd w:id="38"/>
      <w:r>
        <w:t>A4 Survival and energy bounds</w:t>
      </w:r>
    </w:p>
    <w:p w14:paraId="3C14EB9D" w14:textId="77777777" w:rsidR="00FE0FFF" w:rsidRDefault="00000000" w:rsidP="00511687">
      <w:pPr>
        <w:pStyle w:val="FirstParagraph"/>
        <w:jc w:val="both"/>
      </w:pPr>
      <w:r>
        <w:t>Nested events imply ordered first exit times, hence ordered survival probabilities. If exit can be reversed, current membership additionally includes paths that exited and returned; survival remains a lower bound. Equation 17 is Jensen’s inequality for the square function. More generally, averaging fine cell means within any coarsening can only reduce the weighted squared conditional mean. Neither result eliminates estimation error in the survival model or the audit cells.</w:t>
      </w:r>
    </w:p>
    <w:p w14:paraId="099FBC0E" w14:textId="77777777" w:rsidR="00FE0FFF" w:rsidRDefault="00000000" w:rsidP="00511687">
      <w:pPr>
        <w:pStyle w:val="Heading1"/>
        <w:pageBreakBefore/>
        <w:jc w:val="both"/>
      </w:pPr>
      <w:bookmarkStart w:id="40" w:name="references"/>
      <w:bookmarkEnd w:id="35"/>
      <w:bookmarkEnd w:id="39"/>
      <w:r>
        <w:lastRenderedPageBreak/>
        <w:t>References</w:t>
      </w:r>
    </w:p>
    <w:p w14:paraId="4FFE2CA4" w14:textId="77777777" w:rsidR="00FE0FFF" w:rsidRDefault="00000000" w:rsidP="00511687">
      <w:pPr>
        <w:pStyle w:val="FirstParagraph"/>
        <w:keepLines/>
        <w:spacing w:after="140" w:line="245" w:lineRule="auto"/>
        <w:ind w:left="403" w:hanging="403"/>
        <w:jc w:val="both"/>
      </w:pPr>
      <w:r>
        <w:rPr>
          <w:sz w:val="21"/>
        </w:rPr>
        <w:t xml:space="preserve">[1] TypeSafe. (2026). </w:t>
      </w:r>
      <w:r>
        <w:rPr>
          <w:i/>
          <w:iCs/>
          <w:sz w:val="21"/>
        </w:rPr>
        <w:t>AI primer</w:t>
      </w:r>
      <w:r>
        <w:rPr>
          <w:sz w:val="21"/>
        </w:rPr>
        <w:t>. TypeSafe documentation. https://docs.typesafe.ai/introduction/machine-learning-primer. Accessed 22 September 2026.</w:t>
      </w:r>
    </w:p>
    <w:p w14:paraId="65037B53" w14:textId="77777777" w:rsidR="00FE0FFF" w:rsidRDefault="00000000" w:rsidP="00511687">
      <w:pPr>
        <w:pStyle w:val="BodyText"/>
        <w:keepLines/>
        <w:spacing w:after="140" w:line="245" w:lineRule="auto"/>
        <w:ind w:left="403" w:hanging="403"/>
        <w:jc w:val="both"/>
      </w:pPr>
      <w:r>
        <w:rPr>
          <w:sz w:val="21"/>
        </w:rPr>
        <w:t xml:space="preserve">[2] TypeSafe. (2026). </w:t>
      </w:r>
      <w:r>
        <w:rPr>
          <w:i/>
          <w:iCs/>
          <w:sz w:val="21"/>
        </w:rPr>
        <w:t>Introducing System One models and Jev</w:t>
      </w:r>
      <w:r>
        <w:rPr>
          <w:sz w:val="21"/>
        </w:rPr>
        <w:t>. https://typesafe.ai/blog/introducing-system-one-models-and-jev. Accessed 22 September 2026.</w:t>
      </w:r>
    </w:p>
    <w:p w14:paraId="519F00A2" w14:textId="77777777" w:rsidR="00FE0FFF" w:rsidRDefault="00000000" w:rsidP="00511687">
      <w:pPr>
        <w:pStyle w:val="BodyText"/>
        <w:keepLines/>
        <w:spacing w:after="140" w:line="245" w:lineRule="auto"/>
        <w:ind w:left="403" w:hanging="403"/>
        <w:jc w:val="both"/>
      </w:pPr>
      <w:r>
        <w:rPr>
          <w:sz w:val="21"/>
        </w:rPr>
        <w:t xml:space="preserve">[3] Gloeckle, F., Youbi Idrissi, B., Rozière, B., Lopez-Paz, D., &amp; Synnaeve, G. (2024). Better &amp; faster large language models via multi-token prediction. </w:t>
      </w:r>
      <w:r>
        <w:rPr>
          <w:i/>
          <w:iCs/>
          <w:sz w:val="21"/>
        </w:rPr>
        <w:t>Proceedings of ICML</w:t>
      </w:r>
      <w:r>
        <w:rPr>
          <w:sz w:val="21"/>
        </w:rPr>
        <w:t>, PMLR, 235, 15706–15734. https://proceedings.mlr.press/v235/gloeckle24a.html</w:t>
      </w:r>
    </w:p>
    <w:p w14:paraId="5BE82CC1" w14:textId="77777777" w:rsidR="00FE0FFF" w:rsidRDefault="00000000" w:rsidP="00511687">
      <w:pPr>
        <w:pStyle w:val="BodyText"/>
        <w:keepLines/>
        <w:spacing w:after="140" w:line="245" w:lineRule="auto"/>
        <w:ind w:left="403" w:hanging="403"/>
        <w:jc w:val="both"/>
      </w:pPr>
      <w:r>
        <w:rPr>
          <w:sz w:val="21"/>
        </w:rPr>
        <w:t xml:space="preserve">[4] Bulatov, A., Kuratov, Y., &amp; Burtsev, M. (2022). Recurrent memory transformer. </w:t>
      </w:r>
      <w:r>
        <w:rPr>
          <w:i/>
          <w:iCs/>
          <w:sz w:val="21"/>
        </w:rPr>
        <w:t>Advances in Neural Information Processing Systems</w:t>
      </w:r>
      <w:r>
        <w:rPr>
          <w:sz w:val="21"/>
        </w:rPr>
        <w:t>, 35. https://arxiv.org/abs/2207.06881</w:t>
      </w:r>
    </w:p>
    <w:p w14:paraId="7509C326" w14:textId="77777777" w:rsidR="00FE0FFF" w:rsidRDefault="00000000" w:rsidP="00511687">
      <w:pPr>
        <w:pStyle w:val="BodyText"/>
        <w:keepLines/>
        <w:spacing w:after="140" w:line="245" w:lineRule="auto"/>
        <w:ind w:left="403" w:hanging="403"/>
        <w:jc w:val="both"/>
      </w:pPr>
      <w:r>
        <w:rPr>
          <w:sz w:val="21"/>
        </w:rPr>
        <w:t xml:space="preserve">[5] Deng, J., Krause, J., Berg, A. C., &amp; Fei-Fei, L. (2012). Hedging your bets: Optimizing accuracy-specificity trade-offs in large scale visual recognition. </w:t>
      </w:r>
      <w:r>
        <w:rPr>
          <w:i/>
          <w:iCs/>
          <w:sz w:val="21"/>
        </w:rPr>
        <w:t>Proceedings of CVPR</w:t>
      </w:r>
      <w:r>
        <w:rPr>
          <w:sz w:val="21"/>
        </w:rPr>
        <w:t>. https://doi.org/10.1109/CVPR.2012.6248086</w:t>
      </w:r>
    </w:p>
    <w:p w14:paraId="12907D3F" w14:textId="77777777" w:rsidR="00FE0FFF" w:rsidRDefault="00000000" w:rsidP="00511687">
      <w:pPr>
        <w:pStyle w:val="BodyText"/>
        <w:keepLines/>
        <w:spacing w:after="140" w:line="245" w:lineRule="auto"/>
        <w:ind w:left="403" w:hanging="403"/>
        <w:jc w:val="both"/>
      </w:pPr>
      <w:r>
        <w:rPr>
          <w:sz w:val="21"/>
        </w:rPr>
        <w:t xml:space="preserve">[6] Mortier, T., Javanmardi, A., Sale, Y., Hüllermeier, E., &amp; Waegeman, W. (2026). Conformal prediction in hierarchical classification with constrained representation complexity. </w:t>
      </w:r>
      <w:r>
        <w:rPr>
          <w:i/>
          <w:iCs/>
          <w:sz w:val="21"/>
        </w:rPr>
        <w:t>Proceedings of AISTATS</w:t>
      </w:r>
      <w:r>
        <w:rPr>
          <w:sz w:val="21"/>
        </w:rPr>
        <w:t>, PMLR, 300, 1324–1332. https://proceedings.mlr.press/v300/mortier26a.html</w:t>
      </w:r>
    </w:p>
    <w:p w14:paraId="4C2197DA" w14:textId="77777777" w:rsidR="00FE0FFF" w:rsidRDefault="00000000" w:rsidP="00511687">
      <w:pPr>
        <w:pStyle w:val="BodyText"/>
        <w:keepLines/>
        <w:spacing w:after="140" w:line="245" w:lineRule="auto"/>
        <w:ind w:left="403" w:hanging="403"/>
        <w:jc w:val="both"/>
      </w:pPr>
      <w:r>
        <w:rPr>
          <w:sz w:val="21"/>
        </w:rPr>
        <w:t xml:space="preserve">[7] Hébert-Johnson, Ú., Kim, M. P., Reingold, O., &amp; Rothblum, G. N. (2018). Multicalibration: Calibration for the computationally-identifiable masses. </w:t>
      </w:r>
      <w:r>
        <w:rPr>
          <w:i/>
          <w:iCs/>
          <w:sz w:val="21"/>
        </w:rPr>
        <w:t>Proceedings of ICML</w:t>
      </w:r>
      <w:r>
        <w:rPr>
          <w:sz w:val="21"/>
        </w:rPr>
        <w:t>, PMLR, 80, 1939–1948. https://proceedings.mlr.press/v80/hebert-johnson18a.html</w:t>
      </w:r>
    </w:p>
    <w:p w14:paraId="3FCB685A" w14:textId="77777777" w:rsidR="00FE0FFF" w:rsidRDefault="00000000" w:rsidP="00511687">
      <w:pPr>
        <w:pStyle w:val="BodyText"/>
        <w:keepLines/>
        <w:spacing w:after="140" w:line="245" w:lineRule="auto"/>
        <w:ind w:left="403" w:hanging="403"/>
        <w:jc w:val="both"/>
      </w:pPr>
      <w:r>
        <w:rPr>
          <w:sz w:val="21"/>
        </w:rPr>
        <w:t xml:space="preserve">[8] Gopalan, P., Kalai, A. T., Reingold, O., Sharan, V., &amp; Wieder, U. (2022). Omnipredictors. </w:t>
      </w:r>
      <w:r>
        <w:rPr>
          <w:i/>
          <w:iCs/>
          <w:sz w:val="21"/>
        </w:rPr>
        <w:t>Proceedings of ITCS</w:t>
      </w:r>
      <w:r>
        <w:rPr>
          <w:sz w:val="21"/>
        </w:rPr>
        <w:t>, LIPIcs, 215, Article 79. https://doi.org/10.4230/LIPIcs.ITCS.2022.79</w:t>
      </w:r>
    </w:p>
    <w:p w14:paraId="796F1C95" w14:textId="77777777" w:rsidR="00FE0FFF" w:rsidRDefault="00000000" w:rsidP="00511687">
      <w:pPr>
        <w:pStyle w:val="BodyText"/>
        <w:keepLines/>
        <w:spacing w:after="140" w:line="245" w:lineRule="auto"/>
        <w:ind w:left="403" w:hanging="403"/>
        <w:jc w:val="both"/>
      </w:pPr>
      <w:r>
        <w:rPr>
          <w:sz w:val="21"/>
        </w:rPr>
        <w:t xml:space="preserve">[9] Gopalan, P., Hu, L., Kim, M. P., Reingold, O., &amp; Wieder, U. (2023). Loss minimization through the lens of outcome indistinguishability. </w:t>
      </w:r>
      <w:r>
        <w:rPr>
          <w:i/>
          <w:iCs/>
          <w:sz w:val="21"/>
        </w:rPr>
        <w:t>Proceedings of ITCS</w:t>
      </w:r>
      <w:r>
        <w:rPr>
          <w:sz w:val="21"/>
        </w:rPr>
        <w:t>, LIPIcs, 251, Article 60. https://doi.org/10.4230/LIPIcs.ITCS.2023.60</w:t>
      </w:r>
    </w:p>
    <w:p w14:paraId="36A882CE" w14:textId="77777777" w:rsidR="00FE0FFF" w:rsidRDefault="00000000" w:rsidP="00511687">
      <w:pPr>
        <w:pStyle w:val="BodyText"/>
        <w:keepLines/>
        <w:spacing w:after="140" w:line="245" w:lineRule="auto"/>
        <w:ind w:left="403" w:hanging="403"/>
        <w:jc w:val="both"/>
      </w:pPr>
      <w:r>
        <w:rPr>
          <w:sz w:val="21"/>
        </w:rPr>
        <w:t xml:space="preserve">[10] Guo, C., Pleiss, G., Sun, Y., &amp; Weinberger, K. Q. (2017). On calibration of modern neural networks. </w:t>
      </w:r>
      <w:r>
        <w:rPr>
          <w:i/>
          <w:iCs/>
          <w:sz w:val="21"/>
        </w:rPr>
        <w:t>Proceedings of ICML</w:t>
      </w:r>
      <w:r>
        <w:rPr>
          <w:sz w:val="21"/>
        </w:rPr>
        <w:t>, PMLR, 70, 1321–1330. https://proceedings.mlr.press/v70/guo17a.html</w:t>
      </w:r>
    </w:p>
    <w:p w14:paraId="79AEEA48" w14:textId="77777777" w:rsidR="00FE0FFF" w:rsidRDefault="00000000" w:rsidP="00511687">
      <w:pPr>
        <w:pStyle w:val="BodyText"/>
        <w:keepLines/>
        <w:spacing w:after="140" w:line="245" w:lineRule="auto"/>
        <w:ind w:left="403" w:hanging="403"/>
        <w:jc w:val="both"/>
      </w:pPr>
      <w:r>
        <w:rPr>
          <w:sz w:val="21"/>
        </w:rPr>
        <w:t xml:space="preserve">[11] OpenAI. (2023). GPT-4 technical report. </w:t>
      </w:r>
      <w:r>
        <w:rPr>
          <w:i/>
          <w:iCs/>
          <w:sz w:val="21"/>
        </w:rPr>
        <w:t>arXiv</w:t>
      </w:r>
      <w:r>
        <w:rPr>
          <w:sz w:val="21"/>
        </w:rPr>
        <w:t>, 2303.08774. https://arxiv.org/abs/2303.08774</w:t>
      </w:r>
    </w:p>
    <w:p w14:paraId="465EB701" w14:textId="77777777" w:rsidR="00FE0FFF" w:rsidRDefault="00000000" w:rsidP="00511687">
      <w:pPr>
        <w:pStyle w:val="BodyText"/>
        <w:keepLines/>
        <w:spacing w:after="140" w:line="245" w:lineRule="auto"/>
        <w:ind w:left="403" w:hanging="403"/>
        <w:jc w:val="both"/>
      </w:pPr>
      <w:r>
        <w:rPr>
          <w:sz w:val="21"/>
        </w:rPr>
        <w:t xml:space="preserve">[12] Sun, W., Advani, M., Spruston, N., Saxe, A. M., &amp; Fitzgerald, J. E. (2023). Organizing memories for generalization in complementary learning systems. </w:t>
      </w:r>
      <w:r>
        <w:rPr>
          <w:i/>
          <w:iCs/>
          <w:sz w:val="21"/>
        </w:rPr>
        <w:t>Nature Neuroscience</w:t>
      </w:r>
      <w:r>
        <w:rPr>
          <w:sz w:val="21"/>
        </w:rPr>
        <w:t>, 26, 1438–1448. https://doi.org/10.1038/s41593-023-01382-9</w:t>
      </w:r>
    </w:p>
    <w:p w14:paraId="3A9F7C1A" w14:textId="77777777" w:rsidR="00FE0FFF" w:rsidRDefault="00000000" w:rsidP="00511687">
      <w:pPr>
        <w:pStyle w:val="BodyText"/>
        <w:keepLines/>
        <w:spacing w:after="140" w:line="245" w:lineRule="auto"/>
        <w:ind w:left="403" w:hanging="403"/>
        <w:jc w:val="both"/>
      </w:pPr>
      <w:r>
        <w:rPr>
          <w:sz w:val="21"/>
        </w:rPr>
        <w:t xml:space="preserve">[13] Wyner, A. D., &amp; Ziv, J. (1976). The rate-distortion function for source coding with side information at the decoder. </w:t>
      </w:r>
      <w:r>
        <w:rPr>
          <w:i/>
          <w:iCs/>
          <w:sz w:val="21"/>
        </w:rPr>
        <w:t>IEEE Transactions on Information Theory</w:t>
      </w:r>
      <w:r>
        <w:rPr>
          <w:sz w:val="21"/>
        </w:rPr>
        <w:t>, 22(1), 1–10. https://doi.org/10.1109/TIT.1976.1055508</w:t>
      </w:r>
    </w:p>
    <w:p w14:paraId="1368CA03" w14:textId="77777777" w:rsidR="00FE0FFF" w:rsidRDefault="00000000" w:rsidP="00511687">
      <w:pPr>
        <w:pStyle w:val="BodyText"/>
        <w:keepLines/>
        <w:spacing w:after="140" w:line="245" w:lineRule="auto"/>
        <w:ind w:left="403" w:hanging="403"/>
        <w:jc w:val="both"/>
      </w:pPr>
      <w:r>
        <w:rPr>
          <w:sz w:val="21"/>
        </w:rPr>
        <w:t xml:space="preserve">[14] Littman, M. L., Sutton, R. S., &amp; Singh, S. (2001). Predictive representations of state. </w:t>
      </w:r>
      <w:r>
        <w:rPr>
          <w:i/>
          <w:iCs/>
          <w:sz w:val="21"/>
        </w:rPr>
        <w:t>Advances in Neural Information Processing Systems</w:t>
      </w:r>
      <w:r>
        <w:rPr>
          <w:sz w:val="21"/>
        </w:rPr>
        <w:t>, 14. https://papers.nips.cc/paper_files/paper/2001/hash/1e4d36177d71bbb3558e43af9577d70e-Abstract.html</w:t>
      </w:r>
    </w:p>
    <w:p w14:paraId="361AA364" w14:textId="77777777" w:rsidR="00FE0FFF" w:rsidRDefault="00000000" w:rsidP="00511687">
      <w:pPr>
        <w:pStyle w:val="BodyText"/>
        <w:keepLines/>
        <w:spacing w:after="140" w:line="245" w:lineRule="auto"/>
        <w:ind w:left="403" w:hanging="403"/>
        <w:jc w:val="both"/>
      </w:pPr>
      <w:r>
        <w:rPr>
          <w:sz w:val="21"/>
        </w:rPr>
        <w:t xml:space="preserve">[15] Verma, R., &amp; Nalisnick, E. (2022). Calibrated learning to defer with one-vs-all classifiers. </w:t>
      </w:r>
      <w:r>
        <w:rPr>
          <w:i/>
          <w:iCs/>
          <w:sz w:val="21"/>
        </w:rPr>
        <w:t>Proceedings of ICML</w:t>
      </w:r>
      <w:r>
        <w:rPr>
          <w:sz w:val="21"/>
        </w:rPr>
        <w:t>, PMLR, 162, 22184–22202. https://proceedings.mlr.press/v162/verma22c.html</w:t>
      </w:r>
    </w:p>
    <w:p w14:paraId="36FB060D" w14:textId="77777777" w:rsidR="00FE0FFF" w:rsidRDefault="00000000" w:rsidP="00511687">
      <w:pPr>
        <w:pStyle w:val="BodyText"/>
        <w:keepLines/>
        <w:spacing w:after="140" w:line="245" w:lineRule="auto"/>
        <w:ind w:left="403" w:hanging="403"/>
        <w:jc w:val="both"/>
      </w:pPr>
      <w:r>
        <w:rPr>
          <w:sz w:val="21"/>
        </w:rPr>
        <w:t xml:space="preserve">[16] Richardson, M., &amp; Domingos, P. (2006). Markov logic networks. </w:t>
      </w:r>
      <w:r>
        <w:rPr>
          <w:i/>
          <w:iCs/>
          <w:sz w:val="21"/>
        </w:rPr>
        <w:t>Machine Learning</w:t>
      </w:r>
      <w:r>
        <w:rPr>
          <w:sz w:val="21"/>
        </w:rPr>
        <w:t>, 62, 107–136. https://doi.org/10.1007/s10994-006-5833-1</w:t>
      </w:r>
    </w:p>
    <w:p w14:paraId="5723E894" w14:textId="77777777" w:rsidR="00FE0FFF" w:rsidRDefault="00000000" w:rsidP="00511687">
      <w:pPr>
        <w:pStyle w:val="BodyText"/>
        <w:keepLines/>
        <w:spacing w:after="140" w:line="245" w:lineRule="auto"/>
        <w:ind w:left="403" w:hanging="403"/>
        <w:jc w:val="both"/>
      </w:pPr>
      <w:r>
        <w:rPr>
          <w:sz w:val="21"/>
        </w:rPr>
        <w:t xml:space="preserve">[17] Berger, A. L., Della Pietra, S. A., &amp; Della Pietra, V. J. (1996). A maximum entropy approach to natural language processing. </w:t>
      </w:r>
      <w:r>
        <w:rPr>
          <w:i/>
          <w:iCs/>
          <w:sz w:val="21"/>
        </w:rPr>
        <w:t>Computational Linguistics</w:t>
      </w:r>
      <w:r>
        <w:rPr>
          <w:sz w:val="21"/>
        </w:rPr>
        <w:t>, 22(1), 39–71. https://aclanthology.org/J96-1002/</w:t>
      </w:r>
    </w:p>
    <w:p w14:paraId="179E5706" w14:textId="77777777" w:rsidR="00FE0FFF" w:rsidRDefault="00000000" w:rsidP="00511687">
      <w:pPr>
        <w:pStyle w:val="BodyText"/>
        <w:keepLines/>
        <w:spacing w:after="140" w:line="245" w:lineRule="auto"/>
        <w:ind w:left="403" w:hanging="403"/>
        <w:jc w:val="both"/>
      </w:pPr>
      <w:r>
        <w:rPr>
          <w:sz w:val="21"/>
        </w:rPr>
        <w:t xml:space="preserve">[18] Willems, F. M. J., Shtarkov, Y. M., &amp; Tjalkens, T. J. (1995). The context-tree weighting method: Basic properties. </w:t>
      </w:r>
      <w:r>
        <w:rPr>
          <w:i/>
          <w:iCs/>
          <w:sz w:val="21"/>
        </w:rPr>
        <w:t>IEEE Transactions on Information Theory</w:t>
      </w:r>
      <w:r>
        <w:rPr>
          <w:sz w:val="21"/>
        </w:rPr>
        <w:t>, 41(3), 653–664. https://doi.org/10.1109/18.382012</w:t>
      </w:r>
    </w:p>
    <w:p w14:paraId="307D522E" w14:textId="77777777" w:rsidR="00FE0FFF" w:rsidRDefault="00000000" w:rsidP="00511687">
      <w:pPr>
        <w:pStyle w:val="BodyText"/>
        <w:keepLines/>
        <w:spacing w:after="140" w:line="245" w:lineRule="auto"/>
        <w:ind w:left="403" w:hanging="403"/>
        <w:jc w:val="both"/>
      </w:pPr>
      <w:r>
        <w:rPr>
          <w:sz w:val="21"/>
        </w:rPr>
        <w:lastRenderedPageBreak/>
        <w:t xml:space="preserve">[19] Gupta, V., Jung, C., Noarov, G., Pai, M. M., &amp; Roth, A. (2022). Online multivalid learning: Means, moments, and prediction intervals. </w:t>
      </w:r>
      <w:r>
        <w:rPr>
          <w:i/>
          <w:iCs/>
          <w:sz w:val="21"/>
        </w:rPr>
        <w:t>Proceedings of ITCS</w:t>
      </w:r>
      <w:r>
        <w:rPr>
          <w:sz w:val="21"/>
        </w:rPr>
        <w:t>, LIPIcs, 215, Article 82. https://doi.org/10.4230/LIPIcs.ITCS.2022.82</w:t>
      </w:r>
    </w:p>
    <w:p w14:paraId="52C66FBF" w14:textId="77777777" w:rsidR="00FE0FFF" w:rsidRDefault="00000000" w:rsidP="00511687">
      <w:pPr>
        <w:pStyle w:val="BodyText"/>
        <w:keepLines/>
        <w:spacing w:after="140" w:line="245" w:lineRule="auto"/>
        <w:ind w:left="403" w:hanging="403"/>
        <w:jc w:val="both"/>
      </w:pPr>
      <w:r>
        <w:rPr>
          <w:sz w:val="21"/>
        </w:rPr>
        <w:t xml:space="preserve">[20] Goldsmith, M., Koriat, A., &amp; Weinberg-Eliezer, A. (2002). Strategic regulation of grain size in memory reporting. </w:t>
      </w:r>
      <w:r>
        <w:rPr>
          <w:i/>
          <w:iCs/>
          <w:sz w:val="21"/>
        </w:rPr>
        <w:t>Journal of Experimental Psychology General</w:t>
      </w:r>
      <w:r>
        <w:rPr>
          <w:sz w:val="21"/>
        </w:rPr>
        <w:t>, 131(1), 73–95. https://doi.org/10.1037/0096-3445.131.1.73</w:t>
      </w:r>
    </w:p>
    <w:p w14:paraId="21B9E5B4" w14:textId="77777777" w:rsidR="00FE0FFF" w:rsidRDefault="00000000" w:rsidP="00511687">
      <w:pPr>
        <w:pStyle w:val="BodyText"/>
        <w:keepLines/>
        <w:spacing w:after="140" w:line="245" w:lineRule="auto"/>
        <w:ind w:left="403" w:hanging="403"/>
        <w:jc w:val="both"/>
      </w:pPr>
      <w:r>
        <w:rPr>
          <w:sz w:val="21"/>
        </w:rPr>
        <w:t xml:space="preserve">[21] Goldsmith, M., Koriat, A., &amp; Pansky, A. (2005). Strategic regulation of grain size in memory reporting over time. </w:t>
      </w:r>
      <w:r>
        <w:rPr>
          <w:i/>
          <w:iCs/>
          <w:sz w:val="21"/>
        </w:rPr>
        <w:t>Journal of Memory and Language</w:t>
      </w:r>
      <w:r>
        <w:rPr>
          <w:sz w:val="21"/>
        </w:rPr>
        <w:t>, 52(4), 505–525. https://doi.org/10.1016/j.jml.2005.01.010</w:t>
      </w:r>
    </w:p>
    <w:p w14:paraId="73ADF2C5" w14:textId="77777777" w:rsidR="00FE0FFF" w:rsidRDefault="00000000" w:rsidP="00511687">
      <w:pPr>
        <w:pStyle w:val="BodyText"/>
        <w:keepLines/>
        <w:spacing w:after="140" w:line="245" w:lineRule="auto"/>
        <w:ind w:left="403" w:hanging="403"/>
        <w:jc w:val="both"/>
      </w:pPr>
      <w:r>
        <w:rPr>
          <w:sz w:val="21"/>
        </w:rPr>
        <w:t xml:space="preserve">[22] Saxe, A. M., McClelland, J. L., &amp; Ganguli, S. (2019). A mathematical theory of semantic development in deep neural networks. </w:t>
      </w:r>
      <w:r>
        <w:rPr>
          <w:i/>
          <w:iCs/>
          <w:sz w:val="21"/>
        </w:rPr>
        <w:t>Proceedings of the National Academy of Sciences</w:t>
      </w:r>
      <w:r>
        <w:rPr>
          <w:sz w:val="21"/>
        </w:rPr>
        <w:t>, 116(23), 11537–11546. https://doi.org/10.1073/pnas.1820226116</w:t>
      </w:r>
    </w:p>
    <w:p w14:paraId="73475B3C" w14:textId="77777777" w:rsidR="00FE0FFF" w:rsidRDefault="00000000" w:rsidP="00511687">
      <w:pPr>
        <w:pStyle w:val="BodyText"/>
        <w:keepLines/>
        <w:spacing w:after="140" w:line="245" w:lineRule="auto"/>
        <w:ind w:left="403" w:hanging="403"/>
        <w:jc w:val="both"/>
      </w:pPr>
      <w:r>
        <w:rPr>
          <w:sz w:val="21"/>
        </w:rPr>
        <w:t xml:space="preserve">[23] Caucheteux, C., Gramfort, A., &amp; King, J. R. (2023). Evidence of a predictive coding hierarchy in the human brain listening to speech. </w:t>
      </w:r>
      <w:r>
        <w:rPr>
          <w:i/>
          <w:iCs/>
          <w:sz w:val="21"/>
        </w:rPr>
        <w:t>Nature Human Behaviour</w:t>
      </w:r>
      <w:r>
        <w:rPr>
          <w:sz w:val="21"/>
        </w:rPr>
        <w:t>, 7, 430–441. https://doi.org/10.1038/s41562-022-01516-2</w:t>
      </w:r>
      <w:bookmarkEnd w:id="40"/>
    </w:p>
    <w:sectPr w:rsidR="00FE0FFF" w:rsidSect="00034616">
      <w:headerReference w:type="default" r:id="rId10"/>
      <w:footerReference w:type="default" r:id="rId11"/>
      <w:footerReference w:type="first" r:id="rId12"/>
      <w:pgSz w:w="12240" w:h="15840"/>
      <w:pgMar w:top="1181" w:right="1296" w:bottom="1123"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E3A13" w14:textId="77777777" w:rsidR="007626D5" w:rsidRDefault="007626D5">
      <w:pPr>
        <w:spacing w:after="0" w:line="240" w:lineRule="auto"/>
      </w:pPr>
      <w:r>
        <w:separator/>
      </w:r>
    </w:p>
  </w:endnote>
  <w:endnote w:type="continuationSeparator" w:id="0">
    <w:p w14:paraId="5935967D" w14:textId="77777777" w:rsidR="007626D5" w:rsidRDefault="0076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E62C1" w14:textId="77777777" w:rsidR="00FE0FFF" w:rsidRDefault="00000000">
    <w:pPr>
      <w:pStyle w:val="Footer"/>
      <w:jc w:val="center"/>
    </w:pPr>
    <w:r>
      <w:fldChar w:fldCharType="begin"/>
    </w:r>
    <w:r>
      <w:instrText>PAGE</w:instrText>
    </w:r>
    <w:r>
      <w:fldChar w:fldCharType="separate"/>
    </w:r>
    <w:r w:rsidR="0051168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C52F" w14:textId="77777777" w:rsidR="00FE0FFF" w:rsidRDefault="00000000">
    <w:pPr>
      <w:pStyle w:val="Footer"/>
      <w:jc w:val="center"/>
    </w:pPr>
    <w:r>
      <w:fldChar w:fldCharType="begin"/>
    </w:r>
    <w:r>
      <w:instrText>PAGE</w:instrText>
    </w:r>
    <w:r>
      <w:fldChar w:fldCharType="separate"/>
    </w:r>
    <w:r w:rsidR="005116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D4A3F" w14:textId="77777777" w:rsidR="007626D5" w:rsidRDefault="007626D5">
      <w:r>
        <w:separator/>
      </w:r>
    </w:p>
  </w:footnote>
  <w:footnote w:type="continuationSeparator" w:id="0">
    <w:p w14:paraId="4ED4DAB6" w14:textId="77777777" w:rsidR="007626D5" w:rsidRDefault="00762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B766" w14:textId="77777777" w:rsidR="00FE0FFF" w:rsidRDefault="00000000">
    <w:pPr>
      <w:pStyle w:val="Header"/>
    </w:pPr>
    <w:r>
      <w:t>Hierarchical Predictive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9FB46E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D9144E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2052489">
    <w:abstractNumId w:val="8"/>
  </w:num>
  <w:num w:numId="2" w16cid:durableId="1550529742">
    <w:abstractNumId w:val="6"/>
  </w:num>
  <w:num w:numId="3" w16cid:durableId="648555131">
    <w:abstractNumId w:val="5"/>
  </w:num>
  <w:num w:numId="4" w16cid:durableId="1850637386">
    <w:abstractNumId w:val="4"/>
  </w:num>
  <w:num w:numId="5" w16cid:durableId="1181627826">
    <w:abstractNumId w:val="7"/>
  </w:num>
  <w:num w:numId="6" w16cid:durableId="1747724210">
    <w:abstractNumId w:val="3"/>
  </w:num>
  <w:num w:numId="7" w16cid:durableId="1841699411">
    <w:abstractNumId w:val="2"/>
  </w:num>
  <w:num w:numId="8" w16cid:durableId="104496159">
    <w:abstractNumId w:val="1"/>
  </w:num>
  <w:num w:numId="9" w16cid:durableId="1673415468">
    <w:abstractNumId w:val="0"/>
  </w:num>
  <w:num w:numId="10" w16cid:durableId="1450126510">
    <w:abstractNumId w:val="9"/>
  </w:num>
  <w:num w:numId="11" w16cid:durableId="1434742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0FFF"/>
    <w:rsid w:val="000A535B"/>
    <w:rsid w:val="00511687"/>
    <w:rsid w:val="007626D5"/>
    <w:rsid w:val="00FE0FF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0558"/>
  <w15:docId w15:val="{BAB455C2-4280-4609-BBA5-DBC514DA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6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240" w:line="240" w:lineRule="auto"/>
      <w:contextualSpacing/>
    </w:pPr>
    <w:rPr>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60" w:after="160" w:line="245"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20" w:line="254" w:lineRule="auto"/>
    </w:pPr>
    <w:rPr>
      <w:rFonts w:ascii="Times New Roman" w:eastAsia="Times New Roman" w:hAnsi="Times New Roman" w:cs="Times New Roman"/>
      <w:color w:val="000000"/>
      <w:sz w:val="24"/>
    </w:rPr>
  </w:style>
  <w:style w:type="paragraph" w:customStyle="1" w:styleId="Compact">
    <w:name w:val="Compact"/>
    <w:pPr>
      <w:spacing w:after="120" w:line="254" w:lineRule="auto"/>
    </w:pPr>
    <w:rPr>
      <w:rFonts w:ascii="Times New Roman" w:eastAsia="Times New Roman" w:hAnsi="Times New Roman" w:cs="Times New Roman"/>
      <w:color w:val="000000"/>
      <w:sz w:val="24"/>
    </w:rPr>
  </w:style>
  <w:style w:type="paragraph" w:customStyle="1" w:styleId="CaptionedFigure">
    <w:name w:val="Captioned Figure"/>
    <w:pPr>
      <w:spacing w:after="120" w:line="254" w:lineRule="auto"/>
    </w:pPr>
    <w:rPr>
      <w:rFonts w:ascii="Times New Roman" w:eastAsia="Times New Roman" w:hAnsi="Times New Roman" w:cs="Times New Roman"/>
      <w:color w:val="000000"/>
      <w:sz w:val="24"/>
    </w:rPr>
  </w:style>
  <w:style w:type="paragraph" w:customStyle="1" w:styleId="Author">
    <w:name w:val="Author"/>
    <w:pPr>
      <w:spacing w:after="80"/>
    </w:pPr>
    <w:rPr>
      <w:rFonts w:ascii="Times New Roman" w:eastAsia="Times New Roman" w:hAnsi="Times New Roman" w:cs="Times New Roman"/>
      <w:color w:val="000000"/>
    </w:rPr>
  </w:style>
  <w:style w:type="paragraph" w:customStyle="1" w:styleId="Date1">
    <w:name w:val="Date1"/>
    <w:pPr>
      <w:spacing w:after="80"/>
    </w:pPr>
    <w:rPr>
      <w:rFonts w:ascii="Times New Roman" w:eastAsia="Times New Roman" w:hAnsi="Times New Roman" w:cs="Times New Roman"/>
      <w:color w:val="000000"/>
    </w:rPr>
  </w:style>
  <w:style w:type="paragraph" w:customStyle="1" w:styleId="ImageCaption">
    <w:name w:val="Image Caption"/>
    <w:pPr>
      <w:spacing w:before="60" w:after="160" w:line="245" w:lineRule="auto"/>
    </w:pPr>
    <w:rPr>
      <w:rFonts w:ascii="Times New Roman" w:eastAsia="Times New Roman" w:hAnsi="Times New Roman" w:cs="Times New Roman"/>
      <w:color w:val="000000"/>
      <w:sz w:val="21"/>
    </w:rPr>
  </w:style>
  <w:style w:type="paragraph" w:customStyle="1" w:styleId="TableCaption">
    <w:name w:val="Table Caption"/>
    <w:pPr>
      <w:spacing w:before="60" w:after="160" w:line="245" w:lineRule="auto"/>
    </w:pPr>
    <w:rPr>
      <w:rFonts w:ascii="Times New Roman" w:eastAsia="Times New Roman" w:hAnsi="Times New Roman" w:cs="Times New Roman"/>
      <w:color w:val="000000"/>
      <w:sz w:val="21"/>
    </w:rPr>
  </w:style>
  <w:style w:type="character" w:customStyle="1" w:styleId="Hyperlink1">
    <w:name w:val="Hyperlink1"/>
    <w:rPr>
      <w:color w:val="000000"/>
      <w:u w:val="none"/>
    </w:rPr>
  </w:style>
  <w:style w:type="character" w:customStyle="1" w:styleId="FollowedHyperlink1">
    <w:name w:val="FollowedHyperlink1"/>
    <w:rPr>
      <w:color w:val="000000"/>
      <w:u w:val="non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8856</Words>
  <Characters>50483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Predictive Memory for Generative Artificial Intelligence</dc:title>
  <dc:subject>A conceptual framework for joint GPT and RLCD pretraining</dc:subject>
  <dc:creator>Debi Prasad Ghosh</dc:creator>
  <cp:keywords>memory consolidation, RLCD, GPT, hierarchical classifier, calibrated decisions</cp:keywords>
  <dc:description>Conceptual research manuscript with analytical examples and a proposed experimental programme.</dc:description>
  <cp:lastModifiedBy>Debiprasad Ghosh</cp:lastModifiedBy>
  <cp:revision>2</cp:revision>
  <dcterms:created xsi:type="dcterms:W3CDTF">2026-09-22T15:46:00Z</dcterms:created>
  <dcterms:modified xsi:type="dcterms:W3CDTF">2026-09-22T16:38:00Z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A conceptual framework for joint GPT and RLCD pretraining</vt:lpwstr>
  </property>
</Properties>
</file>