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6B60F" w14:textId="77777777" w:rsidR="00AD4ED9" w:rsidRDefault="00000000" w:rsidP="00435E6E">
      <w:pPr>
        <w:pStyle w:val="Title"/>
        <w:spacing w:after="160"/>
      </w:pPr>
      <w:r>
        <w:t>Structural Preconditions for Cellular Sheaf Models of Neural Memory</w:t>
      </w:r>
    </w:p>
    <w:p w14:paraId="69B329E0" w14:textId="77777777" w:rsidR="00AD4ED9" w:rsidRDefault="00000000" w:rsidP="00435E6E">
      <w:pPr>
        <w:pStyle w:val="Subtitle"/>
      </w:pPr>
      <w:r>
        <w:t>Compatibility and fidelity in recurrent memory and compositional experts</w:t>
      </w:r>
    </w:p>
    <w:p w14:paraId="195A5AB5" w14:textId="77777777" w:rsidR="00AD4ED9" w:rsidRDefault="00000000" w:rsidP="00435E6E">
      <w:pPr>
        <w:pStyle w:val="Author"/>
      </w:pPr>
      <w:r>
        <w:t>Debi Prasad Ghosh</w:t>
      </w:r>
    </w:p>
    <w:p w14:paraId="3A568D8C" w14:textId="77777777" w:rsidR="00AD4ED9" w:rsidRDefault="00000000" w:rsidP="00435E6E">
      <w:pPr>
        <w:pStyle w:val="FirstParagraph"/>
        <w:keepNext/>
        <w:spacing w:after="60"/>
        <w:jc w:val="center"/>
      </w:pPr>
      <w:r>
        <w:rPr>
          <w:sz w:val="21"/>
        </w:rPr>
        <w:t>Debias Parametric Guru</w:t>
      </w:r>
    </w:p>
    <w:p w14:paraId="25810BC1" w14:textId="77777777" w:rsidR="00AD4ED9" w:rsidRDefault="00000000" w:rsidP="00435E6E">
      <w:pPr>
        <w:pStyle w:val="Date"/>
      </w:pPr>
      <w:r>
        <w:t>20 September 2026</w:t>
      </w:r>
    </w:p>
    <w:p w14:paraId="62ACA10F" w14:textId="77777777" w:rsidR="00AD4ED9" w:rsidRDefault="00000000" w:rsidP="00435E6E">
      <w:pPr>
        <w:pStyle w:val="BodyText"/>
        <w:keepNext/>
        <w:spacing w:after="160"/>
        <w:jc w:val="center"/>
      </w:pPr>
      <w:r>
        <w:rPr>
          <w:sz w:val="21"/>
        </w:rPr>
        <w:t>Conceptual research manuscript</w:t>
      </w:r>
    </w:p>
    <w:p w14:paraId="13ABB443" w14:textId="77777777" w:rsidR="00AD4ED9" w:rsidRDefault="00000000" w:rsidP="00435E6E">
      <w:pPr>
        <w:pStyle w:val="Heading1"/>
        <w:jc w:val="both"/>
      </w:pPr>
      <w:bookmarkStart w:id="0" w:name="abstract"/>
      <w:r>
        <w:t>Abstract</w:t>
      </w:r>
    </w:p>
    <w:p w14:paraId="3D2F32D3" w14:textId="77777777" w:rsidR="00AD4ED9" w:rsidRDefault="00000000" w:rsidP="00435E6E">
      <w:pPr>
        <w:pStyle w:val="FirstParagraph"/>
        <w:jc w:val="both"/>
      </w:pPr>
      <w:r>
        <w:t>Cellular sheaves provide a language for compatible local representations, but a neural memory architecture does not acquire compression, fidelity, or efficient routing merely by adopting that language. We develop an audit organized around structural relevance, correctly typed operations, and task readout fidelity, followed by explicit computational and statistical accounting. Cycle count alone is insufficient: a tree can support a cohomological obstruction through its restriction maps, while a cycle with invertible transport can have vanishing first cohomology. For memory composition, the relevant quantity is the connecting map on admissible coarse observations, not the dimension of its codomain alone. We distinguish this lifting test from the information needed to recover a task readout. Compositional expert families provide a second case study. Two upper triangular generators can produce exponentially many distinct operators, and orthogonal generators can maintain perfectly conditioned transport. Neither fact guarantees exponentially many distinguishable expert functions. Functional symmetries and finite resolution impose additional identifications and packing limits. A third distinction concerns routing: trellis paths are alternatives, whereas a sheaf section satisfies simultaneous compatibility conditions. Merging paths for dynamic programming does not establish that their transported neural states agree. We give proofs, counterexamples, deterministic numerical checks, and a proposed memory-horizon experiment for skew recurrent architectures. The contribution is a reproducible method for deciding which mathematical claims an implementation can support. No language-model accuracy, compression ratio, or serving-speed improvement is claimed.</w:t>
      </w:r>
    </w:p>
    <w:p w14:paraId="56BDA33D" w14:textId="77777777" w:rsidR="00AD4ED9" w:rsidRDefault="00000000" w:rsidP="00435E6E">
      <w:pPr>
        <w:pStyle w:val="BodyText"/>
        <w:jc w:val="both"/>
      </w:pPr>
      <w:r>
        <w:t>Keywords: cellular sheaves; neural memory; compositional experts; observability; orthogonal transport; trellis routing; memory horizon.</w:t>
      </w:r>
    </w:p>
    <w:p w14:paraId="442C4C27" w14:textId="77777777" w:rsidR="00AD4ED9" w:rsidRDefault="00000000" w:rsidP="00435E6E">
      <w:pPr>
        <w:pStyle w:val="Heading1"/>
        <w:jc w:val="both"/>
      </w:pPr>
      <w:bookmarkStart w:id="1" w:name="scope-and-contribution"/>
      <w:bookmarkEnd w:id="0"/>
      <w:r>
        <w:t>1 Scope and contribution</w:t>
      </w:r>
    </w:p>
    <w:p w14:paraId="72724AB5" w14:textId="77777777" w:rsidR="00AD4ED9" w:rsidRDefault="00000000" w:rsidP="00435E6E">
      <w:pPr>
        <w:pStyle w:val="FirstParagraph"/>
        <w:jc w:val="both"/>
      </w:pPr>
      <w:r>
        <w:t>A useful mathematical model must specify what its objects represent and what an observable failure would mean. For neural memory, compatibility between representations, recoverability of information, and computational efficiency are separate questions. A small compatibility residual can coexist with the loss of the answer. Many possible expert routes can implement the same function. A graph can support efficient search without describing simultaneous agreement among its vertices.</w:t>
      </w:r>
    </w:p>
    <w:p w14:paraId="25A8FA17" w14:textId="77777777" w:rsidR="00AD4ED9" w:rsidRDefault="00000000" w:rsidP="00435E6E">
      <w:pPr>
        <w:pStyle w:val="BodyText"/>
        <w:jc w:val="both"/>
      </w:pPr>
      <w:r>
        <w:t xml:space="preserve">This paper develops a practical audit of those distinctions. Its intended users are researchers designing stored KV memories, recurrent generators, shared expert families, or interfaces between independently retrieved memory objects. The audit has three core conditions. C1 asks whether the specified relations have a nonvacuous role in the claimed operation. C2 checks the domains, codomains, indexing, and </w:t>
      </w:r>
      <w:r>
        <w:lastRenderedPageBreak/>
        <w:t>algebra of each operation. C3 ties the representation to a declared readout and information-loss criterion. Resource accounting and out-of-sample tests then determine whether a mathematically coherent design is useful.</w:t>
      </w:r>
    </w:p>
    <w:p w14:paraId="5E8F1367" w14:textId="77777777" w:rsidR="00AD4ED9" w:rsidRDefault="00000000" w:rsidP="00435E6E">
      <w:pPr>
        <w:pStyle w:val="BodyText"/>
        <w:jc w:val="both"/>
      </w:pPr>
      <w:r>
        <w:t>These conditions are not a theorem that sheaf models are useful precisely when a graph has cycles. Trees can support useful heterogeneous interfaces and diffusion without nonzero first cohomology. Conversely, cycles alone do not establish a useful obstruction. The finite linear parts of the audit are computable through sparse matrices. Their operational value remains an empirical question. Cellular sheaf spectral theory and neural sheaf diffusion already establish the broader mathematical and learning setting [1,2].</w:t>
      </w:r>
    </w:p>
    <w:p w14:paraId="31E84876" w14:textId="77777777" w:rsidR="00AD4ED9" w:rsidRDefault="00000000" w:rsidP="00435E6E">
      <w:pPr>
        <w:pStyle w:val="BodyText"/>
        <w:jc w:val="both"/>
      </w:pPr>
      <w:r>
        <w:t>The motivating sequence models are Deep Skew Transformer, or DST, and Truncated Skew Transformer, or TST [3,4]. DST proposes diagonal token processing and a compact history state. TST proposes a shorter path to an intermediate readout. Their accessible December 2024 manuscripts contain empty experimental sections. Their claims about efficiency and distant-context retention therefore remain architectural proposals. The present analysis supplies neither missing benchmarks nor a retrospective validation.</w:t>
      </w:r>
    </w:p>
    <w:p w14:paraId="37309BE1" w14:textId="77777777" w:rsidR="00AD4ED9" w:rsidRDefault="00000000" w:rsidP="00435E6E">
      <w:pPr>
        <w:pStyle w:val="BodyText"/>
        <w:jc w:val="both"/>
      </w:pPr>
      <w:r>
        <w:t>We use their open questions to organize a methodological paper. Standard results are identified as such, elementary consequences are proved, and proposed experiments are separated from completed arithmetic checks. The extended expert example also places orthogonal parameter sharing alongside established unitary recurrent models, rather than presenting orthogonality itself as a new neural-network principle.</w:t>
      </w:r>
    </w:p>
    <w:p w14:paraId="5ED8C560" w14:textId="77777777" w:rsidR="00AD4ED9" w:rsidRDefault="00000000" w:rsidP="00435E6E">
      <w:pPr>
        <w:pStyle w:val="Heading1"/>
        <w:jc w:val="both"/>
      </w:pPr>
      <w:bookmarkStart w:id="2" w:name="objects-and-operations"/>
      <w:bookmarkEnd w:id="1"/>
      <w:r>
        <w:t>2 Objects and operations</w:t>
      </w:r>
    </w:p>
    <w:p w14:paraId="3D18EE62" w14:textId="77777777" w:rsidR="00AD4ED9" w:rsidRDefault="00000000" w:rsidP="00435E6E">
      <w:pPr>
        <w:pStyle w:val="FirstParagraph"/>
        <w:keepNext/>
        <w:jc w:val="both"/>
      </w:pPr>
      <w:r>
        <w:t xml:space="preserve">Let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be a finite graph. A cellular sheaf </w:t>
      </w:r>
      <m:oMath>
        <m:r>
          <m:rPr>
            <m:scr m:val="script"/>
            <m:sty m:val="p"/>
          </m:rPr>
          <w:rPr>
            <w:rFonts w:ascii="Cambria Math" w:hAnsi="Cambria Math"/>
          </w:rPr>
          <m:t>F</m:t>
        </m:r>
      </m:oMath>
      <w:r>
        <w:t xml:space="preserve"> assigns finite-dimensional real vector spaces to vertices and edges, with linear maps </w:t>
      </w:r>
      <m:oMath>
        <m:sSub>
          <m:sSubPr>
            <m:ctrlPr>
              <w:rPr>
                <w:rFonts w:ascii="Cambria Math" w:hAnsi="Cambria Math"/>
              </w:rPr>
            </m:ctrlPr>
          </m:sSub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Sub>
        <m:r>
          <m:rPr>
            <m:scr m:val="script"/>
            <m:sty m:val="p"/>
          </m:rPr>
          <w:rPr>
            <w:rFonts w:ascii="Cambria Math" w:hAnsi="Cambria Math"/>
          </w:rPr>
          <m:t>:F</m:t>
        </m:r>
        <m:d>
          <m:dPr>
            <m:ctrlPr>
              <w:rPr>
                <w:rFonts w:ascii="Cambria Math" w:hAnsi="Cambria Math"/>
              </w:rPr>
            </m:ctrlPr>
          </m:dPr>
          <m:e>
            <m:r>
              <w:rPr>
                <w:rFonts w:ascii="Cambria Math" w:hAnsi="Cambria Math"/>
              </w:rPr>
              <m:t>v</m:t>
            </m:r>
          </m:e>
        </m:d>
        <m:r>
          <m:rPr>
            <m:scr m:val="script"/>
            <m:sty m:val="p"/>
          </m:rPr>
          <w:rPr>
            <w:rFonts w:ascii="Cambria Math" w:hAnsi="Cambria Math"/>
          </w:rPr>
          <m:t>→F</m:t>
        </m:r>
        <m:d>
          <m:dPr>
            <m:ctrlPr>
              <w:rPr>
                <w:rFonts w:ascii="Cambria Math" w:hAnsi="Cambria Math"/>
              </w:rPr>
            </m:ctrlPr>
          </m:dPr>
          <m:e>
            <m:r>
              <w:rPr>
                <w:rFonts w:ascii="Cambria Math" w:hAnsi="Cambria Math"/>
              </w:rPr>
              <m:t>e</m:t>
            </m:r>
          </m:e>
        </m:d>
      </m:oMath>
      <w:r>
        <w:t xml:space="preserve"> for incident vertex-edge pairs. An orientation defines the coboundary</w:t>
      </w:r>
    </w:p>
    <w:p w14:paraId="007DFEC5"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F</m:t>
                      </m:r>
                    </m:sub>
                  </m:sSub>
                  <m:r>
                    <w:rPr>
                      <w:rFonts w:ascii="Cambria Math" w:hAnsi="Cambria Math"/>
                      <w:sz w:val="22"/>
                    </w:rPr>
                    <m:t>x</m:t>
                  </m:r>
                </m:e>
              </m:d>
            </m:e>
            <m:sub>
              <m:r>
                <w:rPr>
                  <w:rFonts w:ascii="Cambria Math" w:hAnsi="Cambria Math"/>
                  <w:sz w:val="22"/>
                </w:rPr>
                <m:t>e</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r</m:t>
              </m:r>
            </m:e>
            <m:sub>
              <m:r>
                <w:rPr>
                  <w:rFonts w:ascii="Cambria Math" w:hAnsi="Cambria Math"/>
                  <w:sz w:val="22"/>
                </w:rPr>
                <m:t>v</m:t>
              </m:r>
              <m:r>
                <m:rPr>
                  <m:sty m:val="p"/>
                </m:rPr>
                <w:rPr>
                  <w:rFonts w:ascii="Cambria Math" w:hAnsi="Cambria Math"/>
                  <w:sz w:val="22"/>
                </w:rPr>
                <m:t>,</m:t>
              </m:r>
              <m:r>
                <w:rPr>
                  <w:rFonts w:ascii="Cambria Math" w:hAnsi="Cambria Math"/>
                  <w:sz w:val="22"/>
                </w:rPr>
                <m:t>e</m:t>
              </m:r>
            </m:sub>
          </m:sSub>
          <m:sSub>
            <m:sSubPr>
              <m:ctrlPr>
                <w:rPr>
                  <w:rFonts w:ascii="Cambria Math" w:hAnsi="Cambria Math"/>
                </w:rPr>
              </m:ctrlPr>
            </m:sSubPr>
            <m:e>
              <m:r>
                <w:rPr>
                  <w:rFonts w:ascii="Cambria Math" w:hAnsi="Cambria Math"/>
                  <w:sz w:val="22"/>
                </w:rPr>
                <m:t>x</m:t>
              </m:r>
            </m:e>
            <m:sub>
              <m:r>
                <w:rPr>
                  <w:rFonts w:ascii="Cambria Math" w:hAnsi="Cambria Math"/>
                  <w:sz w:val="22"/>
                </w:rPr>
                <m:t>v</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r</m:t>
              </m:r>
            </m:e>
            <m:sub>
              <m:r>
                <w:rPr>
                  <w:rFonts w:ascii="Cambria Math" w:hAnsi="Cambria Math"/>
                  <w:sz w:val="22"/>
                </w:rPr>
                <m:t>u</m:t>
              </m:r>
              <m:r>
                <m:rPr>
                  <m:sty m:val="p"/>
                </m:rPr>
                <w:rPr>
                  <w:rFonts w:ascii="Cambria Math" w:hAnsi="Cambria Math"/>
                  <w:sz w:val="22"/>
                </w:rPr>
                <m:t>,</m:t>
              </m:r>
              <m:r>
                <w:rPr>
                  <w:rFonts w:ascii="Cambria Math" w:hAnsi="Cambria Math"/>
                  <w:sz w:val="22"/>
                </w:rPr>
                <m:t>e</m:t>
              </m:r>
            </m:sub>
          </m:sSub>
          <m:sSub>
            <m:sSubPr>
              <m:ctrlPr>
                <w:rPr>
                  <w:rFonts w:ascii="Cambria Math" w:hAnsi="Cambria Math"/>
                </w:rPr>
              </m:ctrlPr>
            </m:sSubPr>
            <m:e>
              <m:r>
                <w:rPr>
                  <w:rFonts w:ascii="Cambria Math" w:hAnsi="Cambria Math"/>
                  <w:sz w:val="22"/>
                </w:rPr>
                <m:t>x</m:t>
              </m:r>
            </m:e>
            <m:sub>
              <m:r>
                <w:rPr>
                  <w:rFonts w:ascii="Cambria Math" w:hAnsi="Cambria Math"/>
                  <w:sz w:val="22"/>
                </w:rPr>
                <m:t>u</m:t>
              </m:r>
            </m:sub>
          </m:sSub>
          <m:r>
            <m:rPr>
              <m:sty m:val="p"/>
            </m:rPr>
            <w:rPr>
              <w:rFonts w:ascii="Cambria Math" w:hAnsi="Cambria Math"/>
              <w:sz w:val="22"/>
            </w:rPr>
            <m:t>,</m:t>
          </m:r>
          <m:r>
            <w:rPr>
              <w:rFonts w:ascii="Cambria Math" w:hAnsi="Cambria Math"/>
              <w:sz w:val="22"/>
            </w:rPr>
            <m:t>  e</m:t>
          </m:r>
          <m:r>
            <m:rPr>
              <m:sty m:val="p"/>
            </m:rPr>
            <w:rPr>
              <w:rFonts w:ascii="Cambria Math" w:hAnsi="Cambria Math"/>
              <w:sz w:val="22"/>
            </w:rPr>
            <m:t>:</m:t>
          </m:r>
          <m:r>
            <w:rPr>
              <w:rFonts w:ascii="Cambria Math" w:hAnsi="Cambria Math"/>
              <w:sz w:val="22"/>
            </w:rPr>
            <m:t>u</m:t>
          </m:r>
          <m:r>
            <m:rPr>
              <m:sty m:val="p"/>
            </m:rPr>
            <w:rPr>
              <w:rFonts w:ascii="Cambria Math" w:hAnsi="Cambria Math"/>
              <w:sz w:val="22"/>
            </w:rPr>
            <m:t>→</m:t>
          </m:r>
          <m:r>
            <w:rPr>
              <w:rFonts w:ascii="Cambria Math" w:hAnsi="Cambria Math"/>
              <w:sz w:val="22"/>
            </w:rPr>
            <m:t>v</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m:t>
              </m:r>
            </m:e>
          </m:d>
        </m:oMath>
      </m:oMathPara>
    </w:p>
    <w:p w14:paraId="7CA384E2" w14:textId="77777777" w:rsidR="00AD4ED9" w:rsidRDefault="00000000" w:rsidP="00435E6E">
      <w:pPr>
        <w:pStyle w:val="FirstParagraph"/>
        <w:keepNext/>
        <w:jc w:val="both"/>
      </w:pPr>
      <w:r>
        <w:t xml:space="preserve">Write </w:t>
      </w:r>
      <m:oMath>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cr m:val="script"/>
            <m:sty m:val="p"/>
          </m:rPr>
          <w:rPr>
            <w:rFonts w:ascii="Cambria Math" w:hAnsi="Cambria Math"/>
          </w:rPr>
          <m:t>F</m:t>
        </m:r>
        <m:d>
          <m:dPr>
            <m:ctrlPr>
              <w:rPr>
                <w:rFonts w:ascii="Cambria Math" w:hAnsi="Cambria Math"/>
              </w:rPr>
            </m:ctrlPr>
          </m:dPr>
          <m:e>
            <m:r>
              <w:rPr>
                <w:rFonts w:ascii="Cambria Math" w:hAnsi="Cambria Math"/>
              </w:rPr>
              <m:t>v</m:t>
            </m:r>
          </m:e>
        </m:d>
      </m:oMath>
      <w:r>
        <w:t xml:space="preserve"> and </w:t>
      </w:r>
      <m:oMath>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cr m:val="script"/>
            <m:sty m:val="p"/>
          </m:rPr>
          <w:rPr>
            <w:rFonts w:ascii="Cambria Math" w:hAnsi="Cambria Math"/>
          </w:rPr>
          <m:t>F</m:t>
        </m:r>
        <m:d>
          <m:dPr>
            <m:ctrlPr>
              <w:rPr>
                <w:rFonts w:ascii="Cambria Math" w:hAnsi="Cambria Math"/>
              </w:rPr>
            </m:ctrlPr>
          </m:dPr>
          <m:e>
            <m:r>
              <w:rPr>
                <w:rFonts w:ascii="Cambria Math" w:hAnsi="Cambria Math"/>
              </w:rPr>
              <m:t>e</m:t>
            </m:r>
          </m:e>
        </m:d>
      </m:oMath>
      <w:r>
        <w:t>. On a graph,</w:t>
      </w:r>
    </w:p>
    <w:p w14:paraId="282DD095" w14:textId="77777777" w:rsidR="00AD4ED9" w:rsidRDefault="00000000" w:rsidP="00435E6E">
      <w:pPr>
        <w:pStyle w:val="BodyText"/>
        <w:keepLines/>
        <w:spacing w:before="100" w:after="140"/>
        <w:jc w:val="both"/>
      </w:pPr>
      <m:oMathPara>
        <m:oMathParaPr>
          <m:jc m:val="center"/>
        </m:oMathParaPr>
        <m:oMath>
          <m:sSup>
            <m:sSupPr>
              <m:ctrlPr>
                <w:rPr>
                  <w:rFonts w:ascii="Cambria Math" w:hAnsi="Cambria Math"/>
                </w:rPr>
              </m:ctrlPr>
            </m:sSupPr>
            <m:e>
              <m:r>
                <w:rPr>
                  <w:rFonts w:ascii="Cambria Math" w:hAnsi="Cambria Math"/>
                  <w:sz w:val="22"/>
                </w:rPr>
                <m:t>H</m:t>
              </m:r>
            </m:e>
            <m:sup>
              <m:r>
                <w:rPr>
                  <w:rFonts w:ascii="Cambria Math" w:hAnsi="Cambria Math"/>
                  <w:sz w:val="22"/>
                </w:rPr>
                <m:t>0</m:t>
              </m:r>
            </m:sup>
          </m:sSup>
          <m:d>
            <m:dPr>
              <m:ctrlPr>
                <w:rPr>
                  <w:rFonts w:ascii="Cambria Math" w:hAnsi="Cambria Math"/>
                </w:rPr>
              </m:ctrlPr>
            </m:dPr>
            <m:e>
              <m:r>
                <m:rPr>
                  <m:scr m:val="script"/>
                  <m:sty m:val="p"/>
                </m:rPr>
                <w:rPr>
                  <w:rFonts w:ascii="Cambria Math" w:hAnsi="Cambria Math"/>
                  <w:sz w:val="22"/>
                </w:rPr>
                <m:t>F</m:t>
              </m:r>
            </m:e>
          </m:d>
          <m:r>
            <m:rPr>
              <m:sty m:val="p"/>
            </m:rPr>
            <w:rPr>
              <w:rFonts w:ascii="Cambria Math" w:hAnsi="Cambria Math"/>
              <w:sz w:val="22"/>
            </w:rPr>
            <m:t>=ker</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F</m:t>
              </m:r>
            </m:sub>
          </m:sSub>
          <m:r>
            <m:rPr>
              <m:sty m:val="p"/>
            </m:rPr>
            <w:rPr>
              <w:rFonts w:ascii="Cambria Math" w:hAnsi="Cambria Math"/>
              <w:sz w:val="22"/>
            </w:rPr>
            <m:t>,</m:t>
          </m:r>
          <m:r>
            <w:rPr>
              <w:rFonts w:ascii="Cambria Math" w:hAnsi="Cambria Math"/>
              <w:sz w:val="22"/>
            </w:rPr>
            <m:t>  </m:t>
          </m:r>
          <m:sSup>
            <m:sSupPr>
              <m:ctrlPr>
                <w:rPr>
                  <w:rFonts w:ascii="Cambria Math" w:hAnsi="Cambria Math"/>
                </w:rPr>
              </m:ctrlPr>
            </m:sSupPr>
            <m:e>
              <m:r>
                <w:rPr>
                  <w:rFonts w:ascii="Cambria Math" w:hAnsi="Cambria Math"/>
                  <w:sz w:val="22"/>
                </w:rPr>
                <m:t>H</m:t>
              </m:r>
            </m:e>
            <m:sup>
              <m:r>
                <w:rPr>
                  <w:rFonts w:ascii="Cambria Math" w:hAnsi="Cambria Math"/>
                  <w:sz w:val="22"/>
                </w:rPr>
                <m:t>1</m:t>
              </m:r>
            </m:sup>
          </m:sSup>
          <m:d>
            <m:dPr>
              <m:ctrlPr>
                <w:rPr>
                  <w:rFonts w:ascii="Cambria Math" w:hAnsi="Cambria Math"/>
                </w:rPr>
              </m:ctrlPr>
            </m:dPr>
            <m:e>
              <m:r>
                <m:rPr>
                  <m:scr m:val="script"/>
                  <m:sty m:val="p"/>
                </m:rPr>
                <w:rPr>
                  <w:rFonts w:ascii="Cambria Math" w:hAnsi="Cambria Math"/>
                  <w:sz w:val="22"/>
                </w:rPr>
                <m:t>F</m:t>
              </m:r>
            </m:e>
          </m:d>
          <m:r>
            <m:rPr>
              <m:sty m:val="p"/>
            </m:rPr>
            <w:rPr>
              <w:rFonts w:ascii="Cambria Math" w:hAnsi="Cambria Math"/>
              <w:sz w:val="22"/>
            </w:rPr>
            <m:t>=</m:t>
          </m:r>
          <m:sSup>
            <m:sSupPr>
              <m:ctrlPr>
                <w:rPr>
                  <w:rFonts w:ascii="Cambria Math" w:hAnsi="Cambria Math"/>
                </w:rPr>
              </m:ctrlPr>
            </m:sSupPr>
            <m:e>
              <m:r>
                <w:rPr>
                  <w:rFonts w:ascii="Cambria Math" w:hAnsi="Cambria Math"/>
                  <w:sz w:val="22"/>
                </w:rPr>
                <m:t>C</m:t>
              </m:r>
            </m:e>
            <m:sup>
              <m:r>
                <w:rPr>
                  <w:rFonts w:ascii="Cambria Math" w:hAnsi="Cambria Math"/>
                  <w:sz w:val="22"/>
                </w:rPr>
                <m:t>1</m:t>
              </m:r>
            </m:sup>
          </m:sSup>
          <m:r>
            <m:rPr>
              <m:sty m:val="p"/>
            </m:rPr>
            <w:rPr>
              <w:rFonts w:ascii="Cambria Math" w:hAnsi="Cambria Math"/>
              <w:sz w:val="22"/>
            </w:rPr>
            <m:t>/im</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F</m:t>
              </m:r>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m:t>
              </m:r>
            </m:e>
          </m:d>
        </m:oMath>
      </m:oMathPara>
    </w:p>
    <w:p w14:paraId="00A7BA87" w14:textId="77777777" w:rsidR="00AD4ED9" w:rsidRDefault="00000000" w:rsidP="00435E6E">
      <w:pPr>
        <w:pStyle w:val="FirstParagraph"/>
        <w:jc w:val="both"/>
      </w:pPr>
      <w:r>
        <w:t xml:space="preserve">The first space contains compatible vertex assignments. The second records edge defects that cannot be removed by changing vertex assignments. On a higher-dimensional cell complex, the second formula becomes </w:t>
      </w:r>
      <m:oMath>
        <m:r>
          <m:rPr>
            <m:sty m:val="p"/>
          </m:rPr>
          <w:rPr>
            <w:rFonts w:ascii="Cambria Math" w:hAnsi="Cambria Math"/>
          </w:rPr>
          <m:t>ker</m:t>
        </m:r>
        <m:sSup>
          <m:sSupPr>
            <m:ctrlPr>
              <w:rPr>
                <w:rFonts w:ascii="Cambria Math" w:hAnsi="Cambria Math"/>
              </w:rPr>
            </m:ctrlPr>
          </m:sSupPr>
          <m:e>
            <m:r>
              <w:rPr>
                <w:rFonts w:ascii="Cambria Math" w:hAnsi="Cambria Math"/>
              </w:rPr>
              <m:t>δ</m:t>
            </m:r>
          </m:e>
          <m:sup>
            <m:r>
              <w:rPr>
                <w:rFonts w:ascii="Cambria Math" w:hAnsi="Cambria Math"/>
              </w:rPr>
              <m:t>1</m:t>
            </m:r>
          </m:sup>
        </m:sSup>
        <m:r>
          <m:rPr>
            <m:sty m:val="p"/>
          </m:rPr>
          <w:rPr>
            <w:rFonts w:ascii="Cambria Math" w:hAnsi="Cambria Math"/>
          </w:rPr>
          <m:t>/im</m:t>
        </m:r>
        <m:sSup>
          <m:sSupPr>
            <m:ctrlPr>
              <w:rPr>
                <w:rFonts w:ascii="Cambria Math" w:hAnsi="Cambria Math"/>
              </w:rPr>
            </m:ctrlPr>
          </m:sSupPr>
          <m:e>
            <m:r>
              <w:rPr>
                <w:rFonts w:ascii="Cambria Math" w:hAnsi="Cambria Math"/>
              </w:rPr>
              <m:t>δ</m:t>
            </m:r>
          </m:e>
          <m:sup>
            <m:r>
              <w:rPr>
                <w:rFonts w:ascii="Cambria Math" w:hAnsi="Cambria Math"/>
              </w:rPr>
              <m:t>0</m:t>
            </m:r>
          </m:sup>
        </m:sSup>
      </m:oMath>
      <w:r>
        <w:t>; omitting faces changes the problem [1].</w:t>
      </w:r>
    </w:p>
    <w:p w14:paraId="3DAB6AB7" w14:textId="77777777" w:rsidR="00AD4ED9" w:rsidRDefault="00000000" w:rsidP="00435E6E">
      <w:pPr>
        <w:pStyle w:val="BodyText"/>
        <w:jc w:val="both"/>
      </w:pPr>
      <w:r>
        <w:t>The meaning of a vertex is part of the model. It may denote a stored segment, an expert interface, or a computational state. An edge must specify a comparison that the application actually requires. A router transition is not automatically such a comparison. The zero assignment always satisfies homogeneous linear compatibility; a claim that an assembly fails must specify observations, boundary values, or coarse data that the assembly is required to retain.</w:t>
      </w:r>
    </w:p>
    <w:p w14:paraId="7429C59F" w14:textId="77777777" w:rsidR="00AD4ED9" w:rsidRDefault="00000000" w:rsidP="00435E6E">
      <w:pPr>
        <w:pStyle w:val="BodyText"/>
        <w:jc w:val="both"/>
      </w:pPr>
      <w:r>
        <w:t>Four operations must remain distinct. A restriction compares a local representation at an incident cell. A neural update computes a new representation and can be nonlinear. A codec stores an approximation and may use rounding or entropy coding. A router selects a computation. None becomes a restriction merely because it appears as an arrow in an architectural drawing.</w:t>
      </w:r>
    </w:p>
    <w:p w14:paraId="018F5396" w14:textId="77777777" w:rsidR="00AD4ED9" w:rsidRDefault="00000000" w:rsidP="00435E6E">
      <w:pPr>
        <w:pStyle w:val="BodyText"/>
        <w:keepNext/>
        <w:jc w:val="both"/>
      </w:pPr>
      <w:r>
        <w:lastRenderedPageBreak/>
        <w:t xml:space="preserve">For stored memory, a useful specification consists of a fine sheaf </w:t>
      </w:r>
      <m:oMath>
        <m:r>
          <m:rPr>
            <m:scr m:val="script"/>
            <m:sty m:val="p"/>
          </m:rPr>
          <w:rPr>
            <w:rFonts w:ascii="Cambria Math" w:hAnsi="Cambria Math"/>
          </w:rPr>
          <m:t>F</m:t>
        </m:r>
      </m:oMath>
      <w:r>
        <w:t xml:space="preserve">, a coarse sheaf </w:t>
      </w:r>
      <m:oMath>
        <m:r>
          <m:rPr>
            <m:scr m:val="script"/>
            <m:sty m:val="p"/>
          </m:rPr>
          <w:rPr>
            <w:rFonts w:ascii="Cambria Math" w:hAnsi="Cambria Math"/>
          </w:rPr>
          <m:t>G</m:t>
        </m:r>
      </m:oMath>
      <w:r>
        <w:t xml:space="preserve">, a stalkwise surjective sheaf morphism </w:t>
      </w:r>
      <m:oMath>
        <m:r>
          <w:rPr>
            <w:rFonts w:ascii="Cambria Math" w:hAnsi="Cambria Math"/>
          </w:rPr>
          <m:t>q</m:t>
        </m:r>
      </m:oMath>
      <w:r>
        <w:t xml:space="preserve">, a kernel sheaf </w:t>
      </w:r>
      <m:oMath>
        <m:r>
          <m:rPr>
            <m:scr m:val="script"/>
            <m:sty m:val="p"/>
          </m:rPr>
          <w:rPr>
            <w:rFonts w:ascii="Cambria Math" w:hAnsi="Cambria Math"/>
          </w:rPr>
          <m:t>K</m:t>
        </m:r>
      </m:oMath>
      <w:r>
        <w:t xml:space="preserve">, and a task readout </w:t>
      </w:r>
      <m:oMath>
        <m:r>
          <w:rPr>
            <w:rFonts w:ascii="Cambria Math" w:hAnsi="Cambria Math"/>
          </w:rPr>
          <m:t>T</m:t>
        </m:r>
      </m:oMath>
      <w:r>
        <w:t>. The maps must satisfy the commuting conditions that define a morphism. The exact sequence</w:t>
      </w:r>
    </w:p>
    <w:p w14:paraId="7286477A" w14:textId="77777777" w:rsidR="00AD4ED9" w:rsidRDefault="00000000" w:rsidP="00435E6E">
      <w:pPr>
        <w:pStyle w:val="BodyText"/>
        <w:keepLines/>
        <w:spacing w:before="100" w:after="140"/>
        <w:jc w:val="both"/>
      </w:pPr>
      <m:oMathPara>
        <m:oMathParaPr>
          <m:jc m:val="center"/>
        </m:oMathParaPr>
        <m:oMath>
          <m:r>
            <w:rPr>
              <w:rFonts w:ascii="Cambria Math" w:hAnsi="Cambria Math"/>
              <w:sz w:val="22"/>
            </w:rPr>
            <m:t>0</m:t>
          </m:r>
          <m:r>
            <m:rPr>
              <m:scr m:val="script"/>
              <m:sty m:val="p"/>
            </m:rPr>
            <w:rPr>
              <w:rFonts w:ascii="Cambria Math" w:hAnsi="Cambria Math"/>
              <w:sz w:val="22"/>
            </w:rPr>
            <m:t>→K→F</m:t>
          </m:r>
          <m:limUpp>
            <m:limUppPr>
              <m:ctrlPr>
                <w:rPr>
                  <w:rFonts w:ascii="Cambria Math" w:hAnsi="Cambria Math"/>
                </w:rPr>
              </m:ctrlPr>
            </m:limUppPr>
            <m:e>
              <m:r>
                <m:rPr>
                  <m:sty m:val="p"/>
                </m:rPr>
                <w:rPr>
                  <w:rFonts w:ascii="Cambria Math" w:hAnsi="Cambria Math"/>
                  <w:sz w:val="22"/>
                </w:rPr>
                <m:t>→</m:t>
              </m:r>
            </m:e>
            <m:lim>
              <m:r>
                <w:rPr>
                  <w:rFonts w:ascii="Cambria Math" w:hAnsi="Cambria Math"/>
                  <w:sz w:val="22"/>
                </w:rPr>
                <m:t>q</m:t>
              </m:r>
            </m:lim>
          </m:limUpp>
          <m:r>
            <m:rPr>
              <m:scr m:val="script"/>
              <m:sty m:val="p"/>
            </m:rPr>
            <w:rPr>
              <w:rFonts w:ascii="Cambria Math" w:hAnsi="Cambria Math"/>
              <w:sz w:val="22"/>
            </w:rPr>
            <m:t>G→</m:t>
          </m:r>
          <m:r>
            <w:rPr>
              <w:rFonts w:ascii="Cambria Math" w:hAnsi="Cambria Math"/>
              <w:sz w:val="22"/>
            </w:rPr>
            <m:t>0  </m:t>
          </m:r>
          <m:d>
            <m:dPr>
              <m:ctrlPr>
                <w:rPr>
                  <w:rFonts w:ascii="Cambria Math" w:hAnsi="Cambria Math"/>
                </w:rPr>
              </m:ctrlPr>
            </m:dPr>
            <m:e>
              <m:r>
                <w:rPr>
                  <w:rFonts w:ascii="Cambria Math" w:hAnsi="Cambria Math"/>
                  <w:sz w:val="22"/>
                </w:rPr>
                <m:t>3</m:t>
              </m:r>
            </m:e>
          </m:d>
        </m:oMath>
      </m:oMathPara>
    </w:p>
    <w:p w14:paraId="2471170C" w14:textId="77777777" w:rsidR="00AD4ED9" w:rsidRDefault="00000000" w:rsidP="00435E6E">
      <w:pPr>
        <w:pStyle w:val="FirstParagraph"/>
        <w:jc w:val="both"/>
      </w:pPr>
      <w:r>
        <w:t>then supports a lifting question. Without this specification, a statement that cohomology certifies memory composition has no defined object to test.</w:t>
      </w:r>
    </w:p>
    <w:p w14:paraId="218DF2D0" w14:textId="77777777" w:rsidR="00AD4ED9" w:rsidRDefault="00000000" w:rsidP="00435E6E">
      <w:pPr>
        <w:pStyle w:val="Heading1"/>
        <w:jc w:val="both"/>
      </w:pPr>
      <w:bookmarkStart w:id="3" w:name="X9978eb912e3e33c49e81e275826d54e84211d0b"/>
      <w:bookmarkEnd w:id="2"/>
      <w:r>
        <w:t>3 Structural relevance and the limits of cycle counting</w:t>
      </w:r>
    </w:p>
    <w:p w14:paraId="5DA8EC07" w14:textId="77777777" w:rsidR="00AD4ED9" w:rsidRDefault="00000000" w:rsidP="00435E6E">
      <w:pPr>
        <w:pStyle w:val="FirstParagraph"/>
        <w:keepNext/>
        <w:jc w:val="both"/>
      </w:pPr>
      <w:r>
        <w:t xml:space="preserve">The graph cycle rank is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oMath>
      <w:r>
        <w:t xml:space="preserve">, where </w:t>
      </w:r>
      <m:oMath>
        <m:r>
          <w:rPr>
            <w:rFonts w:ascii="Cambria Math" w:hAnsi="Cambria Math"/>
          </w:rPr>
          <m:t>c</m:t>
        </m:r>
      </m:oMath>
      <w:r>
        <w:t xml:space="preserve"> is the number of connected components. It is inexpensive to compute, but the sheaf quantity is</w:t>
      </w:r>
    </w:p>
    <w:p w14:paraId="3473B9E9" w14:textId="77777777" w:rsidR="00AD4ED9" w:rsidRDefault="00000000" w:rsidP="00435E6E">
      <w:pPr>
        <w:pStyle w:val="BodyText"/>
        <w:keepLines/>
        <w:spacing w:before="100" w:after="140"/>
        <w:jc w:val="both"/>
      </w:pPr>
      <m:oMathPara>
        <m:oMathParaPr>
          <m:jc m:val="center"/>
        </m:oMathParaPr>
        <m:oMath>
          <m:r>
            <m:rPr>
              <m:sty m:val="p"/>
            </m:rPr>
            <w:rPr>
              <w:rFonts w:ascii="Cambria Math" w:hAnsi="Cambria Math"/>
              <w:sz w:val="22"/>
            </w:rPr>
            <m:t>dim</m:t>
          </m:r>
          <m:sSup>
            <m:sSupPr>
              <m:ctrlPr>
                <w:rPr>
                  <w:rFonts w:ascii="Cambria Math" w:hAnsi="Cambria Math"/>
                </w:rPr>
              </m:ctrlPr>
            </m:sSupPr>
            <m:e>
              <m:r>
                <w:rPr>
                  <w:rFonts w:ascii="Cambria Math" w:hAnsi="Cambria Math"/>
                  <w:sz w:val="22"/>
                </w:rPr>
                <m:t>H</m:t>
              </m:r>
            </m:e>
            <m:sup>
              <m:r>
                <w:rPr>
                  <w:rFonts w:ascii="Cambria Math" w:hAnsi="Cambria Math"/>
                  <w:sz w:val="22"/>
                </w:rPr>
                <m:t>1</m:t>
              </m:r>
            </m:sup>
          </m:sSup>
          <m:d>
            <m:dPr>
              <m:ctrlPr>
                <w:rPr>
                  <w:rFonts w:ascii="Cambria Math" w:hAnsi="Cambria Math"/>
                </w:rPr>
              </m:ctrlPr>
            </m:dPr>
            <m:e>
              <m:r>
                <m:rPr>
                  <m:scr m:val="script"/>
                  <m:sty m:val="p"/>
                </m:rPr>
                <w:rPr>
                  <w:rFonts w:ascii="Cambria Math" w:hAnsi="Cambria Math"/>
                  <w:sz w:val="22"/>
                </w:rPr>
                <m:t>F</m:t>
              </m:r>
            </m:e>
          </m:d>
          <m:r>
            <m:rPr>
              <m:sty m:val="p"/>
            </m:rPr>
            <w:rPr>
              <w:rFonts w:ascii="Cambria Math" w:hAnsi="Cambria Math"/>
              <w:sz w:val="22"/>
            </w:rPr>
            <m:t>=</m:t>
          </m:r>
          <m:nary>
            <m:naryPr>
              <m:chr m:val="∑"/>
              <m:limLoc m:val="undOvr"/>
              <m:supHide m:val="1"/>
              <m:ctrlPr>
                <w:rPr>
                  <w:rFonts w:ascii="Cambria Math" w:hAnsi="Cambria Math"/>
                </w:rPr>
              </m:ctrlPr>
            </m:naryPr>
            <m:sub>
              <m:r>
                <w:rPr>
                  <w:rFonts w:ascii="Cambria Math" w:hAnsi="Cambria Math"/>
                  <w:sz w:val="22"/>
                </w:rPr>
                <m:t>e</m:t>
              </m:r>
            </m:sub>
            <m:sup>
              <m:r>
                <w:rPr>
                  <w:rFonts w:ascii="Cambria Math" w:hAnsi="Cambria Math"/>
                  <w:sz w:val="22"/>
                </w:rPr>
                <m:t>​</m:t>
              </m:r>
            </m:sup>
            <m:e>
              <m:r>
                <m:rPr>
                  <m:sty m:val="p"/>
                </m:rPr>
                <w:rPr>
                  <w:rFonts w:ascii="Cambria Math" w:hAnsi="Cambria Math"/>
                  <w:sz w:val="22"/>
                </w:rPr>
                <m:t>dim</m:t>
              </m:r>
            </m:e>
          </m:nary>
          <m:r>
            <m:rPr>
              <m:scr m:val="script"/>
              <m:sty m:val="p"/>
            </m:rPr>
            <w:rPr>
              <w:rFonts w:ascii="Cambria Math" w:hAnsi="Cambria Math"/>
              <w:sz w:val="22"/>
            </w:rPr>
            <m:t>F</m:t>
          </m:r>
          <m:d>
            <m:dPr>
              <m:ctrlPr>
                <w:rPr>
                  <w:rFonts w:ascii="Cambria Math" w:hAnsi="Cambria Math"/>
                </w:rPr>
              </m:ctrlPr>
            </m:dPr>
            <m:e>
              <m:r>
                <w:rPr>
                  <w:rFonts w:ascii="Cambria Math" w:hAnsi="Cambria Math"/>
                  <w:sz w:val="22"/>
                </w:rPr>
                <m:t>e</m:t>
              </m:r>
            </m:e>
          </m:d>
          <m:r>
            <m:rPr>
              <m:sty m:val="p"/>
            </m:rPr>
            <w:rPr>
              <w:rFonts w:ascii="Cambria Math" w:hAnsi="Cambria Math"/>
              <w:sz w:val="22"/>
            </w:rPr>
            <m:t>-rank</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F</m:t>
              </m:r>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4</m:t>
              </m:r>
            </m:e>
          </m:d>
        </m:oMath>
      </m:oMathPara>
    </w:p>
    <w:p w14:paraId="56AFF2AA" w14:textId="77777777" w:rsidR="00AD4ED9" w:rsidRDefault="00000000" w:rsidP="00435E6E">
      <w:pPr>
        <w:pStyle w:val="FirstParagraph"/>
        <w:jc w:val="both"/>
      </w:pPr>
      <w:r>
        <w:t>The two agree only in special cases, such as a scalar constant sheaf. C1 therefore examines the actual operator and the admissible observations.</w:t>
      </w:r>
    </w:p>
    <w:p w14:paraId="36FD477D" w14:textId="77777777" w:rsidR="00AD4ED9" w:rsidRDefault="00000000" w:rsidP="00435E6E">
      <w:pPr>
        <w:pStyle w:val="BodyText"/>
        <w:jc w:val="both"/>
      </w:pPr>
      <w:r>
        <w:rPr>
          <w:b/>
          <w:bCs/>
        </w:rPr>
        <w:t>Proposition 1.</w:t>
      </w:r>
      <w:r>
        <w:t xml:space="preserve"> On a rooted tree, if the restriction from each nonroot child vertex to its parent edge is surjective, then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r>
          <w:rPr>
            <w:rFonts w:ascii="Cambria Math" w:hAnsi="Cambria Math"/>
          </w:rPr>
          <m:t>0</m:t>
        </m:r>
      </m:oMath>
      <w:r>
        <w:t>.</w:t>
      </w:r>
    </w:p>
    <w:p w14:paraId="2DAC572F" w14:textId="77777777" w:rsidR="00AD4ED9" w:rsidRDefault="00000000" w:rsidP="00435E6E">
      <w:pPr>
        <w:pStyle w:val="BodyText"/>
        <w:jc w:val="both"/>
      </w:pPr>
      <w:r>
        <w:rPr>
          <w:b/>
          <w:bCs/>
        </w:rPr>
        <w:t>Proof.</w:t>
      </w:r>
      <w:r>
        <w:t xml:space="preserve"> Prescribe any edge defect and choose a root value. Proceed outward. At each edge, the parent contribution is already fixed and surjectivity permits a child value realizing the required remaining defect. Thus every edge assignment lies in the image of the coboundary.</w:t>
      </w:r>
    </w:p>
    <w:p w14:paraId="47997892" w14:textId="77777777" w:rsidR="00AD4ED9" w:rsidRDefault="00000000" w:rsidP="00435E6E">
      <w:pPr>
        <w:pStyle w:val="BodyText"/>
        <w:keepNext/>
        <w:jc w:val="both"/>
      </w:pPr>
      <w:r>
        <w:t xml:space="preserve">This does not imply that a section is determined uniquely by the root. A child restriction can have a kernel. With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at every vertex, </w:t>
      </w:r>
      <m:oMath>
        <m:r>
          <m:rPr>
            <m:scr m:val="double-struck"/>
            <m:sty m:val="p"/>
          </m:rPr>
          <w:rPr>
            <w:rFonts w:ascii="Cambria Math" w:hAnsi="Cambria Math"/>
          </w:rPr>
          <m:t>R</m:t>
        </m:r>
      </m:oMath>
      <w:r>
        <w:t xml:space="preserve"> at every edge, and both restrictions retaining the first coordinate, a tree with </w:t>
      </w:r>
      <m:oMath>
        <m:r>
          <w:rPr>
            <w:rFonts w:ascii="Cambria Math" w:hAnsi="Cambria Math"/>
          </w:rPr>
          <m:t>n</m:t>
        </m:r>
      </m:oMath>
      <w:r>
        <w:t xml:space="preserve"> vertices has</w:t>
      </w:r>
    </w:p>
    <w:p w14:paraId="65B3525A" w14:textId="77777777" w:rsidR="00AD4ED9" w:rsidRDefault="00000000" w:rsidP="00435E6E">
      <w:pPr>
        <w:pStyle w:val="BodyText"/>
        <w:keepLines/>
        <w:spacing w:before="100" w:after="140"/>
        <w:jc w:val="both"/>
      </w:pPr>
      <m:oMathPara>
        <m:oMathParaPr>
          <m:jc m:val="center"/>
        </m:oMathParaPr>
        <m:oMath>
          <m:r>
            <m:rPr>
              <m:sty m:val="p"/>
            </m:rPr>
            <w:rPr>
              <w:rFonts w:ascii="Cambria Math" w:hAnsi="Cambria Math"/>
              <w:sz w:val="22"/>
            </w:rPr>
            <m:t>dim</m:t>
          </m:r>
          <m:sSup>
            <m:sSupPr>
              <m:ctrlPr>
                <w:rPr>
                  <w:rFonts w:ascii="Cambria Math" w:hAnsi="Cambria Math"/>
                </w:rPr>
              </m:ctrlPr>
            </m:sSupPr>
            <m:e>
              <m:r>
                <w:rPr>
                  <w:rFonts w:ascii="Cambria Math" w:hAnsi="Cambria Math"/>
                  <w:sz w:val="22"/>
                </w:rPr>
                <m:t>H</m:t>
              </m:r>
            </m:e>
            <m:sup>
              <m:r>
                <w:rPr>
                  <w:rFonts w:ascii="Cambria Math" w:hAnsi="Cambria Math"/>
                  <w:sz w:val="22"/>
                </w:rPr>
                <m:t>0</m:t>
              </m:r>
            </m:sup>
          </m:sSup>
          <m:r>
            <m:rPr>
              <m:sty m:val="p"/>
            </m:rPr>
            <w:rPr>
              <w:rFonts w:ascii="Cambria Math" w:hAnsi="Cambria Math"/>
              <w:sz w:val="22"/>
            </w:rPr>
            <m:t>=</m:t>
          </m:r>
          <m:r>
            <w:rPr>
              <w:rFonts w:ascii="Cambria Math" w:hAnsi="Cambria Math"/>
              <w:sz w:val="22"/>
            </w:rPr>
            <m:t>2n</m:t>
          </m:r>
          <m:r>
            <m:rPr>
              <m:sty m:val="p"/>
            </m:rPr>
            <w:rPr>
              <w:rFonts w:ascii="Cambria Math" w:hAnsi="Cambria Math"/>
              <w:sz w:val="22"/>
            </w:rPr>
            <m:t>-</m:t>
          </m:r>
          <m:d>
            <m:dPr>
              <m:ctrlPr>
                <w:rPr>
                  <w:rFonts w:ascii="Cambria Math" w:hAnsi="Cambria Math"/>
                </w:rPr>
              </m:ctrlPr>
            </m:dPr>
            <m:e>
              <m:r>
                <w:rPr>
                  <w:rFonts w:ascii="Cambria Math" w:hAnsi="Cambria Math"/>
                  <w:sz w:val="22"/>
                </w:rPr>
                <m:t>n</m:t>
              </m:r>
              <m:r>
                <m:rPr>
                  <m:sty m:val="p"/>
                </m:rPr>
                <w:rPr>
                  <w:rFonts w:ascii="Cambria Math" w:hAnsi="Cambria Math"/>
                  <w:sz w:val="22"/>
                </w:rPr>
                <m:t>-</m:t>
              </m:r>
              <m:r>
                <w:rPr>
                  <w:rFonts w:ascii="Cambria Math" w:hAnsi="Cambria Math"/>
                  <w:sz w:val="22"/>
                </w:rPr>
                <m:t>1</m:t>
              </m:r>
            </m:e>
          </m:d>
          <m:r>
            <m:rPr>
              <m:sty m:val="p"/>
            </m:rPr>
            <w:rPr>
              <w:rFonts w:ascii="Cambria Math" w:hAnsi="Cambria Math"/>
              <w:sz w:val="22"/>
            </w:rPr>
            <m:t>=</m:t>
          </m:r>
          <m:r>
            <w:rPr>
              <w:rFonts w:ascii="Cambria Math" w:hAnsi="Cambria Math"/>
              <w:sz w:val="22"/>
            </w:rPr>
            <m:t>n</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5</m:t>
              </m:r>
            </m:e>
          </m:d>
        </m:oMath>
      </m:oMathPara>
    </w:p>
    <w:p w14:paraId="2B6B3451" w14:textId="77777777" w:rsidR="00AD4ED9" w:rsidRDefault="00000000" w:rsidP="00435E6E">
      <w:pPr>
        <w:pStyle w:val="FirstParagraph"/>
        <w:jc w:val="both"/>
      </w:pPr>
      <w:r>
        <w:t>The first coordinate is shared, while every vertex retains an independent second coordinate. Unique propagation requires stronger hypotheses, such as an invertible child restriction. The distinction matters for expert-specific private features.</w:t>
      </w:r>
    </w:p>
    <w:p w14:paraId="4AC2D74D" w14:textId="77777777" w:rsidR="00AD4ED9" w:rsidRDefault="00000000" w:rsidP="00435E6E">
      <w:pPr>
        <w:pStyle w:val="BodyText"/>
        <w:jc w:val="both"/>
      </w:pPr>
      <w:r>
        <w:t xml:space="preserve">Cycles also need not produce nonzero first cohomology. Put one-dimensional stalks on a three-cycle and use identity transport on two edges and negative identity on the third. A section must satisfy </w:t>
      </w:r>
      <m:oMath>
        <m:r>
          <w:rPr>
            <w:rFonts w:ascii="Cambria Math" w:hAnsi="Cambria Math"/>
          </w:rPr>
          <m:t>x</m:t>
        </m:r>
        <m:r>
          <m:rPr>
            <m:sty m:val="p"/>
          </m:rPr>
          <w:rPr>
            <w:rFonts w:ascii="Cambria Math" w:hAnsi="Cambria Math"/>
          </w:rPr>
          <m:t>=-</m:t>
        </m:r>
        <m:r>
          <w:rPr>
            <w:rFonts w:ascii="Cambria Math" w:hAnsi="Cambria Math"/>
          </w:rPr>
          <m:t>x</m:t>
        </m:r>
      </m:oMath>
      <w:r>
        <w:t xml:space="preserve"> after traversing the cycle, so it is zero. The square coboundary is invertible, giving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despite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1</m:t>
        </m:r>
      </m:oMath>
      <w:r>
        <w:t xml:space="preserve">. More generally, an invertible-transport cycle reduces to </w:t>
      </w:r>
      <m:oMath>
        <m:r>
          <w:rPr>
            <w:rFonts w:ascii="Cambria Math" w:hAnsi="Cambria Math"/>
          </w:rPr>
          <m:t>I</m:t>
        </m:r>
        <m:r>
          <m:rPr>
            <m:sty m:val="p"/>
          </m:rPr>
          <w:rPr>
            <w:rFonts w:ascii="Cambria Math" w:hAnsi="Cambria Math"/>
          </w:rPr>
          <m:t>-</m:t>
        </m:r>
        <m:r>
          <w:rPr>
            <w:rFonts w:ascii="Cambria Math" w:hAnsi="Cambria Math"/>
          </w:rPr>
          <m:t>H</m:t>
        </m:r>
      </m:oMath>
      <w:r>
        <w:t xml:space="preserve">, where </w:t>
      </w:r>
      <m:oMath>
        <m:r>
          <w:rPr>
            <w:rFonts w:ascii="Cambria Math" w:hAnsi="Cambria Math"/>
          </w:rPr>
          <m:t>H</m:t>
        </m:r>
      </m:oMath>
      <w:r>
        <w:t xml:space="preserve"> is its holonomy; the kernel and cokernel depend on </w:t>
      </w:r>
      <m:oMath>
        <m:r>
          <w:rPr>
            <w:rFonts w:ascii="Cambria Math" w:hAnsi="Cambria Math"/>
          </w:rPr>
          <m:t>H</m:t>
        </m:r>
      </m:oMath>
      <w:r>
        <w:t>, not only on the existence of the cycle.</w:t>
      </w:r>
    </w:p>
    <w:p w14:paraId="2FCA7094" w14:textId="77777777" w:rsidR="00AD4ED9" w:rsidRDefault="00000000" w:rsidP="00435E6E">
      <w:pPr>
        <w:pStyle w:val="BodyText"/>
        <w:jc w:val="both"/>
      </w:pPr>
      <w:r>
        <w:t xml:space="preserve">A tree can instead support a genuine lifting obstruction. On a single edge, let the fine stalks be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with identity restrictions. Let the coarse vertex stalks retain only coordinate </w:t>
      </w:r>
      <m:oMath>
        <m:r>
          <w:rPr>
            <w:rFonts w:ascii="Cambria Math" w:hAnsi="Cambria Math"/>
          </w:rPr>
          <m:t>a</m:t>
        </m:r>
      </m:oMath>
      <w:r>
        <w:t xml:space="preserve">, and let the coarse edge stalk be zero. The kernel has coordinate </w:t>
      </w:r>
      <m:oMath>
        <m:r>
          <w:rPr>
            <w:rFonts w:ascii="Cambria Math" w:hAnsi="Cambria Math"/>
          </w:rPr>
          <m:t>b</m:t>
        </m:r>
      </m:oMath>
      <w:r>
        <w:t xml:space="preserve"> at vertices but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at the edge. Its coboundary reaches only the second coordinate, so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m:rPr>
                <m:scr m:val="script"/>
                <m:sty m:val="p"/>
              </m:rPr>
              <w:rPr>
                <w:rFonts w:ascii="Cambria Math" w:hAnsi="Cambria Math"/>
              </w:rPr>
              <m:t>K</m:t>
            </m:r>
          </m:e>
        </m:d>
      </m:oMath>
      <w:r>
        <w:t xml:space="preserve"> is one-dimensional. Every coarse pair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oMath>
      <w:r>
        <w:t xml:space="preserve"> is compatible, but a fine lift exists only when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w:t>
      </w:r>
    </w:p>
    <w:p w14:paraId="044D9BCF" w14:textId="77777777" w:rsidR="00AD4ED9" w:rsidRDefault="00000000" w:rsidP="00435E6E">
      <w:pPr>
        <w:pStyle w:val="BodyText"/>
        <w:keepNext/>
        <w:jc w:val="both"/>
      </w:pPr>
      <w:r>
        <w:t>For a general lifting problem on a graph, choose linear stalk splittings and write</w:t>
      </w:r>
    </w:p>
    <w:p w14:paraId="305F16F6"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F</m:t>
              </m:r>
            </m:sub>
          </m:sSub>
          <m:d>
            <m:dPr>
              <m:ctrlPr>
                <w:rPr>
                  <w:rFonts w:ascii="Cambria Math" w:hAnsi="Cambria Math"/>
                </w:rPr>
              </m:ctrlPr>
            </m:dPr>
            <m:e>
              <m:r>
                <w:rPr>
                  <w:rFonts w:ascii="Cambria Math" w:hAnsi="Cambria Math"/>
                  <w:sz w:val="22"/>
                </w:rPr>
                <m:t>s</m:t>
              </m:r>
              <m:r>
                <m:rPr>
                  <m:sty m:val="p"/>
                </m:rPr>
                <w:rPr>
                  <w:rFonts w:ascii="Cambria Math" w:hAnsi="Cambria Math"/>
                  <w:sz w:val="22"/>
                </w:rPr>
                <m:t>,</m:t>
              </m:r>
              <m:r>
                <w:rPr>
                  <w:rFonts w:ascii="Cambria Math" w:hAnsi="Cambria Math"/>
                  <w:sz w:val="22"/>
                </w:rPr>
                <m:t>z</m:t>
              </m:r>
            </m:e>
          </m:d>
          <m:r>
            <m:rPr>
              <m:sty m:val="p"/>
            </m:rPr>
            <w:rPr>
              <w:rFonts w:ascii="Cambria Math" w:hAnsi="Cambria Math"/>
              <w:sz w:val="22"/>
            </w:rPr>
            <m:t>=</m:t>
          </m:r>
          <m:d>
            <m:dPr>
              <m:ctrlPr>
                <w:rPr>
                  <w:rFonts w:ascii="Cambria Math" w:hAnsi="Cambria Math"/>
                </w:rPr>
              </m:ctrlPr>
            </m:dPr>
            <m:e>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G</m:t>
                  </m:r>
                </m:sub>
              </m:sSub>
              <m:r>
                <w:rPr>
                  <w:rFonts w:ascii="Cambria Math" w:hAnsi="Cambria Math"/>
                  <w:sz w:val="22"/>
                </w:rPr>
                <m:t>s</m:t>
              </m:r>
              <m:r>
                <m:rPr>
                  <m:sty m:val="p"/>
                </m:rPr>
                <w:rPr>
                  <w:rFonts w:ascii="Cambria Math" w:hAnsi="Cambria Math"/>
                  <w:sz w:val="22"/>
                </w:rPr>
                <m:t>,</m:t>
              </m:r>
              <m:r>
                <w:rPr>
                  <w:rFonts w:ascii="Cambria Math" w:hAnsi="Cambria Math"/>
                  <w:sz w:val="22"/>
                </w:rPr>
                <m:t> Bs</m:t>
              </m:r>
              <m:r>
                <m:rPr>
                  <m:sty m:val="p"/>
                </m:rPr>
                <w:rPr>
                  <w:rFonts w:ascii="Cambria Math" w:hAnsi="Cambria Math"/>
                  <w:sz w:val="22"/>
                </w:rPr>
                <m:t>+</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K</m:t>
                  </m:r>
                </m:sub>
              </m:sSub>
              <m:r>
                <w:rPr>
                  <w:rFonts w:ascii="Cambria Math" w:hAnsi="Cambria Math"/>
                  <w:sz w:val="22"/>
                </w:rPr>
                <m:t>z</m:t>
              </m:r>
            </m:e>
          </m:d>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6</m:t>
              </m:r>
            </m:e>
          </m:d>
        </m:oMath>
      </m:oMathPara>
    </w:p>
    <w:p w14:paraId="4B00AF23" w14:textId="77777777" w:rsidR="00AD4ED9" w:rsidRDefault="00000000" w:rsidP="00435E6E">
      <w:pPr>
        <w:pStyle w:val="FirstParagraph"/>
        <w:keepNext/>
        <w:jc w:val="both"/>
      </w:pPr>
      <w:r>
        <w:lastRenderedPageBreak/>
        <w:t xml:space="preserve">When </w:t>
      </w:r>
      <m:oMath>
        <m:sSub>
          <m:sSubPr>
            <m:ctrlPr>
              <w:rPr>
                <w:rFonts w:ascii="Cambria Math" w:hAnsi="Cambria Math"/>
              </w:rPr>
            </m:ctrlPr>
          </m:sSubPr>
          <m:e>
            <m:r>
              <w:rPr>
                <w:rFonts w:ascii="Cambria Math" w:hAnsi="Cambria Math"/>
              </w:rPr>
              <m:t>δ</m:t>
            </m:r>
          </m:e>
          <m:sub>
            <m:r>
              <m:rPr>
                <m:scr m:val="script"/>
                <m:sty m:val="p"/>
              </m:rPr>
              <w:rPr>
                <w:rFonts w:ascii="Cambria Math" w:hAnsi="Cambria Math"/>
              </w:rPr>
              <m:t>G</m:t>
            </m:r>
          </m:sub>
        </m:sSub>
        <m:r>
          <w:rPr>
            <w:rFonts w:ascii="Cambria Math" w:hAnsi="Cambria Math"/>
          </w:rPr>
          <m:t>s</m:t>
        </m:r>
        <m:r>
          <m:rPr>
            <m:sty m:val="p"/>
          </m:rPr>
          <w:rPr>
            <w:rFonts w:ascii="Cambria Math" w:hAnsi="Cambria Math"/>
          </w:rPr>
          <m:t>=</m:t>
        </m:r>
        <m:r>
          <w:rPr>
            <w:rFonts w:ascii="Cambria Math" w:hAnsi="Cambria Math"/>
          </w:rPr>
          <m:t>0</m:t>
        </m:r>
      </m:oMath>
      <w:r>
        <w:t xml:space="preserve">, a fine lift exists precisely when </w:t>
      </w:r>
      <m:oMath>
        <m:d>
          <m:dPr>
            <m:begChr m:val="["/>
            <m:endChr m:val="]"/>
            <m:ctrlPr>
              <w:rPr>
                <w:rFonts w:ascii="Cambria Math" w:hAnsi="Cambria Math"/>
              </w:rPr>
            </m:ctrlPr>
          </m:dPr>
          <m:e>
            <m:r>
              <w:rPr>
                <w:rFonts w:ascii="Cambria Math" w:hAnsi="Cambria Math"/>
              </w:rPr>
              <m:t>Bs</m:t>
            </m:r>
          </m:e>
        </m:d>
        <m:r>
          <m:rPr>
            <m:sty m:val="p"/>
          </m:rPr>
          <w:rPr>
            <w:rFonts w:ascii="Cambria Math" w:hAnsi="Cambria Math"/>
          </w:rPr>
          <m:t>=</m:t>
        </m:r>
        <m:r>
          <w:rPr>
            <w:rFonts w:ascii="Cambria Math" w:hAnsi="Cambria Math"/>
          </w:rPr>
          <m:t>0</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m:rPr>
                <m:scr m:val="script"/>
                <m:sty m:val="p"/>
              </m:rPr>
              <w:rPr>
                <w:rFonts w:ascii="Cambria Math" w:hAnsi="Cambria Math"/>
              </w:rPr>
              <m:t>K</m:t>
            </m:r>
          </m:e>
        </m:d>
      </m:oMath>
      <w:r>
        <w:t>. In declared Euclidean coordinates, define</w:t>
      </w:r>
    </w:p>
    <w:p w14:paraId="744BAE66" w14:textId="77777777" w:rsidR="00AD4ED9" w:rsidRDefault="00000000" w:rsidP="00435E6E">
      <w:pPr>
        <w:pStyle w:val="BodyText"/>
        <w:keepLines/>
        <w:spacing w:before="100" w:after="140"/>
        <w:jc w:val="both"/>
      </w:pPr>
      <m:oMathPara>
        <m:oMathParaPr>
          <m:jc m:val="center"/>
        </m:oMathParaPr>
        <m:oMath>
          <m:r>
            <m:rPr>
              <m:scr m:val="script"/>
              <m:sty m:val="p"/>
            </m:rPr>
            <w:rPr>
              <w:rFonts w:ascii="Cambria Math" w:hAnsi="Cambria Math"/>
              <w:sz w:val="22"/>
            </w:rPr>
            <m:t>O=</m:t>
          </m:r>
          <m:d>
            <m:dPr>
              <m:ctrlPr>
                <w:rPr>
                  <w:rFonts w:ascii="Cambria Math" w:hAnsi="Cambria Math"/>
                </w:rPr>
              </m:ctrlPr>
            </m:dPr>
            <m:e>
              <m:r>
                <w:rPr>
                  <w:rFonts w:ascii="Cambria Math" w:hAnsi="Cambria Math"/>
                  <w:sz w:val="22"/>
                </w:rPr>
                <m:t>I</m:t>
              </m:r>
              <m:r>
                <m:rPr>
                  <m:sty m:val="p"/>
                </m:rPr>
                <w:rPr>
                  <w:rFonts w:ascii="Cambria Math" w:hAnsi="Cambria Math"/>
                  <w:sz w:val="22"/>
                </w:rPr>
                <m:t>-</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K</m:t>
                  </m:r>
                </m:sub>
              </m:sSub>
              <m:sSubSup>
                <m:sSubSupPr>
                  <m:ctrlPr>
                    <w:rPr>
                      <w:rFonts w:ascii="Cambria Math" w:hAnsi="Cambria Math"/>
                    </w:rPr>
                  </m:ctrlPr>
                </m:sSubSupPr>
                <m:e>
                  <m:r>
                    <w:rPr>
                      <w:rFonts w:ascii="Cambria Math" w:hAnsi="Cambria Math"/>
                      <w:sz w:val="22"/>
                    </w:rPr>
                    <m:t>δ</m:t>
                  </m:r>
                </m:e>
                <m:sub>
                  <m:r>
                    <m:rPr>
                      <m:scr m:val="script"/>
                      <m:sty m:val="p"/>
                    </m:rPr>
                    <w:rPr>
                      <w:rFonts w:ascii="Cambria Math" w:hAnsi="Cambria Math"/>
                      <w:sz w:val="22"/>
                    </w:rPr>
                    <m:t>K</m:t>
                  </m:r>
                </m:sub>
                <m:sup>
                  <m:r>
                    <m:rPr>
                      <m:sty m:val="p"/>
                    </m:rPr>
                    <w:rPr>
                      <w:rFonts w:ascii="Cambria Math" w:hAnsi="Cambria Math"/>
                      <w:sz w:val="22"/>
                    </w:rPr>
                    <m:t>†</m:t>
                  </m:r>
                </m:sup>
              </m:sSubSup>
            </m:e>
          </m:d>
          <m:r>
            <w:rPr>
              <w:rFonts w:ascii="Cambria Math" w:hAnsi="Cambria Math"/>
              <w:sz w:val="22"/>
            </w:rPr>
            <m:t>B</m:t>
          </m:r>
          <m:sSub>
            <m:sSubPr>
              <m:ctrlPr>
                <w:rPr>
                  <w:rFonts w:ascii="Cambria Math" w:hAnsi="Cambria Math"/>
                </w:rPr>
              </m:ctrlPr>
            </m:sSubPr>
            <m:e>
              <m:r>
                <m:rPr>
                  <m:sty m:val="p"/>
                </m:rPr>
                <w:rPr>
                  <w:rFonts w:ascii="Cambria Math" w:hAnsi="Cambria Math"/>
                  <w:sz w:val="22"/>
                </w:rPr>
                <m:t>|</m:t>
              </m:r>
            </m:e>
            <m:sub>
              <m:r>
                <m:rPr>
                  <m:sty m:val="p"/>
                </m:rPr>
                <w:rPr>
                  <w:rFonts w:ascii="Cambria Math" w:hAnsi="Cambria Math"/>
                  <w:sz w:val="22"/>
                </w:rPr>
                <m:t>ker</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G</m:t>
                  </m:r>
                </m:sub>
              </m:sSub>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7</m:t>
              </m:r>
            </m:e>
          </m:d>
        </m:oMath>
      </m:oMathPara>
    </w:p>
    <w:p w14:paraId="166E7359" w14:textId="77777777" w:rsidR="00AD4ED9" w:rsidRDefault="00000000" w:rsidP="00435E6E">
      <w:pPr>
        <w:pStyle w:val="FirstParagraph"/>
        <w:jc w:val="both"/>
      </w:pPr>
      <w:r>
        <w:t xml:space="preserve">Here </w:t>
      </w:r>
      <m:oMath>
        <m:r>
          <m:rPr>
            <m:sty m:val="p"/>
          </m:rPr>
          <w:rPr>
            <w:rFonts w:ascii="Cambria Math" w:hAnsi="Cambria Math"/>
          </w:rPr>
          <m:t>†</m:t>
        </m:r>
      </m:oMath>
      <w:r>
        <w:t xml:space="preserve"> is the Moore-Penrose inverse. The residual </w:t>
      </w:r>
      <m:oMath>
        <m:r>
          <m:rPr>
            <m:scr m:val="script"/>
            <m:sty m:val="p"/>
          </m:rPr>
          <w:rPr>
            <w:rFonts w:ascii="Cambria Math" w:hAnsi="Cambria Math"/>
          </w:rPr>
          <m:t>∥O</m:t>
        </m:r>
        <m:r>
          <w:rPr>
            <w:rFonts w:ascii="Cambria Math" w:hAnsi="Cambria Math"/>
          </w:rPr>
          <m:t>s</m:t>
        </m:r>
        <m:r>
          <m:rPr>
            <m:sty m:val="p"/>
          </m:rPr>
          <w:rPr>
            <w:rFonts w:ascii="Cambria Math" w:hAnsi="Cambria Math"/>
          </w:rPr>
          <m:t>∥</m:t>
        </m:r>
      </m:oMath>
      <w:r>
        <w:t xml:space="preserve"> tests the particular assembly. Its magnitude depends on units and metrics, while its exact vanishing is algebraic. A nonzero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m:rPr>
                <m:scr m:val="script"/>
                <m:sty m:val="p"/>
              </m:rPr>
              <w:rPr>
                <w:rFonts w:ascii="Cambria Math" w:hAnsi="Cambria Math"/>
              </w:rPr>
              <m:t>K</m:t>
            </m:r>
          </m:e>
        </m:d>
      </m:oMath>
      <w:r>
        <w:t xml:space="preserve"> only supplies a possible obstruction space. If </w:t>
      </w:r>
      <m:oMath>
        <m:r>
          <w:rPr>
            <w:rFonts w:ascii="Cambria Math" w:hAnsi="Cambria Math"/>
          </w:rPr>
          <m:t>B</m:t>
        </m:r>
        <m:r>
          <m:rPr>
            <m:sty m:val="p"/>
          </m:rPr>
          <w:rPr>
            <w:rFonts w:ascii="Cambria Math" w:hAnsi="Cambria Math"/>
          </w:rPr>
          <m:t>=</m:t>
        </m:r>
        <m:r>
          <w:rPr>
            <w:rFonts w:ascii="Cambria Math" w:hAnsi="Cambria Math"/>
          </w:rPr>
          <m:t>0</m:t>
        </m:r>
      </m:oMath>
      <w:r>
        <w:t xml:space="preserve">, the extension splits and every coarse section lifts. Even when </w:t>
      </w:r>
      <m:oMath>
        <m:r>
          <m:rPr>
            <m:scr m:val="script"/>
            <m:sty m:val="p"/>
          </m:rPr>
          <w:rPr>
            <w:rFonts w:ascii="Cambria Math" w:hAnsi="Cambria Math"/>
          </w:rPr>
          <m:t>O≠</m:t>
        </m:r>
        <m:r>
          <w:rPr>
            <w:rFonts w:ascii="Cambria Math" w:hAnsi="Cambria Math"/>
          </w:rPr>
          <m:t>0</m:t>
        </m:r>
      </m:oMath>
      <w:r>
        <w:t>, it may vanish on all observations reached by an application.</w:t>
      </w:r>
    </w:p>
    <w:p w14:paraId="264BCD37" w14:textId="77777777" w:rsidR="00AD4ED9" w:rsidRDefault="00000000" w:rsidP="00435E6E">
      <w:pPr>
        <w:pStyle w:val="BodyText"/>
        <w:jc w:val="both"/>
      </w:pPr>
      <w:r>
        <w:t xml:space="preserve">The corrected structural screen is therefore to compute the ranks of </w:t>
      </w:r>
      <m:oMath>
        <m:r>
          <w:rPr>
            <w:rFonts w:ascii="Cambria Math" w:hAnsi="Cambria Math"/>
          </w:rPr>
          <m:t>δ</m:t>
        </m:r>
      </m:oMath>
      <w:r>
        <w:t xml:space="preserve"> and </w:t>
      </w:r>
      <m:oMath>
        <m:r>
          <m:rPr>
            <m:scr m:val="script"/>
            <m:sty m:val="p"/>
          </m:rPr>
          <w:rPr>
            <w:rFonts w:ascii="Cambria Math" w:hAnsi="Cambria Math"/>
          </w:rPr>
          <m:t>O</m:t>
        </m:r>
      </m:oMath>
      <w:r>
        <w:t>, identify the observation set, and exhibit an admissible example whose decision changes when the relevant compatibility requirement is removed. A failed screen terminates that obstruction claim, not every possible use of sheaf structure.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306"/>
        <w:gridCol w:w="3159"/>
        <w:gridCol w:w="3527"/>
      </w:tblGrid>
      <w:tr w:rsidR="00AD4ED9" w14:paraId="1074AEFC" w14:textId="77777777" w:rsidTr="00AD4ED9">
        <w:trPr>
          <w:cnfStyle w:val="100000000000" w:firstRow="1" w:lastRow="0" w:firstColumn="0" w:lastColumn="0" w:oddVBand="0" w:evenVBand="0" w:oddHBand="0" w:evenHBand="0" w:firstRowFirstColumn="0" w:firstRowLastColumn="0" w:lastRowFirstColumn="0" w:lastRowLastColumn="0"/>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450C6D14" w14:textId="77777777" w:rsidR="00AD4ED9" w:rsidRDefault="00000000" w:rsidP="00435E6E">
            <w:pPr>
              <w:pStyle w:val="Compact"/>
              <w:keepNext/>
              <w:spacing w:before="0" w:after="20" w:line="252" w:lineRule="auto"/>
              <w:jc w:val="both"/>
            </w:pPr>
            <w:r>
              <w:rPr>
                <w:b/>
                <w:sz w:val="21"/>
              </w:rPr>
              <w:t>Construction</w:t>
            </w:r>
          </w:p>
        </w:tc>
        <w:tc>
          <w:tcPr>
            <w:tcW w:w="3096"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08C177A7" w14:textId="77777777" w:rsidR="00AD4ED9" w:rsidRDefault="00000000" w:rsidP="00435E6E">
            <w:pPr>
              <w:pStyle w:val="Compact"/>
              <w:keepNext/>
              <w:spacing w:before="0" w:after="20" w:line="252" w:lineRule="auto"/>
              <w:jc w:val="both"/>
            </w:pPr>
            <w:r>
              <w:rPr>
                <w:b/>
                <w:sz w:val="21"/>
              </w:rPr>
              <w:t>Structural fact</w:t>
            </w:r>
          </w:p>
        </w:tc>
        <w:tc>
          <w:tcPr>
            <w:tcW w:w="3456"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0117FDEA" w14:textId="77777777" w:rsidR="00AD4ED9" w:rsidRDefault="00000000" w:rsidP="00435E6E">
            <w:pPr>
              <w:pStyle w:val="Compact"/>
              <w:keepNext/>
              <w:spacing w:before="0" w:after="20" w:line="252" w:lineRule="auto"/>
              <w:jc w:val="both"/>
            </w:pPr>
            <w:r>
              <w:rPr>
                <w:b/>
                <w:sz w:val="21"/>
              </w:rPr>
              <w:t>Consequence for the audit</w:t>
            </w:r>
          </w:p>
        </w:tc>
      </w:tr>
      <w:tr w:rsidR="00AD4ED9" w14:paraId="32AD9677" w14:textId="77777777" w:rsidTr="00AD4ED9">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69BD22" w14:textId="77777777" w:rsidR="00AD4ED9" w:rsidRDefault="00000000" w:rsidP="00435E6E">
            <w:pPr>
              <w:pStyle w:val="Compact"/>
              <w:spacing w:before="0" w:after="20" w:line="252" w:lineRule="auto"/>
              <w:jc w:val="both"/>
            </w:pPr>
            <w:r>
              <w:rPr>
                <w:sz w:val="21"/>
              </w:rPr>
              <w:t>Tree with surjective child restrictions</w:t>
            </w:r>
          </w:p>
        </w:tc>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E89A08C" w14:textId="77777777" w:rsidR="00AD4ED9" w:rsidRDefault="00000000" w:rsidP="00435E6E">
            <w:pPr>
              <w:pStyle w:val="Compact"/>
              <w:spacing w:before="0" w:after="20" w:line="252" w:lineRule="auto"/>
              <w:jc w:val="both"/>
            </w:pPr>
            <w:r>
              <w:rPr>
                <w:sz w:val="21"/>
              </w:rPr>
              <w:t>First cohomology vanishes</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E0FF43" w14:textId="77777777" w:rsidR="00AD4ED9" w:rsidRDefault="00000000" w:rsidP="00435E6E">
            <w:pPr>
              <w:pStyle w:val="Compact"/>
              <w:spacing w:before="0" w:after="20" w:line="252" w:lineRule="auto"/>
              <w:jc w:val="both"/>
            </w:pPr>
            <w:r>
              <w:rPr>
                <w:sz w:val="21"/>
              </w:rPr>
              <w:t>No degree-one obstruction from that sheaf</w:t>
            </w:r>
          </w:p>
        </w:tc>
      </w:tr>
      <w:tr w:rsidR="00AD4ED9" w14:paraId="664ECC87" w14:textId="77777777" w:rsidTr="00AD4ED9">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722700" w14:textId="77777777" w:rsidR="00AD4ED9" w:rsidRDefault="00000000" w:rsidP="00435E6E">
            <w:pPr>
              <w:pStyle w:val="Compact"/>
              <w:spacing w:before="0" w:after="20" w:line="252" w:lineRule="auto"/>
              <w:jc w:val="both"/>
            </w:pPr>
            <w:r>
              <w:rPr>
                <w:sz w:val="21"/>
              </w:rPr>
              <w:t>Tree with private coordinate kernels</w:t>
            </w:r>
          </w:p>
        </w:tc>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E4F07AF" w14:textId="77777777" w:rsidR="00AD4ED9" w:rsidRDefault="00000000" w:rsidP="00435E6E">
            <w:pPr>
              <w:pStyle w:val="Compact"/>
              <w:spacing w:before="0" w:after="20" w:line="252" w:lineRule="auto"/>
              <w:jc w:val="both"/>
            </w:pPr>
            <w:r>
              <w:rPr>
                <w:sz w:val="21"/>
              </w:rPr>
              <w:t>Root does not fix the whole section</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E6B8DE" w14:textId="77777777" w:rsidR="00AD4ED9" w:rsidRDefault="00000000" w:rsidP="00435E6E">
            <w:pPr>
              <w:pStyle w:val="Compact"/>
              <w:spacing w:before="0" w:after="20" w:line="252" w:lineRule="auto"/>
              <w:jc w:val="both"/>
            </w:pPr>
            <w:r>
              <w:rPr>
                <w:sz w:val="21"/>
              </w:rPr>
              <w:t>Count private degrees of freedom</w:t>
            </w:r>
          </w:p>
        </w:tc>
      </w:tr>
      <w:tr w:rsidR="00AD4ED9" w14:paraId="324396FC" w14:textId="77777777" w:rsidTr="00AD4ED9">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093380" w14:textId="77777777" w:rsidR="00AD4ED9" w:rsidRDefault="00000000" w:rsidP="00435E6E">
            <w:pPr>
              <w:pStyle w:val="Compact"/>
              <w:spacing w:before="0" w:after="20" w:line="252" w:lineRule="auto"/>
              <w:jc w:val="both"/>
            </w:pPr>
            <w:r>
              <w:rPr>
                <w:sz w:val="21"/>
              </w:rPr>
              <w:t>Cycle with negative scalar holonomy</w:t>
            </w:r>
          </w:p>
        </w:tc>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09BB40" w14:textId="77777777" w:rsidR="00AD4ED9" w:rsidRDefault="00000000" w:rsidP="00435E6E">
            <w:pPr>
              <w:pStyle w:val="Compact"/>
              <w:spacing w:before="0" w:after="20" w:line="252" w:lineRule="auto"/>
              <w:jc w:val="both"/>
            </w:pPr>
            <w:r>
              <w:rPr>
                <w:sz w:val="21"/>
              </w:rPr>
              <w:t>Cycle rank one but first cohomology zero</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614291" w14:textId="77777777" w:rsidR="00AD4ED9" w:rsidRDefault="00000000" w:rsidP="00435E6E">
            <w:pPr>
              <w:pStyle w:val="Compact"/>
              <w:spacing w:before="0" w:after="20" w:line="252" w:lineRule="auto"/>
              <w:jc w:val="both"/>
            </w:pPr>
            <w:r>
              <w:rPr>
                <w:sz w:val="21"/>
              </w:rPr>
              <w:t>Cycle count is insufficient</w:t>
            </w:r>
          </w:p>
        </w:tc>
      </w:tr>
      <w:tr w:rsidR="00AD4ED9" w14:paraId="3751D529" w14:textId="77777777" w:rsidTr="00AD4ED9">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6040102" w14:textId="77777777" w:rsidR="00AD4ED9" w:rsidRDefault="00000000" w:rsidP="00435E6E">
            <w:pPr>
              <w:pStyle w:val="Compact"/>
              <w:spacing w:before="0" w:after="20" w:line="252" w:lineRule="auto"/>
              <w:jc w:val="both"/>
            </w:pPr>
            <w:r>
              <w:rPr>
                <w:sz w:val="21"/>
              </w:rPr>
              <w:t>Kernel sheaf on a single edge</w:t>
            </w:r>
          </w:p>
        </w:tc>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A7A429" w14:textId="77777777" w:rsidR="00AD4ED9" w:rsidRDefault="00000000" w:rsidP="00435E6E">
            <w:pPr>
              <w:pStyle w:val="Compact"/>
              <w:spacing w:before="0" w:after="20" w:line="252" w:lineRule="auto"/>
              <w:jc w:val="both"/>
            </w:pPr>
            <w:r>
              <w:rPr>
                <w:sz w:val="21"/>
              </w:rPr>
              <w:t>First cohomology can be nonzero</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518B18" w14:textId="77777777" w:rsidR="00AD4ED9" w:rsidRDefault="00000000" w:rsidP="00435E6E">
            <w:pPr>
              <w:pStyle w:val="Compact"/>
              <w:spacing w:before="0" w:after="20" w:line="252" w:lineRule="auto"/>
              <w:jc w:val="both"/>
            </w:pPr>
            <w:r>
              <w:rPr>
                <w:sz w:val="21"/>
              </w:rPr>
              <w:t>Cycles are not necessary</w:t>
            </w:r>
          </w:p>
        </w:tc>
      </w:tr>
      <w:tr w:rsidR="00AD4ED9" w14:paraId="53AC3498" w14:textId="77777777" w:rsidTr="00AD4ED9">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96B5DA2" w14:textId="77777777" w:rsidR="00AD4ED9" w:rsidRDefault="00000000" w:rsidP="00435E6E">
            <w:pPr>
              <w:pStyle w:val="Compact"/>
              <w:keepNext/>
              <w:spacing w:before="0" w:after="20" w:line="252" w:lineRule="auto"/>
              <w:jc w:val="both"/>
            </w:pPr>
            <w:r>
              <w:rPr>
                <w:sz w:val="21"/>
              </w:rPr>
              <w:t>Split fine to coarse extension</w:t>
            </w:r>
          </w:p>
        </w:tc>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F40498" w14:textId="77777777" w:rsidR="00AD4ED9" w:rsidRDefault="00000000" w:rsidP="00435E6E">
            <w:pPr>
              <w:pStyle w:val="Compact"/>
              <w:keepNext/>
              <w:spacing w:before="0" w:after="20" w:line="252" w:lineRule="auto"/>
              <w:jc w:val="both"/>
            </w:pPr>
            <w:r>
              <w:rPr>
                <w:sz w:val="21"/>
              </w:rPr>
              <w:t>Connecting map is zero</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60EE8B" w14:textId="77777777" w:rsidR="00AD4ED9" w:rsidRDefault="00000000" w:rsidP="00435E6E">
            <w:pPr>
              <w:pStyle w:val="Compact"/>
              <w:keepNext/>
              <w:spacing w:before="0" w:after="20" w:line="252" w:lineRule="auto"/>
              <w:jc w:val="both"/>
            </w:pPr>
            <w:r>
              <w:rPr>
                <w:sz w:val="21"/>
              </w:rPr>
              <w:t>A large obstruction space may be unused</w:t>
            </w:r>
          </w:p>
        </w:tc>
      </w:tr>
    </w:tbl>
    <w:p w14:paraId="106A8CDB" w14:textId="77777777" w:rsidR="00AD4ED9" w:rsidRDefault="00000000" w:rsidP="00435E6E">
      <w:pPr>
        <w:pStyle w:val="Caption"/>
        <w:keepLines/>
        <w:spacing w:before="80" w:after="180"/>
        <w:jc w:val="both"/>
      </w:pPr>
      <w:r>
        <w:rPr>
          <w:i w:val="0"/>
        </w:rPr>
        <w:t>Table 1. Structural checks concern specified maps and operations rather than a graph label.</w:t>
      </w:r>
    </w:p>
    <w:p w14:paraId="62AA54AB" w14:textId="77777777" w:rsidR="00AD4ED9" w:rsidRDefault="00000000" w:rsidP="00435E6E">
      <w:pPr>
        <w:pStyle w:val="BodyText"/>
        <w:jc w:val="both"/>
      </w:pPr>
      <w:r>
        <w:t>An overlap nerve must also be constructed honestly. Pairwise-overlapping intervals on one line share a common intersection, so their triangle is filled in the full nerve. More generally, each connected component of an interval union is contractible, and its good-cover nerve has the same ordinary homotopy type. Recording only pairwise overlaps can manufacture graph cycles by discarding higher intersections. This does not settle sheaf cohomology with general coefficients; it prevents ordinary graph cycle counts from being substituted for the topology of the stated cover.</w:t>
      </w:r>
    </w:p>
    <w:p w14:paraId="3B7F1D48" w14:textId="77777777" w:rsidR="00AD4ED9" w:rsidRDefault="00000000" w:rsidP="00435E6E">
      <w:pPr>
        <w:pStyle w:val="Heading1"/>
        <w:jc w:val="both"/>
      </w:pPr>
      <w:bookmarkStart w:id="4" w:name="correct-typing-and-directed-relations"/>
      <w:bookmarkEnd w:id="3"/>
      <w:r>
        <w:t>4 Correct typing and directed relations</w:t>
      </w:r>
    </w:p>
    <w:p w14:paraId="169321FC" w14:textId="77777777" w:rsidR="00AD4ED9" w:rsidRDefault="00000000" w:rsidP="00435E6E">
      <w:pPr>
        <w:pStyle w:val="FirstParagraph"/>
        <w:jc w:val="both"/>
      </w:pPr>
      <w:r>
        <w:t>C2 applies to the mathematical category actually claimed. In a vector-space-valued cellular sheaf, restrictions are linear and indexed by face incidences, with compatible compositions on higher-dimensional complexes. Moving bytes between GPU and CPU is a placement operation. Int4 rounding is a nonlinear codec operation. Neither is a restriction without an additional, correctly defined representation model.</w:t>
      </w:r>
    </w:p>
    <w:p w14:paraId="258B7752" w14:textId="77777777" w:rsidR="00AD4ED9" w:rsidRDefault="00000000" w:rsidP="00435E6E">
      <w:pPr>
        <w:pStyle w:val="BodyText"/>
        <w:jc w:val="both"/>
      </w:pPr>
      <w:r>
        <w:t xml:space="preserve">A transformer layer update is also not generally a pointwise map at one token: attention can read its causal predecessors. A layer-wise sheaf morphism must include that dependence or use a suitable larger base. Similarly, nonlinear normalization can be a neural update acting on stalk data while the sheaf restrictions remain linear. Neural sheaf diffusion already uses nonlinear updates with sheaf operators [2]. </w:t>
      </w:r>
      <w:r>
        <w:lastRenderedPageBreak/>
        <w:t>Such an update need not preserve the section space. Exact preservation needs a proof or a projection; a penalty only supplies an approximate objective.</w:t>
      </w:r>
    </w:p>
    <w:p w14:paraId="726D5629" w14:textId="77777777" w:rsidR="00AD4ED9" w:rsidRDefault="00000000" w:rsidP="00435E6E">
      <w:pPr>
        <w:pStyle w:val="BodyText"/>
        <w:jc w:val="both"/>
      </w:pPr>
      <w:r>
        <w:rPr>
          <w:b/>
          <w:bCs/>
        </w:rPr>
        <w:t>Proposition 2.</w:t>
      </w:r>
      <w:r>
        <w:t xml:space="preserve"> Symmetric equality of two restricted images does not impose an intrinsically symmetric predictor.</w:t>
      </w:r>
    </w:p>
    <w:p w14:paraId="678F46C6" w14:textId="77777777" w:rsidR="00AD4ED9" w:rsidRDefault="00000000" w:rsidP="00435E6E">
      <w:pPr>
        <w:pStyle w:val="BodyText"/>
        <w:jc w:val="both"/>
      </w:pPr>
      <w:r>
        <w:rPr>
          <w:b/>
          <w:bCs/>
        </w:rPr>
        <w:t>Proof.</w:t>
      </w:r>
      <w:r>
        <w:t xml:space="preserve"> To encode </w:t>
      </w:r>
      <m:oMath>
        <m:r>
          <w:rPr>
            <w:rFonts w:ascii="Cambria Math" w:hAnsi="Cambria Math"/>
          </w:rPr>
          <m:t>y</m:t>
        </m:r>
        <m:r>
          <m:rPr>
            <m:sty m:val="p"/>
          </m:rPr>
          <w:rPr>
            <w:rFonts w:ascii="Cambria Math" w:hAnsi="Cambria Math"/>
          </w:rPr>
          <m:t>=</m:t>
        </m:r>
        <m:r>
          <w:rPr>
            <w:rFonts w:ascii="Cambria Math" w:hAnsi="Cambria Math"/>
          </w:rPr>
          <m:t>Mx</m:t>
        </m:r>
      </m:oMath>
      <w:r>
        <w:t xml:space="preserve">, give an edge the codomain of </w:t>
      </w:r>
      <m:oMath>
        <m:r>
          <w:rPr>
            <w:rFonts w:ascii="Cambria Math" w:hAnsi="Cambria Math"/>
          </w:rPr>
          <m:t>M</m:t>
        </m:r>
      </m:oMath>
      <w:r>
        <w:t xml:space="preserve">, set the tail restriction to </w:t>
      </w:r>
      <m:oMath>
        <m:r>
          <w:rPr>
            <w:rFonts w:ascii="Cambria Math" w:hAnsi="Cambria Math"/>
          </w:rPr>
          <m:t>M</m:t>
        </m:r>
      </m:oMath>
      <w:r>
        <w:t xml:space="preserve">, and set the head restriction to the identity. The section condition is exactly </w:t>
      </w:r>
      <m:oMath>
        <m:r>
          <w:rPr>
            <w:rFonts w:ascii="Cambria Math" w:hAnsi="Cambria Math"/>
          </w:rPr>
          <m:t>y</m:t>
        </m:r>
        <m:r>
          <m:rPr>
            <m:sty m:val="p"/>
          </m:rPr>
          <w:rPr>
            <w:rFonts w:ascii="Cambria Math" w:hAnsi="Cambria Math"/>
          </w:rPr>
          <m:t>=</m:t>
        </m:r>
        <m:r>
          <w:rPr>
            <w:rFonts w:ascii="Cambria Math" w:hAnsi="Cambria Math"/>
          </w:rPr>
          <m:t>Mx</m:t>
        </m:r>
      </m:oMath>
      <w:r>
        <w:t>.</w:t>
      </w:r>
    </w:p>
    <w:p w14:paraId="7E9AF8B6" w14:textId="77777777" w:rsidR="00AD4ED9" w:rsidRDefault="00000000" w:rsidP="00435E6E">
      <w:pPr>
        <w:pStyle w:val="BodyText"/>
        <w:jc w:val="both"/>
      </w:pPr>
      <w:r>
        <w:t xml:space="preserve">For unit-variance canonical coordinates with correlation </w:t>
      </w:r>
      <m:oMath>
        <m:r>
          <w:rPr>
            <w:rFonts w:ascii="Cambria Math" w:hAnsi="Cambria Math"/>
          </w:rPr>
          <m:t>ρ</m:t>
        </m:r>
      </m:oMath>
      <w:r>
        <w:t xml:space="preserve">, using the predictor </w:t>
      </w:r>
      <m:oMath>
        <m:r>
          <w:rPr>
            <w:rFonts w:ascii="Cambria Math" w:hAnsi="Cambria Math"/>
          </w:rPr>
          <m:t>y</m:t>
        </m:r>
        <m:r>
          <m:rPr>
            <m:sty m:val="p"/>
          </m:rPr>
          <w:rPr>
            <w:rFonts w:ascii="Cambria Math" w:hAnsi="Cambria Math"/>
          </w:rPr>
          <m:t>≈</m:t>
        </m:r>
        <m:r>
          <w:rPr>
            <w:rFonts w:ascii="Cambria Math" w:hAnsi="Cambria Math"/>
          </w:rPr>
          <m:t>x</m:t>
        </m:r>
      </m:oMath>
      <w:r>
        <w:t xml:space="preserve"> gives mean squared error </w:t>
      </w:r>
      <m:oMath>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oMath>
      <w:r>
        <w:t xml:space="preserve">, whereas </w:t>
      </w:r>
      <m:oMath>
        <m:r>
          <w:rPr>
            <w:rFonts w:ascii="Cambria Math" w:hAnsi="Cambria Math"/>
          </w:rPr>
          <m:t>y</m:t>
        </m:r>
        <m:r>
          <m:rPr>
            <m:sty m:val="p"/>
          </m:rPr>
          <w:rPr>
            <w:rFonts w:ascii="Cambria Math" w:hAnsi="Cambria Math"/>
          </w:rPr>
          <m:t>≈</m:t>
        </m:r>
        <m:r>
          <w:rPr>
            <w:rFonts w:ascii="Cambria Math" w:hAnsi="Cambria Math"/>
          </w:rPr>
          <m:t>ρx</m:t>
        </m:r>
      </m:oMath>
      <w:r>
        <w:t xml:space="preserve"> gives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Their ratio, regression error divided by fixed-equality error,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r>
          <w:rPr>
            <w:rFonts w:ascii="Cambria Math" w:hAnsi="Cambria Math"/>
          </w:rPr>
          <m:t>2</m:t>
        </m:r>
      </m:oMath>
      <w:r>
        <w:t xml:space="preserve"> for </w:t>
      </w:r>
      <m:oMath>
        <m:r>
          <w:rPr>
            <w:rFonts w:ascii="Cambria Math" w:hAnsi="Cambria Math"/>
          </w:rPr>
          <m:t>ρ</m:t>
        </m:r>
        <m:r>
          <m:rPr>
            <m:sty m:val="p"/>
          </m:rPr>
          <w:rPr>
            <w:rFonts w:ascii="Cambria Math" w:hAnsi="Cambria Math"/>
          </w:rPr>
          <m:t>&lt;</m:t>
        </m:r>
        <m:r>
          <w:rPr>
            <w:rFonts w:ascii="Cambria Math" w:hAnsi="Cambria Math"/>
          </w:rPr>
          <m:t>1</m:t>
        </m:r>
      </m:oMath>
      <w:r>
        <w:t>. Both relations are representable by sheaves. This ratio is therefore a comparison of specified estimators, not a compulsory price of cellular sheaf theory. Equal-variance normalization of both restricted coordinates is an extra modeling constraint.</w:t>
      </w:r>
    </w:p>
    <w:p w14:paraId="1A4455B5" w14:textId="77777777" w:rsidR="00AD4ED9" w:rsidRDefault="00000000" w:rsidP="00435E6E">
      <w:pPr>
        <w:pStyle w:val="BodyText"/>
        <w:jc w:val="both"/>
      </w:pPr>
      <w:r>
        <w:t>The same typing discipline applies to routing. Max-plus dynamic programming manipulates scores and maxima. Linear compatibility manipulates vector spaces and equalities. They may share a graph while solving different problems. A proof about one operation cannot be transferred to the other solely through that shared drawing.</w:t>
      </w:r>
    </w:p>
    <w:p w14:paraId="4A98B055" w14:textId="77777777" w:rsidR="00AD4ED9" w:rsidRDefault="00000000" w:rsidP="00435E6E">
      <w:pPr>
        <w:pStyle w:val="Heading1"/>
        <w:jc w:val="both"/>
      </w:pPr>
      <w:bookmarkStart w:id="5" w:name="Xbdd5f68b5261b2e9c0981963d10a6af87a01d0d"/>
      <w:bookmarkEnd w:id="4"/>
      <w:r>
        <w:t>5 Readout fidelity and invisible information loss</w:t>
      </w:r>
    </w:p>
    <w:p w14:paraId="5EB193D4" w14:textId="77777777" w:rsidR="00AD4ED9" w:rsidRDefault="00000000" w:rsidP="00435E6E">
      <w:pPr>
        <w:pStyle w:val="FirstParagraph"/>
        <w:jc w:val="both"/>
      </w:pPr>
      <w:r>
        <w:t xml:space="preserve">C3 asks what the stored representation can still answer. Suppose </w:t>
      </w:r>
      <m:oMath>
        <m:r>
          <w:rPr>
            <w:rFonts w:ascii="Cambria Math" w:hAnsi="Cambria Math"/>
          </w:rPr>
          <m:t>x</m:t>
        </m:r>
      </m:oMath>
      <w:r>
        <w:t xml:space="preserve"> is already a fine section and </w:t>
      </w:r>
      <m:oMath>
        <m:r>
          <w:rPr>
            <w:rFonts w:ascii="Cambria Math" w:hAnsi="Cambria Math"/>
          </w:rPr>
          <m:t>s</m:t>
        </m:r>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e>
        </m:d>
      </m:oMath>
      <w:r>
        <w:t xml:space="preserve">. Its connecting obstruction is zero because </w:t>
      </w:r>
      <m:oMath>
        <m:r>
          <w:rPr>
            <w:rFonts w:ascii="Cambria Math" w:hAnsi="Cambria Math"/>
          </w:rPr>
          <m:t>x</m:t>
        </m:r>
      </m:oMath>
      <w:r>
        <w:t xml:space="preserve"> is a lift. This remains true if </w:t>
      </w:r>
      <m:oMath>
        <m:r>
          <w:rPr>
            <w:rFonts w:ascii="Cambria Math" w:hAnsi="Cambria Math"/>
          </w:rPr>
          <m:t>q</m:t>
        </m:r>
      </m:oMath>
      <w:r>
        <w:t xml:space="preserve"> destroys a task-critical coordinate.</w:t>
      </w:r>
    </w:p>
    <w:p w14:paraId="5D811BE2" w14:textId="77777777" w:rsidR="00AD4ED9" w:rsidRDefault="00000000" w:rsidP="00435E6E">
      <w:pPr>
        <w:pStyle w:val="BodyText"/>
        <w:jc w:val="both"/>
      </w:pPr>
      <w:r>
        <w:t xml:space="preserve">The smallest example uses constant stalks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and </w:t>
      </w:r>
      <m:oMath>
        <m:r>
          <w:rPr>
            <w:rFonts w:ascii="Cambria Math" w:hAnsi="Cambria Math"/>
          </w:rPr>
          <m:t>q</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a</m:t>
        </m:r>
      </m:oMath>
      <w:r>
        <w:t xml:space="preserve">. Every resulting coarse section lifts, while a query asking for </w:t>
      </w:r>
      <m:oMath>
        <m:r>
          <w:rPr>
            <w:rFonts w:ascii="Cambria Math" w:hAnsi="Cambria Math"/>
          </w:rPr>
          <m:t>b</m:t>
        </m:r>
      </m:oMath>
      <w:r>
        <w:t xml:space="preserve"> is unrecoverable. This is an immediate consequence of exactness, not a newly discovered cohomological theorem.</w:t>
      </w:r>
    </w:p>
    <w:p w14:paraId="3D178E36" w14:textId="77777777" w:rsidR="00AD4ED9" w:rsidRDefault="00000000" w:rsidP="00435E6E">
      <w:pPr>
        <w:pStyle w:val="BodyText"/>
        <w:keepNext/>
        <w:jc w:val="both"/>
      </w:pPr>
      <w:r>
        <w:t xml:space="preserve">Let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m:rPr>
                <m:scr m:val="script"/>
                <m:sty m:val="p"/>
              </m:rPr>
              <w:rPr>
                <w:rFonts w:ascii="Cambria Math" w:hAnsi="Cambria Math"/>
              </w:rPr>
              <m:t>F</m:t>
            </m:r>
          </m:e>
        </m:d>
      </m:oMath>
      <w:r>
        <w:t xml:space="preserve">, let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q</m:t>
            </m:r>
          </m:e>
        </m:d>
      </m:oMath>
      <w:r>
        <w:t xml:space="preserve"> be the code map on sections, and let </w:t>
      </w:r>
      <m:oMath>
        <m:r>
          <w:rPr>
            <w:rFonts w:ascii="Cambria Math" w:hAnsi="Cambria Math"/>
          </w:rPr>
          <m:t>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Y</m:t>
        </m:r>
      </m:oMath>
      <w:r>
        <w:t xml:space="preserve"> be a linear readout. Exact recovery is characterized by</w:t>
      </w:r>
    </w:p>
    <w:p w14:paraId="4BB770AD" w14:textId="77777777" w:rsidR="00AD4ED9" w:rsidRDefault="00000000" w:rsidP="00435E6E">
      <w:pPr>
        <w:pStyle w:val="BodyText"/>
        <w:keepLines/>
        <w:spacing w:before="100" w:after="140"/>
        <w:jc w:val="both"/>
      </w:pPr>
      <m:oMathPara>
        <m:oMathParaPr>
          <m:jc m:val="center"/>
        </m:oMathParaPr>
        <m:oMath>
          <m:r>
            <w:rPr>
              <w:rFonts w:ascii="Cambria Math" w:hAnsi="Cambria Math"/>
              <w:sz w:val="22"/>
            </w:rPr>
            <m:t>T</m:t>
          </m:r>
          <m:r>
            <m:rPr>
              <m:sty m:val="p"/>
            </m:rPr>
            <w:rPr>
              <w:rFonts w:ascii="Cambria Math" w:hAnsi="Cambria Math"/>
              <w:sz w:val="22"/>
            </w:rPr>
            <m:t>=</m:t>
          </m:r>
          <m:r>
            <w:rPr>
              <w:rFonts w:ascii="Cambria Math" w:hAnsi="Cambria Math"/>
              <w:sz w:val="22"/>
            </w:rPr>
            <m:t>JC</m:t>
          </m:r>
          <m:r>
            <m:rPr>
              <m:nor/>
            </m:rPr>
            <w:rPr>
              <w:sz w:val="22"/>
            </w:rPr>
            <m:t xml:space="preserve"> for some linear </m:t>
          </m:r>
          <m:r>
            <w:rPr>
              <w:rFonts w:ascii="Cambria Math" w:hAnsi="Cambria Math"/>
              <w:sz w:val="22"/>
            </w:rPr>
            <m:t>J </m:t>
          </m:r>
          <m:r>
            <m:rPr>
              <m:sty m:val="p"/>
            </m:rPr>
            <w:rPr>
              <w:rFonts w:ascii="Cambria Math" w:hAnsi="Cambria Math"/>
              <w:sz w:val="22"/>
            </w:rPr>
            <m:t>⇔</m:t>
          </m:r>
          <m:r>
            <w:rPr>
              <w:rFonts w:ascii="Cambria Math" w:hAnsi="Cambria Math"/>
              <w:sz w:val="22"/>
            </w:rPr>
            <m:t> </m:t>
          </m:r>
          <m:r>
            <m:rPr>
              <m:sty m:val="p"/>
            </m:rPr>
            <w:rPr>
              <w:rFonts w:ascii="Cambria Math" w:hAnsi="Cambria Math"/>
              <w:sz w:val="22"/>
            </w:rPr>
            <m:t>ker</m:t>
          </m:r>
          <m:r>
            <w:rPr>
              <w:rFonts w:ascii="Cambria Math" w:hAnsi="Cambria Math"/>
              <w:sz w:val="22"/>
            </w:rPr>
            <m:t>C</m:t>
          </m:r>
          <m:r>
            <m:rPr>
              <m:sty m:val="p"/>
            </m:rPr>
            <w:rPr>
              <w:rFonts w:ascii="Cambria Math" w:hAnsi="Cambria Math"/>
              <w:sz w:val="22"/>
            </w:rPr>
            <m:t>⊆ker</m:t>
          </m:r>
          <m:r>
            <w:rPr>
              <w:rFonts w:ascii="Cambria Math" w:hAnsi="Cambria Math"/>
              <w:sz w:val="22"/>
            </w:rPr>
            <m:t>T</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8</m:t>
              </m:r>
            </m:e>
          </m:d>
        </m:oMath>
      </m:oMathPara>
    </w:p>
    <w:p w14:paraId="576A8C7D" w14:textId="77777777" w:rsidR="00AD4ED9" w:rsidRDefault="00000000" w:rsidP="00435E6E">
      <w:pPr>
        <w:pStyle w:val="FirstParagraph"/>
        <w:keepNext/>
        <w:jc w:val="both"/>
      </w:pPr>
      <w:r>
        <w:t xml:space="preserve">For finite-dimensional Euclidean spaces and the unit ball in </w:t>
      </w:r>
      <m:oMath>
        <m:r>
          <w:rPr>
            <w:rFonts w:ascii="Cambria Math" w:hAnsi="Cambria Math"/>
          </w:rPr>
          <m:t>V</m:t>
        </m:r>
      </m:oMath>
      <w:r>
        <w:t>, even allowing nonlinear decoders,</w:t>
      </w:r>
    </w:p>
    <w:p w14:paraId="2D9C89FA" w14:textId="77777777" w:rsidR="00AD4ED9" w:rsidRDefault="00000000" w:rsidP="00435E6E">
      <w:pPr>
        <w:pStyle w:val="BodyText"/>
        <w:keepLines/>
        <w:spacing w:before="100" w:after="140"/>
        <w:jc w:val="both"/>
      </w:pPr>
      <m:oMathPara>
        <m:oMathParaPr>
          <m:jc m:val="center"/>
        </m:oMathParaPr>
        <m:oMath>
          <m:limLow>
            <m:limLowPr>
              <m:ctrlPr>
                <w:rPr>
                  <w:rFonts w:ascii="Cambria Math" w:hAnsi="Cambria Math"/>
                </w:rPr>
              </m:ctrlPr>
            </m:limLowPr>
            <m:e>
              <m:r>
                <m:rPr>
                  <m:sty m:val="p"/>
                </m:rPr>
                <w:rPr>
                  <w:rFonts w:ascii="Cambria Math" w:hAnsi="Cambria Math"/>
                  <w:sz w:val="22"/>
                </w:rPr>
                <m:t>inf</m:t>
              </m:r>
            </m:e>
            <m:lim>
              <m:r>
                <w:rPr>
                  <w:rFonts w:ascii="Cambria Math" w:hAnsi="Cambria Math"/>
                  <w:sz w:val="22"/>
                </w:rPr>
                <m:t>D</m:t>
              </m:r>
            </m:lim>
          </m:limLow>
          <m:limLow>
            <m:limLowPr>
              <m:ctrlPr>
                <w:rPr>
                  <w:rFonts w:ascii="Cambria Math" w:hAnsi="Cambria Math"/>
                </w:rPr>
              </m:ctrlPr>
            </m:limLowPr>
            <m:e>
              <m:r>
                <m:rPr>
                  <m:sty m:val="p"/>
                </m:rPr>
                <w:rPr>
                  <w:rFonts w:ascii="Cambria Math" w:hAnsi="Cambria Math"/>
                  <w:sz w:val="22"/>
                </w:rPr>
                <m:t>sup</m:t>
              </m:r>
            </m:e>
            <m:lim>
              <m:r>
                <m:rPr>
                  <m:sty m:val="p"/>
                </m:rPr>
                <w:rPr>
                  <w:rFonts w:ascii="Cambria Math" w:hAnsi="Cambria Math"/>
                  <w:sz w:val="22"/>
                </w:rPr>
                <m:t>∥</m:t>
              </m:r>
              <m:r>
                <w:rPr>
                  <w:rFonts w:ascii="Cambria Math" w:hAnsi="Cambria Math"/>
                  <w:sz w:val="22"/>
                </w:rPr>
                <m:t>x</m:t>
              </m:r>
              <m:r>
                <m:rPr>
                  <m:sty m:val="p"/>
                </m:rPr>
                <w:rPr>
                  <w:rFonts w:ascii="Cambria Math" w:hAnsi="Cambria Math"/>
                  <w:sz w:val="22"/>
                </w:rPr>
                <m:t>∥≤</m:t>
              </m:r>
              <m:r>
                <w:rPr>
                  <w:rFonts w:ascii="Cambria Math" w:hAnsi="Cambria Math"/>
                  <w:sz w:val="22"/>
                </w:rPr>
                <m:t>1</m:t>
              </m:r>
            </m:lim>
          </m:limLow>
          <m:r>
            <m:rPr>
              <m:sty m:val="p"/>
            </m:rPr>
            <w:rPr>
              <w:rFonts w:ascii="Cambria Math" w:hAnsi="Cambria Math"/>
              <w:sz w:val="22"/>
            </w:rPr>
            <m:t>∥</m:t>
          </m:r>
          <m:r>
            <w:rPr>
              <w:rFonts w:ascii="Cambria Math" w:hAnsi="Cambria Math"/>
              <w:sz w:val="22"/>
            </w:rPr>
            <m:t>Tx</m:t>
          </m:r>
          <m:r>
            <m:rPr>
              <m:sty m:val="p"/>
            </m:rPr>
            <w:rPr>
              <w:rFonts w:ascii="Cambria Math" w:hAnsi="Cambria Math"/>
              <w:sz w:val="22"/>
            </w:rPr>
            <m:t>-</m:t>
          </m:r>
          <m:r>
            <w:rPr>
              <w:rFonts w:ascii="Cambria Math" w:hAnsi="Cambria Math"/>
              <w:sz w:val="22"/>
            </w:rPr>
            <m:t>D</m:t>
          </m:r>
          <m:d>
            <m:dPr>
              <m:ctrlPr>
                <w:rPr>
                  <w:rFonts w:ascii="Cambria Math" w:hAnsi="Cambria Math"/>
                </w:rPr>
              </m:ctrlPr>
            </m:dPr>
            <m:e>
              <m:r>
                <w:rPr>
                  <w:rFonts w:ascii="Cambria Math" w:hAnsi="Cambria Math"/>
                  <w:sz w:val="22"/>
                </w:rPr>
                <m:t>Cx</m:t>
              </m:r>
            </m:e>
          </m:d>
          <m:r>
            <m:rPr>
              <m:sty m:val="p"/>
            </m:rPr>
            <w:rPr>
              <w:rFonts w:ascii="Cambria Math" w:hAnsi="Cambria Math"/>
              <w:sz w:val="22"/>
            </w:rPr>
            <m:t>∥=∥</m:t>
          </m:r>
          <m:r>
            <w:rPr>
              <w:rFonts w:ascii="Cambria Math" w:hAnsi="Cambria Math"/>
              <w:sz w:val="22"/>
            </w:rPr>
            <m:t>T</m:t>
          </m:r>
          <m:sSub>
            <m:sSubPr>
              <m:ctrlPr>
                <w:rPr>
                  <w:rFonts w:ascii="Cambria Math" w:hAnsi="Cambria Math"/>
                </w:rPr>
              </m:ctrlPr>
            </m:sSubPr>
            <m:e>
              <m:r>
                <w:rPr>
                  <w:rFonts w:ascii="Cambria Math" w:hAnsi="Cambria Math"/>
                  <w:sz w:val="22"/>
                </w:rPr>
                <m:t>P</m:t>
              </m:r>
            </m:e>
            <m:sub>
              <m:r>
                <m:rPr>
                  <m:sty m:val="p"/>
                </m:rPr>
                <w:rPr>
                  <w:rFonts w:ascii="Cambria Math" w:hAnsi="Cambria Math"/>
                  <w:sz w:val="22"/>
                </w:rPr>
                <m:t>ker</m:t>
              </m:r>
              <m:r>
                <w:rPr>
                  <w:rFonts w:ascii="Cambria Math" w:hAnsi="Cambria Math"/>
                  <w:sz w:val="22"/>
                </w:rPr>
                <m:t>C</m:t>
              </m:r>
            </m:sub>
          </m:sSub>
          <m:sSub>
            <m:sSubPr>
              <m:ctrlPr>
                <w:rPr>
                  <w:rFonts w:ascii="Cambria Math" w:hAnsi="Cambria Math"/>
                </w:rPr>
              </m:ctrlPr>
            </m:sSubPr>
            <m:e>
              <m:r>
                <m:rPr>
                  <m:sty m:val="p"/>
                </m:rPr>
                <w:rPr>
                  <w:rFonts w:ascii="Cambria Math" w:hAnsi="Cambria Math"/>
                  <w:sz w:val="22"/>
                </w:rPr>
                <m:t>∥</m:t>
              </m:r>
            </m:e>
            <m:sub>
              <m:r>
                <m:rPr>
                  <m:sty m:val="p"/>
                </m:rPr>
                <w:rPr>
                  <w:rFonts w:ascii="Cambria Math" w:hAnsi="Cambria Math"/>
                  <w:sz w:val="22"/>
                </w:rPr>
                <m:t>op</m:t>
              </m:r>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9</m:t>
              </m:r>
            </m:e>
          </m:d>
        </m:oMath>
      </m:oMathPara>
    </w:p>
    <w:p w14:paraId="69660B3E" w14:textId="77777777" w:rsidR="00AD4ED9" w:rsidRDefault="00000000" w:rsidP="00435E6E">
      <w:pPr>
        <w:pStyle w:val="FirstParagraph"/>
        <w:jc w:val="both"/>
      </w:pPr>
      <w:r>
        <w:t xml:space="preserve">To see the upper bound, use </w:t>
      </w:r>
      <m:oMath>
        <m:r>
          <w:rPr>
            <w:rFonts w:ascii="Cambria Math" w:hAnsi="Cambria Math"/>
          </w:rPr>
          <m:t>D</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y</m:t>
        </m:r>
      </m:oMath>
      <w:r>
        <w:t xml:space="preserve">. For the lower bound, if </w:t>
      </w:r>
      <m:oMath>
        <m:r>
          <m:rPr>
            <m:sty m:val="p"/>
          </m:rPr>
          <w:rPr>
            <w:rFonts w:ascii="Cambria Math" w:hAnsi="Cambria Math"/>
          </w:rPr>
          <m:t>ker</m:t>
        </m:r>
        <m:r>
          <w:rPr>
            <w:rFonts w:ascii="Cambria Math" w:hAnsi="Cambria Math"/>
          </w:rPr>
          <m:t>C</m:t>
        </m:r>
        <m:r>
          <m:rPr>
            <m:sty m:val="p"/>
          </m:rPr>
          <w:rPr>
            <w:rFonts w:ascii="Cambria Math" w:hAnsi="Cambria Math"/>
          </w:rPr>
          <m:t>≠</m:t>
        </m:r>
        <m:r>
          <w:rPr>
            <w:rFonts w:ascii="Cambria Math" w:hAnsi="Cambria Math"/>
          </w:rPr>
          <m:t>0</m:t>
        </m:r>
      </m:oMath>
      <w:r>
        <w:t xml:space="preserve">, choose a unit </w:t>
      </w:r>
      <m:oMath>
        <m:r>
          <w:rPr>
            <w:rFonts w:ascii="Cambria Math" w:hAnsi="Cambria Math"/>
          </w:rPr>
          <m:t>h</m:t>
        </m:r>
      </m:oMath>
      <w:r>
        <w:t xml:space="preserve"> in that kernel maximizing </w:t>
      </w:r>
      <m:oMath>
        <m:r>
          <m:rPr>
            <m:sty m:val="p"/>
          </m:rPr>
          <w:rPr>
            <w:rFonts w:ascii="Cambria Math" w:hAnsi="Cambria Math"/>
          </w:rPr>
          <m:t>∥</m:t>
        </m:r>
        <m:r>
          <w:rPr>
            <w:rFonts w:ascii="Cambria Math" w:hAnsi="Cambria Math"/>
          </w:rPr>
          <m:t>Th</m:t>
        </m:r>
        <m:r>
          <m:rPr>
            <m:sty m:val="p"/>
          </m:rPr>
          <w:rPr>
            <w:rFonts w:ascii="Cambria Math" w:hAnsi="Cambria Math"/>
          </w:rPr>
          <m:t>∥</m:t>
        </m:r>
      </m:oMath>
      <w:r>
        <w:t xml:space="preserve">. The indistinguishable pair </w:t>
      </w:r>
      <m:oMath>
        <m:r>
          <w:rPr>
            <w:rFonts w:ascii="Cambria Math" w:hAnsi="Cambria Math"/>
          </w:rPr>
          <m:t>h</m:t>
        </m:r>
        <m:r>
          <m:rPr>
            <m:sty m:val="p"/>
          </m:rPr>
          <w:rPr>
            <w:rFonts w:ascii="Cambria Math" w:hAnsi="Cambria Math"/>
          </w:rPr>
          <m:t>,-</m:t>
        </m:r>
        <m:r>
          <w:rPr>
            <w:rFonts w:ascii="Cambria Math" w:hAnsi="Cambria Math"/>
          </w:rPr>
          <m:t>h</m:t>
        </m:r>
      </m:oMath>
      <w:r>
        <w:t xml:space="preserve"> forces one of the two errors to be at least </w:t>
      </w:r>
      <m:oMath>
        <m:r>
          <m:rPr>
            <m:sty m:val="p"/>
          </m:rPr>
          <w:rPr>
            <w:rFonts w:ascii="Cambria Math" w:hAnsi="Cambria Math"/>
          </w:rPr>
          <m:t>∥</m:t>
        </m:r>
        <m:r>
          <w:rPr>
            <w:rFonts w:ascii="Cambria Math" w:hAnsi="Cambria Math"/>
          </w:rPr>
          <m:t>Th</m:t>
        </m:r>
        <m:r>
          <m:rPr>
            <m:sty m:val="p"/>
          </m:rPr>
          <w:rPr>
            <w:rFonts w:ascii="Cambria Math" w:hAnsi="Cambria Math"/>
          </w:rPr>
          <m:t>∥</m:t>
        </m:r>
      </m:oMath>
      <w:r>
        <w:t>. If the kernel is zero, both sides vanish.</w:t>
      </w:r>
    </w:p>
    <w:p w14:paraId="0ACA380C" w14:textId="77777777" w:rsidR="00AD4ED9" w:rsidRDefault="00000000" w:rsidP="00435E6E">
      <w:pPr>
        <w:pStyle w:val="BodyText"/>
        <w:keepNext/>
        <w:jc w:val="both"/>
      </w:pPr>
      <w:r>
        <w:t xml:space="preserve">With coding noise </w:t>
      </w:r>
      <m:oMath>
        <m:r>
          <w:rPr>
            <w:rFonts w:ascii="Cambria Math" w:hAnsi="Cambria Math"/>
          </w:rPr>
          <m:t>η</m:t>
        </m:r>
      </m:oMath>
      <w:r>
        <w:t>, the same decoder obeys</w:t>
      </w:r>
    </w:p>
    <w:p w14:paraId="0AD4D4C4" w14:textId="77777777" w:rsidR="00AD4ED9" w:rsidRDefault="00000000" w:rsidP="00435E6E">
      <w:pPr>
        <w:pStyle w:val="BodyText"/>
        <w:keepLines/>
        <w:spacing w:before="100" w:after="140"/>
        <w:jc w:val="both"/>
      </w:pPr>
      <m:oMathPara>
        <m:oMathParaPr>
          <m:jc m:val="center"/>
        </m:oMathParaPr>
        <m:oMath>
          <m:r>
            <m:rPr>
              <m:sty m:val="p"/>
            </m:rPr>
            <w:rPr>
              <w:rFonts w:ascii="Cambria Math" w:hAnsi="Cambria Math"/>
              <w:sz w:val="22"/>
            </w:rPr>
            <m:t>∥</m:t>
          </m:r>
          <m:r>
            <w:rPr>
              <w:rFonts w:ascii="Cambria Math" w:hAnsi="Cambria Math"/>
              <w:sz w:val="22"/>
            </w:rPr>
            <m:t>Tx</m:t>
          </m:r>
          <m:r>
            <m:rPr>
              <m:sty m:val="p"/>
            </m:rPr>
            <w:rPr>
              <w:rFonts w:ascii="Cambria Math" w:hAnsi="Cambria Math"/>
              <w:sz w:val="22"/>
            </w:rPr>
            <m:t>-</m:t>
          </m:r>
          <m:r>
            <w:rPr>
              <w:rFonts w:ascii="Cambria Math" w:hAnsi="Cambria Math"/>
              <w:sz w:val="22"/>
            </w:rPr>
            <m:t>T</m:t>
          </m:r>
          <m:sSup>
            <m:sSupPr>
              <m:ctrlPr>
                <w:rPr>
                  <w:rFonts w:ascii="Cambria Math" w:hAnsi="Cambria Math"/>
                </w:rPr>
              </m:ctrlPr>
            </m:sSupPr>
            <m:e>
              <m:r>
                <w:rPr>
                  <w:rFonts w:ascii="Cambria Math" w:hAnsi="Cambria Math"/>
                  <w:sz w:val="22"/>
                </w:rPr>
                <m:t>C</m:t>
              </m:r>
            </m:e>
            <m:sup>
              <m:r>
                <m:rPr>
                  <m:sty m:val="p"/>
                </m:rPr>
                <w:rPr>
                  <w:rFonts w:ascii="Cambria Math" w:hAnsi="Cambria Math"/>
                  <w:sz w:val="22"/>
                </w:rPr>
                <m:t>†</m:t>
              </m:r>
            </m:sup>
          </m:sSup>
          <m:d>
            <m:dPr>
              <m:ctrlPr>
                <w:rPr>
                  <w:rFonts w:ascii="Cambria Math" w:hAnsi="Cambria Math"/>
                </w:rPr>
              </m:ctrlPr>
            </m:dPr>
            <m:e>
              <m:r>
                <w:rPr>
                  <w:rFonts w:ascii="Cambria Math" w:hAnsi="Cambria Math"/>
                  <w:sz w:val="22"/>
                </w:rPr>
                <m:t>Cx</m:t>
              </m:r>
              <m:r>
                <m:rPr>
                  <m:sty m:val="p"/>
                </m:rPr>
                <w:rPr>
                  <w:rFonts w:ascii="Cambria Math" w:hAnsi="Cambria Math"/>
                  <w:sz w:val="22"/>
                </w:rPr>
                <m:t>+</m:t>
              </m:r>
              <m:r>
                <w:rPr>
                  <w:rFonts w:ascii="Cambria Math" w:hAnsi="Cambria Math"/>
                  <w:sz w:val="22"/>
                </w:rPr>
                <m:t>η</m:t>
              </m:r>
            </m:e>
          </m:d>
          <m:r>
            <m:rPr>
              <m:sty m:val="p"/>
            </m:rPr>
            <w:rPr>
              <w:rFonts w:ascii="Cambria Math" w:hAnsi="Cambria Math"/>
              <w:sz w:val="22"/>
            </w:rPr>
            <m:t>∥≤∥</m:t>
          </m:r>
          <m:r>
            <w:rPr>
              <w:rFonts w:ascii="Cambria Math" w:hAnsi="Cambria Math"/>
              <w:sz w:val="22"/>
            </w:rPr>
            <m:t>T</m:t>
          </m:r>
          <m:sSub>
            <m:sSubPr>
              <m:ctrlPr>
                <w:rPr>
                  <w:rFonts w:ascii="Cambria Math" w:hAnsi="Cambria Math"/>
                </w:rPr>
              </m:ctrlPr>
            </m:sSubPr>
            <m:e>
              <m:r>
                <w:rPr>
                  <w:rFonts w:ascii="Cambria Math" w:hAnsi="Cambria Math"/>
                  <w:sz w:val="22"/>
                </w:rPr>
                <m:t>P</m:t>
              </m:r>
            </m:e>
            <m:sub>
              <m:r>
                <m:rPr>
                  <m:sty m:val="p"/>
                </m:rPr>
                <w:rPr>
                  <w:rFonts w:ascii="Cambria Math" w:hAnsi="Cambria Math"/>
                  <w:sz w:val="22"/>
                </w:rPr>
                <m:t>ker</m:t>
              </m:r>
              <m:r>
                <w:rPr>
                  <w:rFonts w:ascii="Cambria Math" w:hAnsi="Cambria Math"/>
                  <w:sz w:val="22"/>
                </w:rPr>
                <m:t>C</m:t>
              </m:r>
            </m:sub>
          </m:sSub>
          <m:sSub>
            <m:sSubPr>
              <m:ctrlPr>
                <w:rPr>
                  <w:rFonts w:ascii="Cambria Math" w:hAnsi="Cambria Math"/>
                </w:rPr>
              </m:ctrlPr>
            </m:sSubPr>
            <m:e>
              <m:r>
                <m:rPr>
                  <m:sty m:val="p"/>
                </m:rPr>
                <w:rPr>
                  <w:rFonts w:ascii="Cambria Math" w:hAnsi="Cambria Math"/>
                  <w:sz w:val="22"/>
                </w:rPr>
                <m:t>∥</m:t>
              </m:r>
            </m:e>
            <m:sub>
              <m:r>
                <m:rPr>
                  <m:sty m:val="p"/>
                </m:rPr>
                <w:rPr>
                  <w:rFonts w:ascii="Cambria Math" w:hAnsi="Cambria Math"/>
                  <w:sz w:val="22"/>
                </w:rPr>
                <m:t>op</m:t>
              </m:r>
            </m:sub>
          </m:sSub>
          <m:r>
            <m:rPr>
              <m:sty m:val="p"/>
            </m:rPr>
            <w:rPr>
              <w:rFonts w:ascii="Cambria Math" w:hAnsi="Cambria Math"/>
              <w:sz w:val="22"/>
            </w:rPr>
            <m:t>∥</m:t>
          </m:r>
          <m:r>
            <w:rPr>
              <w:rFonts w:ascii="Cambria Math" w:hAnsi="Cambria Math"/>
              <w:sz w:val="22"/>
            </w:rPr>
            <m:t>x</m:t>
          </m:r>
          <m:r>
            <m:rPr>
              <m:sty m:val="p"/>
            </m:rPr>
            <w:rPr>
              <w:rFonts w:ascii="Cambria Math" w:hAnsi="Cambria Math"/>
              <w:sz w:val="22"/>
            </w:rPr>
            <m:t>∥+∥</m:t>
          </m:r>
          <m:r>
            <w:rPr>
              <w:rFonts w:ascii="Cambria Math" w:hAnsi="Cambria Math"/>
              <w:sz w:val="22"/>
            </w:rPr>
            <m:t>T</m:t>
          </m:r>
          <m:sSup>
            <m:sSupPr>
              <m:ctrlPr>
                <w:rPr>
                  <w:rFonts w:ascii="Cambria Math" w:hAnsi="Cambria Math"/>
                </w:rPr>
              </m:ctrlPr>
            </m:sSupPr>
            <m:e>
              <m:r>
                <w:rPr>
                  <w:rFonts w:ascii="Cambria Math" w:hAnsi="Cambria Math"/>
                  <w:sz w:val="22"/>
                </w:rPr>
                <m:t>C</m:t>
              </m:r>
            </m:e>
            <m:sup>
              <m:r>
                <m:rPr>
                  <m:sty m:val="p"/>
                </m:rPr>
                <w:rPr>
                  <w:rFonts w:ascii="Cambria Math" w:hAnsi="Cambria Math"/>
                  <w:sz w:val="22"/>
                </w:rPr>
                <m:t>†</m:t>
              </m:r>
            </m:sup>
          </m:sSup>
          <m:sSub>
            <m:sSubPr>
              <m:ctrlPr>
                <w:rPr>
                  <w:rFonts w:ascii="Cambria Math" w:hAnsi="Cambria Math"/>
                </w:rPr>
              </m:ctrlPr>
            </m:sSubPr>
            <m:e>
              <m:r>
                <m:rPr>
                  <m:sty m:val="p"/>
                </m:rPr>
                <w:rPr>
                  <w:rFonts w:ascii="Cambria Math" w:hAnsi="Cambria Math"/>
                  <w:sz w:val="22"/>
                </w:rPr>
                <m:t>∥</m:t>
              </m:r>
            </m:e>
            <m:sub>
              <m:r>
                <m:rPr>
                  <m:sty m:val="p"/>
                </m:rPr>
                <w:rPr>
                  <w:rFonts w:ascii="Cambria Math" w:hAnsi="Cambria Math"/>
                  <w:sz w:val="22"/>
                </w:rPr>
                <m:t>op</m:t>
              </m:r>
            </m:sub>
          </m:sSub>
          <m:r>
            <m:rPr>
              <m:sty m:val="p"/>
            </m:rPr>
            <w:rPr>
              <w:rFonts w:ascii="Cambria Math" w:hAnsi="Cambria Math"/>
              <w:sz w:val="22"/>
            </w:rPr>
            <m:t>∥</m:t>
          </m:r>
          <m:r>
            <w:rPr>
              <w:rFonts w:ascii="Cambria Math" w:hAnsi="Cambria Math"/>
              <w:sz w:val="22"/>
            </w:rPr>
            <m:t>η</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10</m:t>
              </m:r>
            </m:e>
          </m:d>
        </m:oMath>
      </m:oMathPara>
    </w:p>
    <w:p w14:paraId="21F323B8" w14:textId="77777777" w:rsidR="00AD4ED9" w:rsidRDefault="00000000" w:rsidP="00435E6E">
      <w:pPr>
        <w:pStyle w:val="FirstParagraph"/>
        <w:jc w:val="both"/>
      </w:pPr>
      <w:r>
        <w:t>Thus fidelity needs both a task-sensitive kernel test and a conditioning assessment. A cohomological lifting residual controls neither term by itself.</w:t>
      </w:r>
    </w:p>
    <w:p w14:paraId="07AE0C62" w14:textId="77777777" w:rsidR="00AD4ED9" w:rsidRDefault="00000000" w:rsidP="00435E6E">
      <w:pPr>
        <w:pStyle w:val="BodyText"/>
        <w:jc w:val="both"/>
      </w:pPr>
      <w:r>
        <w:t xml:space="preserve">For a nonlinear generator, the exact linear criterion becomes a local diagnostic or a criterion for a specified linear probe. Globally, two admissible states in the same code fiber that produce different </w:t>
      </w:r>
      <w:r>
        <w:lastRenderedPageBreak/>
        <w:t>answers establish unavoidable ambiguity. Half their output distance lower-bounds the worst error of any decoder on that pair. Small sampled variation within fibers is only empirical evidence for the sampled states and tasks.</w:t>
      </w:r>
    </w:p>
    <w:p w14:paraId="3B1DCA78" w14:textId="77777777" w:rsidR="00AD4ED9" w:rsidRDefault="00000000" w:rsidP="00435E6E">
      <w:pPr>
        <w:pStyle w:val="BodyText"/>
        <w:jc w:val="both"/>
      </w:pPr>
      <w:r>
        <w:t>Stored KV composition adds an execution requirement. States built from different causal histories need not equal the states obtained by prefilling their concatenated text. Compatibility in a chosen interface model does not prove that an assembled cache is reachable by the original transformer. Fresh prefill, context alignment, and any fallback recomputation belong in the validation reference.</w:t>
      </w:r>
    </w:p>
    <w:p w14:paraId="00ED2049" w14:textId="77777777" w:rsidR="00AD4ED9" w:rsidRDefault="00000000" w:rsidP="00435E6E">
      <w:pPr>
        <w:pStyle w:val="Heading1"/>
        <w:jc w:val="both"/>
      </w:pPr>
      <w:bookmarkStart w:id="6" w:name="operator-growth-and-functional-diversity"/>
      <w:bookmarkEnd w:id="5"/>
      <w:r>
        <w:t>6 Operator growth and functional diversity</w:t>
      </w:r>
    </w:p>
    <w:p w14:paraId="23FC36F6" w14:textId="77777777" w:rsidR="00AD4ED9" w:rsidRDefault="00000000" w:rsidP="00435E6E">
      <w:pPr>
        <w:pStyle w:val="FirstParagraph"/>
        <w:keepNext/>
        <w:jc w:val="both"/>
      </w:pPr>
      <w:r>
        <w:t xml:space="preserve">Consider two shared matrices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and a route word </w:t>
      </w:r>
      <m:oMath>
        <m:r>
          <w:rPr>
            <w:rFonts w:ascii="Cambria Math" w:hAnsi="Cambria Math"/>
          </w:rPr>
          <m:t>b</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e>
        </m:d>
      </m:oMath>
      <w:r>
        <w:t>. Define</w:t>
      </w:r>
    </w:p>
    <w:p w14:paraId="1DD535D1"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A</m:t>
              </m:r>
            </m:e>
            <m:sub>
              <m:r>
                <w:rPr>
                  <w:rFonts w:ascii="Cambria Math" w:hAnsi="Cambria Math"/>
                  <w:sz w:val="22"/>
                </w:rPr>
                <m:t>b</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A</m:t>
              </m:r>
            </m:e>
            <m:sub>
              <m:sSub>
                <m:sSubPr>
                  <m:ctrlPr>
                    <w:rPr>
                      <w:rFonts w:ascii="Cambria Math" w:hAnsi="Cambria Math"/>
                    </w:rPr>
                  </m:ctrlPr>
                </m:sSubPr>
                <m:e>
                  <m:r>
                    <w:rPr>
                      <w:rFonts w:ascii="Cambria Math" w:hAnsi="Cambria Math"/>
                      <w:sz w:val="22"/>
                    </w:rPr>
                    <m:t>b</m:t>
                  </m:r>
                </m:e>
                <m:sub>
                  <m:r>
                    <w:rPr>
                      <w:rFonts w:ascii="Cambria Math" w:hAnsi="Cambria Math"/>
                      <w:sz w:val="22"/>
                    </w:rPr>
                    <m:t>L</m:t>
                  </m:r>
                </m:sub>
              </m:sSub>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A</m:t>
              </m:r>
            </m:e>
            <m:sub>
              <m:sSub>
                <m:sSubPr>
                  <m:ctrlPr>
                    <w:rPr>
                      <w:rFonts w:ascii="Cambria Math" w:hAnsi="Cambria Math"/>
                    </w:rPr>
                  </m:ctrlPr>
                </m:sSubPr>
                <m:e>
                  <m:r>
                    <w:rPr>
                      <w:rFonts w:ascii="Cambria Math" w:hAnsi="Cambria Math"/>
                      <w:sz w:val="22"/>
                    </w:rPr>
                    <m:t>b</m:t>
                  </m:r>
                </m:e>
                <m:sub>
                  <m:r>
                    <w:rPr>
                      <w:rFonts w:ascii="Cambria Math" w:hAnsi="Cambria Math"/>
                      <w:sz w:val="22"/>
                    </w:rPr>
                    <m:t>1</m:t>
                  </m:r>
                </m:sub>
              </m:sSub>
            </m:sub>
          </m:sSub>
          <m:r>
            <m:rPr>
              <m:sty m:val="p"/>
            </m:rPr>
            <w:rPr>
              <w:rFonts w:ascii="Cambria Math" w:hAnsi="Cambria Math"/>
              <w:sz w:val="22"/>
            </w:rPr>
            <m:t>,</m:t>
          </m:r>
          <m:r>
            <w:rPr>
              <w:rFonts w:ascii="Cambria Math" w:hAnsi="Cambria Math"/>
              <w:sz w:val="22"/>
            </w:rPr>
            <m:t>  </m:t>
          </m:r>
          <m:sSub>
            <m:sSubPr>
              <m:ctrlPr>
                <w:rPr>
                  <w:rFonts w:ascii="Cambria Math" w:hAnsi="Cambria Math"/>
                </w:rPr>
              </m:ctrlPr>
            </m:sSubPr>
            <m:e>
              <m:r>
                <w:rPr>
                  <w:rFonts w:ascii="Cambria Math" w:hAnsi="Cambria Math"/>
                  <w:sz w:val="22"/>
                </w:rPr>
                <m:t>g</m:t>
              </m:r>
            </m:e>
            <m:sub>
              <m:r>
                <w:rPr>
                  <w:rFonts w:ascii="Cambria Math" w:hAnsi="Cambria Math"/>
                  <w:sz w:val="22"/>
                </w:rPr>
                <m:t>L</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A</m:t>
              </m:r>
            </m:e>
            <m:sub>
              <m:r>
                <w:rPr>
                  <w:rFonts w:ascii="Cambria Math" w:hAnsi="Cambria Math"/>
                  <w:sz w:val="22"/>
                </w:rPr>
                <m:t>b</m:t>
              </m:r>
            </m:sub>
          </m:sSub>
          <m:r>
            <m:rPr>
              <m:sty m:val="p"/>
            </m:rPr>
            <w:rPr>
              <w:rFonts w:ascii="Cambria Math" w:hAnsi="Cambria Math"/>
              <w:sz w:val="22"/>
            </w:rPr>
            <m:t>:</m:t>
          </m:r>
          <m:r>
            <w:rPr>
              <w:rFonts w:ascii="Cambria Math" w:hAnsi="Cambria Math"/>
              <w:sz w:val="22"/>
            </w:rPr>
            <m:t>b</m:t>
          </m:r>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1</m:t>
          </m:r>
          <m:sSup>
            <m:sSupPr>
              <m:ctrlPr>
                <w:rPr>
                  <w:rFonts w:ascii="Cambria Math" w:hAnsi="Cambria Math"/>
                </w:rPr>
              </m:ctrlPr>
            </m:sSupPr>
            <m:e>
              <m:r>
                <m:rPr>
                  <m:sty m:val="p"/>
                </m:rPr>
                <w:rPr>
                  <w:rFonts w:ascii="Cambria Math" w:hAnsi="Cambria Math"/>
                  <w:sz w:val="22"/>
                </w:rPr>
                <m:t>}</m:t>
              </m:r>
            </m:e>
            <m:sup>
              <m:r>
                <w:rPr>
                  <w:rFonts w:ascii="Cambria Math" w:hAnsi="Cambria Math"/>
                  <w:sz w:val="22"/>
                </w:rPr>
                <m:t>L</m:t>
              </m:r>
            </m:sup>
          </m:sSup>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11</m:t>
              </m:r>
            </m:e>
          </m:d>
        </m:oMath>
      </m:oMathPara>
    </w:p>
    <w:p w14:paraId="177E459E" w14:textId="77777777" w:rsidR="00AD4ED9" w:rsidRDefault="00000000" w:rsidP="00435E6E">
      <w:pPr>
        <w:pStyle w:val="FirstParagraph"/>
        <w:jc w:val="both"/>
      </w:pPr>
      <w:r>
        <w:t xml:space="preserve">There are </w:t>
      </w:r>
      <m:oMath>
        <m:sSup>
          <m:sSupPr>
            <m:ctrlPr>
              <w:rPr>
                <w:rFonts w:ascii="Cambria Math" w:hAnsi="Cambria Math"/>
              </w:rPr>
            </m:ctrlPr>
          </m:sSupPr>
          <m:e>
            <m:r>
              <w:rPr>
                <w:rFonts w:ascii="Cambria Math" w:hAnsi="Cambria Math"/>
              </w:rPr>
              <m:t>2</m:t>
            </m:r>
          </m:e>
          <m:sup>
            <m:r>
              <w:rPr>
                <w:rFonts w:ascii="Cambria Math" w:hAnsi="Cambria Math"/>
              </w:rPr>
              <m:t>L</m:t>
            </m:r>
          </m:sup>
        </m:sSup>
      </m:oMath>
      <w:r>
        <w:t xml:space="preserve"> labels, but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counts distinct operators at exactly length </w:t>
      </w:r>
      <m:oMath>
        <m:r>
          <w:rPr>
            <w:rFonts w:ascii="Cambria Math" w:hAnsi="Cambria Math"/>
          </w:rPr>
          <m:t>L</m:t>
        </m:r>
      </m:oMath>
      <w:r>
        <w:t xml:space="preserve">. If the generators commute, order is irrelevant and </w:t>
      </w: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xml:space="preserve">. For example, the diagonal pair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=diag</m:t>
        </m:r>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0.5</m:t>
            </m:r>
          </m:e>
        </m:d>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=diag</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0.9</m:t>
            </m:r>
          </m:e>
        </m:d>
      </m:oMath>
      <w:r>
        <w:t xml:space="preserve"> has exactly </w:t>
      </w:r>
      <m:oMath>
        <m:r>
          <w:rPr>
            <w:rFonts w:ascii="Cambria Math" w:hAnsi="Cambria Math"/>
          </w:rPr>
          <m:t>L</m:t>
        </m:r>
        <m:r>
          <m:rPr>
            <m:sty m:val="p"/>
          </m:rPr>
          <w:rPr>
            <w:rFonts w:ascii="Cambria Math" w:hAnsi="Cambria Math"/>
          </w:rPr>
          <m:t>+</m:t>
        </m:r>
        <m:r>
          <w:rPr>
            <w:rFonts w:ascii="Cambria Math" w:hAnsi="Cambria Math"/>
          </w:rPr>
          <m:t>1</m:t>
        </m:r>
      </m:oMath>
      <w:r>
        <w:t xml:space="preserve"> products. More general algebraic relations can also create collisions. Calling this a growth profile is appropriate; inferring a growth law from triangularity is not.</w:t>
      </w:r>
    </w:p>
    <w:p w14:paraId="62418072" w14:textId="77777777" w:rsidR="00AD4ED9" w:rsidRDefault="00000000" w:rsidP="00435E6E">
      <w:pPr>
        <w:pStyle w:val="BodyText"/>
        <w:jc w:val="both"/>
      </w:pPr>
      <w:r>
        <w:rPr>
          <w:b/>
          <w:bCs/>
        </w:rPr>
        <w:t>Proposition 3.</w:t>
      </w:r>
      <w:r>
        <w:t xml:space="preserve"> Simultaneously upper triangular generators can have </w:t>
      </w: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L</m:t>
            </m:r>
          </m:sup>
        </m:sSup>
      </m:oMath>
      <w:r>
        <w:t>.</w:t>
      </w:r>
    </w:p>
    <w:p w14:paraId="05E986E6" w14:textId="77777777" w:rsidR="00AD4ED9" w:rsidRDefault="00000000" w:rsidP="00435E6E">
      <w:pPr>
        <w:pStyle w:val="BodyText"/>
        <w:keepNext/>
        <w:jc w:val="both"/>
      </w:pPr>
      <w:r>
        <w:rPr>
          <w:b/>
          <w:bCs/>
        </w:rPr>
        <w:t>Proof.</w:t>
      </w:r>
      <w:r>
        <w:t xml:space="preserve"> Take</w:t>
      </w:r>
    </w:p>
    <w:p w14:paraId="6AE8C985"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A</m:t>
              </m:r>
            </m:e>
            <m:sub>
              <m:r>
                <w:rPr>
                  <w:rFonts w:ascii="Cambria Math" w:hAnsi="Cambria Math"/>
                  <w:sz w:val="22"/>
                </w:rPr>
                <m:t>0</m:t>
              </m:r>
            </m:sub>
          </m:sSub>
          <m:r>
            <m:rPr>
              <m:sty m:val="p"/>
            </m:rPr>
            <w:rPr>
              <w:rFonts w:ascii="Cambria Math" w:hAnsi="Cambria Math"/>
              <w:sz w:val="22"/>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2"/>
                      </w:rPr>
                      <m:t>2</m:t>
                    </m:r>
                  </m:e>
                  <m:e>
                    <m:r>
                      <w:rPr>
                        <w:rFonts w:ascii="Cambria Math" w:hAnsi="Cambria Math"/>
                        <w:sz w:val="22"/>
                      </w:rPr>
                      <m:t>0</m:t>
                    </m:r>
                  </m:e>
                </m:mr>
                <m:mr>
                  <m:e>
                    <m:r>
                      <w:rPr>
                        <w:rFonts w:ascii="Cambria Math" w:hAnsi="Cambria Math"/>
                        <w:sz w:val="22"/>
                      </w:rPr>
                      <m:t>0</m:t>
                    </m:r>
                  </m:e>
                  <m:e>
                    <m:r>
                      <w:rPr>
                        <w:rFonts w:ascii="Cambria Math" w:hAnsi="Cambria Math"/>
                        <w:sz w:val="22"/>
                      </w:rPr>
                      <m:t>1</m:t>
                    </m:r>
                  </m:e>
                </m:mr>
              </m:m>
            </m:e>
          </m:d>
          <m:r>
            <m:rPr>
              <m:sty m:val="p"/>
            </m:rPr>
            <w:rPr>
              <w:rFonts w:ascii="Cambria Math" w:hAnsi="Cambria Math"/>
              <w:sz w:val="22"/>
            </w:rPr>
            <m:t>,</m:t>
          </m:r>
          <m:r>
            <w:rPr>
              <w:rFonts w:ascii="Cambria Math" w:hAnsi="Cambria Math"/>
              <w:sz w:val="22"/>
            </w:rPr>
            <m:t>  </m:t>
          </m:r>
          <m:sSub>
            <m:sSubPr>
              <m:ctrlPr>
                <w:rPr>
                  <w:rFonts w:ascii="Cambria Math" w:hAnsi="Cambria Math"/>
                </w:rPr>
              </m:ctrlPr>
            </m:sSubPr>
            <m:e>
              <m:r>
                <w:rPr>
                  <w:rFonts w:ascii="Cambria Math" w:hAnsi="Cambria Math"/>
                  <w:sz w:val="22"/>
                </w:rPr>
                <m:t>A</m:t>
              </m:r>
            </m:e>
            <m:sub>
              <m:r>
                <w:rPr>
                  <w:rFonts w:ascii="Cambria Math" w:hAnsi="Cambria Math"/>
                  <w:sz w:val="22"/>
                </w:rPr>
                <m:t>1</m:t>
              </m:r>
            </m:sub>
          </m:sSub>
          <m:r>
            <m:rPr>
              <m:sty m:val="p"/>
            </m:rPr>
            <w:rPr>
              <w:rFonts w:ascii="Cambria Math" w:hAnsi="Cambria Math"/>
              <w:sz w:val="22"/>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2"/>
                      </w:rPr>
                      <m:t>2</m:t>
                    </m:r>
                  </m:e>
                  <m:e>
                    <m:r>
                      <w:rPr>
                        <w:rFonts w:ascii="Cambria Math" w:hAnsi="Cambria Math"/>
                        <w:sz w:val="22"/>
                      </w:rPr>
                      <m:t>1</m:t>
                    </m:r>
                  </m:e>
                </m:mr>
                <m:mr>
                  <m:e>
                    <m:r>
                      <w:rPr>
                        <w:rFonts w:ascii="Cambria Math" w:hAnsi="Cambria Math"/>
                        <w:sz w:val="22"/>
                      </w:rPr>
                      <m:t>0</m:t>
                    </m:r>
                  </m:e>
                  <m:e>
                    <m:r>
                      <w:rPr>
                        <w:rFonts w:ascii="Cambria Math" w:hAnsi="Cambria Math"/>
                        <w:sz w:val="22"/>
                      </w:rPr>
                      <m:t>1</m:t>
                    </m:r>
                  </m:e>
                </m:mr>
              </m:m>
            </m:e>
          </m:d>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12</m:t>
              </m:r>
            </m:e>
          </m:d>
        </m:oMath>
      </m:oMathPara>
    </w:p>
    <w:p w14:paraId="7F87D458" w14:textId="77777777" w:rsidR="00AD4ED9" w:rsidRDefault="00000000" w:rsidP="00435E6E">
      <w:pPr>
        <w:pStyle w:val="FirstParagraph"/>
        <w:jc w:val="both"/>
      </w:pPr>
      <w:r>
        <w:t xml:space="preserve">Their products are </w:t>
      </w:r>
      <m:oMath>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2</m:t>
                      </m:r>
                    </m:e>
                    <m:sup>
                      <m:r>
                        <w:rPr>
                          <w:rFonts w:ascii="Cambria Math" w:hAnsi="Cambria Math"/>
                        </w:rPr>
                        <m:t>L</m:t>
                      </m:r>
                    </m:sup>
                  </m:sSup>
                </m:e>
                <m:e>
                  <m:sSub>
                    <m:sSubPr>
                      <m:ctrlPr>
                        <w:rPr>
                          <w:rFonts w:ascii="Cambria Math" w:hAnsi="Cambria Math"/>
                        </w:rPr>
                      </m:ctrlPr>
                    </m:sSubPr>
                    <m:e>
                      <m:r>
                        <w:rPr>
                          <w:rFonts w:ascii="Cambria Math" w:hAnsi="Cambria Math"/>
                        </w:rPr>
                        <m:t>m</m:t>
                      </m:r>
                    </m:e>
                    <m:sub>
                      <m:r>
                        <w:rPr>
                          <w:rFonts w:ascii="Cambria Math" w:hAnsi="Cambria Math"/>
                        </w:rPr>
                        <m:t>b</m:t>
                      </m:r>
                    </m:sub>
                  </m:sSub>
                </m:e>
              </m:mr>
              <m:mr>
                <m:e>
                  <m:r>
                    <w:rPr>
                      <w:rFonts w:ascii="Cambria Math" w:hAnsi="Cambria Math"/>
                    </w:rPr>
                    <m:t>0</m:t>
                  </m:r>
                </m:e>
                <m:e>
                  <m:r>
                    <w:rPr>
                      <w:rFonts w:ascii="Cambria Math" w:hAnsi="Cambria Math"/>
                    </w:rPr>
                    <m:t>1</m:t>
                  </m:r>
                </m:e>
              </m:mr>
            </m:m>
          </m:e>
        </m:d>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ranges over all integers from zero through </w:t>
      </w:r>
      <m:oMath>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1</m:t>
        </m:r>
      </m:oMath>
      <w:r>
        <w:t xml:space="preserve">. Each new left multiplication updates the offset by </w:t>
      </w:r>
      <m:oMath>
        <m:r>
          <w:rPr>
            <w:rFonts w:ascii="Cambria Math" w:hAnsi="Cambria Math"/>
          </w:rPr>
          <m:t>m</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b</m:t>
        </m:r>
      </m:oMath>
      <w:r>
        <w:t>. Binary expansion makes the labels distinct.</w:t>
      </w:r>
    </w:p>
    <w:p w14:paraId="18EA3CDE" w14:textId="77777777" w:rsidR="00AD4ED9" w:rsidRDefault="00000000" w:rsidP="00435E6E">
      <w:pPr>
        <w:pStyle w:val="BodyText"/>
        <w:jc w:val="both"/>
      </w:pPr>
      <w:r>
        <w:t xml:space="preserve">The distinction between a free positive semigroup and a free subgroup matters. The Tits alternative concerns subgroups of linear groups and does not itself state that an arbitrary selected generator pair is free [8]. Existence of free pairs in suitable real Lie groups follows from stronger results; in particular, free rotation pairs exist in </w:t>
      </w:r>
      <m:oMath>
        <m:r>
          <w:rPr>
            <w:rFonts w:ascii="Cambria Math" w:hAnsi="Cambria Math"/>
          </w:rPr>
          <m:t>SO</m:t>
        </m:r>
        <m:d>
          <m:dPr>
            <m:ctrlPr>
              <w:rPr>
                <w:rFonts w:ascii="Cambria Math" w:hAnsi="Cambria Math"/>
              </w:rPr>
            </m:ctrlPr>
          </m:dPr>
          <m:e>
            <m:r>
              <w:rPr>
                <w:rFonts w:ascii="Cambria Math" w:hAnsi="Cambria Math"/>
              </w:rPr>
              <m:t>3</m:t>
            </m:r>
          </m:e>
        </m:d>
      </m:oMath>
      <w:r>
        <w:t xml:space="preserve"> and can be embedded in </w:t>
      </w:r>
      <m:oMath>
        <m:r>
          <w:rPr>
            <w:rFonts w:ascii="Cambria Math" w:hAnsi="Cambria Math"/>
          </w:rPr>
          <m:t>SO</m:t>
        </m:r>
        <m:d>
          <m:dPr>
            <m:ctrlPr>
              <w:rPr>
                <w:rFonts w:ascii="Cambria Math" w:hAnsi="Cambria Math"/>
              </w:rPr>
            </m:ctrlPr>
          </m:dPr>
          <m:e>
            <m:r>
              <w:rPr>
                <w:rFonts w:ascii="Cambria Math" w:hAnsi="Cambria Math"/>
              </w:rPr>
              <m:t>d</m:t>
            </m:r>
          </m:e>
        </m:d>
      </m:oMath>
      <w:r>
        <w:t xml:space="preserve"> for </w:t>
      </w:r>
      <m:oMath>
        <m:r>
          <w:rPr>
            <w:rFonts w:ascii="Cambria Math" w:hAnsi="Cambria Math"/>
          </w:rPr>
          <m:t>d</m:t>
        </m:r>
        <m:r>
          <m:rPr>
            <m:sty m:val="p"/>
          </m:rPr>
          <w:rPr>
            <w:rFonts w:ascii="Cambria Math" w:hAnsi="Cambria Math"/>
          </w:rPr>
          <m:t>≥</m:t>
        </m:r>
        <m:r>
          <w:rPr>
            <w:rFonts w:ascii="Cambria Math" w:hAnsi="Cambria Math"/>
          </w:rPr>
          <m:t>3</m:t>
        </m:r>
      </m:oMath>
      <w:r>
        <w:t xml:space="preserve"> [9]. Statements about generic pairs need a specified topology or probability measure. Training a pair does not automatically preserve any genericity assertion.</w:t>
      </w:r>
    </w:p>
    <w:p w14:paraId="6D2DBEBA" w14:textId="77777777" w:rsidR="00AD4ED9" w:rsidRDefault="00000000" w:rsidP="00435E6E">
      <w:pPr>
        <w:pStyle w:val="BodyText"/>
        <w:jc w:val="both"/>
      </w:pPr>
      <w:r>
        <w:t xml:space="preserve">For orthogonal generators </w:t>
      </w: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every product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is orthogonal. Its singular values equal one in exact arithmetic. This establishes perfectly conditioned linear transport at any depth, and free pairs permit exponentially many exact products. It does not establish the conditioning of a nonlinear expert or the number of distinguishable functions on a task distribution.</w:t>
      </w:r>
    </w:p>
    <w:p w14:paraId="0EFADA9D" w14:textId="77777777" w:rsidR="00AD4ED9" w:rsidRDefault="00000000" w:rsidP="00435E6E">
      <w:pPr>
        <w:pStyle w:val="BodyText"/>
        <w:keepNext/>
        <w:jc w:val="both"/>
      </w:pPr>
      <w:r>
        <w:t xml:space="preserve">Nor is Euclidean orthogonality the only stable regime. Let </w:t>
      </w:r>
      <m:oMath>
        <m:r>
          <w:rPr>
            <w:rFonts w:ascii="Cambria Math" w:hAnsi="Cambria Math"/>
          </w:rPr>
          <m:t>S</m:t>
        </m:r>
      </m:oMath>
      <w:r>
        <w:t xml:space="preserve"> be a fixed invertible matrix and set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oMath>
      <w:r>
        <w:t xml:space="preserve">. Then </w:t>
      </w:r>
      <m:oMath>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Q</m:t>
            </m:r>
          </m:e>
          <m:sub>
            <m:r>
              <w:rPr>
                <w:rFonts w:ascii="Cambria Math" w:hAnsi="Cambria Math"/>
              </w:rPr>
              <m:t>b</m:t>
            </m:r>
          </m:sub>
        </m:sSub>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oMath>
      <w:r>
        <w:t>, distinctness is preserved, and</w:t>
      </w:r>
    </w:p>
    <w:p w14:paraId="48A16205"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κ</m:t>
              </m:r>
            </m:e>
            <m:sub>
              <m:r>
                <w:rPr>
                  <w:rFonts w:ascii="Cambria Math" w:hAnsi="Cambria Math"/>
                  <w:sz w:val="22"/>
                </w:rPr>
                <m:t>2</m:t>
              </m:r>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b</m:t>
                  </m:r>
                </m:sub>
              </m:sSub>
            </m:e>
          </m:d>
          <m:r>
            <m:rPr>
              <m:sty m:val="p"/>
            </m:rPr>
            <w:rPr>
              <w:rFonts w:ascii="Cambria Math" w:hAnsi="Cambria Math"/>
              <w:sz w:val="22"/>
            </w:rPr>
            <m:t>≤</m:t>
          </m:r>
          <m:sSub>
            <m:sSubPr>
              <m:ctrlPr>
                <w:rPr>
                  <w:rFonts w:ascii="Cambria Math" w:hAnsi="Cambria Math"/>
                </w:rPr>
              </m:ctrlPr>
            </m:sSubPr>
            <m:e>
              <m:r>
                <w:rPr>
                  <w:rFonts w:ascii="Cambria Math" w:hAnsi="Cambria Math"/>
                  <w:sz w:val="22"/>
                </w:rPr>
                <m:t>κ</m:t>
              </m:r>
            </m:e>
            <m:sub>
              <m:r>
                <w:rPr>
                  <w:rFonts w:ascii="Cambria Math" w:hAnsi="Cambria Math"/>
                  <w:sz w:val="22"/>
                </w:rPr>
                <m:t>2</m:t>
              </m:r>
            </m:sub>
          </m:sSub>
          <m:sSup>
            <m:sSupPr>
              <m:ctrlPr>
                <w:rPr>
                  <w:rFonts w:ascii="Cambria Math" w:hAnsi="Cambria Math"/>
                </w:rPr>
              </m:ctrlPr>
            </m:sSupPr>
            <m:e>
              <m:d>
                <m:dPr>
                  <m:ctrlPr>
                    <w:rPr>
                      <w:rFonts w:ascii="Cambria Math" w:hAnsi="Cambria Math"/>
                    </w:rPr>
                  </m:ctrlPr>
                </m:dPr>
                <m:e>
                  <m:r>
                    <w:rPr>
                      <w:rFonts w:ascii="Cambria Math" w:hAnsi="Cambria Math"/>
                      <w:sz w:val="22"/>
                    </w:rPr>
                    <m:t>S</m:t>
                  </m:r>
                </m:e>
              </m:d>
            </m:e>
            <m:sup>
              <m:r>
                <w:rPr>
                  <w:rFonts w:ascii="Cambria Math" w:hAnsi="Cambria Math"/>
                  <w:sz w:val="22"/>
                </w:rPr>
                <m:t>2</m:t>
              </m:r>
            </m:sup>
          </m:sSup>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13</m:t>
              </m:r>
            </m:e>
          </m:d>
        </m:oMath>
      </m:oMathPara>
    </w:p>
    <w:p w14:paraId="723A415D" w14:textId="77777777" w:rsidR="00AD4ED9" w:rsidRDefault="00000000" w:rsidP="00435E6E">
      <w:pPr>
        <w:pStyle w:val="FirstParagraph"/>
        <w:jc w:val="both"/>
      </w:pPr>
      <w:r>
        <w:t>These generally nonorthogonal products remain uniformly conditioned. They preserve a different positive-definite metric. The useful property is controlled transport in the relevant metric, rather than membership in exactly one matrix class.</w:t>
      </w:r>
    </w:p>
    <w:p w14:paraId="3FEA8E09" w14:textId="77777777" w:rsidR="00AD4ED9" w:rsidRDefault="00000000" w:rsidP="00435E6E">
      <w:pPr>
        <w:pStyle w:val="BodyText"/>
        <w:keepNext/>
        <w:jc w:val="both"/>
      </w:pPr>
      <w:r>
        <w:lastRenderedPageBreak/>
        <w:t>The proposed shared nonlinear expert can be made precise as</w:t>
      </w:r>
    </w:p>
    <w:p w14:paraId="2457D5D9"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E</m:t>
              </m:r>
            </m:e>
            <m:sub>
              <m:r>
                <w:rPr>
                  <w:rFonts w:ascii="Cambria Math" w:hAnsi="Cambria Math"/>
                  <w:sz w:val="22"/>
                </w:rPr>
                <m:t>Q</m:t>
              </m:r>
            </m:sub>
          </m:sSub>
          <m:d>
            <m:dPr>
              <m:ctrlPr>
                <w:rPr>
                  <w:rFonts w:ascii="Cambria Math" w:hAnsi="Cambria Math"/>
                </w:rPr>
              </m:ctrlPr>
            </m:dPr>
            <m:e>
              <m:r>
                <w:rPr>
                  <w:rFonts w:ascii="Cambria Math" w:hAnsi="Cambria Math"/>
                  <w:sz w:val="22"/>
                </w:rPr>
                <m:t>x</m:t>
              </m:r>
            </m:e>
          </m:d>
          <m:r>
            <m:rPr>
              <m:sty m:val="p"/>
            </m:rPr>
            <w:rPr>
              <w:rFonts w:ascii="Cambria Math" w:hAnsi="Cambria Math"/>
              <w:sz w:val="22"/>
            </w:rPr>
            <m:t>=</m:t>
          </m:r>
          <m:sSup>
            <m:sSupPr>
              <m:ctrlPr>
                <w:rPr>
                  <w:rFonts w:ascii="Cambria Math" w:hAnsi="Cambria Math"/>
                </w:rPr>
              </m:ctrlPr>
            </m:sSupPr>
            <m:e>
              <m:r>
                <w:rPr>
                  <w:rFonts w:ascii="Cambria Math" w:hAnsi="Cambria Math"/>
                  <w:sz w:val="22"/>
                </w:rPr>
                <m:t>Q</m:t>
              </m:r>
            </m:e>
            <m:sup>
              <m:r>
                <m:rPr>
                  <m:sty m:val="p"/>
                </m:rPr>
                <w:rPr>
                  <w:rFonts w:ascii="Cambria Math" w:hAnsi="Cambria Math"/>
                  <w:sz w:val="22"/>
                </w:rPr>
                <m:t>⊤</m:t>
              </m:r>
            </m:sup>
          </m:sSup>
          <m:r>
            <w:rPr>
              <w:rFonts w:ascii="Cambria Math" w:hAnsi="Cambria Math"/>
              <w:sz w:val="22"/>
            </w:rPr>
            <m:t>ϕ</m:t>
          </m:r>
          <m:d>
            <m:dPr>
              <m:ctrlPr>
                <w:rPr>
                  <w:rFonts w:ascii="Cambria Math" w:hAnsi="Cambria Math"/>
                </w:rPr>
              </m:ctrlPr>
            </m:dPr>
            <m:e>
              <m:r>
                <w:rPr>
                  <w:rFonts w:ascii="Cambria Math" w:hAnsi="Cambria Math"/>
                  <w:sz w:val="22"/>
                </w:rPr>
                <m:t>Qx</m:t>
              </m:r>
            </m:e>
          </m:d>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14</m:t>
              </m:r>
            </m:e>
          </m:d>
        </m:oMath>
      </m:oMathPara>
    </w:p>
    <w:p w14:paraId="58B3B2DB" w14:textId="77777777" w:rsidR="00AD4ED9" w:rsidRDefault="00000000" w:rsidP="00435E6E">
      <w:pPr>
        <w:pStyle w:val="FirstParagraph"/>
        <w:jc w:val="both"/>
      </w:pPr>
      <w:r>
        <w:t>This definition rotates into a shared nonlinear block and rotates its output back. It differs from placing a separate nonlinearity between every pair of generators; those two constructions require different analyses.</w:t>
      </w:r>
    </w:p>
    <w:p w14:paraId="00E17146" w14:textId="77777777" w:rsidR="00AD4ED9" w:rsidRDefault="00000000" w:rsidP="00435E6E">
      <w:pPr>
        <w:pStyle w:val="BodyText"/>
        <w:keepNext/>
        <w:jc w:val="both"/>
      </w:pPr>
      <w:r>
        <w:t>Define the symmetry group of the shared block by</w:t>
      </w:r>
    </w:p>
    <w:p w14:paraId="63C34B9E"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G</m:t>
              </m:r>
            </m:e>
            <m:sub>
              <m:r>
                <w:rPr>
                  <w:rFonts w:ascii="Cambria Math" w:hAnsi="Cambria Math"/>
                  <w:sz w:val="22"/>
                </w:rPr>
                <m:t>ϕ</m:t>
              </m:r>
            </m:sub>
          </m:sSub>
          <m:r>
            <m:rPr>
              <m:sty m:val="p"/>
            </m:rPr>
            <w:rPr>
              <w:rFonts w:ascii="Cambria Math" w:hAnsi="Cambria Math"/>
              <w:sz w:val="22"/>
            </w:rPr>
            <m:t>={</m:t>
          </m:r>
          <m:r>
            <w:rPr>
              <w:rFonts w:ascii="Cambria Math" w:hAnsi="Cambria Math"/>
              <w:sz w:val="22"/>
            </w:rPr>
            <m:t>U</m:t>
          </m:r>
          <m:r>
            <m:rPr>
              <m:sty m:val="p"/>
            </m:rPr>
            <w:rPr>
              <w:rFonts w:ascii="Cambria Math" w:hAnsi="Cambria Math"/>
              <w:sz w:val="22"/>
            </w:rPr>
            <m:t>∈</m:t>
          </m:r>
          <m:r>
            <w:rPr>
              <w:rFonts w:ascii="Cambria Math" w:hAnsi="Cambria Math"/>
              <w:sz w:val="22"/>
            </w:rPr>
            <m:t>SO</m:t>
          </m:r>
          <m:d>
            <m:dPr>
              <m:ctrlPr>
                <w:rPr>
                  <w:rFonts w:ascii="Cambria Math" w:hAnsi="Cambria Math"/>
                </w:rPr>
              </m:ctrlPr>
            </m:dPr>
            <m:e>
              <m:r>
                <w:rPr>
                  <w:rFonts w:ascii="Cambria Math" w:hAnsi="Cambria Math"/>
                  <w:sz w:val="22"/>
                </w:rPr>
                <m:t>d</m:t>
              </m:r>
            </m:e>
          </m:d>
          <m:r>
            <m:rPr>
              <m:sty m:val="p"/>
            </m:rPr>
            <w:rPr>
              <w:rFonts w:ascii="Cambria Math" w:hAnsi="Cambria Math"/>
              <w:sz w:val="22"/>
            </w:rPr>
            <m:t>:</m:t>
          </m:r>
          <m:r>
            <w:rPr>
              <w:rFonts w:ascii="Cambria Math" w:hAnsi="Cambria Math"/>
              <w:sz w:val="22"/>
            </w:rPr>
            <m:t>ϕ</m:t>
          </m:r>
          <m:d>
            <m:dPr>
              <m:ctrlPr>
                <w:rPr>
                  <w:rFonts w:ascii="Cambria Math" w:hAnsi="Cambria Math"/>
                </w:rPr>
              </m:ctrlPr>
            </m:dPr>
            <m:e>
              <m:r>
                <w:rPr>
                  <w:rFonts w:ascii="Cambria Math" w:hAnsi="Cambria Math"/>
                  <w:sz w:val="22"/>
                </w:rPr>
                <m:t>Ux</m:t>
              </m:r>
            </m:e>
          </m:d>
          <m:r>
            <m:rPr>
              <m:sty m:val="p"/>
            </m:rPr>
            <w:rPr>
              <w:rFonts w:ascii="Cambria Math" w:hAnsi="Cambria Math"/>
              <w:sz w:val="22"/>
            </w:rPr>
            <m:t>=</m:t>
          </m:r>
          <m:r>
            <w:rPr>
              <w:rFonts w:ascii="Cambria Math" w:hAnsi="Cambria Math"/>
              <w:sz w:val="22"/>
            </w:rPr>
            <m:t>Uϕ</m:t>
          </m:r>
          <m:d>
            <m:dPr>
              <m:ctrlPr>
                <w:rPr>
                  <w:rFonts w:ascii="Cambria Math" w:hAnsi="Cambria Math"/>
                </w:rPr>
              </m:ctrlPr>
            </m:dPr>
            <m:e>
              <m:r>
                <w:rPr>
                  <w:rFonts w:ascii="Cambria Math" w:hAnsi="Cambria Math"/>
                  <w:sz w:val="22"/>
                </w:rPr>
                <m:t>x</m:t>
              </m:r>
            </m:e>
          </m:d>
          <m:r>
            <m:rPr>
              <m:nor/>
            </m:rPr>
            <w:rPr>
              <w:sz w:val="22"/>
            </w:rPr>
            <m:t xml:space="preserve"> for all </m:t>
          </m:r>
          <m:r>
            <w:rPr>
              <w:rFonts w:ascii="Cambria Math" w:hAnsi="Cambria Math"/>
              <w:sz w:val="22"/>
            </w:rPr>
            <m:t>x</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15</m:t>
              </m:r>
            </m:e>
          </m:d>
        </m:oMath>
      </m:oMathPara>
    </w:p>
    <w:p w14:paraId="5638C749" w14:textId="77777777" w:rsidR="00AD4ED9" w:rsidRDefault="00000000" w:rsidP="00435E6E">
      <w:pPr>
        <w:pStyle w:val="FirstParagraph"/>
        <w:jc w:val="both"/>
      </w:pPr>
      <w:r>
        <w:rPr>
          <w:b/>
          <w:bCs/>
        </w:rPr>
        <w:t>Proposition 4.</w:t>
      </w:r>
      <w:r>
        <w:t xml:space="preserve"> Two rotations </w:t>
      </w:r>
      <m:oMath>
        <m:r>
          <w:rPr>
            <w:rFonts w:ascii="Cambria Math" w:hAnsi="Cambria Math"/>
          </w:rPr>
          <m:t>P</m:t>
        </m:r>
        <m:r>
          <m:rPr>
            <m:sty m:val="p"/>
          </m:rPr>
          <w:rPr>
            <w:rFonts w:ascii="Cambria Math" w:hAnsi="Cambria Math"/>
          </w:rPr>
          <m:t>,</m:t>
        </m:r>
        <m:r>
          <w:rPr>
            <w:rFonts w:ascii="Cambria Math" w:hAnsi="Cambria Math"/>
          </w:rPr>
          <m:t>Q</m:t>
        </m:r>
      </m:oMath>
      <w:r>
        <w:t xml:space="preserve"> define the same expert in Equation (14) precisely when </w:t>
      </w:r>
      <m:oMath>
        <m:r>
          <w:rPr>
            <w:rFonts w:ascii="Cambria Math" w:hAnsi="Cambria Math"/>
          </w:rPr>
          <m:t>P</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m:t>
            </m:r>
          </m:sub>
        </m:sSub>
      </m:oMath>
      <w:r>
        <w:t>.</w:t>
      </w:r>
    </w:p>
    <w:p w14:paraId="5B422D7C" w14:textId="77777777" w:rsidR="00AD4ED9" w:rsidRDefault="00000000" w:rsidP="00435E6E">
      <w:pPr>
        <w:pStyle w:val="BodyText"/>
        <w:jc w:val="both"/>
      </w:pPr>
      <w:r>
        <w:rPr>
          <w:b/>
          <w:bCs/>
        </w:rPr>
        <w:t>Proof.</w:t>
      </w:r>
      <w:r>
        <w:t xml:space="preserve"> Substitute </w:t>
      </w:r>
      <m:oMath>
        <m:r>
          <w:rPr>
            <w:rFonts w:ascii="Cambria Math" w:hAnsi="Cambria Math"/>
          </w:rPr>
          <m:t>y</m:t>
        </m:r>
        <m:r>
          <m:rPr>
            <m:sty m:val="p"/>
          </m:rPr>
          <w:rPr>
            <w:rFonts w:ascii="Cambria Math" w:hAnsi="Cambria Math"/>
          </w:rPr>
          <m:t>=</m:t>
        </m:r>
        <m:r>
          <w:rPr>
            <w:rFonts w:ascii="Cambria Math" w:hAnsi="Cambria Math"/>
          </w:rPr>
          <m:t>Qx</m:t>
        </m:r>
      </m:oMath>
      <w:r>
        <w:t xml:space="preserve"> into </w:t>
      </w:r>
      <m:oMath>
        <m:sSub>
          <m:sSubPr>
            <m:ctrlPr>
              <w:rPr>
                <w:rFonts w:ascii="Cambria Math" w:hAnsi="Cambria Math"/>
              </w:rPr>
            </m:ctrlPr>
          </m:sSubPr>
          <m:e>
            <m:r>
              <w:rPr>
                <w:rFonts w:ascii="Cambria Math" w:hAnsi="Cambria Math"/>
              </w:rPr>
              <m:t>E</m:t>
            </m:r>
          </m:e>
          <m:sub>
            <m:r>
              <w:rPr>
                <w:rFonts w:ascii="Cambria Math" w:hAnsi="Cambria Math"/>
              </w:rPr>
              <m:t>P</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d>
          <m:dPr>
            <m:ctrlPr>
              <w:rPr>
                <w:rFonts w:ascii="Cambria Math" w:hAnsi="Cambria Math"/>
              </w:rPr>
            </m:ctrlPr>
          </m:dPr>
          <m:e>
            <m:r>
              <w:rPr>
                <w:rFonts w:ascii="Cambria Math" w:hAnsi="Cambria Math"/>
              </w:rPr>
              <m:t>x</m:t>
            </m:r>
          </m:e>
        </m:d>
      </m:oMath>
      <w:r>
        <w:t xml:space="preserve"> and multiply by </w:t>
      </w:r>
      <m:oMath>
        <m:r>
          <w:rPr>
            <w:rFonts w:ascii="Cambria Math" w:hAnsi="Cambria Math"/>
          </w:rPr>
          <m:t>P</m:t>
        </m:r>
      </m:oMath>
      <w:r>
        <w:t xml:space="preserve">. The resulting identity is </w:t>
      </w:r>
      <m:oMath>
        <m:r>
          <w:rPr>
            <w:rFonts w:ascii="Cambria Math" w:hAnsi="Cambria Math"/>
          </w:rPr>
          <m:t>ϕ</m:t>
        </m:r>
        <m:d>
          <m:dPr>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y</m:t>
            </m:r>
          </m:e>
        </m:d>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ϕ</m:t>
        </m:r>
        <m:d>
          <m:dPr>
            <m:ctrlPr>
              <w:rPr>
                <w:rFonts w:ascii="Cambria Math" w:hAnsi="Cambria Math"/>
              </w:rPr>
            </m:ctrlPr>
          </m:dPr>
          <m:e>
            <m:r>
              <w:rPr>
                <w:rFonts w:ascii="Cambria Math" w:hAnsi="Cambria Math"/>
              </w:rPr>
              <m:t>y</m:t>
            </m:r>
          </m:e>
        </m:d>
      </m:oMath>
      <w:r>
        <w:t>.</w:t>
      </w:r>
    </w:p>
    <w:p w14:paraId="14D7D274" w14:textId="77777777" w:rsidR="00AD4ED9" w:rsidRDefault="00000000" w:rsidP="00435E6E">
      <w:pPr>
        <w:pStyle w:val="BodyText"/>
        <w:jc w:val="both"/>
      </w:pPr>
      <w:r>
        <w:t xml:space="preserve">The expert family therefore lives in the quotient </w:t>
      </w:r>
      <m:oMath>
        <m:sSub>
          <m:sSubPr>
            <m:ctrlPr>
              <w:rPr>
                <w:rFonts w:ascii="Cambria Math" w:hAnsi="Cambria Math"/>
              </w:rPr>
            </m:ctrlPr>
          </m:sSubPr>
          <m:e>
            <m:r>
              <w:rPr>
                <w:rFonts w:ascii="Cambria Math" w:hAnsi="Cambria Math"/>
              </w:rPr>
              <m:t>G</m:t>
            </m:r>
          </m:e>
          <m:sub>
            <m:r>
              <w:rPr>
                <w:rFonts w:ascii="Cambria Math" w:hAnsi="Cambria Math"/>
              </w:rPr>
              <m:t>ϕ</m:t>
            </m:r>
          </m:sub>
        </m:sSub>
        <m:r>
          <m:rPr>
            <m:sty m:val="p"/>
          </m:rPr>
          <w:rPr>
            <w:rFonts w:ascii="Cambria Math" w:hAnsi="Cambria Math"/>
          </w:rPr>
          <m:t>∖</m:t>
        </m:r>
        <m:r>
          <w:rPr>
            <w:rFonts w:ascii="Cambria Math" w:hAnsi="Cambria Math"/>
          </w:rPr>
          <m:t>SO</m:t>
        </m:r>
        <m:d>
          <m:dPr>
            <m:ctrlPr>
              <w:rPr>
                <w:rFonts w:ascii="Cambria Math" w:hAnsi="Cambria Math"/>
              </w:rPr>
            </m:ctrlPr>
          </m:dPr>
          <m:e>
            <m:r>
              <w:rPr>
                <w:rFonts w:ascii="Cambria Math" w:hAnsi="Cambria Math"/>
              </w:rPr>
              <m:t>d</m:t>
            </m:r>
          </m:e>
        </m:d>
      </m:oMath>
      <w:r>
        <w:t xml:space="preserve">. For the nonlinear radial block </w:t>
      </w:r>
      <m:oMath>
        <m:r>
          <w:rPr>
            <w:rFonts w:ascii="Cambria Math" w:hAnsi="Cambria Math"/>
          </w:rPr>
          <m:t>ϕ</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e>
        </m:d>
        <m:r>
          <w:rPr>
            <w:rFonts w:ascii="Cambria Math" w:hAnsi="Cambria Math"/>
          </w:rPr>
          <m:t>x</m:t>
        </m:r>
      </m:oMath>
      <w:r>
        <w:t xml:space="preserve">, every rotation is a symmetry and all routes implement the same function. Applying the same scalar nonlinearity in every coordinate retains the even coordinate permutations that lie in </w:t>
      </w:r>
      <m:oMath>
        <m:r>
          <w:rPr>
            <w:rFonts w:ascii="Cambria Math" w:hAnsi="Cambria Math"/>
          </w:rPr>
          <m:t>SO</m:t>
        </m:r>
        <m:d>
          <m:dPr>
            <m:ctrlPr>
              <w:rPr>
                <w:rFonts w:ascii="Cambria Math" w:hAnsi="Cambria Math"/>
              </w:rPr>
            </m:ctrlPr>
          </m:dPr>
          <m:e>
            <m:r>
              <w:rPr>
                <w:rFonts w:ascii="Cambria Math" w:hAnsi="Cambria Math"/>
              </w:rPr>
              <m:t>d</m:t>
            </m:r>
          </m:e>
        </m:d>
      </m:oMath>
      <w:r>
        <w:t>. On a restricted task distribution, additional functional identifications can occur.</w:t>
      </w:r>
    </w:p>
    <w:p w14:paraId="36B16EE7" w14:textId="77777777" w:rsidR="00AD4ED9" w:rsidRDefault="00000000" w:rsidP="00435E6E">
      <w:pPr>
        <w:pStyle w:val="BodyText"/>
        <w:jc w:val="both"/>
      </w:pPr>
      <w:r>
        <w:t>This is a stronger distinction than counting exact matrix products. A model can have exponentially many route labels, exponentially many distinct orthogonal operators, and only one expert function. Group-based parameter sharing and equivariance already have an established neural-network literature [13]. The proposed measurement concerns the resulting functional quotient and task distribution.</w:t>
      </w:r>
    </w:p>
    <w:p w14:paraId="4FF867B0" w14:textId="77777777" w:rsidR="00AD4ED9" w:rsidRDefault="00000000" w:rsidP="00435E6E">
      <w:pPr>
        <w:pStyle w:val="BodyText"/>
        <w:keepNext/>
        <w:jc w:val="both"/>
      </w:pPr>
      <w:r>
        <w:rPr>
          <w:b/>
          <w:bCs/>
        </w:rPr>
        <w:t>Finite resolution.</w:t>
      </w:r>
      <w:r>
        <w:t xml:space="preserve"> Distinct elements of a compact matrix group cannot remain uniformly separated as their number grows without bound. If </w:t>
      </w:r>
      <m:oMath>
        <m:r>
          <w:rPr>
            <w:rFonts w:ascii="Cambria Math" w:hAnsi="Cambria Math"/>
          </w:rPr>
          <m:t>M</m:t>
        </m:r>
      </m:oMath>
      <w:r>
        <w:t xml:space="preserve"> orthogonal matrices are pairwise separated by at least </w:t>
      </w:r>
      <m:oMath>
        <m:r>
          <w:rPr>
            <w:rFonts w:ascii="Cambria Math" w:hAnsi="Cambria Math"/>
          </w:rPr>
          <m:t>ϵ</m:t>
        </m:r>
      </m:oMath>
      <w:r>
        <w:t xml:space="preserve"> in Frobenius norm, a Euclidean volume argument gives</w:t>
      </w:r>
    </w:p>
    <w:p w14:paraId="07AEA7A1" w14:textId="77777777" w:rsidR="00AD4ED9" w:rsidRDefault="00000000" w:rsidP="00435E6E">
      <w:pPr>
        <w:pStyle w:val="BodyText"/>
        <w:keepLines/>
        <w:spacing w:before="100" w:after="140"/>
        <w:jc w:val="both"/>
      </w:pPr>
      <m:oMathPara>
        <m:oMathParaPr>
          <m:jc m:val="center"/>
        </m:oMathParaPr>
        <m:oMath>
          <m:r>
            <w:rPr>
              <w:rFonts w:ascii="Cambria Math" w:hAnsi="Cambria Math"/>
              <w:sz w:val="22"/>
            </w:rPr>
            <m:t>M</m:t>
          </m:r>
          <m:r>
            <m:rPr>
              <m:sty m:val="p"/>
            </m:rPr>
            <w:rPr>
              <w:rFonts w:ascii="Cambria Math" w:hAnsi="Cambria Math"/>
              <w:sz w:val="22"/>
            </w:rPr>
            <m:t>≤</m:t>
          </m:r>
          <m:sSup>
            <m:sSupPr>
              <m:ctrlPr>
                <w:rPr>
                  <w:rFonts w:ascii="Cambria Math" w:hAnsi="Cambria Math"/>
                </w:rPr>
              </m:ctrlPr>
            </m:sSupPr>
            <m:e>
              <m:d>
                <m:dPr>
                  <m:ctrlPr>
                    <w:rPr>
                      <w:rFonts w:ascii="Cambria Math" w:hAnsi="Cambria Math"/>
                    </w:rPr>
                  </m:ctrlPr>
                </m:dPr>
                <m:e>
                  <m:r>
                    <w:rPr>
                      <w:rFonts w:ascii="Cambria Math" w:hAnsi="Cambria Math"/>
                      <w:sz w:val="22"/>
                    </w:rPr>
                    <m:t>1</m:t>
                  </m:r>
                  <m:r>
                    <m:rPr>
                      <m:sty m:val="p"/>
                    </m:rPr>
                    <w:rPr>
                      <w:rFonts w:ascii="Cambria Math" w:hAnsi="Cambria Math"/>
                      <w:sz w:val="22"/>
                    </w:rPr>
                    <m:t>+</m:t>
                  </m:r>
                  <m:f>
                    <m:fPr>
                      <m:ctrlPr>
                        <w:rPr>
                          <w:rFonts w:ascii="Cambria Math" w:hAnsi="Cambria Math"/>
                        </w:rPr>
                      </m:ctrlPr>
                    </m:fPr>
                    <m:num>
                      <m:r>
                        <w:rPr>
                          <w:rFonts w:ascii="Cambria Math" w:hAnsi="Cambria Math"/>
                          <w:sz w:val="22"/>
                        </w:rPr>
                        <m:t>2</m:t>
                      </m:r>
                      <m:rad>
                        <m:radPr>
                          <m:degHide m:val="1"/>
                          <m:ctrlPr>
                            <w:rPr>
                              <w:rFonts w:ascii="Cambria Math" w:hAnsi="Cambria Math"/>
                            </w:rPr>
                          </m:ctrlPr>
                        </m:radPr>
                        <m:deg/>
                        <m:e>
                          <m:r>
                            <w:rPr>
                              <w:rFonts w:ascii="Cambria Math" w:hAnsi="Cambria Math"/>
                              <w:sz w:val="22"/>
                            </w:rPr>
                            <m:t>d</m:t>
                          </m:r>
                        </m:e>
                      </m:rad>
                    </m:num>
                    <m:den>
                      <m:r>
                        <w:rPr>
                          <w:rFonts w:ascii="Cambria Math" w:hAnsi="Cambria Math"/>
                          <w:sz w:val="22"/>
                        </w:rPr>
                        <m:t>ϵ</m:t>
                      </m:r>
                    </m:den>
                  </m:f>
                </m:e>
              </m:d>
            </m:e>
            <m:sup>
              <m:sSup>
                <m:sSupPr>
                  <m:ctrlPr>
                    <w:rPr>
                      <w:rFonts w:ascii="Cambria Math" w:hAnsi="Cambria Math"/>
                    </w:rPr>
                  </m:ctrlPr>
                </m:sSupPr>
                <m:e>
                  <m:r>
                    <w:rPr>
                      <w:rFonts w:ascii="Cambria Math" w:hAnsi="Cambria Math"/>
                      <w:sz w:val="22"/>
                    </w:rPr>
                    <m:t>d</m:t>
                  </m:r>
                </m:e>
                <m:sup>
                  <m:r>
                    <w:rPr>
                      <w:rFonts w:ascii="Cambria Math" w:hAnsi="Cambria Math"/>
                      <w:sz w:val="22"/>
                    </w:rPr>
                    <m:t>2</m:t>
                  </m:r>
                </m:sup>
              </m:sSup>
            </m:sup>
          </m:sSup>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16</m:t>
              </m:r>
            </m:e>
          </m:d>
        </m:oMath>
      </m:oMathPara>
    </w:p>
    <w:p w14:paraId="5261730D" w14:textId="77777777" w:rsidR="00AD4ED9" w:rsidRDefault="00000000" w:rsidP="00435E6E">
      <w:pPr>
        <w:pStyle w:val="FirstParagraph"/>
        <w:jc w:val="both"/>
      </w:pPr>
      <w:r>
        <w:t>The exponent is deliberately a loose ambient-dimensional bound; sharper intrinsic-dimensional bounds are unnecessary for the conclusion. Exact exponential word growth does not imply exponential capacity at a fixed resolution for unlimited depth.</w:t>
      </w:r>
    </w:p>
    <w:p w14:paraId="7F878FF6" w14:textId="77777777" w:rsidR="00AD4ED9" w:rsidRDefault="00000000" w:rsidP="00435E6E">
      <w:pPr>
        <w:pStyle w:val="BodyText"/>
        <w:keepNext/>
        <w:jc w:val="both"/>
      </w:pPr>
      <w:r>
        <w:t xml:space="preserve">If </w:t>
      </w:r>
      <m:oMath>
        <m:r>
          <w:rPr>
            <w:rFonts w:ascii="Cambria Math" w:hAnsi="Cambria Math"/>
          </w:rPr>
          <m:t>ϕ</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ϕ</m:t>
        </m:r>
      </m:oMath>
      <w:r>
        <w:t xml:space="preserve"> is </w:t>
      </w:r>
      <m:oMath>
        <m:r>
          <w:rPr>
            <w:rFonts w:ascii="Cambria Math" w:hAnsi="Cambria Math"/>
          </w:rPr>
          <m:t>K</m:t>
        </m:r>
      </m:oMath>
      <w:r>
        <w:t>-Lipschitz on the radius-</w:t>
      </w:r>
      <m:oMath>
        <m:r>
          <w:rPr>
            <w:rFonts w:ascii="Cambria Math" w:hAnsi="Cambria Math"/>
          </w:rPr>
          <m:t>R</m:t>
        </m:r>
      </m:oMath>
      <w:r>
        <w:t xml:space="preserve"> ball, and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oMath>
      <w:r>
        <w:t>, then</w:t>
      </w:r>
    </w:p>
    <w:p w14:paraId="0EAAD332" w14:textId="77777777" w:rsidR="00AD4ED9" w:rsidRDefault="00000000" w:rsidP="00435E6E">
      <w:pPr>
        <w:pStyle w:val="BodyText"/>
        <w:keepLines/>
        <w:spacing w:before="100" w:after="140"/>
        <w:jc w:val="both"/>
      </w:pPr>
      <m:oMathPara>
        <m:oMathParaPr>
          <m:jc m:val="center"/>
        </m:oMathParaPr>
        <m:oMath>
          <m:r>
            <m:rPr>
              <m:sty m:val="p"/>
            </m:rPr>
            <w:rPr>
              <w:rFonts w:ascii="Cambria Math" w:hAnsi="Cambria Math"/>
              <w:sz w:val="22"/>
            </w:rPr>
            <m:t>∥</m:t>
          </m:r>
          <m:sSub>
            <m:sSubPr>
              <m:ctrlPr>
                <w:rPr>
                  <w:rFonts w:ascii="Cambria Math" w:hAnsi="Cambria Math"/>
                </w:rPr>
              </m:ctrlPr>
            </m:sSubPr>
            <m:e>
              <m:r>
                <w:rPr>
                  <w:rFonts w:ascii="Cambria Math" w:hAnsi="Cambria Math"/>
                  <w:sz w:val="22"/>
                </w:rPr>
                <m:t>E</m:t>
              </m:r>
            </m:e>
            <m:sub>
              <m:r>
                <w:rPr>
                  <w:rFonts w:ascii="Cambria Math" w:hAnsi="Cambria Math"/>
                  <w:sz w:val="22"/>
                </w:rPr>
                <m:t>Q</m:t>
              </m:r>
            </m:sub>
          </m:sSub>
          <m:d>
            <m:dPr>
              <m:ctrlPr>
                <w:rPr>
                  <w:rFonts w:ascii="Cambria Math" w:hAnsi="Cambria Math"/>
                </w:rPr>
              </m:ctrlPr>
            </m:dPr>
            <m:e>
              <m:r>
                <w:rPr>
                  <w:rFonts w:ascii="Cambria Math" w:hAnsi="Cambria Math"/>
                  <w:sz w:val="22"/>
                </w:rPr>
                <m:t>x</m:t>
              </m:r>
            </m:e>
          </m:d>
          <m:r>
            <m:rPr>
              <m:sty m:val="p"/>
            </m:rPr>
            <w:rPr>
              <w:rFonts w:ascii="Cambria Math" w:hAnsi="Cambria Math"/>
              <w:sz w:val="22"/>
            </w:rPr>
            <m:t>-</m:t>
          </m:r>
          <m:sSub>
            <m:sSubPr>
              <m:ctrlPr>
                <w:rPr>
                  <w:rFonts w:ascii="Cambria Math" w:hAnsi="Cambria Math"/>
                </w:rPr>
              </m:ctrlPr>
            </m:sSubPr>
            <m:e>
              <m:r>
                <w:rPr>
                  <w:rFonts w:ascii="Cambria Math" w:hAnsi="Cambria Math"/>
                  <w:sz w:val="22"/>
                </w:rPr>
                <m:t>E</m:t>
              </m:r>
            </m:e>
            <m:sub>
              <m:r>
                <w:rPr>
                  <w:rFonts w:ascii="Cambria Math" w:hAnsi="Cambria Math"/>
                  <w:sz w:val="22"/>
                </w:rPr>
                <m:t>P</m:t>
              </m:r>
            </m:sub>
          </m:sSub>
          <m:d>
            <m:dPr>
              <m:ctrlPr>
                <w:rPr>
                  <w:rFonts w:ascii="Cambria Math" w:hAnsi="Cambria Math"/>
                </w:rPr>
              </m:ctrlPr>
            </m:dPr>
            <m:e>
              <m:r>
                <w:rPr>
                  <w:rFonts w:ascii="Cambria Math" w:hAnsi="Cambria Math"/>
                  <w:sz w:val="22"/>
                </w:rPr>
                <m:t>x</m:t>
              </m:r>
            </m:e>
          </m:d>
          <m:r>
            <m:rPr>
              <m:sty m:val="p"/>
            </m:rPr>
            <w:rPr>
              <w:rFonts w:ascii="Cambria Math" w:hAnsi="Cambria Math"/>
              <w:sz w:val="22"/>
            </w:rPr>
            <m:t>∥≤</m:t>
          </m:r>
          <m:r>
            <w:rPr>
              <w:rFonts w:ascii="Cambria Math" w:hAnsi="Cambria Math"/>
              <w:sz w:val="22"/>
            </w:rPr>
            <m:t>2KR</m:t>
          </m:r>
          <m:r>
            <m:rPr>
              <m:sty m:val="p"/>
            </m:rPr>
            <w:rPr>
              <w:rFonts w:ascii="Cambria Math" w:hAnsi="Cambria Math"/>
              <w:sz w:val="22"/>
            </w:rPr>
            <m:t>∥</m:t>
          </m:r>
          <m:r>
            <w:rPr>
              <w:rFonts w:ascii="Cambria Math" w:hAnsi="Cambria Math"/>
              <w:sz w:val="22"/>
            </w:rPr>
            <m:t>Q</m:t>
          </m:r>
          <m:r>
            <m:rPr>
              <m:sty m:val="p"/>
            </m:rPr>
            <w:rPr>
              <w:rFonts w:ascii="Cambria Math" w:hAnsi="Cambria Math"/>
              <w:sz w:val="22"/>
            </w:rPr>
            <m:t>-</m:t>
          </m:r>
          <m:r>
            <w:rPr>
              <w:rFonts w:ascii="Cambria Math" w:hAnsi="Cambria Math"/>
              <w:sz w:val="22"/>
            </w:rPr>
            <m:t>P</m:t>
          </m:r>
          <m:sSub>
            <m:sSubPr>
              <m:ctrlPr>
                <w:rPr>
                  <w:rFonts w:ascii="Cambria Math" w:hAnsi="Cambria Math"/>
                </w:rPr>
              </m:ctrlPr>
            </m:sSubPr>
            <m:e>
              <m:r>
                <m:rPr>
                  <m:sty m:val="p"/>
                </m:rPr>
                <w:rPr>
                  <w:rFonts w:ascii="Cambria Math" w:hAnsi="Cambria Math"/>
                  <w:sz w:val="22"/>
                </w:rPr>
                <m:t>∥</m:t>
              </m:r>
            </m:e>
            <m:sub>
              <m:r>
                <m:rPr>
                  <m:sty m:val="p"/>
                </m:rPr>
                <w:rPr>
                  <w:rFonts w:ascii="Cambria Math" w:hAnsi="Cambria Math"/>
                  <w:sz w:val="22"/>
                </w:rPr>
                <m:t>op</m:t>
              </m:r>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17</m:t>
              </m:r>
            </m:e>
          </m:d>
        </m:oMath>
      </m:oMathPara>
    </w:p>
    <w:p w14:paraId="4A74DE56" w14:textId="77777777" w:rsidR="00AD4ED9" w:rsidRDefault="00000000" w:rsidP="00435E6E">
      <w:pPr>
        <w:pStyle w:val="FirstParagraph"/>
        <w:jc w:val="both"/>
      </w:pPr>
      <w:r>
        <w:t xml:space="preserve">This upper bound follows by adding and subtracting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ϕ</m:t>
        </m:r>
        <m:d>
          <m:dPr>
            <m:ctrlPr>
              <w:rPr>
                <w:rFonts w:ascii="Cambria Math" w:hAnsi="Cambria Math"/>
              </w:rPr>
            </m:ctrlPr>
          </m:dPr>
          <m:e>
            <m:r>
              <w:rPr>
                <w:rFonts w:ascii="Cambria Math" w:hAnsi="Cambria Math"/>
              </w:rPr>
              <m:t>Px</m:t>
            </m:r>
          </m:e>
        </m:d>
      </m:oMath>
      <w:r>
        <w:t xml:space="preserve">. It translates proximity of operators into proximity of expert functions. A lower bound would require additional assumptions on </w:t>
      </w:r>
      <m:oMath>
        <m:r>
          <w:rPr>
            <w:rFonts w:ascii="Cambria Math" w:hAnsi="Cambria Math"/>
          </w:rPr>
          <m:t>ϕ</m:t>
        </m:r>
      </m:oMath>
      <w:r>
        <w:t xml:space="preserve"> and the input distribution.</w:t>
      </w:r>
    </w:p>
    <w:p w14:paraId="0082536D" w14:textId="77777777" w:rsidR="00AD4ED9" w:rsidRDefault="00000000" w:rsidP="00435E6E">
      <w:pPr>
        <w:pStyle w:val="BodyText"/>
        <w:keepNext/>
        <w:jc w:val="both"/>
      </w:pPr>
      <w:r>
        <w:t>Finally, at differentiability points,</w:t>
      </w:r>
    </w:p>
    <w:p w14:paraId="22C72955" w14:textId="77777777" w:rsidR="00AD4ED9" w:rsidRDefault="00000000" w:rsidP="00435E6E">
      <w:pPr>
        <w:pStyle w:val="BodyText"/>
        <w:keepLines/>
        <w:spacing w:before="100" w:after="140"/>
        <w:jc w:val="both"/>
      </w:pPr>
      <m:oMathPara>
        <m:oMathParaPr>
          <m:jc m:val="center"/>
        </m:oMathParaPr>
        <m:oMath>
          <m:r>
            <w:rPr>
              <w:rFonts w:ascii="Cambria Math" w:hAnsi="Cambria Math"/>
              <w:sz w:val="22"/>
            </w:rPr>
            <m:t>J</m:t>
          </m:r>
          <m:sSub>
            <m:sSubPr>
              <m:ctrlPr>
                <w:rPr>
                  <w:rFonts w:ascii="Cambria Math" w:hAnsi="Cambria Math"/>
                </w:rPr>
              </m:ctrlPr>
            </m:sSubPr>
            <m:e>
              <m:r>
                <w:rPr>
                  <w:rFonts w:ascii="Cambria Math" w:hAnsi="Cambria Math"/>
                  <w:sz w:val="22"/>
                </w:rPr>
                <m:t>E</m:t>
              </m:r>
            </m:e>
            <m:sub>
              <m:r>
                <w:rPr>
                  <w:rFonts w:ascii="Cambria Math" w:hAnsi="Cambria Math"/>
                  <w:sz w:val="22"/>
                </w:rPr>
                <m:t>Q</m:t>
              </m:r>
            </m:sub>
          </m:sSub>
          <m:d>
            <m:dPr>
              <m:ctrlPr>
                <w:rPr>
                  <w:rFonts w:ascii="Cambria Math" w:hAnsi="Cambria Math"/>
                </w:rPr>
              </m:ctrlPr>
            </m:dPr>
            <m:e>
              <m:r>
                <w:rPr>
                  <w:rFonts w:ascii="Cambria Math" w:hAnsi="Cambria Math"/>
                  <w:sz w:val="22"/>
                </w:rPr>
                <m:t>x</m:t>
              </m:r>
            </m:e>
          </m:d>
          <m:r>
            <m:rPr>
              <m:sty m:val="p"/>
            </m:rPr>
            <w:rPr>
              <w:rFonts w:ascii="Cambria Math" w:hAnsi="Cambria Math"/>
              <w:sz w:val="22"/>
            </w:rPr>
            <m:t>=</m:t>
          </m:r>
          <m:sSup>
            <m:sSupPr>
              <m:ctrlPr>
                <w:rPr>
                  <w:rFonts w:ascii="Cambria Math" w:hAnsi="Cambria Math"/>
                </w:rPr>
              </m:ctrlPr>
            </m:sSupPr>
            <m:e>
              <m:r>
                <w:rPr>
                  <w:rFonts w:ascii="Cambria Math" w:hAnsi="Cambria Math"/>
                  <w:sz w:val="22"/>
                </w:rPr>
                <m:t>Q</m:t>
              </m:r>
            </m:e>
            <m:sup>
              <m:r>
                <m:rPr>
                  <m:sty m:val="p"/>
                </m:rPr>
                <w:rPr>
                  <w:rFonts w:ascii="Cambria Math" w:hAnsi="Cambria Math"/>
                  <w:sz w:val="22"/>
                </w:rPr>
                <m:t>⊤</m:t>
              </m:r>
            </m:sup>
          </m:sSup>
          <m:r>
            <w:rPr>
              <w:rFonts w:ascii="Cambria Math" w:hAnsi="Cambria Math"/>
              <w:sz w:val="22"/>
            </w:rPr>
            <m:t>Jϕ</m:t>
          </m:r>
          <m:d>
            <m:dPr>
              <m:ctrlPr>
                <w:rPr>
                  <w:rFonts w:ascii="Cambria Math" w:hAnsi="Cambria Math"/>
                </w:rPr>
              </m:ctrlPr>
            </m:dPr>
            <m:e>
              <m:r>
                <w:rPr>
                  <w:rFonts w:ascii="Cambria Math" w:hAnsi="Cambria Math"/>
                  <w:sz w:val="22"/>
                </w:rPr>
                <m:t>Qx</m:t>
              </m:r>
            </m:e>
          </m:d>
          <m:r>
            <w:rPr>
              <w:rFonts w:ascii="Cambria Math" w:hAnsi="Cambria Math"/>
              <w:sz w:val="22"/>
            </w:rPr>
            <m:t>Q</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18</m:t>
              </m:r>
            </m:e>
          </m:d>
        </m:oMath>
      </m:oMathPara>
    </w:p>
    <w:p w14:paraId="4D896637" w14:textId="77777777" w:rsidR="00AD4ED9" w:rsidRDefault="00000000" w:rsidP="00435E6E">
      <w:pPr>
        <w:pStyle w:val="FirstParagraph"/>
        <w:jc w:val="both"/>
      </w:pPr>
      <w:r>
        <w:t>The singular values are those of the shared block’s Jacobian at the rotated input. Saturation or a rank-deficient activation can still destroy information. Orthogonal and unitary recurrent architectures already study the stability and parameterization issues that surround this construction [10–12]. Orthogonal generators are a useful design option, not a complete solution to learning long-term dependencies.</w:t>
      </w:r>
    </w:p>
    <w:p w14:paraId="2B232423" w14:textId="77777777" w:rsidR="00AD4ED9" w:rsidRDefault="00000000" w:rsidP="00435E6E">
      <w:pPr>
        <w:pStyle w:val="Heading1"/>
        <w:jc w:val="both"/>
      </w:pPr>
      <w:bookmarkStart w:id="7" w:name="X99c1b123c87fdb75a61e1826d5c7c9058dda27d"/>
      <w:bookmarkEnd w:id="6"/>
      <w:r>
        <w:lastRenderedPageBreak/>
        <w:t>7 Trellis routing and simultaneous compatibility</w:t>
      </w:r>
    </w:p>
    <w:p w14:paraId="7E2E0DE8" w14:textId="77777777" w:rsidR="00AD4ED9" w:rsidRDefault="00000000" w:rsidP="00435E6E">
      <w:pPr>
        <w:pStyle w:val="FirstParagraph"/>
        <w:jc w:val="both"/>
      </w:pPr>
      <w:r>
        <w:t xml:space="preserve">Let a layered routing graph have </w:t>
      </w:r>
      <m:oMath>
        <m:sSub>
          <m:sSubPr>
            <m:ctrlPr>
              <w:rPr>
                <w:rFonts w:ascii="Cambria Math" w:hAnsi="Cambria Math"/>
              </w:rPr>
            </m:ctrlPr>
          </m:sSubPr>
          <m:e>
            <m:r>
              <w:rPr>
                <w:rFonts w:ascii="Cambria Math" w:hAnsi="Cambria Math"/>
              </w:rPr>
              <m:t>q</m:t>
            </m:r>
          </m:e>
          <m:sub>
            <m:r>
              <m:rPr>
                <m:scr m:val="script"/>
                <m:sty m:val="p"/>
              </m:rPr>
              <w:rPr>
                <w:rFonts w:ascii="Cambria Math" w:hAnsi="Cambria Math"/>
              </w:rPr>
              <m:t>l</m:t>
            </m:r>
          </m:sub>
        </m:sSub>
      </m:oMath>
      <w:r>
        <w:t xml:space="preserve"> states at stage </w:t>
      </w:r>
      <m:oMath>
        <m:r>
          <m:rPr>
            <m:scr m:val="script"/>
            <m:sty m:val="p"/>
          </m:rPr>
          <w:rPr>
            <w:rFonts w:ascii="Cambria Math" w:hAnsi="Cambria Math"/>
          </w:rPr>
          <m:t>l</m:t>
        </m:r>
      </m:oMath>
      <w:r>
        <w:t xml:space="preserve"> and </w:t>
      </w:r>
      <m:oMath>
        <m:sSub>
          <m:sSubPr>
            <m:ctrlPr>
              <w:rPr>
                <w:rFonts w:ascii="Cambria Math" w:hAnsi="Cambria Math"/>
              </w:rPr>
            </m:ctrlPr>
          </m:sSubPr>
          <m:e>
            <m:r>
              <w:rPr>
                <w:rFonts w:ascii="Cambria Math" w:hAnsi="Cambria Math"/>
              </w:rPr>
              <m:t>m</m:t>
            </m:r>
          </m:e>
          <m:sub>
            <m:r>
              <m:rPr>
                <m:scr m:val="script"/>
                <m:sty m:val="p"/>
              </m:rPr>
              <w:rPr>
                <w:rFonts w:ascii="Cambria Math" w:hAnsi="Cambria Math"/>
              </w:rPr>
              <m:t>l</m:t>
            </m:r>
          </m:sub>
        </m:sSub>
      </m:oMath>
      <w:r>
        <w:t xml:space="preserve"> transitions between consecutive stages. For scores depending only on the current transition and the input query, Viterbi dynamic programming computes an exact best path in time proportional to </w:t>
      </w:r>
      <m:oMath>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m</m:t>
                </m:r>
              </m:e>
              <m:sub>
                <m:r>
                  <m:rPr>
                    <m:scr m:val="script"/>
                    <m:sty m:val="p"/>
                  </m:rPr>
                  <w:rPr>
                    <w:rFonts w:ascii="Cambria Math" w:hAnsi="Cambria Math"/>
                  </w:rPr>
                  <m:t>l</m:t>
                </m:r>
              </m:sub>
            </m:sSub>
          </m:e>
        </m:nary>
      </m:oMath>
      <w:r>
        <w:t>. Dense width-</w:t>
      </w:r>
      <m:oMath>
        <m:r>
          <w:rPr>
            <w:rFonts w:ascii="Cambria Math" w:hAnsi="Cambria Math"/>
          </w:rPr>
          <m:t>q</m:t>
        </m:r>
      </m:oMath>
      <w:r>
        <w:t xml:space="preserve"> transitions cost </w:t>
      </w:r>
      <m:oMath>
        <m:r>
          <w:rPr>
            <w:rFonts w:ascii="Cambria Math" w:hAnsi="Cambria Math"/>
          </w:rPr>
          <m:t>O</m:t>
        </m:r>
        <m:d>
          <m:dPr>
            <m:ctrlPr>
              <w:rPr>
                <w:rFonts w:ascii="Cambria Math" w:hAnsi="Cambria Math"/>
              </w:rPr>
            </m:ctrlPr>
          </m:dPr>
          <m:e>
            <m:r>
              <w:rPr>
                <w:rFonts w:ascii="Cambria Math" w:hAnsi="Cambria Math"/>
              </w:rPr>
              <m:t>L</m:t>
            </m:r>
            <m:sSup>
              <m:sSupPr>
                <m:ctrlPr>
                  <w:rPr>
                    <w:rFonts w:ascii="Cambria Math" w:hAnsi="Cambria Math"/>
                  </w:rPr>
                </m:ctrlPr>
              </m:sSupPr>
              <m:e>
                <m:r>
                  <w:rPr>
                    <w:rFonts w:ascii="Cambria Math" w:hAnsi="Cambria Math"/>
                  </w:rPr>
                  <m:t>q</m:t>
                </m:r>
              </m:e>
              <m:sup>
                <m:r>
                  <w:rPr>
                    <w:rFonts w:ascii="Cambria Math" w:hAnsi="Cambria Math"/>
                  </w:rPr>
                  <m:t>2</m:t>
                </m:r>
              </m:sup>
            </m:sSup>
          </m:e>
        </m:d>
      </m:oMath>
      <w:r>
        <w:t xml:space="preserve">; bounded-outdegree transitions cost </w:t>
      </w:r>
      <m:oMath>
        <m:r>
          <w:rPr>
            <w:rFonts w:ascii="Cambria Math" w:hAnsi="Cambria Math"/>
          </w:rPr>
          <m:t>O</m:t>
        </m:r>
        <m:d>
          <m:dPr>
            <m:ctrlPr>
              <w:rPr>
                <w:rFonts w:ascii="Cambria Math" w:hAnsi="Cambria Math"/>
              </w:rPr>
            </m:ctrlPr>
          </m:dPr>
          <m:e>
            <m:r>
              <w:rPr>
                <w:rFonts w:ascii="Cambria Math" w:hAnsi="Cambria Math"/>
              </w:rPr>
              <m:t>Lq</m:t>
            </m:r>
          </m:e>
        </m:d>
      </m:oMath>
      <w:r>
        <w:t>. Traceback, score computation, and storage must all be counted. This is the usual dynamic-programming advantage of a sufficient routing state [5].</w:t>
      </w:r>
    </w:p>
    <w:p w14:paraId="47D86A27" w14:textId="77777777" w:rsidR="00AD4ED9" w:rsidRDefault="00000000" w:rsidP="00435E6E">
      <w:pPr>
        <w:pStyle w:val="BodyText"/>
        <w:jc w:val="both"/>
      </w:pPr>
      <w:r>
        <w:t xml:space="preserve">An unrestricted binary tree has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L</m:t>
                </m:r>
              </m:sup>
            </m:sSup>
          </m:e>
        </m:d>
      </m:oMath>
      <w:r>
        <w:t xml:space="preserve"> nodes. Exact max-product evaluation on that tree has that work bound; an </w:t>
      </w:r>
      <m:oMath>
        <m:r>
          <w:rPr>
            <w:rFonts w:ascii="Cambria Math" w:hAnsi="Cambria Math"/>
          </w:rPr>
          <m:t>O</m:t>
        </m:r>
        <m:d>
          <m:dPr>
            <m:ctrlPr>
              <w:rPr>
                <w:rFonts w:ascii="Cambria Math" w:hAnsi="Cambria Math"/>
              </w:rPr>
            </m:ctrlPr>
          </m:dPr>
          <m:e>
            <m:r>
              <w:rPr>
                <w:rFonts w:ascii="Cambria Math" w:hAnsi="Cambria Math"/>
              </w:rPr>
              <m:t>L</m:t>
            </m:r>
          </m:e>
        </m:d>
      </m:oMath>
      <w:r>
        <w:t xml:space="preserve"> traceback does not change it. Product-key routing supplies a different score factorization. PKM and PEER retrieve exact top keys within their Cartesian structured key family [6,7]. They are relevant controls rather than approximate methods defeated by exactness alone.</w:t>
      </w:r>
    </w:p>
    <w:p w14:paraId="546D3129" w14:textId="77777777" w:rsidR="00AD4ED9" w:rsidRDefault="00000000" w:rsidP="00435E6E">
      <w:pPr>
        <w:pStyle w:val="BodyText"/>
        <w:keepNext/>
        <w:jc w:val="both"/>
      </w:pPr>
      <w:r>
        <w:t>For the underlying undirected trellis,</w:t>
      </w:r>
    </w:p>
    <w:p w14:paraId="7C03C74F"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b</m:t>
              </m:r>
            </m:e>
            <m:sub>
              <m:r>
                <w:rPr>
                  <w:rFonts w:ascii="Cambria Math" w:hAnsi="Cambria Math"/>
                  <w:sz w:val="22"/>
                </w:rPr>
                <m:t>1</m:t>
              </m:r>
            </m:sub>
          </m:sSub>
          <m:r>
            <m:rPr>
              <m:sty m:val="p"/>
            </m:rPr>
            <w:rPr>
              <w:rFonts w:ascii="Cambria Math" w:hAnsi="Cambria Math"/>
              <w:sz w:val="22"/>
            </w:rPr>
            <m:t>=</m:t>
          </m:r>
          <m:nary>
            <m:naryPr>
              <m:chr m:val="∑"/>
              <m:limLoc m:val="undOvr"/>
              <m:supHide m:val="1"/>
              <m:ctrlPr>
                <w:rPr>
                  <w:rFonts w:ascii="Cambria Math" w:hAnsi="Cambria Math"/>
                </w:rPr>
              </m:ctrlPr>
            </m:naryPr>
            <m:sub>
              <m:r>
                <m:rPr>
                  <m:scr m:val="script"/>
                  <m:sty m:val="p"/>
                </m:rPr>
                <w:rPr>
                  <w:rFonts w:ascii="Cambria Math" w:hAnsi="Cambria Math"/>
                  <w:sz w:val="22"/>
                </w:rPr>
                <m:t>l</m:t>
              </m:r>
            </m:sub>
            <m:sup>
              <m:r>
                <w:rPr>
                  <w:rFonts w:ascii="Cambria Math" w:hAnsi="Cambria Math"/>
                  <w:sz w:val="22"/>
                </w:rPr>
                <m:t>​</m:t>
              </m:r>
            </m:sup>
            <m:e>
              <m:sSub>
                <m:sSubPr>
                  <m:ctrlPr>
                    <w:rPr>
                      <w:rFonts w:ascii="Cambria Math" w:hAnsi="Cambria Math"/>
                    </w:rPr>
                  </m:ctrlPr>
                </m:sSubPr>
                <m:e>
                  <m:r>
                    <w:rPr>
                      <w:rFonts w:ascii="Cambria Math" w:hAnsi="Cambria Math"/>
                      <w:sz w:val="22"/>
                    </w:rPr>
                    <m:t>m</m:t>
                  </m:r>
                </m:e>
                <m:sub>
                  <m:r>
                    <m:rPr>
                      <m:scr m:val="script"/>
                      <m:sty m:val="p"/>
                    </m:rPr>
                    <w:rPr>
                      <w:rFonts w:ascii="Cambria Math" w:hAnsi="Cambria Math"/>
                      <w:sz w:val="22"/>
                    </w:rPr>
                    <m:t>l</m:t>
                  </m:r>
                </m:sub>
              </m:sSub>
            </m:e>
          </m:nary>
          <m:r>
            <m:rPr>
              <m:sty m:val="p"/>
            </m:rPr>
            <w:rPr>
              <w:rFonts w:ascii="Cambria Math" w:hAnsi="Cambria Math"/>
              <w:sz w:val="22"/>
            </w:rPr>
            <m:t>-</m:t>
          </m:r>
          <m:nary>
            <m:naryPr>
              <m:chr m:val="∑"/>
              <m:limLoc m:val="undOvr"/>
              <m:supHide m:val="1"/>
              <m:ctrlPr>
                <w:rPr>
                  <w:rFonts w:ascii="Cambria Math" w:hAnsi="Cambria Math"/>
                </w:rPr>
              </m:ctrlPr>
            </m:naryPr>
            <m:sub>
              <m:r>
                <m:rPr>
                  <m:scr m:val="script"/>
                  <m:sty m:val="p"/>
                </m:rPr>
                <w:rPr>
                  <w:rFonts w:ascii="Cambria Math" w:hAnsi="Cambria Math"/>
                  <w:sz w:val="22"/>
                </w:rPr>
                <m:t>l</m:t>
              </m:r>
            </m:sub>
            <m:sup>
              <m:r>
                <w:rPr>
                  <w:rFonts w:ascii="Cambria Math" w:hAnsi="Cambria Math"/>
                  <w:sz w:val="22"/>
                </w:rPr>
                <m:t>​</m:t>
              </m:r>
            </m:sup>
            <m:e>
              <m:sSub>
                <m:sSubPr>
                  <m:ctrlPr>
                    <w:rPr>
                      <w:rFonts w:ascii="Cambria Math" w:hAnsi="Cambria Math"/>
                    </w:rPr>
                  </m:ctrlPr>
                </m:sSubPr>
                <m:e>
                  <m:r>
                    <w:rPr>
                      <w:rFonts w:ascii="Cambria Math" w:hAnsi="Cambria Math"/>
                      <w:sz w:val="22"/>
                    </w:rPr>
                    <m:t>q</m:t>
                  </m:r>
                </m:e>
                <m:sub>
                  <m:r>
                    <m:rPr>
                      <m:scr m:val="script"/>
                      <m:sty m:val="p"/>
                    </m:rPr>
                    <w:rPr>
                      <w:rFonts w:ascii="Cambria Math" w:hAnsi="Cambria Math"/>
                      <w:sz w:val="22"/>
                    </w:rPr>
                    <m:t>l</m:t>
                  </m:r>
                </m:sub>
              </m:sSub>
            </m:e>
          </m:nary>
          <m:r>
            <m:rPr>
              <m:sty m:val="p"/>
            </m:rPr>
            <w:rPr>
              <w:rFonts w:ascii="Cambria Math" w:hAnsi="Cambria Math"/>
              <w:sz w:val="22"/>
            </w:rPr>
            <m:t>+</m:t>
          </m:r>
          <m:r>
            <w:rPr>
              <w:rFonts w:ascii="Cambria Math" w:hAnsi="Cambria Math"/>
              <w:sz w:val="22"/>
            </w:rPr>
            <m:t>c</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19</m:t>
              </m:r>
            </m:e>
          </m:d>
        </m:oMath>
      </m:oMathPara>
    </w:p>
    <w:p w14:paraId="3802249A" w14:textId="77777777" w:rsidR="00AD4ED9" w:rsidRDefault="00000000" w:rsidP="00435E6E">
      <w:pPr>
        <w:pStyle w:val="FirstParagraph"/>
        <w:jc w:val="both"/>
      </w:pPr>
      <w:r>
        <w:t xml:space="preserve">The expression </w:t>
      </w:r>
      <m:oMath>
        <m:r>
          <w:rPr>
            <w:rFonts w:ascii="Cambria Math" w:hAnsi="Cambria Math"/>
          </w:rPr>
          <m:t>q</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oMath>
      <w:r>
        <w:t xml:space="preserve"> applies to a connected trellis with </w:t>
      </w:r>
      <m:oMath>
        <m:r>
          <w:rPr>
            <w:rFonts w:ascii="Cambria Math" w:hAnsi="Cambria Math"/>
          </w:rPr>
          <m:t>L</m:t>
        </m:r>
        <m:r>
          <m:rPr>
            <m:sty m:val="p"/>
          </m:rPr>
          <w:rPr>
            <w:rFonts w:ascii="Cambria Math" w:hAnsi="Cambria Math"/>
          </w:rPr>
          <m:t>+</m:t>
        </m:r>
        <m:r>
          <w:rPr>
            <w:rFonts w:ascii="Cambria Math" w:hAnsi="Cambria Math"/>
          </w:rPr>
          <m:t>1</m:t>
        </m:r>
      </m:oMath>
      <w:r>
        <w:t xml:space="preserve"> full width-</w:t>
      </w:r>
      <m:oMath>
        <m:r>
          <w:rPr>
            <w:rFonts w:ascii="Cambria Math" w:hAnsi="Cambria Math"/>
          </w:rPr>
          <m:t>q</m:t>
        </m:r>
      </m:oMath>
      <w:r>
        <w:t xml:space="preserve"> layers and exactly two outgoing transitions per nonterminal state. Different start states, terminal identifications, pruned states, dense transitions, or parallel labeled edges change the count. Directed acyclicity, which permits a forward dynamic program, is distinct from undirected cycle rank.</w:t>
      </w:r>
    </w:p>
    <w:p w14:paraId="4542E802" w14:textId="77777777" w:rsidR="00AD4ED9" w:rsidRDefault="00000000" w:rsidP="00435E6E">
      <w:pPr>
        <w:pStyle w:val="BodyText"/>
        <w:jc w:val="both"/>
      </w:pPr>
      <w:r>
        <w:t>The central semantic issue is whether two paths are alternatives or simultaneous descriptions of one state. Viterbi keeps the best score among prefixes ending at the same routing state. It does not require those prefixes to produce equal neural activations.</w:t>
      </w:r>
    </w:p>
    <w:p w14:paraId="32CB7A2E" w14:textId="77777777" w:rsidR="00AD4ED9" w:rsidRDefault="00000000" w:rsidP="00435E6E">
      <w:pPr>
        <w:pStyle w:val="BodyText"/>
        <w:keepNext/>
        <w:jc w:val="both"/>
      </w:pPr>
      <w:r>
        <w:rPr>
          <w:b/>
          <w:bCs/>
        </w:rPr>
        <w:t>Proposition 5.</w:t>
      </w:r>
      <w:r>
        <w:t xml:space="preserve"> Suppose two paths transport a root input to the same vertex through matrices </w:t>
      </w:r>
      <m:oMath>
        <m:r>
          <w:rPr>
            <w:rFonts w:ascii="Cambria Math" w:hAnsi="Cambria Math"/>
          </w:rPr>
          <m:t>P</m:t>
        </m:r>
      </m:oMath>
      <w:r>
        <w:t xml:space="preserve"> and </w:t>
      </w:r>
      <m:oMath>
        <m:r>
          <w:rPr>
            <w:rFonts w:ascii="Cambria Math" w:hAnsi="Cambria Math"/>
          </w:rPr>
          <m:t>Q</m:t>
        </m:r>
      </m:oMath>
      <w:r>
        <w:t>. A simultaneous section requires</w:t>
      </w:r>
    </w:p>
    <w:p w14:paraId="431B0E4D" w14:textId="77777777" w:rsidR="00AD4ED9" w:rsidRDefault="00000000" w:rsidP="00435E6E">
      <w:pPr>
        <w:pStyle w:val="BodyText"/>
        <w:keepLines/>
        <w:spacing w:before="100" w:after="140"/>
        <w:jc w:val="both"/>
      </w:pPr>
      <m:oMathPara>
        <m:oMathParaPr>
          <m:jc m:val="center"/>
        </m:oMathParaPr>
        <m:oMath>
          <m:d>
            <m:dPr>
              <m:ctrlPr>
                <w:rPr>
                  <w:rFonts w:ascii="Cambria Math" w:hAnsi="Cambria Math"/>
                </w:rPr>
              </m:ctrlPr>
            </m:dPr>
            <m:e>
              <m:r>
                <w:rPr>
                  <w:rFonts w:ascii="Cambria Math" w:hAnsi="Cambria Math"/>
                  <w:sz w:val="22"/>
                </w:rPr>
                <m:t>P</m:t>
              </m:r>
              <m:r>
                <m:rPr>
                  <m:sty m:val="p"/>
                </m:rPr>
                <w:rPr>
                  <w:rFonts w:ascii="Cambria Math" w:hAnsi="Cambria Math"/>
                  <w:sz w:val="22"/>
                </w:rPr>
                <m:t>-</m:t>
              </m:r>
              <m:r>
                <w:rPr>
                  <w:rFonts w:ascii="Cambria Math" w:hAnsi="Cambria Math"/>
                  <w:sz w:val="22"/>
                </w:rPr>
                <m:t>Q</m:t>
              </m:r>
            </m:e>
          </m:d>
          <m:r>
            <w:rPr>
              <w:rFonts w:ascii="Cambria Math" w:hAnsi="Cambria Math"/>
              <w:sz w:val="22"/>
            </w:rPr>
            <m:t>x</m:t>
          </m:r>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20</m:t>
              </m:r>
            </m:e>
          </m:d>
        </m:oMath>
      </m:oMathPara>
    </w:p>
    <w:p w14:paraId="000086C7" w14:textId="77777777" w:rsidR="00AD4ED9" w:rsidRDefault="00000000" w:rsidP="00435E6E">
      <w:pPr>
        <w:pStyle w:val="FirstParagraph"/>
        <w:jc w:val="both"/>
      </w:pPr>
      <w:r>
        <w:t xml:space="preserve">If the requirement holds for every root input, then </w:t>
      </w:r>
      <m:oMath>
        <m:r>
          <w:rPr>
            <w:rFonts w:ascii="Cambria Math" w:hAnsi="Cambria Math"/>
          </w:rPr>
          <m:t>P</m:t>
        </m:r>
        <m:r>
          <m:rPr>
            <m:sty m:val="p"/>
          </m:rPr>
          <w:rPr>
            <w:rFonts w:ascii="Cambria Math" w:hAnsi="Cambria Math"/>
          </w:rPr>
          <m:t>=</m:t>
        </m:r>
        <m:r>
          <w:rPr>
            <w:rFonts w:ascii="Cambria Math" w:hAnsi="Cambria Math"/>
          </w:rPr>
          <m:t>Q</m:t>
        </m:r>
      </m:oMath>
      <w:r>
        <w:t>.</w:t>
      </w:r>
    </w:p>
    <w:p w14:paraId="2F3F3BDD" w14:textId="77777777" w:rsidR="00AD4ED9" w:rsidRDefault="00000000" w:rsidP="00435E6E">
      <w:pPr>
        <w:pStyle w:val="BodyText"/>
        <w:jc w:val="both"/>
      </w:pPr>
      <w:r>
        <w:t>The proof is simply that the shared vertex has one value. Equation (20) can be valid on a restricted root subspace without equality of the operators. However, identifying every prefix at a bounded-state trellis vertex while requiring equality for all inputs would identify the path products themselves. That conflicts with the intended free-word diversity.</w:t>
      </w:r>
    </w:p>
    <w:p w14:paraId="27E85046" w14:textId="77777777" w:rsidR="00AD4ED9" w:rsidRDefault="00000000" w:rsidP="00435E6E">
      <w:pPr>
        <w:pStyle w:val="BodyText"/>
        <w:keepNext/>
        <w:spacing w:after="40"/>
        <w:jc w:val="both"/>
      </w:pPr>
      <w:r>
        <w:rPr>
          <w:noProof/>
        </w:rPr>
        <w:lastRenderedPageBreak/>
        <w:drawing>
          <wp:inline distT="0" distB="0" distL="0" distR="0" wp14:anchorId="7F0EA712" wp14:editId="702C4FD7">
            <wp:extent cx="5334000" cy="2185012"/>
            <wp:effectExtent l="0" t="0" r="0" b="0"/>
            <wp:docPr id="28" name="Picture" descr="Routing alternatives and simultaneous agreement"/>
            <wp:cNvGraphicFramePr/>
            <a:graphic xmlns:a="http://schemas.openxmlformats.org/drawingml/2006/main">
              <a:graphicData uri="http://schemas.openxmlformats.org/drawingml/2006/picture">
                <pic:pic xmlns:pic="http://schemas.openxmlformats.org/drawingml/2006/picture">
                  <pic:nvPicPr>
                    <pic:cNvPr id="29" name="Picture" descr="figures/routing_diamond.png"/>
                    <pic:cNvPicPr>
                      <a:picLocks noChangeAspect="1" noChangeArrowheads="1"/>
                    </pic:cNvPicPr>
                  </pic:nvPicPr>
                  <pic:blipFill>
                    <a:blip r:embed="rId7"/>
                    <a:stretch>
                      <a:fillRect/>
                    </a:stretch>
                  </pic:blipFill>
                  <pic:spPr bwMode="auto">
                    <a:xfrm>
                      <a:off x="0" y="0"/>
                      <a:ext cx="5334000" cy="2185012"/>
                    </a:xfrm>
                    <a:prstGeom prst="rect">
                      <a:avLst/>
                    </a:prstGeom>
                    <a:noFill/>
                    <a:ln w="9525">
                      <a:noFill/>
                      <a:headEnd/>
                      <a:tailEnd/>
                    </a:ln>
                  </pic:spPr>
                </pic:pic>
              </a:graphicData>
            </a:graphic>
          </wp:inline>
        </w:drawing>
      </w:r>
    </w:p>
    <w:p w14:paraId="165C5D88" w14:textId="77777777" w:rsidR="00AD4ED9" w:rsidRDefault="00000000" w:rsidP="00435E6E">
      <w:pPr>
        <w:pStyle w:val="Caption"/>
        <w:keepLines/>
        <w:spacing w:before="80" w:after="180"/>
        <w:jc w:val="both"/>
      </w:pPr>
      <w:r>
        <w:rPr>
          <w:i w:val="0"/>
        </w:rPr>
        <w:t>Figure 1. The same diamond has two different meanings. A router may choose either path. A section with prescribed root input must satisfy both transported values at the merge. Here a nonzero input cannot satisfy both paths when their total transports are identity and a ninety-degree rotation. The unconditioned homogeneous system still has its zero section.</w:t>
      </w:r>
    </w:p>
    <w:p w14:paraId="707CE48C" w14:textId="77777777" w:rsidR="00AD4ED9" w:rsidRDefault="00000000" w:rsidP="00435E6E">
      <w:pPr>
        <w:pStyle w:val="BodyText"/>
        <w:jc w:val="both"/>
      </w:pPr>
      <w:r>
        <w:t xml:space="preserve">There are two legitimate resolutions. One can keep the routing state separate from the transported activation and optimize a score that genuinely depends only on that routing state. Or one can enlarge the dynamic-programming state to include everything needed for future scores. If future scores depend on the full rotated activation </w:t>
      </w:r>
      <m:oMath>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x</m:t>
        </m:r>
      </m:oMath>
      <w:r>
        <w:t>, a small discrete state set need not suffice; an exponential or continuous state representation can reappear.</w:t>
      </w:r>
    </w:p>
    <w:p w14:paraId="0258CD44" w14:textId="77777777" w:rsidR="00AD4ED9" w:rsidRDefault="00000000" w:rsidP="00435E6E">
      <w:pPr>
        <w:pStyle w:val="BodyText"/>
        <w:jc w:val="both"/>
      </w:pPr>
      <w:r>
        <w:t>Selecting one active path avoids the simultaneous equality, but its active graph is a path and supplies no cycle-based argument. Checking agreement between several paths is a separate operation with its own semantics. A trellis is consequently justified by score factorization and sufficient-state merging. It does not require a nonzero cohomology group to justify efficient routing, and its ordinary cycles do not automatically justify a sheaf interpretation.</w:t>
      </w:r>
    </w:p>
    <w:p w14:paraId="23C76DAA" w14:textId="77777777" w:rsidR="00AD4ED9" w:rsidRDefault="00000000" w:rsidP="00435E6E">
      <w:pPr>
        <w:pStyle w:val="Heading1"/>
        <w:jc w:val="both"/>
      </w:pPr>
      <w:bookmarkStart w:id="8" w:name="X8e50e672bda7a54badac6bc861f3332c30c1e82"/>
      <w:bookmarkEnd w:id="7"/>
      <w:r>
        <w:t>8 Conditioning parameter storage and training coverage</w:t>
      </w:r>
    </w:p>
    <w:p w14:paraId="34C6E2EF" w14:textId="77777777" w:rsidR="00AD4ED9" w:rsidRDefault="00000000" w:rsidP="00435E6E">
      <w:pPr>
        <w:pStyle w:val="FirstParagraph"/>
        <w:keepNext/>
        <w:jc w:val="both"/>
      </w:pPr>
      <w:r>
        <w:t xml:space="preserve">For nonzero </w:t>
      </w:r>
      <m:oMath>
        <m:r>
          <w:rPr>
            <w:rFonts w:ascii="Cambria Math" w:hAnsi="Cambria Math"/>
          </w:rPr>
          <m:t>δ</m:t>
        </m:r>
      </m:oMath>
      <w:r>
        <w:t xml:space="preserve"> and declared Euclidean norms, approximate compatibility satisfies</w:t>
      </w:r>
    </w:p>
    <w:p w14:paraId="4CFCC2F0" w14:textId="77777777" w:rsidR="00AD4ED9" w:rsidRDefault="00000000" w:rsidP="00435E6E">
      <w:pPr>
        <w:pStyle w:val="BodyText"/>
        <w:keepLines/>
        <w:spacing w:before="100" w:after="140"/>
        <w:jc w:val="both"/>
      </w:pPr>
      <m:oMathPara>
        <m:oMathParaPr>
          <m:jc m:val="center"/>
        </m:oMathParaPr>
        <m:oMath>
          <m:r>
            <m:rPr>
              <m:sty m:val="p"/>
            </m:rPr>
            <w:rPr>
              <w:rFonts w:ascii="Cambria Math" w:hAnsi="Cambria Math"/>
              <w:sz w:val="22"/>
            </w:rPr>
            <m:t>dist</m:t>
          </m:r>
          <m:d>
            <m:dPr>
              <m:ctrlPr>
                <w:rPr>
                  <w:rFonts w:ascii="Cambria Math" w:hAnsi="Cambria Math"/>
                </w:rPr>
              </m:ctrlPr>
            </m:dPr>
            <m:e>
              <m:r>
                <w:rPr>
                  <w:rFonts w:ascii="Cambria Math" w:hAnsi="Cambria Math"/>
                  <w:sz w:val="22"/>
                </w:rPr>
                <m:t>x</m:t>
              </m:r>
              <m:r>
                <m:rPr>
                  <m:sty m:val="p"/>
                </m:rPr>
                <w:rPr>
                  <w:rFonts w:ascii="Cambria Math" w:hAnsi="Cambria Math"/>
                  <w:sz w:val="22"/>
                </w:rPr>
                <m:t>,ker</m:t>
              </m:r>
              <m:r>
                <w:rPr>
                  <w:rFonts w:ascii="Cambria Math" w:hAnsi="Cambria Math"/>
                  <w:sz w:val="22"/>
                </w:rPr>
                <m:t>δ</m:t>
              </m:r>
            </m:e>
          </m:d>
          <m:r>
            <m:rPr>
              <m:sty m:val="p"/>
            </m:rPr>
            <w:rPr>
              <w:rFonts w:ascii="Cambria Math" w:hAnsi="Cambria Math"/>
              <w:sz w:val="22"/>
            </w:rPr>
            <m:t>≤</m:t>
          </m:r>
          <m:f>
            <m:fPr>
              <m:ctrlPr>
                <w:rPr>
                  <w:rFonts w:ascii="Cambria Math" w:hAnsi="Cambria Math"/>
                </w:rPr>
              </m:ctrlPr>
            </m:fPr>
            <m:num>
              <m:r>
                <m:rPr>
                  <m:sty m:val="p"/>
                </m:rPr>
                <w:rPr>
                  <w:rFonts w:ascii="Cambria Math" w:hAnsi="Cambria Math"/>
                  <w:sz w:val="22"/>
                </w:rPr>
                <m:t>∥</m:t>
              </m:r>
              <m:r>
                <w:rPr>
                  <w:rFonts w:ascii="Cambria Math" w:hAnsi="Cambria Math"/>
                  <w:sz w:val="22"/>
                </w:rPr>
                <m:t>δx</m:t>
              </m:r>
              <m:r>
                <m:rPr>
                  <m:sty m:val="p"/>
                </m:rPr>
                <w:rPr>
                  <w:rFonts w:ascii="Cambria Math" w:hAnsi="Cambria Math"/>
                  <w:sz w:val="22"/>
                </w:rPr>
                <m:t>∥</m:t>
              </m:r>
            </m:num>
            <m:den>
              <m:sSubSup>
                <m:sSubSupPr>
                  <m:ctrlPr>
                    <w:rPr>
                      <w:rFonts w:ascii="Cambria Math" w:hAnsi="Cambria Math"/>
                    </w:rPr>
                  </m:ctrlPr>
                </m:sSubSupPr>
                <m:e>
                  <m:r>
                    <w:rPr>
                      <w:rFonts w:ascii="Cambria Math" w:hAnsi="Cambria Math"/>
                      <w:sz w:val="22"/>
                    </w:rPr>
                    <m:t>σ</m:t>
                  </m:r>
                </m:e>
                <m:sub>
                  <m:r>
                    <m:rPr>
                      <m:sty m:val="p"/>
                    </m:rPr>
                    <w:rPr>
                      <w:rFonts w:ascii="Cambria Math" w:hAnsi="Cambria Math"/>
                      <w:sz w:val="22"/>
                    </w:rPr>
                    <m:t>min</m:t>
                  </m:r>
                </m:sub>
                <m:sup>
                  <m:r>
                    <m:rPr>
                      <m:sty m:val="p"/>
                    </m:rPr>
                    <w:rPr>
                      <w:rFonts w:ascii="Cambria Math" w:hAnsi="Cambria Math"/>
                      <w:sz w:val="22"/>
                    </w:rPr>
                    <m:t>+</m:t>
                  </m:r>
                </m:sup>
              </m:sSubSup>
              <m:d>
                <m:dPr>
                  <m:ctrlPr>
                    <w:rPr>
                      <w:rFonts w:ascii="Cambria Math" w:hAnsi="Cambria Math"/>
                    </w:rPr>
                  </m:ctrlPr>
                </m:dPr>
                <m:e>
                  <m:r>
                    <w:rPr>
                      <w:rFonts w:ascii="Cambria Math" w:hAnsi="Cambria Math"/>
                      <w:sz w:val="22"/>
                    </w:rPr>
                    <m:t>δ</m:t>
                  </m:r>
                </m:e>
              </m:d>
            </m:den>
          </m:f>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21</m:t>
              </m:r>
            </m:e>
          </m:d>
        </m:oMath>
      </m:oMathPara>
    </w:p>
    <w:p w14:paraId="17CF6268" w14:textId="77777777" w:rsidR="00AD4ED9" w:rsidRDefault="00000000" w:rsidP="00435E6E">
      <w:pPr>
        <w:pStyle w:val="FirstParagraph"/>
        <w:jc w:val="both"/>
      </w:pPr>
      <w:r>
        <w:t xml:space="preserve">For identity restrictions on an </w:t>
      </w:r>
      <m:oMath>
        <m:r>
          <w:rPr>
            <w:rFonts w:ascii="Cambria Math" w:hAnsi="Cambria Math"/>
          </w:rPr>
          <m:t>n</m:t>
        </m:r>
      </m:oMath>
      <w:r>
        <w:t xml:space="preserve">-vertex path, the smallest positive singular value is </w:t>
      </w:r>
      <m:oMath>
        <m:r>
          <w:rPr>
            <w:rFonts w:ascii="Cambria Math" w:hAnsi="Cambria Math"/>
          </w:rPr>
          <m:t>2</m:t>
        </m:r>
        <m:r>
          <m:rPr>
            <m:sty m:val="p"/>
          </m:rPr>
          <w:rPr>
            <w:rFonts w:ascii="Cambria Math" w:hAnsi="Cambria Math"/>
          </w:rPr>
          <m:t>sin</m:t>
        </m:r>
        <m:d>
          <m:dPr>
            <m:ctrlPr>
              <w:rPr>
                <w:rFonts w:ascii="Cambria Math" w:hAnsi="Cambria Math"/>
              </w:rPr>
            </m:ctrlPr>
          </m:dPr>
          <m:e>
            <m:r>
              <w:rPr>
                <w:rFonts w:ascii="Cambria Math" w:hAnsi="Cambria Math"/>
              </w:rPr>
              <m:t>π</m:t>
            </m:r>
            <m:r>
              <m:rPr>
                <m:sty m:val="p"/>
              </m:rPr>
              <w:rPr>
                <w:rFonts w:ascii="Cambria Math" w:hAnsi="Cambria Math"/>
              </w:rPr>
              <m:t>/</m:t>
            </m:r>
            <m:d>
              <m:dPr>
                <m:ctrlPr>
                  <w:rPr>
                    <w:rFonts w:ascii="Cambria Math" w:hAnsi="Cambria Math"/>
                  </w:rPr>
                </m:ctrlPr>
              </m:dPr>
              <m:e>
                <m:r>
                  <w:rPr>
                    <w:rFonts w:ascii="Cambria Math" w:hAnsi="Cambria Math"/>
                  </w:rPr>
                  <m:t>2n</m:t>
                </m:r>
              </m:e>
            </m:d>
          </m:e>
        </m:d>
      </m:oMath>
      <w:r>
        <w:t xml:space="preserve">. The amplification is approximately </w:t>
      </w:r>
      <m:oMath>
        <m:r>
          <w:rPr>
            <w:rFonts w:ascii="Cambria Math" w:hAnsi="Cambria Math"/>
          </w:rPr>
          <m:t>n</m:t>
        </m:r>
        <m:r>
          <m:rPr>
            <m:sty m:val="p"/>
          </m:rPr>
          <w:rPr>
            <w:rFonts w:ascii="Cambria Math" w:hAnsi="Cambria Math"/>
          </w:rPr>
          <m:t>/</m:t>
        </m:r>
        <m:r>
          <w:rPr>
            <w:rFonts w:ascii="Cambria Math" w:hAnsi="Cambria Math"/>
          </w:rPr>
          <m:t>π</m:t>
        </m:r>
      </m:oMath>
      <w:r>
        <w:t xml:space="preserve">, about </w:t>
      </w:r>
      <m:oMath>
        <m:r>
          <w:rPr>
            <w:rFonts w:ascii="Cambria Math" w:hAnsi="Cambria Math"/>
          </w:rPr>
          <m:t>3.18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at one million vertices. A favorable base-graph gap does not by itself bound a learned sheaf operator. Anchors, units, restriction singular values, and the active subspace must be measured.</w:t>
      </w:r>
    </w:p>
    <w:p w14:paraId="09FEF4DE" w14:textId="77777777" w:rsidR="00AD4ED9" w:rsidRDefault="00000000" w:rsidP="00435E6E">
      <w:pPr>
        <w:pStyle w:val="BodyText"/>
        <w:jc w:val="both"/>
      </w:pPr>
      <w:r>
        <w:t xml:space="preserve">Parameter sharing changes a different budget. Two dense </w:t>
      </w:r>
      <m:oMath>
        <m:r>
          <w:rPr>
            <w:rFonts w:ascii="Cambria Math" w:hAnsi="Cambria Math"/>
          </w:rPr>
          <m:t>d</m:t>
        </m:r>
      </m:oMath>
      <w:r>
        <w:t xml:space="preserve">-dimensional generators require </w:t>
      </w:r>
      <m:oMath>
        <m:r>
          <w:rPr>
            <w:rFonts w:ascii="Cambria Math" w:hAnsi="Cambria Math"/>
          </w:rPr>
          <m:t>2</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stored entries; their orthogonality-constrained degrees of freedom are fewer. Two generators per depth require </w:t>
      </w:r>
      <m:oMath>
        <m:r>
          <w:rPr>
            <w:rFonts w:ascii="Cambria Math" w:hAnsi="Cambria Math"/>
          </w:rPr>
          <m:t>O</m:t>
        </m:r>
        <m:d>
          <m:dPr>
            <m:ctrlPr>
              <w:rPr>
                <w:rFonts w:ascii="Cambria Math" w:hAnsi="Cambria Math"/>
              </w:rPr>
            </m:ctrlPr>
          </m:dPr>
          <m:e>
            <m:r>
              <w:rPr>
                <w:rFonts w:ascii="Cambria Math" w:hAnsi="Cambria Math"/>
              </w:rPr>
              <m:t>L</m:t>
            </m:r>
            <m:sSup>
              <m:sSupPr>
                <m:ctrlPr>
                  <w:rPr>
                    <w:rFonts w:ascii="Cambria Math" w:hAnsi="Cambria Math"/>
                  </w:rPr>
                </m:ctrlPr>
              </m:sSupPr>
              <m:e>
                <m:r>
                  <w:rPr>
                    <w:rFonts w:ascii="Cambria Math" w:hAnsi="Cambria Math"/>
                  </w:rPr>
                  <m:t>d</m:t>
                </m:r>
              </m:e>
              <m:sup>
                <m:r>
                  <w:rPr>
                    <w:rFonts w:ascii="Cambria Math" w:hAnsi="Cambria Math"/>
                  </w:rPr>
                  <m:t>2</m:t>
                </m:r>
              </m:sup>
            </m:sSup>
          </m:e>
        </m:d>
      </m:oMath>
      <w:r>
        <w:t xml:space="preserve">, while fully independent nodes can require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L</m:t>
                </m:r>
              </m:sup>
            </m:sSup>
            <m:sSup>
              <m:sSupPr>
                <m:ctrlPr>
                  <w:rPr>
                    <w:rFonts w:ascii="Cambria Math" w:hAnsi="Cambria Math"/>
                  </w:rPr>
                </m:ctrlPr>
              </m:sSupPr>
              <m:e>
                <m:r>
                  <w:rPr>
                    <w:rFonts w:ascii="Cambria Math" w:hAnsi="Cambria Math"/>
                  </w:rPr>
                  <m:t>d</m:t>
                </m:r>
              </m:e>
              <m:sup>
                <m:r>
                  <w:rPr>
                    <w:rFonts w:ascii="Cambria Math" w:hAnsi="Cambria Math"/>
                  </w:rPr>
                  <m:t>2</m:t>
                </m:r>
              </m:sup>
            </m:sSup>
          </m:e>
        </m:d>
      </m:oMath>
      <w:r>
        <w:t xml:space="preserve">. Untying the first </w:t>
      </w:r>
      <m:oMath>
        <m:r>
          <w:rPr>
            <w:rFonts w:ascii="Cambria Math" w:hAnsi="Cambria Math"/>
          </w:rPr>
          <m:t>k</m:t>
        </m:r>
      </m:oMath>
      <w:r>
        <w:t xml:space="preserve"> levels and sharing thereafter gives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k</m:t>
                </m:r>
              </m:sup>
            </m:sSup>
            <m:sSup>
              <m:sSupPr>
                <m:ctrlPr>
                  <w:rPr>
                    <w:rFonts w:ascii="Cambria Math" w:hAnsi="Cambria Math"/>
                  </w:rPr>
                </m:ctrlPr>
              </m:sSupPr>
              <m:e>
                <m:r>
                  <w:rPr>
                    <w:rFonts w:ascii="Cambria Math" w:hAnsi="Cambria Math"/>
                  </w:rPr>
                  <m:t>d</m:t>
                </m:r>
              </m:e>
              <m:sup>
                <m:r>
                  <w:rPr>
                    <w:rFonts w:ascii="Cambria Math" w:hAnsi="Cambria Math"/>
                  </w:rPr>
                  <m:t>2</m:t>
                </m:r>
              </m:sup>
            </m:sSup>
          </m:e>
        </m:d>
      </m:oMath>
      <w:r>
        <w:t xml:space="preserve">, for fixed root multiplicity. Materializing all node activations remains exponential. Applying one dense path product costs </w:t>
      </w:r>
      <m:oMath>
        <m:r>
          <w:rPr>
            <w:rFonts w:ascii="Cambria Math" w:hAnsi="Cambria Math"/>
          </w:rPr>
          <m:t>O</m:t>
        </m:r>
        <m:d>
          <m:dPr>
            <m:ctrlPr>
              <w:rPr>
                <w:rFonts w:ascii="Cambria Math" w:hAnsi="Cambria Math"/>
              </w:rPr>
            </m:ctrlPr>
          </m:dPr>
          <m:e>
            <m:r>
              <w:rPr>
                <w:rFonts w:ascii="Cambria Math" w:hAnsi="Cambria Math"/>
              </w:rPr>
              <m:t>L</m:t>
            </m:r>
            <m:sSup>
              <m:sSupPr>
                <m:ctrlPr>
                  <w:rPr>
                    <w:rFonts w:ascii="Cambria Math" w:hAnsi="Cambria Math"/>
                  </w:rPr>
                </m:ctrlPr>
              </m:sSupPr>
              <m:e>
                <m:r>
                  <w:rPr>
                    <w:rFonts w:ascii="Cambria Math" w:hAnsi="Cambria Math"/>
                  </w:rPr>
                  <m:t>d</m:t>
                </m:r>
              </m:e>
              <m:sup>
                <m:r>
                  <w:rPr>
                    <w:rFonts w:ascii="Cambria Math" w:hAnsi="Cambria Math"/>
                  </w:rPr>
                  <m:t>2</m:t>
                </m:r>
              </m:sup>
            </m:sSup>
          </m:e>
        </m:d>
      </m:oMath>
      <w:r>
        <w:t>; using both directions in Equation (14) changes the constant. Prefix reuse and structured matrices can reduce practical cost but must be specified.</w:t>
      </w:r>
    </w:p>
    <w:p w14:paraId="1504AE43" w14:textId="77777777" w:rsidR="00AD4ED9" w:rsidRDefault="00000000" w:rsidP="00435E6E">
      <w:pPr>
        <w:pStyle w:val="BodyText"/>
        <w:keepNext/>
        <w:jc w:val="both"/>
      </w:pPr>
      <w:r>
        <w:lastRenderedPageBreak/>
        <w:t xml:space="preserve">Let </w:t>
      </w:r>
      <m:oMath>
        <m:sSub>
          <m:sSubPr>
            <m:ctrlPr>
              <w:rPr>
                <w:rFonts w:ascii="Cambria Math" w:hAnsi="Cambria Math"/>
              </w:rPr>
            </m:ctrlPr>
          </m:sSubPr>
          <m:e>
            <m:r>
              <w:rPr>
                <w:rFonts w:ascii="Cambria Math" w:hAnsi="Cambria Math"/>
              </w:rPr>
              <m:t>N</m:t>
            </m:r>
          </m:e>
          <m:sub>
            <m:r>
              <m:rPr>
                <m:scr m:val="script"/>
                <m:sty m:val="p"/>
              </m:rPr>
              <w:rPr>
                <w:rFonts w:ascii="Cambria Math" w:hAnsi="Cambria Math"/>
              </w:rPr>
              <m:t>l</m:t>
            </m:r>
          </m:sub>
        </m:sSub>
      </m:oMath>
      <w:r>
        <w:t xml:space="preserve"> count training routing events at depth </w:t>
      </w:r>
      <m:oMath>
        <m:r>
          <m:rPr>
            <m:scr m:val="script"/>
            <m:sty m:val="p"/>
          </m:rPr>
          <w:rPr>
            <w:rFonts w:ascii="Cambria Math" w:hAnsi="Cambria Math"/>
          </w:rPr>
          <m:t>l</m:t>
        </m:r>
      </m:oMath>
      <w:r>
        <w:t xml:space="preserve">, </w:t>
      </w:r>
      <m:oMath>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oMath>
      <w:r>
        <w:t xml:space="preserve"> the number of selected experts per event, and </w:t>
      </w:r>
      <m:oMath>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oMath>
      <w:r>
        <w:t xml:space="preserve"> the expert count. Mean assignments are</w:t>
      </w:r>
    </w:p>
    <w:p w14:paraId="6F9DE9FF"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sz w:val="22"/>
                    </w:rPr>
                    <m:t>v</m:t>
                  </m:r>
                </m:e>
              </m:acc>
            </m:e>
            <m:sub>
              <m:r>
                <m:rPr>
                  <m:scr m:val="script"/>
                  <m:sty m:val="p"/>
                </m:rPr>
                <w:rPr>
                  <w:rFonts w:ascii="Cambria Math" w:hAnsi="Cambria Math"/>
                  <w:sz w:val="22"/>
                </w:rPr>
                <m:t>l</m:t>
              </m:r>
            </m:sub>
          </m:sSub>
          <m:r>
            <m:rPr>
              <m:sty m:val="p"/>
            </m:rPr>
            <w:rPr>
              <w:rFonts w:ascii="Cambria Math" w:hAnsi="Cambria Math"/>
              <w:sz w:val="22"/>
            </w:rPr>
            <m:t>=</m:t>
          </m:r>
          <m:f>
            <m:fPr>
              <m:ctrlPr>
                <w:rPr>
                  <w:rFonts w:ascii="Cambria Math" w:hAnsi="Cambria Math"/>
                </w:rPr>
              </m:ctrlPr>
            </m:fPr>
            <m:num>
              <m:sSub>
                <m:sSubPr>
                  <m:ctrlPr>
                    <w:rPr>
                      <w:rFonts w:ascii="Cambria Math" w:hAnsi="Cambria Math"/>
                    </w:rPr>
                  </m:ctrlPr>
                </m:sSubPr>
                <m:e>
                  <m:r>
                    <w:rPr>
                      <w:rFonts w:ascii="Cambria Math" w:hAnsi="Cambria Math"/>
                      <w:sz w:val="22"/>
                    </w:rPr>
                    <m:t>a</m:t>
                  </m:r>
                </m:e>
                <m:sub>
                  <m:r>
                    <m:rPr>
                      <m:scr m:val="script"/>
                      <m:sty m:val="p"/>
                    </m:rPr>
                    <w:rPr>
                      <w:rFonts w:ascii="Cambria Math" w:hAnsi="Cambria Math"/>
                      <w:sz w:val="22"/>
                    </w:rPr>
                    <m:t>l</m:t>
                  </m:r>
                </m:sub>
              </m:sSub>
              <m:sSub>
                <m:sSubPr>
                  <m:ctrlPr>
                    <w:rPr>
                      <w:rFonts w:ascii="Cambria Math" w:hAnsi="Cambria Math"/>
                    </w:rPr>
                  </m:ctrlPr>
                </m:sSubPr>
                <m:e>
                  <m:r>
                    <w:rPr>
                      <w:rFonts w:ascii="Cambria Math" w:hAnsi="Cambria Math"/>
                      <w:sz w:val="22"/>
                    </w:rPr>
                    <m:t>N</m:t>
                  </m:r>
                </m:e>
                <m:sub>
                  <m:r>
                    <m:rPr>
                      <m:scr m:val="script"/>
                      <m:sty m:val="p"/>
                    </m:rPr>
                    <w:rPr>
                      <w:rFonts w:ascii="Cambria Math" w:hAnsi="Cambria Math"/>
                      <w:sz w:val="22"/>
                    </w:rPr>
                    <m:t>l</m:t>
                  </m:r>
                </m:sub>
              </m:sSub>
            </m:num>
            <m:den>
              <m:sSub>
                <m:sSubPr>
                  <m:ctrlPr>
                    <w:rPr>
                      <w:rFonts w:ascii="Cambria Math" w:hAnsi="Cambria Math"/>
                    </w:rPr>
                  </m:ctrlPr>
                </m:sSubPr>
                <m:e>
                  <m:r>
                    <w:rPr>
                      <w:rFonts w:ascii="Cambria Math" w:hAnsi="Cambria Math"/>
                      <w:sz w:val="22"/>
                    </w:rPr>
                    <m:t>E</m:t>
                  </m:r>
                </m:e>
                <m:sub>
                  <m:r>
                    <m:rPr>
                      <m:scr m:val="script"/>
                      <m:sty m:val="p"/>
                    </m:rPr>
                    <w:rPr>
                      <w:rFonts w:ascii="Cambria Math" w:hAnsi="Cambria Math"/>
                      <w:sz w:val="22"/>
                    </w:rPr>
                    <m:t>l</m:t>
                  </m:r>
                </m:sub>
              </m:sSub>
            </m:den>
          </m:f>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22</m:t>
              </m:r>
            </m:e>
          </m:d>
        </m:oMath>
      </m:oMathPara>
    </w:p>
    <w:p w14:paraId="1826DB8B" w14:textId="77777777" w:rsidR="00AD4ED9" w:rsidRDefault="00000000" w:rsidP="00435E6E">
      <w:pPr>
        <w:pStyle w:val="FirstParagraph"/>
        <w:jc w:val="both"/>
      </w:pPr>
      <w:r>
        <w:t xml:space="preserve">For balanced routing with </w:t>
      </w:r>
      <m:oMath>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oMath>
      <w:r>
        <w:t xml:space="preserve">, full-rate processing gives </w:t>
      </w:r>
      <m:oMath>
        <m:r>
          <w:rPr>
            <w:rFonts w:ascii="Cambria Math" w:hAnsi="Cambria Math"/>
          </w:rPr>
          <m:t>aN</m:t>
        </m:r>
        <m:r>
          <m:rPr>
            <m:sty m:val="p"/>
          </m:rPr>
          <w:rPr>
            <w:rFonts w:ascii="Cambria Math" w:hAnsi="Cambria Math"/>
          </w:rPr>
          <m:t>/</m:t>
        </m:r>
        <m:d>
          <m:dPr>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e>
        </m:d>
      </m:oMath>
      <w:r>
        <w:t xml:space="preserve">. Dyadic temporal downsampling instead gives approximately </w:t>
      </w:r>
      <m:oMath>
        <m:r>
          <w:rPr>
            <w:rFonts w:ascii="Cambria Math" w:hAnsi="Cambria Math"/>
          </w:rPr>
          <m:t>aN</m:t>
        </m:r>
        <m:r>
          <m:rPr>
            <m:sty m:val="p"/>
          </m:rPr>
          <w:rPr>
            <w:rFonts w:ascii="Cambria Math" w:hAnsi="Cambria Math"/>
          </w:rPr>
          <m:t>/</m:t>
        </m:r>
        <m:d>
          <m:dPr>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4</m:t>
                </m:r>
              </m:e>
              <m:sup>
                <m:r>
                  <m:rPr>
                    <m:scr m:val="script"/>
                    <m:sty m:val="p"/>
                  </m:rPr>
                  <w:rPr>
                    <w:rFonts w:ascii="Cambria Math" w:hAnsi="Cambria Math"/>
                  </w:rPr>
                  <m:t>l</m:t>
                </m:r>
              </m:sup>
            </m:sSup>
          </m:e>
        </m:d>
      </m:oMath>
      <w:r>
        <w:t>. The distinction is a property of the update schedule, not a consequence of the expert tree.</w:t>
      </w:r>
    </w:p>
    <w:p w14:paraId="25C1195F" w14:textId="77777777" w:rsidR="00AD4ED9" w:rsidRDefault="00000000" w:rsidP="00435E6E">
      <w:pPr>
        <w:pStyle w:val="BodyText"/>
        <w:keepNext/>
        <w:jc w:val="both"/>
      </w:pPr>
      <w:r>
        <w:t xml:space="preserve">If a declared coverage target for independently trained nodes is </w:t>
      </w:r>
      <m:oMath>
        <m:sSub>
          <m:sSubPr>
            <m:ctrlPr>
              <w:rPr>
                <w:rFonts w:ascii="Cambria Math" w:hAnsi="Cambria Math"/>
              </w:rPr>
            </m:ctrlPr>
          </m:sSubPr>
          <m:e>
            <m:r>
              <w:rPr>
                <w:rFonts w:ascii="Cambria Math" w:hAnsi="Cambria Math"/>
              </w:rPr>
              <m:t>v</m:t>
            </m:r>
          </m:e>
          <m:sub>
            <m:r>
              <m:rPr>
                <m:sty m:val="p"/>
              </m:rPr>
              <w:rPr>
                <w:rFonts w:ascii="Cambria Math" w:hAnsi="Cambria Math"/>
              </w:rPr>
              <m:t>min</m:t>
            </m:r>
          </m:sub>
        </m:sSub>
      </m:oMath>
      <w:r>
        <w:t>, a full-rate untying budget is</w:t>
      </w:r>
    </w:p>
    <w:p w14:paraId="7BF71BFD" w14:textId="77777777" w:rsidR="00AD4ED9" w:rsidRDefault="00000000" w:rsidP="00435E6E">
      <w:pPr>
        <w:pStyle w:val="BodyText"/>
        <w:keepLines/>
        <w:spacing w:before="100" w:after="140"/>
        <w:jc w:val="both"/>
      </w:pPr>
      <m:oMathPara>
        <m:oMathParaPr>
          <m:jc m:val="center"/>
        </m:oMathParaPr>
        <m:oMath>
          <m:r>
            <w:rPr>
              <w:rFonts w:ascii="Cambria Math" w:hAnsi="Cambria Math"/>
              <w:sz w:val="22"/>
            </w:rPr>
            <m:t>k</m:t>
          </m:r>
          <m:r>
            <m:rPr>
              <m:sty m:val="p"/>
            </m:rPr>
            <w:rPr>
              <w:rFonts w:ascii="Cambria Math" w:hAnsi="Cambria Math"/>
              <w:sz w:val="22"/>
            </w:rPr>
            <m:t>≤floor</m:t>
          </m:r>
          <m:d>
            <m:dPr>
              <m:ctrlPr>
                <w:rPr>
                  <w:rFonts w:ascii="Cambria Math" w:hAnsi="Cambria Math"/>
                </w:rPr>
              </m:ctrlPr>
            </m:dPr>
            <m:e>
              <m:sSub>
                <m:sSubPr>
                  <m:ctrlPr>
                    <w:rPr>
                      <w:rFonts w:ascii="Cambria Math" w:hAnsi="Cambria Math"/>
                    </w:rPr>
                  </m:ctrlPr>
                </m:sSubPr>
                <m:e>
                  <m:r>
                    <m:rPr>
                      <m:sty m:val="p"/>
                    </m:rPr>
                    <w:rPr>
                      <w:rFonts w:ascii="Cambria Math" w:hAnsi="Cambria Math"/>
                      <w:sz w:val="22"/>
                    </w:rPr>
                    <m:t>log</m:t>
                  </m:r>
                </m:e>
                <m:sub>
                  <m:r>
                    <w:rPr>
                      <w:rFonts w:ascii="Cambria Math" w:hAnsi="Cambria Math"/>
                      <w:sz w:val="22"/>
                    </w:rPr>
                    <m:t>2</m:t>
                  </m:r>
                </m:sub>
              </m:sSub>
              <m:f>
                <m:fPr>
                  <m:ctrlPr>
                    <w:rPr>
                      <w:rFonts w:ascii="Cambria Math" w:hAnsi="Cambria Math"/>
                    </w:rPr>
                  </m:ctrlPr>
                </m:fPr>
                <m:num>
                  <m:r>
                    <w:rPr>
                      <w:rFonts w:ascii="Cambria Math" w:hAnsi="Cambria Math"/>
                      <w:sz w:val="22"/>
                    </w:rPr>
                    <m:t>aN</m:t>
                  </m:r>
                </m:num>
                <m:den>
                  <m:r>
                    <w:rPr>
                      <w:rFonts w:ascii="Cambria Math" w:hAnsi="Cambria Math"/>
                      <w:sz w:val="22"/>
                    </w:rPr>
                    <m:t>p </m:t>
                  </m:r>
                  <m:sSub>
                    <m:sSubPr>
                      <m:ctrlPr>
                        <w:rPr>
                          <w:rFonts w:ascii="Cambria Math" w:hAnsi="Cambria Math"/>
                        </w:rPr>
                      </m:ctrlPr>
                    </m:sSubPr>
                    <m:e>
                      <m:r>
                        <w:rPr>
                          <w:rFonts w:ascii="Cambria Math" w:hAnsi="Cambria Math"/>
                          <w:sz w:val="22"/>
                        </w:rPr>
                        <m:t>v</m:t>
                      </m:r>
                    </m:e>
                    <m:sub>
                      <m:r>
                        <m:rPr>
                          <m:sty m:val="p"/>
                        </m:rPr>
                        <w:rPr>
                          <w:rFonts w:ascii="Cambria Math" w:hAnsi="Cambria Math"/>
                          <w:sz w:val="22"/>
                        </w:rPr>
                        <m:t>min</m:t>
                      </m:r>
                    </m:sub>
                  </m:sSub>
                </m:den>
              </m:f>
            </m:e>
          </m:d>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23</m:t>
              </m:r>
            </m:e>
          </m:d>
        </m:oMath>
      </m:oMathPara>
    </w:p>
    <w:p w14:paraId="51F9A7E1" w14:textId="77777777" w:rsidR="00AD4ED9" w:rsidRDefault="00000000" w:rsidP="00435E6E">
      <w:pPr>
        <w:pStyle w:val="FirstParagraph"/>
        <w:jc w:val="both"/>
      </w:pPr>
      <w:r>
        <w:t xml:space="preserve">This is an allocation heuristic under balanced counts, not a universal sample-complexity theorem. With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w:t>
      </w:r>
      <m:oMath>
        <m:r>
          <w:rPr>
            <w:rFonts w:ascii="Cambria Math" w:hAnsi="Cambria Math"/>
          </w:rPr>
          <m:t>p</m:t>
        </m:r>
        <m:r>
          <m:rPr>
            <m:sty m:val="p"/>
          </m:rPr>
          <w:rPr>
            <w:rFonts w:ascii="Cambria Math" w:hAnsi="Cambria Math"/>
          </w:rPr>
          <m:t>=</m:t>
        </m:r>
        <m:r>
          <w:rPr>
            <w:rFonts w:ascii="Cambria Math" w:hAnsi="Cambria Math"/>
          </w:rPr>
          <m:t>4</m:t>
        </m:r>
      </m:oMath>
      <w:r>
        <w:t xml:space="preserve">, and </w:t>
      </w:r>
      <m:oMath>
        <m:r>
          <w:rPr>
            <w:rFonts w:ascii="Cambria Math" w:hAnsi="Cambria Math"/>
          </w:rPr>
          <m:t>a</m:t>
        </m:r>
        <m:r>
          <m:rPr>
            <m:sty m:val="p"/>
          </m:rPr>
          <w:rPr>
            <w:rFonts w:ascii="Cambria Math" w:hAnsi="Cambria Math"/>
          </w:rPr>
          <m:t>=</m:t>
        </m:r>
        <m:r>
          <w:rPr>
            <w:rFonts w:ascii="Cambria Math" w:hAnsi="Cambria Math"/>
          </w:rPr>
          <m:t>1</m:t>
        </m:r>
      </m:oMath>
      <w:r>
        <w:t>, the one-assignment limits are depths 37 without downsampling and 18 with dyadic downsampling. Requiring 256 assignments changes them to 29 and 14. A depth near 30 in the full-rate case implicitly assumes hundreds of assignments, rather than one.</w:t>
      </w:r>
    </w:p>
    <w:p w14:paraId="71AA3D06" w14:textId="77777777" w:rsidR="00AD4ED9" w:rsidRDefault="00000000" w:rsidP="00435E6E">
      <w:pPr>
        <w:pStyle w:val="BodyText"/>
        <w:jc w:val="both"/>
      </w:pPr>
      <w:r>
        <w:t>Tied generators pool gradients across routes, but their combinations and the router still need validation. Repeated or highly correlated assignments are not independent evidence. When every token visits every layer with fixed expert count and fixed top-</w:t>
      </w:r>
      <m:oMath>
        <m:r>
          <w:rPr>
            <w:rFonts w:ascii="Cambria Math" w:hAnsi="Cambria Math"/>
          </w:rPr>
          <m:t>a</m:t>
        </m:r>
      </m:oMath>
      <w:r>
        <w:t>, the mean assignment count is constant by construction. Useful diagnostics are lower-tail occupancy, routing entropy, gradient concentration, and task performance on uncommon compositions.</w:t>
      </w:r>
    </w:p>
    <w:p w14:paraId="2AF40AAA" w14:textId="77777777" w:rsidR="00AD4ED9" w:rsidRDefault="00000000" w:rsidP="00435E6E">
      <w:pPr>
        <w:pStyle w:val="Heading1"/>
        <w:jc w:val="both"/>
      </w:pPr>
      <w:bookmarkStart w:id="9" w:name="X402d22600019cdc6d353853db72b11b4f2ccc7c"/>
      <w:bookmarkEnd w:id="8"/>
      <w:r>
        <w:t>9 A reproducible audit and measurement protocol</w:t>
      </w:r>
    </w:p>
    <w:p w14:paraId="6F49DC6B" w14:textId="77777777" w:rsidR="00AD4ED9" w:rsidRDefault="00000000" w:rsidP="00435E6E">
      <w:pPr>
        <w:pStyle w:val="FirstParagraph"/>
        <w:jc w:val="both"/>
      </w:pPr>
      <w:r>
        <w:t>The audit produces a model specification, ranks and singular values, a readout test, and a resource ledger. It does not produce a universal verdict about whether sheaves belong in machine learning. Table 2 states the operational outcomes.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58"/>
        <w:gridCol w:w="4114"/>
        <w:gridCol w:w="3820"/>
      </w:tblGrid>
      <w:tr w:rsidR="00AD4ED9" w14:paraId="3E9B6747" w14:textId="77777777" w:rsidTr="00AD4ED9">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7F99EBB4" w14:textId="77777777" w:rsidR="00AD4ED9" w:rsidRDefault="00000000" w:rsidP="00435E6E">
            <w:pPr>
              <w:pStyle w:val="Compact"/>
              <w:keepNext/>
              <w:spacing w:before="0" w:after="20" w:line="252" w:lineRule="auto"/>
              <w:jc w:val="both"/>
            </w:pPr>
            <w:r>
              <w:rPr>
                <w:b/>
                <w:sz w:val="21"/>
              </w:rPr>
              <w:t>Check</w:t>
            </w:r>
          </w:p>
        </w:tc>
        <w:tc>
          <w:tcPr>
            <w:tcW w:w="4032"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4EF45BE4" w14:textId="77777777" w:rsidR="00AD4ED9" w:rsidRDefault="00000000" w:rsidP="00435E6E">
            <w:pPr>
              <w:pStyle w:val="Compact"/>
              <w:keepNext/>
              <w:spacing w:before="0" w:after="20" w:line="252" w:lineRule="auto"/>
              <w:jc w:val="both"/>
            </w:pPr>
            <w:r>
              <w:rPr>
                <w:b/>
                <w:sz w:val="21"/>
              </w:rPr>
              <w:t>Required evidence</w:t>
            </w:r>
          </w:p>
        </w:tc>
        <w:tc>
          <w:tcPr>
            <w:tcW w:w="3744"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0F760B47" w14:textId="77777777" w:rsidR="00AD4ED9" w:rsidRDefault="00000000" w:rsidP="00435E6E">
            <w:pPr>
              <w:pStyle w:val="Compact"/>
              <w:keepNext/>
              <w:spacing w:before="0" w:after="20" w:line="252" w:lineRule="auto"/>
              <w:jc w:val="both"/>
            </w:pPr>
            <w:r>
              <w:rPr>
                <w:b/>
                <w:sz w:val="21"/>
              </w:rPr>
              <w:t>Failure interpretation</w:t>
            </w:r>
          </w:p>
        </w:tc>
      </w:tr>
      <w:tr w:rsidR="00AD4ED9" w14:paraId="009A78CC" w14:textId="77777777" w:rsidTr="00AD4ED9">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D5E961" w14:textId="77777777" w:rsidR="00AD4ED9" w:rsidRDefault="00000000" w:rsidP="00435E6E">
            <w:pPr>
              <w:pStyle w:val="Compact"/>
              <w:spacing w:before="0" w:after="20" w:line="252" w:lineRule="auto"/>
              <w:jc w:val="both"/>
            </w:pPr>
            <w:r>
              <w:rPr>
                <w:sz w:val="21"/>
              </w:rPr>
              <w:t>C1 Structural relevance</w:t>
            </w:r>
          </w:p>
        </w:tc>
        <w:tc>
          <w:tcPr>
            <w:tcW w:w="40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671F3B" w14:textId="77777777" w:rsidR="00AD4ED9" w:rsidRDefault="00000000" w:rsidP="00435E6E">
            <w:pPr>
              <w:pStyle w:val="Compact"/>
              <w:spacing w:before="0" w:after="20" w:line="252" w:lineRule="auto"/>
              <w:jc w:val="both"/>
            </w:pPr>
            <w:r>
              <w:rPr>
                <w:sz w:val="21"/>
              </w:rPr>
              <w:t>Actual coboundary and, when used, connecting map on admissible observations</w:t>
            </w:r>
          </w:p>
        </w:tc>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25F0FA" w14:textId="77777777" w:rsidR="00AD4ED9" w:rsidRDefault="00000000" w:rsidP="00435E6E">
            <w:pPr>
              <w:pStyle w:val="Compact"/>
              <w:spacing w:before="0" w:after="20" w:line="252" w:lineRule="auto"/>
              <w:jc w:val="both"/>
            </w:pPr>
            <w:r>
              <w:rPr>
                <w:sz w:val="21"/>
              </w:rPr>
              <w:t>Withdraw the unsupported obstruction claim</w:t>
            </w:r>
          </w:p>
        </w:tc>
      </w:tr>
      <w:tr w:rsidR="00AD4ED9" w14:paraId="539ACE23" w14:textId="77777777" w:rsidTr="00AD4ED9">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18D2A5" w14:textId="77777777" w:rsidR="00AD4ED9" w:rsidRDefault="00000000" w:rsidP="00435E6E">
            <w:pPr>
              <w:pStyle w:val="Compact"/>
              <w:spacing w:before="0" w:after="20" w:line="252" w:lineRule="auto"/>
              <w:jc w:val="both"/>
            </w:pPr>
            <w:r>
              <w:rPr>
                <w:sz w:val="21"/>
              </w:rPr>
              <w:t>C2 Correct typing</w:t>
            </w:r>
          </w:p>
        </w:tc>
        <w:tc>
          <w:tcPr>
            <w:tcW w:w="40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55E80B" w14:textId="77777777" w:rsidR="00AD4ED9" w:rsidRDefault="00000000" w:rsidP="00435E6E">
            <w:pPr>
              <w:pStyle w:val="Compact"/>
              <w:spacing w:before="0" w:after="20" w:line="252" w:lineRule="auto"/>
              <w:jc w:val="both"/>
            </w:pPr>
            <w:r>
              <w:rPr>
                <w:sz w:val="21"/>
              </w:rPr>
              <w:t>Stalks, incidences, map domains, and distinction between updates and restrictions</w:t>
            </w:r>
          </w:p>
        </w:tc>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B3ED13" w14:textId="77777777" w:rsidR="00AD4ED9" w:rsidRDefault="00000000" w:rsidP="00435E6E">
            <w:pPr>
              <w:pStyle w:val="Compact"/>
              <w:spacing w:before="0" w:after="20" w:line="252" w:lineRule="auto"/>
              <w:jc w:val="both"/>
            </w:pPr>
            <w:r>
              <w:rPr>
                <w:sz w:val="21"/>
              </w:rPr>
              <w:t>Repair the mathematical model before using its theorems</w:t>
            </w:r>
          </w:p>
        </w:tc>
      </w:tr>
      <w:tr w:rsidR="00AD4ED9" w14:paraId="248BE27F" w14:textId="77777777" w:rsidTr="00AD4ED9">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E3058E" w14:textId="77777777" w:rsidR="00AD4ED9" w:rsidRDefault="00000000" w:rsidP="00435E6E">
            <w:pPr>
              <w:pStyle w:val="Compact"/>
              <w:spacing w:before="0" w:after="20" w:line="252" w:lineRule="auto"/>
              <w:jc w:val="both"/>
            </w:pPr>
            <w:r>
              <w:rPr>
                <w:sz w:val="21"/>
              </w:rPr>
              <w:t>C3 Readout fidelity</w:t>
            </w:r>
          </w:p>
        </w:tc>
        <w:tc>
          <w:tcPr>
            <w:tcW w:w="40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59078E" w14:textId="77777777" w:rsidR="00AD4ED9" w:rsidRDefault="00000000" w:rsidP="00435E6E">
            <w:pPr>
              <w:pStyle w:val="Compact"/>
              <w:spacing w:before="0" w:after="20" w:line="252" w:lineRule="auto"/>
              <w:jc w:val="both"/>
            </w:pPr>
            <w:r>
              <w:rPr>
                <w:sz w:val="21"/>
              </w:rPr>
              <w:t>Kernel test or task-specific ambiguity and distortion measurements</w:t>
            </w:r>
          </w:p>
        </w:tc>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683ACE0" w14:textId="77777777" w:rsidR="00AD4ED9" w:rsidRDefault="00000000" w:rsidP="00435E6E">
            <w:pPr>
              <w:pStyle w:val="Compact"/>
              <w:spacing w:before="0" w:after="20" w:line="252" w:lineRule="auto"/>
              <w:jc w:val="both"/>
            </w:pPr>
            <w:r>
              <w:rPr>
                <w:sz w:val="21"/>
              </w:rPr>
              <w:t>Compatibility alone cannot support the intended task</w:t>
            </w:r>
          </w:p>
        </w:tc>
      </w:tr>
      <w:tr w:rsidR="00AD4ED9" w14:paraId="495E335A" w14:textId="77777777" w:rsidTr="00AD4ED9">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7CE2CD" w14:textId="77777777" w:rsidR="00AD4ED9" w:rsidRDefault="00000000" w:rsidP="00435E6E">
            <w:pPr>
              <w:pStyle w:val="Compact"/>
              <w:spacing w:before="0" w:after="20" w:line="252" w:lineRule="auto"/>
              <w:jc w:val="both"/>
            </w:pPr>
            <w:r>
              <w:rPr>
                <w:sz w:val="21"/>
              </w:rPr>
              <w:t>Computational accounting</w:t>
            </w:r>
          </w:p>
        </w:tc>
        <w:tc>
          <w:tcPr>
            <w:tcW w:w="40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15A2F2" w14:textId="77777777" w:rsidR="00AD4ED9" w:rsidRDefault="00000000" w:rsidP="00435E6E">
            <w:pPr>
              <w:pStyle w:val="Compact"/>
              <w:spacing w:before="0" w:after="20" w:line="252" w:lineRule="auto"/>
              <w:jc w:val="both"/>
            </w:pPr>
            <w:r>
              <w:rPr>
                <w:sz w:val="21"/>
              </w:rPr>
              <w:t>Total nodes, transitions, materialized states, parameters, and measured work</w:t>
            </w:r>
          </w:p>
        </w:tc>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18FAE7" w14:textId="77777777" w:rsidR="00AD4ED9" w:rsidRDefault="00000000" w:rsidP="00435E6E">
            <w:pPr>
              <w:pStyle w:val="Compact"/>
              <w:spacing w:before="0" w:after="20" w:line="252" w:lineRule="auto"/>
              <w:jc w:val="both"/>
            </w:pPr>
            <w:r>
              <w:rPr>
                <w:sz w:val="21"/>
              </w:rPr>
              <w:t>Replace an asymptotic or latency claim that omits these costs</w:t>
            </w:r>
          </w:p>
        </w:tc>
      </w:tr>
      <w:tr w:rsidR="00AD4ED9" w14:paraId="016008C1" w14:textId="77777777" w:rsidTr="00AD4ED9">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E4EFD1" w14:textId="77777777" w:rsidR="00AD4ED9" w:rsidRDefault="00000000" w:rsidP="00435E6E">
            <w:pPr>
              <w:pStyle w:val="Compact"/>
              <w:keepNext/>
              <w:spacing w:before="0" w:after="20" w:line="252" w:lineRule="auto"/>
              <w:jc w:val="both"/>
            </w:pPr>
            <w:r>
              <w:rPr>
                <w:sz w:val="21"/>
              </w:rPr>
              <w:t>Attribution</w:t>
            </w:r>
          </w:p>
        </w:tc>
        <w:tc>
          <w:tcPr>
            <w:tcW w:w="40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D102E4" w14:textId="77777777" w:rsidR="00AD4ED9" w:rsidRDefault="00000000" w:rsidP="00435E6E">
            <w:pPr>
              <w:pStyle w:val="Compact"/>
              <w:keepNext/>
              <w:spacing w:before="0" w:after="20" w:line="252" w:lineRule="auto"/>
              <w:jc w:val="both"/>
            </w:pPr>
            <w:r>
              <w:rPr>
                <w:sz w:val="21"/>
              </w:rPr>
              <w:t>Identical sparse constraints, shared-parameter controls, and interface ablations</w:t>
            </w:r>
          </w:p>
        </w:tc>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688FC2" w14:textId="77777777" w:rsidR="00AD4ED9" w:rsidRDefault="00000000" w:rsidP="00435E6E">
            <w:pPr>
              <w:pStyle w:val="Compact"/>
              <w:keepNext/>
              <w:spacing w:before="0" w:after="20" w:line="252" w:lineRule="auto"/>
              <w:jc w:val="both"/>
            </w:pPr>
            <w:r>
              <w:rPr>
                <w:sz w:val="21"/>
              </w:rPr>
              <w:t>Separate the value of the interfaces from their terminology</w:t>
            </w:r>
          </w:p>
        </w:tc>
      </w:tr>
    </w:tbl>
    <w:p w14:paraId="5C3C9094" w14:textId="77777777" w:rsidR="00AD4ED9" w:rsidRDefault="00000000" w:rsidP="00435E6E">
      <w:pPr>
        <w:pStyle w:val="Caption"/>
        <w:keepLines/>
        <w:spacing w:before="80" w:after="180"/>
        <w:jc w:val="both"/>
      </w:pPr>
      <w:r>
        <w:rPr>
          <w:i w:val="0"/>
        </w:rPr>
        <w:t>Table 2. Exact algebra can reject a stated implication. A practical benefit additionally requires a task and an appropriate comparison.</w:t>
      </w:r>
    </w:p>
    <w:p w14:paraId="1A836E03" w14:textId="77777777" w:rsidR="00AD4ED9" w:rsidRDefault="00000000" w:rsidP="00435E6E">
      <w:pPr>
        <w:pStyle w:val="BodyText"/>
        <w:jc w:val="both"/>
      </w:pPr>
      <w:r>
        <w:t xml:space="preserve">For C1, test a surjective tree, a tree with private coordinates, a rank-deficient kernel tree, an identity cycle, a twisted cycle, and a split extension. If a claimed liftability operation has </w:t>
      </w:r>
      <m:oMath>
        <m:r>
          <m:rPr>
            <m:scr m:val="script"/>
            <m:sty m:val="p"/>
          </m:rPr>
          <w:rPr>
            <w:rFonts w:ascii="Cambria Math" w:hAnsi="Cambria Math"/>
          </w:rPr>
          <m:t>O=</m:t>
        </m:r>
        <m:r>
          <w:rPr>
            <w:rFonts w:ascii="Cambria Math" w:hAnsi="Cambria Math"/>
          </w:rPr>
          <m:t>0</m:t>
        </m:r>
      </m:oMath>
      <w:r>
        <w:t xml:space="preserve"> on its admissible </w:t>
      </w:r>
      <w:r>
        <w:lastRenderedPageBreak/>
        <w:t xml:space="preserve">observations, stop that claim. A numerical implementation should reproduce a generic sparse solver supplied with identical constraints. For well-conditioned double-precision fixtures, use a declared relative residual tolerance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poorly conditioned cases require an error analysis rather than relabeling small residuals as exact.</w:t>
      </w:r>
    </w:p>
    <w:p w14:paraId="3F202BC7" w14:textId="77777777" w:rsidR="00AD4ED9" w:rsidRDefault="00000000" w:rsidP="00435E6E">
      <w:pPr>
        <w:pStyle w:val="BodyText"/>
        <w:jc w:val="both"/>
      </w:pPr>
      <w:r>
        <w:t xml:space="preserve">For C2, inspect every architectural arrow before training. Record whether it is a restriction, neural update, codec, or routing transition. On a higher-dimensional base, check the commuting relations and </w:t>
      </w: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r>
          <m:rPr>
            <m:sty m:val="p"/>
          </m:rPr>
          <w:rPr>
            <w:rFonts w:ascii="Cambria Math" w:hAnsi="Cambria Math"/>
          </w:rPr>
          <m:t>=</m:t>
        </m:r>
        <m:r>
          <w:rPr>
            <w:rFonts w:ascii="Cambria Math" w:hAnsi="Cambria Math"/>
          </w:rPr>
          <m:t>0</m:t>
        </m:r>
      </m:oMath>
      <w:r>
        <w:t>. Input-dependent topology or restrictions must include their storage, construction, and update costs. A learned map that collapses to zero can manufacture agreement; rank and scale controls must therefore accompany any consistency objective.</w:t>
      </w:r>
    </w:p>
    <w:p w14:paraId="503C3E18" w14:textId="77777777" w:rsidR="00AD4ED9" w:rsidRDefault="00000000" w:rsidP="00435E6E">
      <w:pPr>
        <w:pStyle w:val="BodyText"/>
        <w:jc w:val="both"/>
      </w:pPr>
      <w:r>
        <w:t>For C3, test states that share a code but differ along task-relevant kernel directions. Compare against the complete reference state, including fresh prefill when appropriate. Evaluate retained answers, uncertainty, and fallback behavior. Projection onto a compatible subspace must be charged as a change to the data, not used to certify the original observation after silently modifying it.</w:t>
      </w:r>
    </w:p>
    <w:p w14:paraId="3226FF87" w14:textId="77777777" w:rsidR="00AD4ED9" w:rsidRDefault="00000000" w:rsidP="00435E6E">
      <w:pPr>
        <w:pStyle w:val="BodyText"/>
        <w:keepNext/>
        <w:jc w:val="both"/>
      </w:pPr>
      <w:r>
        <w:rPr>
          <w:b/>
          <w:bCs/>
        </w:rPr>
        <w:t>Functional diversity study.</w:t>
      </w:r>
      <w:r>
        <w:t xml:space="preserve"> Define a held-out input distribution </w:t>
      </w:r>
      <m:oMath>
        <m:r>
          <w:rPr>
            <w:rFonts w:ascii="Cambria Math" w:hAnsi="Cambria Math"/>
          </w:rPr>
          <m:t>μ</m:t>
        </m:r>
      </m:oMath>
      <w:r>
        <w:t xml:space="preserve"> and compare expert functions through</w:t>
      </w:r>
    </w:p>
    <w:p w14:paraId="1D25AB99" w14:textId="77777777" w:rsidR="00AD4ED9" w:rsidRDefault="00000000" w:rsidP="00435E6E">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d</m:t>
              </m:r>
            </m:e>
            <m:sub>
              <m:r>
                <w:rPr>
                  <w:rFonts w:ascii="Cambria Math" w:hAnsi="Cambria Math"/>
                  <w:sz w:val="22"/>
                </w:rPr>
                <m:t>μ</m:t>
              </m:r>
            </m:sub>
          </m:sSub>
          <m:d>
            <m:dPr>
              <m:ctrlPr>
                <w:rPr>
                  <w:rFonts w:ascii="Cambria Math" w:hAnsi="Cambria Math"/>
                </w:rPr>
              </m:ctrlPr>
            </m:dPr>
            <m:e>
              <m:sSub>
                <m:sSubPr>
                  <m:ctrlPr>
                    <w:rPr>
                      <w:rFonts w:ascii="Cambria Math" w:hAnsi="Cambria Math"/>
                    </w:rPr>
                  </m:ctrlPr>
                </m:sSubPr>
                <m:e>
                  <m:r>
                    <w:rPr>
                      <w:rFonts w:ascii="Cambria Math" w:hAnsi="Cambria Math"/>
                      <w:sz w:val="22"/>
                    </w:rPr>
                    <m:t>E</m:t>
                  </m:r>
                </m:e>
                <m:sub>
                  <m:r>
                    <w:rPr>
                      <w:rFonts w:ascii="Cambria Math" w:hAnsi="Cambria Math"/>
                      <w:sz w:val="22"/>
                    </w:rPr>
                    <m:t>b</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E</m:t>
                  </m:r>
                </m:e>
                <m:sub>
                  <m:r>
                    <w:rPr>
                      <w:rFonts w:ascii="Cambria Math" w:hAnsi="Cambria Math"/>
                      <w:sz w:val="22"/>
                    </w:rPr>
                    <m:t>c</m:t>
                  </m:r>
                </m:sub>
              </m:sSub>
            </m:e>
          </m:d>
          <m:r>
            <m:rPr>
              <m:sty m:val="p"/>
            </m:rPr>
            <w:rPr>
              <w:rFonts w:ascii="Cambria Math" w:hAnsi="Cambria Math"/>
              <w:sz w:val="22"/>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cr m:val="double-struck"/>
                          <m:sty m:val="p"/>
                        </m:rPr>
                        <w:rPr>
                          <w:rFonts w:ascii="Cambria Math" w:hAnsi="Cambria Math"/>
                          <w:sz w:val="22"/>
                        </w:rPr>
                        <m:t>E</m:t>
                      </m:r>
                    </m:e>
                    <m:sub>
                      <m:r>
                        <w:rPr>
                          <w:rFonts w:ascii="Cambria Math" w:hAnsi="Cambria Math"/>
                          <w:sz w:val="22"/>
                        </w:rPr>
                        <m:t>μ</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E</m:t>
                      </m:r>
                    </m:e>
                    <m:sub>
                      <m:r>
                        <w:rPr>
                          <w:rFonts w:ascii="Cambria Math" w:hAnsi="Cambria Math"/>
                          <w:sz w:val="22"/>
                        </w:rPr>
                        <m:t>b</m:t>
                      </m:r>
                    </m:sub>
                  </m:sSub>
                  <m:d>
                    <m:dPr>
                      <m:ctrlPr>
                        <w:rPr>
                          <w:rFonts w:ascii="Cambria Math" w:hAnsi="Cambria Math"/>
                        </w:rPr>
                      </m:ctrlPr>
                    </m:dPr>
                    <m:e>
                      <m:r>
                        <w:rPr>
                          <w:rFonts w:ascii="Cambria Math" w:hAnsi="Cambria Math"/>
                          <w:sz w:val="22"/>
                        </w:rPr>
                        <m:t>x</m:t>
                      </m:r>
                    </m:e>
                  </m:d>
                  <m:r>
                    <m:rPr>
                      <m:sty m:val="p"/>
                    </m:rPr>
                    <w:rPr>
                      <w:rFonts w:ascii="Cambria Math" w:hAnsi="Cambria Math"/>
                      <w:sz w:val="22"/>
                    </w:rPr>
                    <m:t>-</m:t>
                  </m:r>
                  <m:sSub>
                    <m:sSubPr>
                      <m:ctrlPr>
                        <w:rPr>
                          <w:rFonts w:ascii="Cambria Math" w:hAnsi="Cambria Math"/>
                        </w:rPr>
                      </m:ctrlPr>
                    </m:sSubPr>
                    <m:e>
                      <m:r>
                        <w:rPr>
                          <w:rFonts w:ascii="Cambria Math" w:hAnsi="Cambria Math"/>
                          <w:sz w:val="22"/>
                        </w:rPr>
                        <m:t>E</m:t>
                      </m:r>
                    </m:e>
                    <m:sub>
                      <m:r>
                        <w:rPr>
                          <w:rFonts w:ascii="Cambria Math" w:hAnsi="Cambria Math"/>
                          <w:sz w:val="22"/>
                        </w:rPr>
                        <m:t>c</m:t>
                      </m:r>
                    </m:sub>
                  </m:sSub>
                  <m:d>
                    <m:dPr>
                      <m:ctrlPr>
                        <w:rPr>
                          <w:rFonts w:ascii="Cambria Math" w:hAnsi="Cambria Math"/>
                        </w:rPr>
                      </m:ctrlPr>
                    </m:dPr>
                    <m:e>
                      <m:r>
                        <w:rPr>
                          <w:rFonts w:ascii="Cambria Math" w:hAnsi="Cambria Math"/>
                          <w:sz w:val="22"/>
                        </w:rPr>
                        <m:t>x</m:t>
                      </m:r>
                    </m:e>
                  </m:d>
                  <m:sSup>
                    <m:sSupPr>
                      <m:ctrlPr>
                        <w:rPr>
                          <w:rFonts w:ascii="Cambria Math" w:hAnsi="Cambria Math"/>
                        </w:rPr>
                      </m:ctrlPr>
                    </m:sSupPr>
                    <m:e>
                      <m:r>
                        <m:rPr>
                          <m:sty m:val="p"/>
                        </m:rPr>
                        <w:rPr>
                          <w:rFonts w:ascii="Cambria Math" w:hAnsi="Cambria Math"/>
                          <w:sz w:val="22"/>
                        </w:rPr>
                        <m:t>∥</m:t>
                      </m:r>
                    </m:e>
                    <m:sup>
                      <m:r>
                        <w:rPr>
                          <w:rFonts w:ascii="Cambria Math" w:hAnsi="Cambria Math"/>
                          <w:sz w:val="22"/>
                        </w:rPr>
                        <m:t>2</m:t>
                      </m:r>
                    </m:sup>
                  </m:sSup>
                </m:e>
              </m:d>
            </m:e>
            <m:sup>
              <m:r>
                <w:rPr>
                  <w:rFonts w:ascii="Cambria Math" w:hAnsi="Cambria Math"/>
                  <w:sz w:val="22"/>
                </w:rPr>
                <m:t>1</m:t>
              </m:r>
              <m:r>
                <m:rPr>
                  <m:sty m:val="p"/>
                </m:rPr>
                <w:rPr>
                  <w:rFonts w:ascii="Cambria Math" w:hAnsi="Cambria Math"/>
                  <w:sz w:val="22"/>
                </w:rPr>
                <m:t>/</m:t>
              </m:r>
              <m:r>
                <w:rPr>
                  <w:rFonts w:ascii="Cambria Math" w:hAnsi="Cambria Math"/>
                  <w:sz w:val="22"/>
                </w:rPr>
                <m:t>2</m:t>
              </m:r>
            </m:sup>
          </m:sSup>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24</m:t>
              </m:r>
            </m:e>
          </m:d>
        </m:oMath>
      </m:oMathPara>
    </w:p>
    <w:p w14:paraId="4934BFFC" w14:textId="77777777" w:rsidR="00AD4ED9" w:rsidRDefault="00000000" w:rsidP="00435E6E">
      <w:pPr>
        <w:pStyle w:val="FirstParagraph"/>
        <w:jc w:val="both"/>
      </w:pPr>
      <w:r>
        <w:t>Fix its scale using reference output RMS on calibration data. Report operator equality or distance, functional distance, and route usage separately. Use declared relative resolutions of 0.01, 0.05, and 0.10, rather than allowing clustering resolution to move with depth. Include radial, coordinatewise, and frozen learned nonlinear blocks. Radial equivariance is the control that must collapse functional diversity despite different routes.</w:t>
      </w:r>
    </w:p>
    <w:p w14:paraId="07B5F141" w14:textId="77777777" w:rsidR="00AD4ED9" w:rsidRDefault="00000000" w:rsidP="00435E6E">
      <w:pPr>
        <w:pStyle w:val="BodyText"/>
        <w:jc w:val="both"/>
      </w:pPr>
      <w:r>
        <w:t xml:space="preserve">At small depths, enumerate all routes. At larger depths, use a fixed, published sampling procedure and report a sample-based packing lower bound, not an estimate asserted to equal the diversity of all </w:t>
      </w:r>
      <m:oMath>
        <m:sSup>
          <m:sSupPr>
            <m:ctrlPr>
              <w:rPr>
                <w:rFonts w:ascii="Cambria Math" w:hAnsi="Cambria Math"/>
              </w:rPr>
            </m:ctrlPr>
          </m:sSupPr>
          <m:e>
            <m:r>
              <w:rPr>
                <w:rFonts w:ascii="Cambria Math" w:hAnsi="Cambria Math"/>
              </w:rPr>
              <m:t>2</m:t>
            </m:r>
          </m:e>
          <m:sup>
            <m:r>
              <w:rPr>
                <w:rFonts w:ascii="Cambria Math" w:hAnsi="Cambria Math"/>
              </w:rPr>
              <m:t>L</m:t>
            </m:r>
          </m:sup>
        </m:sSup>
      </m:oMath>
      <w:r>
        <w:t xml:space="preserve"> routes. Compare commuting generators, general triangular generators, orthogonal generators, and shared versus partially untied parameters at matched stored and active budgets. Bootstrap independent source examples or documents; many activations from one prompt are not independent samples.</w:t>
      </w:r>
    </w:p>
    <w:p w14:paraId="69F501C2" w14:textId="77777777" w:rsidR="00AD4ED9" w:rsidRDefault="00000000" w:rsidP="00435E6E">
      <w:pPr>
        <w:pStyle w:val="BodyText"/>
        <w:jc w:val="both"/>
      </w:pPr>
      <w:r>
        <w:t>A conventional MoE with independently stored experts does not supply a generating monoid. Clustering its functions can measure redundancy but cannot test a monoid-growth hypothesis unless a compositional factorization is fitted and its approximation error is reported. The direct experiment should use a family whose generating structure is known.</w:t>
      </w:r>
    </w:p>
    <w:p w14:paraId="775163B0" w14:textId="77777777" w:rsidR="00AD4ED9" w:rsidRDefault="00000000" w:rsidP="00435E6E">
      <w:pPr>
        <w:pStyle w:val="BodyText"/>
        <w:jc w:val="both"/>
      </w:pPr>
      <w:r>
        <w:rPr>
          <w:b/>
          <w:bCs/>
        </w:rPr>
        <w:t>Memory-horizon study.</w:t>
      </w:r>
      <w:r>
        <w:t xml:space="preserve"> Three distinct curves are required for DST or TST: structural reachability, sensitivity to historical perturbations, and successful use of historical information. A nonzero derivative establishes a possible influence, not useful retrieval. Even the scalar recurrence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has an unbounded structural horizon for </w:t>
      </w:r>
      <m:oMath>
        <m:r>
          <w:rPr>
            <w:rFonts w:ascii="Cambria Math" w:hAnsi="Cambria Math"/>
          </w:rPr>
          <m:t>α</m:t>
        </m:r>
        <m:r>
          <m:rPr>
            <m:sty m:val="p"/>
          </m:rPr>
          <w:rPr>
            <w:rFonts w:ascii="Cambria Math" w:hAnsi="Cambria Math"/>
          </w:rPr>
          <m:t>≠</m:t>
        </m:r>
        <m:r>
          <w:rPr>
            <w:rFonts w:ascii="Cambria Math" w:hAnsi="Cambria Math"/>
          </w:rPr>
          <m:t>0</m:t>
        </m:r>
      </m:oMath>
      <w:r>
        <w:t xml:space="preserve"> while sensitivity decays as </w:t>
      </w:r>
      <m:oMath>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k</m:t>
            </m:r>
          </m:sup>
        </m:sSup>
      </m:oMath>
      <w:r>
        <w:t>.</w:t>
      </w:r>
    </w:p>
    <w:p w14:paraId="086A4C94" w14:textId="77777777" w:rsidR="00AD4ED9" w:rsidRDefault="00000000" w:rsidP="00435E6E">
      <w:pPr>
        <w:pStyle w:val="BodyText"/>
        <w:keepNext/>
        <w:spacing w:after="40"/>
        <w:jc w:val="both"/>
      </w:pPr>
      <w:r>
        <w:rPr>
          <w:noProof/>
        </w:rPr>
        <w:lastRenderedPageBreak/>
        <w:drawing>
          <wp:inline distT="0" distB="0" distL="0" distR="0" wp14:anchorId="6EFFDBB8" wp14:editId="689D2258">
            <wp:extent cx="5334000" cy="2249277"/>
            <wp:effectExtent l="0" t="0" r="0" b="0"/>
            <wp:docPr id="33" name="Picture" descr="Analytical growth and sensitivity controls"/>
            <wp:cNvGraphicFramePr/>
            <a:graphic xmlns:a="http://schemas.openxmlformats.org/drawingml/2006/main">
              <a:graphicData uri="http://schemas.openxmlformats.org/drawingml/2006/picture">
                <pic:pic xmlns:pic="http://schemas.openxmlformats.org/drawingml/2006/picture">
                  <pic:nvPicPr>
                    <pic:cNvPr id="34" name="Picture" descr="figures/analytical_controls.png"/>
                    <pic:cNvPicPr>
                      <a:picLocks noChangeAspect="1" noChangeArrowheads="1"/>
                    </pic:cNvPicPr>
                  </pic:nvPicPr>
                  <pic:blipFill>
                    <a:blip r:embed="rId8"/>
                    <a:stretch>
                      <a:fillRect/>
                    </a:stretch>
                  </pic:blipFill>
                  <pic:spPr bwMode="auto">
                    <a:xfrm>
                      <a:off x="0" y="0"/>
                      <a:ext cx="5334000" cy="2249277"/>
                    </a:xfrm>
                    <a:prstGeom prst="rect">
                      <a:avLst/>
                    </a:prstGeom>
                    <a:noFill/>
                    <a:ln w="9525">
                      <a:noFill/>
                      <a:headEnd/>
                      <a:tailEnd/>
                    </a:ln>
                  </pic:spPr>
                </pic:pic>
              </a:graphicData>
            </a:graphic>
          </wp:inline>
        </w:drawing>
      </w:r>
    </w:p>
    <w:p w14:paraId="71088422" w14:textId="77777777" w:rsidR="00AD4ED9" w:rsidRDefault="00000000" w:rsidP="00435E6E">
      <w:pPr>
        <w:pStyle w:val="Caption"/>
        <w:keepLines/>
        <w:spacing w:before="80" w:after="180"/>
        <w:jc w:val="both"/>
      </w:pPr>
      <w:r>
        <w:rPr>
          <w:i w:val="0"/>
        </w:rPr>
        <w:t>Figure 2. Analytical controls, not trained-model results. Left: exact length-</w:t>
      </w:r>
      <m:oMath>
        <m:r>
          <w:rPr>
            <w:rFonts w:ascii="Cambria Math" w:hAnsi="Cambria Math"/>
          </w:rPr>
          <m:t>L</m:t>
        </m:r>
      </m:oMath>
      <w:r>
        <w:rPr>
          <w:i w:val="0"/>
        </w:rPr>
        <w:t xml:space="preserve"> operator counts are exponential for the triangular pair in Equation (12), whereas the commuting diagonal example has </w:t>
      </w:r>
      <m:oMath>
        <m:r>
          <w:rPr>
            <w:rFonts w:ascii="Cambria Math" w:hAnsi="Cambria Math"/>
          </w:rPr>
          <m:t>L+1</m:t>
        </m:r>
      </m:oMath>
      <w:r>
        <w:rPr>
          <w:i w:val="0"/>
        </w:rPr>
        <w:t xml:space="preserve"> products. Right: a finite shift register has a hard influence cutoff, while a scalar recurrent state has nonzero but decaying sensitivity. Neither sensitivity curve reports recall accuracy.</w:t>
      </w:r>
    </w:p>
    <w:p w14:paraId="6EC1F94B" w14:textId="77777777" w:rsidR="00AD4ED9" w:rsidRDefault="00000000" w:rsidP="00435E6E">
      <w:pPr>
        <w:pStyle w:val="BodyText"/>
        <w:jc w:val="both"/>
      </w:pPr>
      <w:r>
        <w:t>Before a trained-model study, publish the complete state-update equations, causal mask, initialization, slot-reuse rule, parameter tying, output location, and external-memory policy. The DST and TST manuscripts do not specify a dyadic temporal schedule [3,4]. Processing depth, effective memory horizon, and expert-tree depth must remain distinct. If a new recurrence is needed to make the implementation precise, identify it as a new instantiation.</w:t>
      </w:r>
    </w:p>
    <w:p w14:paraId="2285B6A6" w14:textId="77777777" w:rsidR="00AD4ED9" w:rsidRDefault="00000000" w:rsidP="00435E6E">
      <w:pPr>
        <w:pStyle w:val="BodyText"/>
        <w:jc w:val="both"/>
      </w:pPr>
      <w:r>
        <w:t xml:space="preserve">For each lag </w:t>
      </w:r>
      <m:oMath>
        <m:r>
          <w:rPr>
            <w:rFonts w:ascii="Cambria Math" w:hAnsi="Cambria Math"/>
          </w:rPr>
          <m:t>k</m:t>
        </m:r>
      </m:oMath>
      <w:r>
        <w:t>, replace a task-relevant historical item, recompute the causal trajectory with subsequent observed inputs held fixed, and compare the output distributions. Report Jensen-Shannon divergence and a scaled embedding-Jacobian probe alongside answer accuracy on controlled delayed key-value retrieval. Include irrelevant-token substitutions, reset-state controls, and reference models with known finite and recurrent horizons. A teacher-forced perturbation study and free-running generation answer different questions and should be reported separately.</w:t>
      </w:r>
    </w:p>
    <w:p w14:paraId="7EBCB047" w14:textId="77777777" w:rsidR="00AD4ED9" w:rsidRDefault="00000000" w:rsidP="00435E6E">
      <w:pPr>
        <w:pStyle w:val="BodyText"/>
        <w:jc w:val="both"/>
      </w:pPr>
      <w:r>
        <w:t>Use a factorial comparison of readout location and retained-state budget. An earlier readout with the full recurrent state isolates readout-path effects; deleting upper states also changes what can be retained. Compare full and truncated variants under declared parameter and training budgets. A single sensitivity curve cannot distinguish these interventions.</w:t>
      </w:r>
    </w:p>
    <w:p w14:paraId="27C399EB" w14:textId="77777777" w:rsidR="00AD4ED9" w:rsidRDefault="00000000" w:rsidP="00435E6E">
      <w:pPr>
        <w:pStyle w:val="BodyText"/>
        <w:jc w:val="both"/>
      </w:pPr>
      <w:r>
        <w:t xml:space="preserve">The proposed primary hypothesis is that shortening the readout path improves delayed-retrieval accuracy at a predeclared lag while preserving the retained-state budget. Set five percentage points as the minimum detectable effect of interest against no improvement, and use 800 independent histories per primary paired comparison. With discordance probability 0.20, the normal approximation </w:t>
      </w:r>
      <m:oMath>
        <m:r>
          <w:rPr>
            <w:rFonts w:ascii="Cambria Math" w:hAnsi="Cambria Math"/>
          </w:rPr>
          <m:t>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1.96</m:t>
                </m:r>
                <m:r>
                  <m:rPr>
                    <m:sty m:val="p"/>
                  </m:rPr>
                  <w:rPr>
                    <w:rFonts w:ascii="Cambria Math" w:hAnsi="Cambria Math"/>
                  </w:rPr>
                  <m:t>+</m:t>
                </m:r>
                <m:r>
                  <w:rPr>
                    <w:rFonts w:ascii="Cambria Math" w:hAnsi="Cambria Math"/>
                  </w:rPr>
                  <m:t>0.84</m:t>
                </m:r>
              </m:e>
            </m:d>
          </m:e>
          <m:sup>
            <m:r>
              <w:rPr>
                <w:rFonts w:ascii="Cambria Math" w:hAnsi="Cambria Math"/>
              </w:rPr>
              <m:t>2</m:t>
            </m:r>
          </m:sup>
        </m:sSup>
        <m:d>
          <m:dPr>
            <m:ctrlPr>
              <w:rPr>
                <w:rFonts w:ascii="Cambria Math" w:hAnsi="Cambria Math"/>
              </w:rPr>
            </m:ctrlPr>
          </m:dPr>
          <m:e>
            <m:r>
              <w:rPr>
                <w:rFonts w:ascii="Cambria Math" w:hAnsi="Cambria Math"/>
              </w:rPr>
              <m:t>0.20</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0.05</m:t>
                </m:r>
              </m:e>
            </m:d>
          </m:e>
          <m:sup>
            <m:r>
              <w:rPr>
                <w:rFonts w:ascii="Cambria Math" w:hAnsi="Cambria Math"/>
              </w:rPr>
              <m:t>2</m:t>
            </m:r>
          </m:sup>
        </m:sSup>
      </m:oMath>
      <w:r>
        <w:t xml:space="preserve"> gives about 628 pairs for 80% power. Pilot variance estimates must come from an excluded set; adjust the sample size once before examining confirmatory effects. A confidence interval excluding zero establishes improvement. A stronger claim of at least five percentage points requires its lower bound to exceed that threshold and a separately powered design; this calculation does not establish that stronger claim.</w:t>
      </w:r>
    </w:p>
    <w:p w14:paraId="15F4853F" w14:textId="77777777" w:rsidR="00AD4ED9" w:rsidRDefault="00000000" w:rsidP="00435E6E">
      <w:pPr>
        <w:pStyle w:val="BodyText"/>
        <w:jc w:val="both"/>
      </w:pPr>
      <w:r>
        <w:t xml:space="preserve">Choose the primary lag before testing, for example </w:t>
      </w:r>
      <m:oMath>
        <m:r>
          <w:rPr>
            <w:rFonts w:ascii="Cambria Math" w:hAnsi="Cambria Math"/>
          </w:rPr>
          <m:t>D</m:t>
        </m:r>
        <m:r>
          <m:rPr>
            <m:sty m:val="p"/>
          </m:rPr>
          <w:rPr>
            <w:rFonts w:ascii="Cambria Math" w:hAnsi="Cambria Math"/>
          </w:rPr>
          <m:t>+</m:t>
        </m:r>
        <m:r>
          <w:rPr>
            <w:rFonts w:ascii="Cambria Math" w:hAnsi="Cambria Math"/>
          </w:rPr>
          <m:t>1</m:t>
        </m:r>
      </m:oMath>
      <w:r>
        <w:t xml:space="preserve"> when the claimed boundary is depth </w:t>
      </w:r>
      <m:oMath>
        <m:r>
          <w:rPr>
            <w:rFonts w:ascii="Cambria Math" w:hAnsi="Cambria Math"/>
          </w:rPr>
          <m:t>D</m:t>
        </m:r>
      </m:oMath>
      <w:r>
        <w:t xml:space="preserve">. Plot additional logarithmically spaced lags with simultaneous uncertainty bands, or label them exploratory. Use multiple training seeds to assess robustness, without treating repeated seed evaluations of the same </w:t>
      </w:r>
      <w:r>
        <w:lastRenderedPageBreak/>
        <w:t>history as extra independent histories. If a useful-horizon threshold is reported, predeclare it and distinguish a contiguous range of passing lags from one isolated distant success.</w:t>
      </w:r>
    </w:p>
    <w:p w14:paraId="60A87031" w14:textId="77777777" w:rsidR="00AD4ED9" w:rsidRDefault="00000000" w:rsidP="00435E6E">
      <w:pPr>
        <w:pStyle w:val="BodyText"/>
        <w:jc w:val="both"/>
      </w:pPr>
      <w:r>
        <w:t>This protocol can falsify the truncation claim, reveal a recurrent horizon beyond an explicit slot window, or show that an apparent far-memory effect is only a small nonspecific sensitivity. These outcomes remain informative even if a sheaf extension is never implemented.</w:t>
      </w:r>
    </w:p>
    <w:p w14:paraId="38E4EB62" w14:textId="77777777" w:rsidR="00AD4ED9" w:rsidRDefault="00000000" w:rsidP="00435E6E">
      <w:pPr>
        <w:pStyle w:val="Heading1"/>
        <w:jc w:val="both"/>
      </w:pPr>
      <w:bookmarkStart w:id="10" w:name="implications-and-limits"/>
      <w:bookmarkEnd w:id="9"/>
      <w:r>
        <w:t>10 Implications and limits</w:t>
      </w:r>
    </w:p>
    <w:p w14:paraId="4126D170" w14:textId="77777777" w:rsidR="00AD4ED9" w:rsidRDefault="00000000" w:rsidP="00435E6E">
      <w:pPr>
        <w:pStyle w:val="FirstParagraph"/>
        <w:jc w:val="both"/>
      </w:pPr>
      <w:r>
        <w:t>The audit leads to three concrete predictions. First, an implementation of the same linear constraints should produce the same compatibility and lifting decisions whether the constraints are stored as a sheaf or as a generic sparse system. A discrepancy indicates different information, numerical tolerances, or an implementation error. Any sheaf-specific practical advantage must concern the interface model, reuse, update locality, diagnostics, or measured computational organization.</w:t>
      </w:r>
    </w:p>
    <w:p w14:paraId="093D906E" w14:textId="77777777" w:rsidR="00AD4ED9" w:rsidRDefault="00000000" w:rsidP="00435E6E">
      <w:pPr>
        <w:pStyle w:val="BodyText"/>
        <w:jc w:val="both"/>
      </w:pPr>
      <w:r>
        <w:t>Second, route-label growth and functional diversity can separate completely. A radial shared block collapses the entire rotation-generated family to one function. Less symmetric blocks should be evaluated in a task metric at a fixed resolution, with operator-level distinctness reported separately. Compactness rules out indefinite growth of uniformly distinguishable functions at fixed dimension and resolution under the stated regularity assumptions.</w:t>
      </w:r>
    </w:p>
    <w:p w14:paraId="19DA7E2A" w14:textId="77777777" w:rsidR="00AD4ED9" w:rsidRDefault="00000000" w:rsidP="00435E6E">
      <w:pPr>
        <w:pStyle w:val="BodyText"/>
        <w:jc w:val="both"/>
      </w:pPr>
      <w:r>
        <w:t>Third, bounded-state exact routing and unconstrained path-dependent neural computation do not automatically coexist. The proposed router must demonstrate a sufficient state for its score. If two prefixes with the same claimed routing state yield different continuation scores, the dynamic-programming abstraction is falsified. If they are instead required to be simultaneous descriptions of one transported activation, the compatibility constraints can remove the very route distinctions intended to create expert diversity.</w:t>
      </w:r>
    </w:p>
    <w:p w14:paraId="6E26DF8E" w14:textId="77777777" w:rsidR="00AD4ED9" w:rsidRDefault="00000000" w:rsidP="00435E6E">
      <w:pPr>
        <w:pStyle w:val="BodyText"/>
        <w:jc w:val="both"/>
      </w:pPr>
      <w:r>
        <w:t>These predictions are mathematical or operational, not assertions that existing trained models satisfy the premises. The finite examples establish failures of general implications. They do not establish the empirical superiority of one architecture. A learned compatibility model can exclude difficult data, a readout probe can miss a relevant task, and a diversity estimate can depend strongly on the query distribution.</w:t>
      </w:r>
    </w:p>
    <w:p w14:paraId="645B43AB" w14:textId="77777777" w:rsidR="00AD4ED9" w:rsidRDefault="00000000" w:rsidP="00435E6E">
      <w:pPr>
        <w:pStyle w:val="BodyText"/>
        <w:jc w:val="both"/>
      </w:pPr>
      <w:r>
        <w:t>The appropriate next artifact is an executable state specification with the memory-horizon measurements in Section 9. Orthogonal compositional experts are then a separate, positive architectural hypothesis that can be tested against shared-block and product-key baselines. A sheaf interpretation becomes substantively useful when the interfaces it specifies resolve an actual composition problem and improve a measured outcome.</w:t>
      </w:r>
    </w:p>
    <w:p w14:paraId="1C3FE558" w14:textId="77777777" w:rsidR="00AD4ED9" w:rsidRDefault="00000000" w:rsidP="00435E6E">
      <w:pPr>
        <w:pStyle w:val="Heading1"/>
        <w:pageBreakBefore/>
        <w:jc w:val="both"/>
      </w:pPr>
      <w:bookmarkStart w:id="11" w:name="Xee40a8645dcbb1c5c165bea130e52d521422d5e"/>
      <w:bookmarkEnd w:id="10"/>
      <w:r>
        <w:lastRenderedPageBreak/>
        <w:t>Appendix A Additional proofs and deterministic checks</w:t>
      </w:r>
    </w:p>
    <w:p w14:paraId="5A4E1BDC" w14:textId="77777777" w:rsidR="00AD4ED9" w:rsidRDefault="00000000" w:rsidP="00435E6E">
      <w:pPr>
        <w:pStyle w:val="FirstParagraph"/>
        <w:jc w:val="both"/>
      </w:pPr>
      <w:r>
        <w:rPr>
          <w:b/>
          <w:bCs/>
        </w:rPr>
        <w:t>Packing bound.</w:t>
      </w:r>
      <w:r>
        <w:t xml:space="preserve"> Orthogonal </w:t>
      </w:r>
      <m:oMath>
        <m:r>
          <w:rPr>
            <w:rFonts w:ascii="Cambria Math" w:hAnsi="Cambria Math"/>
          </w:rPr>
          <m:t>d</m:t>
        </m:r>
      </m:oMath>
      <w:r>
        <w:t>-by-</w:t>
      </w:r>
      <m:oMath>
        <m:r>
          <w:rPr>
            <w:rFonts w:ascii="Cambria Math" w:hAnsi="Cambria Math"/>
          </w:rPr>
          <m:t>d</m:t>
        </m:r>
      </m:oMath>
      <w:r>
        <w:t xml:space="preserve"> matrices have Frobenius norm </w:t>
      </w:r>
      <m:oMath>
        <m:rad>
          <m:radPr>
            <m:degHide m:val="1"/>
            <m:ctrlPr>
              <w:rPr>
                <w:rFonts w:ascii="Cambria Math" w:hAnsi="Cambria Math"/>
              </w:rPr>
            </m:ctrlPr>
          </m:radPr>
          <m:deg/>
          <m:e>
            <m:r>
              <w:rPr>
                <w:rFonts w:ascii="Cambria Math" w:hAnsi="Cambria Math"/>
              </w:rPr>
              <m:t>d</m:t>
            </m:r>
          </m:e>
        </m:rad>
      </m:oMath>
      <w:r>
        <w:t xml:space="preserve"> and lie in an ambient Euclidean space of dimension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Open balls of radius </w:t>
      </w:r>
      <m:oMath>
        <m:r>
          <w:rPr>
            <w:rFonts w:ascii="Cambria Math" w:hAnsi="Cambria Math"/>
          </w:rPr>
          <m:t>ϵ</m:t>
        </m:r>
        <m:r>
          <m:rPr>
            <m:sty m:val="p"/>
          </m:rPr>
          <w:rPr>
            <w:rFonts w:ascii="Cambria Math" w:hAnsi="Cambria Math"/>
          </w:rPr>
          <m:t>/</m:t>
        </m:r>
        <m:r>
          <w:rPr>
            <w:rFonts w:ascii="Cambria Math" w:hAnsi="Cambria Math"/>
          </w:rPr>
          <m:t>2</m:t>
        </m:r>
      </m:oMath>
      <w:r>
        <w:t xml:space="preserve"> around pairwise </w:t>
      </w:r>
      <m:oMath>
        <m:r>
          <w:rPr>
            <w:rFonts w:ascii="Cambria Math" w:hAnsi="Cambria Math"/>
          </w:rPr>
          <m:t>ϵ</m:t>
        </m:r>
      </m:oMath>
      <w:r>
        <w:t xml:space="preserve">-separated matrices are disjoint and lie inside a ball of radius </w:t>
      </w:r>
      <m:oMath>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2</m:t>
        </m:r>
      </m:oMath>
      <w:r>
        <w:t>. Comparing volumes gives Equation (16). No assumption that random generators explore the group uniformly is needed.</w:t>
      </w:r>
    </w:p>
    <w:p w14:paraId="018FBE49" w14:textId="77777777" w:rsidR="00AD4ED9" w:rsidRDefault="00000000" w:rsidP="00435E6E">
      <w:pPr>
        <w:pStyle w:val="BodyText"/>
        <w:jc w:val="both"/>
      </w:pPr>
      <w:r>
        <w:rPr>
          <w:b/>
          <w:bCs/>
        </w:rPr>
        <w:t>Functional distance bound.</w:t>
      </w:r>
      <w:r>
        <w:t xml:space="preserve"> Add and subtract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ϕ</m:t>
        </m:r>
        <m:d>
          <m:dPr>
            <m:ctrlPr>
              <w:rPr>
                <w:rFonts w:ascii="Cambria Math" w:hAnsi="Cambria Math"/>
              </w:rPr>
            </m:ctrlPr>
          </m:dPr>
          <m:e>
            <m:r>
              <w:rPr>
                <w:rFonts w:ascii="Cambria Math" w:hAnsi="Cambria Math"/>
              </w:rPr>
              <m:t>Px</m:t>
            </m:r>
          </m:e>
        </m:d>
      </m:oMath>
      <w:r>
        <w:t xml:space="preserve"> in Equation (14). Orthogonality bounds the first difference by </w:t>
      </w:r>
      <m:oMath>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op</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The second is bounded by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op</m:t>
            </m:r>
          </m:sub>
        </m:sSub>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Px</m:t>
            </m:r>
          </m:e>
        </m:d>
        <m:r>
          <m:rPr>
            <m:sty m:val="p"/>
          </m:rPr>
          <w:rPr>
            <w:rFonts w:ascii="Cambria Math" w:hAnsi="Cambria Math"/>
          </w:rPr>
          <m:t>∥</m:t>
        </m:r>
      </m:oMath>
      <w:r>
        <w:t xml:space="preserve">. Because </w:t>
      </w:r>
      <m:oMath>
        <m:r>
          <w:rPr>
            <w:rFonts w:ascii="Cambria Math" w:hAnsi="Cambria Math"/>
          </w:rPr>
          <m:t>ϕ</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this is at most </w:t>
      </w:r>
      <m:oMath>
        <m:r>
          <w:rPr>
            <w:rFonts w:ascii="Cambria Math" w:hAnsi="Cambria Math"/>
          </w:rPr>
          <m:t>KR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op</m:t>
            </m:r>
          </m:sub>
        </m:sSub>
      </m:oMath>
      <w:r>
        <w:t>, proving Equation (17). A function family separated by a fixed output distance therefore requires a corresponding operator separation.</w:t>
      </w:r>
    </w:p>
    <w:p w14:paraId="0283B790" w14:textId="77777777" w:rsidR="00AD4ED9" w:rsidRDefault="00000000" w:rsidP="00435E6E">
      <w:pPr>
        <w:pStyle w:val="BodyText"/>
        <w:jc w:val="both"/>
      </w:pPr>
      <w:r>
        <w:rPr>
          <w:b/>
          <w:bCs/>
        </w:rPr>
        <w:t>Trellis state sufficiency.</w:t>
      </w:r>
      <w:r>
        <w:t xml:space="preserve"> A Viterbi merge is exact when all future transition options and their score contributions depend on the retained routing state and input, rather than on which prefix reached it. Then any lower-scoring prefix can be replaced by a higher-scoring prefix without changing its possible continuation scores. This substitution argument is invalid when an omitted path-dependent activation changes future scores.</w:t>
      </w:r>
    </w:p>
    <w:p w14:paraId="1225B5E8" w14:textId="77777777" w:rsidR="00AD4ED9" w:rsidRDefault="00000000" w:rsidP="00435E6E">
      <w:pPr>
        <w:pStyle w:val="BodyText"/>
        <w:jc w:val="both"/>
      </w:pPr>
      <w:r>
        <w:t>The deterministic checks accompanying this manuscript use integer enumeration and double-precision matrix calculations. They are checks of the stated examples, not evaluations of trained neural memory. At lengths 4, 8, and 12, the triangular pair yields 16, 256, and 4096 distinct products; the commuting diagonal pair yields 5, 9, and 13. The projection tree on one edge has section dimension 3 and first cohomology dimension 0. The twisted three-cycle has both dimensions 0. The kernel tree has both dimensions 1. A width-two trellis with three fully connected transition stages has 8 vertices, 12 edges, and ordinary cycle rank 5.</w:t>
      </w:r>
    </w:p>
    <w:p w14:paraId="4BC032CC" w14:textId="77777777" w:rsidR="00AD4ED9" w:rsidRDefault="00000000" w:rsidP="00435E6E">
      <w:pPr>
        <w:pStyle w:val="BodyText"/>
        <w:jc w:val="both"/>
      </w:pPr>
      <w:r>
        <w:t xml:space="preserve">A separate numerical control uses three-dimensional rotations of 0.7 radians about the first axis and 1.1 radians about the third axis. All 256 length-eight route products are evaluated on 64 vectors inside the unit ball, sampled with seed 73113. For the radial block </w:t>
      </w:r>
      <m:oMath>
        <m:r>
          <w:rPr>
            <w:rFonts w:ascii="Cambria Math" w:hAnsi="Cambria Math"/>
          </w:rPr>
          <m:t>ϕ</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x</m:t>
        </m:r>
      </m:oMath>
      <w:r>
        <w:t xml:space="preserve">, the maximum coordinate discrepancy from the common unrotated function is below </w:t>
      </w:r>
      <m:oMath>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the maximum Frobenius orthogonality defect is below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This validates the radial-collapse identity numerically. It does not prove that the chosen numerical generator pair is free.</w:t>
      </w:r>
    </w:p>
    <w:p w14:paraId="27699F6E" w14:textId="77777777" w:rsidR="00AD4ED9" w:rsidRDefault="00000000" w:rsidP="00435E6E">
      <w:pPr>
        <w:pStyle w:val="Heading1"/>
        <w:pageBreakBefore/>
        <w:jc w:val="both"/>
      </w:pPr>
      <w:bookmarkStart w:id="12" w:name="references"/>
      <w:bookmarkEnd w:id="11"/>
      <w:r>
        <w:lastRenderedPageBreak/>
        <w:t>References</w:t>
      </w:r>
    </w:p>
    <w:p w14:paraId="1A15FC8E" w14:textId="77777777" w:rsidR="00AD4ED9" w:rsidRDefault="00000000" w:rsidP="00435E6E">
      <w:pPr>
        <w:pStyle w:val="FirstParagraph"/>
        <w:keepLines/>
        <w:spacing w:after="140"/>
        <w:ind w:left="374" w:hanging="374"/>
        <w:jc w:val="both"/>
      </w:pPr>
      <w:r>
        <w:rPr>
          <w:sz w:val="21"/>
        </w:rPr>
        <w:t xml:space="preserve">[1] Hansen, J., and Ghrist, R. (2019). Toward a Spectral Theory of Cellular Sheaves. </w:t>
      </w:r>
      <w:r>
        <w:rPr>
          <w:i/>
          <w:iCs/>
          <w:sz w:val="21"/>
        </w:rPr>
        <w:t>Journal of Applied and Computational Topology</w:t>
      </w:r>
      <w:r>
        <w:rPr>
          <w:sz w:val="21"/>
        </w:rPr>
        <w:t xml:space="preserve">, 3, 315–358. </w:t>
      </w:r>
      <w:hyperlink r:id="rId9">
        <w:r>
          <w:rPr>
            <w:rStyle w:val="Hyperlink"/>
            <w:sz w:val="21"/>
          </w:rPr>
          <w:t>Article and preprint</w:t>
        </w:r>
      </w:hyperlink>
      <w:r>
        <w:rPr>
          <w:sz w:val="21"/>
        </w:rPr>
        <w:t>.</w:t>
      </w:r>
    </w:p>
    <w:p w14:paraId="588692E6" w14:textId="77777777" w:rsidR="00AD4ED9" w:rsidRDefault="00000000" w:rsidP="00435E6E">
      <w:pPr>
        <w:pStyle w:val="BodyText"/>
        <w:keepLines/>
        <w:spacing w:after="140"/>
        <w:ind w:left="374" w:hanging="374"/>
        <w:jc w:val="both"/>
      </w:pPr>
      <w:r>
        <w:rPr>
          <w:sz w:val="21"/>
        </w:rPr>
        <w:t xml:space="preserve">[2] Bodnar, C., Di Giovanni, F., Chamberlain, B. P., Liò, P., and Bronstein, M. M. (2022). Neural Sheaf Diffusion: A Topological Perspective on Heterophily and Oversmoothing in GNNs. </w:t>
      </w:r>
      <w:r>
        <w:rPr>
          <w:i/>
          <w:iCs/>
          <w:sz w:val="21"/>
        </w:rPr>
        <w:t>NeurIPS 2022</w:t>
      </w:r>
      <w:r>
        <w:rPr>
          <w:sz w:val="21"/>
        </w:rPr>
        <w:t xml:space="preserve">. </w:t>
      </w:r>
      <w:hyperlink r:id="rId10">
        <w:r>
          <w:rPr>
            <w:rStyle w:val="Hyperlink"/>
            <w:sz w:val="21"/>
          </w:rPr>
          <w:t>Preprint</w:t>
        </w:r>
      </w:hyperlink>
      <w:r>
        <w:rPr>
          <w:sz w:val="21"/>
        </w:rPr>
        <w:t>.</w:t>
      </w:r>
    </w:p>
    <w:p w14:paraId="3DBE6E0D" w14:textId="77777777" w:rsidR="00AD4ED9" w:rsidRDefault="00000000" w:rsidP="00435E6E">
      <w:pPr>
        <w:pStyle w:val="BodyText"/>
        <w:keepLines/>
        <w:spacing w:after="140"/>
        <w:ind w:left="374" w:hanging="374"/>
        <w:jc w:val="both"/>
      </w:pPr>
      <w:r>
        <w:rPr>
          <w:sz w:val="21"/>
        </w:rPr>
        <w:t xml:space="preserve">[3] Ghosh, D., Ghosh, D., and Ghosh, D. P. (2024). Deep Skew Transformer. Conceptual manuscript, 14 December 2024. DOI 10.13140/RG.2.2.11477.95200. </w:t>
      </w:r>
      <w:hyperlink r:id="rId11">
        <w:r>
          <w:rPr>
            <w:rStyle w:val="Hyperlink"/>
            <w:sz w:val="21"/>
          </w:rPr>
          <w:t>Manuscript</w:t>
        </w:r>
      </w:hyperlink>
      <w:r>
        <w:rPr>
          <w:sz w:val="21"/>
        </w:rPr>
        <w:t>.</w:t>
      </w:r>
    </w:p>
    <w:p w14:paraId="4D90C329" w14:textId="77777777" w:rsidR="00AD4ED9" w:rsidRDefault="00000000" w:rsidP="00435E6E">
      <w:pPr>
        <w:pStyle w:val="BodyText"/>
        <w:keepLines/>
        <w:spacing w:after="140"/>
        <w:ind w:left="374" w:hanging="374"/>
        <w:jc w:val="both"/>
      </w:pPr>
      <w:r>
        <w:rPr>
          <w:sz w:val="21"/>
        </w:rPr>
        <w:t xml:space="preserve">[4] Ghosh, D., Ghosh, D., and Ghosh, D. P. (2024). Truncated Skew Transformer. Conceptual manuscript, 26 December 2024. DOI 10.13140/RG.2.2.28712.28169. </w:t>
      </w:r>
      <w:hyperlink r:id="rId12">
        <w:r>
          <w:rPr>
            <w:rStyle w:val="Hyperlink"/>
            <w:sz w:val="21"/>
          </w:rPr>
          <w:t>Manuscript</w:t>
        </w:r>
      </w:hyperlink>
      <w:r>
        <w:rPr>
          <w:sz w:val="21"/>
        </w:rPr>
        <w:t>.</w:t>
      </w:r>
    </w:p>
    <w:p w14:paraId="459BDEF3" w14:textId="77777777" w:rsidR="00AD4ED9" w:rsidRDefault="00000000" w:rsidP="00435E6E">
      <w:pPr>
        <w:pStyle w:val="BodyText"/>
        <w:keepLines/>
        <w:spacing w:after="140"/>
        <w:ind w:left="374" w:hanging="374"/>
        <w:jc w:val="both"/>
      </w:pPr>
      <w:r>
        <w:rPr>
          <w:sz w:val="21"/>
        </w:rPr>
        <w:t xml:space="preserve">[5] Kschischang, F. R., Frey, B. J., and Loeliger, H. A. (2001). Factor Graphs and the Sum-Product Algorithm. </w:t>
      </w:r>
      <w:r>
        <w:rPr>
          <w:i/>
          <w:iCs/>
          <w:sz w:val="21"/>
        </w:rPr>
        <w:t>IEEE Transactions on Information Theory</w:t>
      </w:r>
      <w:r>
        <w:rPr>
          <w:sz w:val="21"/>
        </w:rPr>
        <w:t xml:space="preserve">, 47(2), 498–519. </w:t>
      </w:r>
      <w:hyperlink r:id="rId13">
        <w:r>
          <w:rPr>
            <w:rStyle w:val="Hyperlink"/>
            <w:sz w:val="21"/>
          </w:rPr>
          <w:t>Article</w:t>
        </w:r>
      </w:hyperlink>
      <w:r>
        <w:rPr>
          <w:sz w:val="21"/>
        </w:rPr>
        <w:t>.</w:t>
      </w:r>
    </w:p>
    <w:p w14:paraId="07C4EF11" w14:textId="77777777" w:rsidR="00AD4ED9" w:rsidRDefault="00000000" w:rsidP="00435E6E">
      <w:pPr>
        <w:pStyle w:val="BodyText"/>
        <w:keepLines/>
        <w:spacing w:after="140"/>
        <w:ind w:left="374" w:hanging="374"/>
        <w:jc w:val="both"/>
      </w:pPr>
      <w:r>
        <w:rPr>
          <w:sz w:val="21"/>
        </w:rPr>
        <w:t xml:space="preserve">[6] Lample, G., Sablayrolles, A., Ranzato, M., Denoyer, L., and Jégou, H. (2019). Large Memory Layers with Product Keys. </w:t>
      </w:r>
      <w:r>
        <w:rPr>
          <w:i/>
          <w:iCs/>
          <w:sz w:val="21"/>
        </w:rPr>
        <w:t>NeurIPS 2019</w:t>
      </w:r>
      <w:r>
        <w:rPr>
          <w:sz w:val="21"/>
        </w:rPr>
        <w:t xml:space="preserve">. </w:t>
      </w:r>
      <w:hyperlink r:id="rId14">
        <w:r>
          <w:rPr>
            <w:rStyle w:val="Hyperlink"/>
            <w:sz w:val="21"/>
          </w:rPr>
          <w:t>Preprint</w:t>
        </w:r>
      </w:hyperlink>
      <w:r>
        <w:rPr>
          <w:sz w:val="21"/>
        </w:rPr>
        <w:t>.</w:t>
      </w:r>
    </w:p>
    <w:p w14:paraId="29140A09" w14:textId="77777777" w:rsidR="00AD4ED9" w:rsidRDefault="00000000" w:rsidP="00435E6E">
      <w:pPr>
        <w:pStyle w:val="BodyText"/>
        <w:keepLines/>
        <w:spacing w:after="140"/>
        <w:ind w:left="374" w:hanging="374"/>
        <w:jc w:val="both"/>
      </w:pPr>
      <w:r>
        <w:rPr>
          <w:sz w:val="21"/>
        </w:rPr>
        <w:t xml:space="preserve">[7] He, X. O. (2024). Mixture of A Million Experts. arXiv 2407.04153. </w:t>
      </w:r>
      <w:hyperlink r:id="rId15">
        <w:r>
          <w:rPr>
            <w:rStyle w:val="Hyperlink"/>
            <w:sz w:val="21"/>
          </w:rPr>
          <w:t>Paper</w:t>
        </w:r>
      </w:hyperlink>
      <w:r>
        <w:rPr>
          <w:sz w:val="21"/>
        </w:rPr>
        <w:t>.</w:t>
      </w:r>
    </w:p>
    <w:p w14:paraId="00D1D137" w14:textId="77777777" w:rsidR="00AD4ED9" w:rsidRDefault="00000000" w:rsidP="00435E6E">
      <w:pPr>
        <w:pStyle w:val="BodyText"/>
        <w:keepLines/>
        <w:spacing w:after="140"/>
        <w:ind w:left="374" w:hanging="374"/>
        <w:jc w:val="both"/>
      </w:pPr>
      <w:r>
        <w:rPr>
          <w:sz w:val="21"/>
        </w:rPr>
        <w:t xml:space="preserve">[8] Tits, J. (1972). Free Subgroups in Linear Groups. </w:t>
      </w:r>
      <w:r>
        <w:rPr>
          <w:i/>
          <w:iCs/>
          <w:sz w:val="21"/>
        </w:rPr>
        <w:t>Journal of Algebra</w:t>
      </w:r>
      <w:r>
        <w:rPr>
          <w:sz w:val="21"/>
        </w:rPr>
        <w:t xml:space="preserve">, 20(2), 250–270. </w:t>
      </w:r>
      <w:hyperlink r:id="rId16">
        <w:r>
          <w:rPr>
            <w:rStyle w:val="Hyperlink"/>
            <w:sz w:val="21"/>
          </w:rPr>
          <w:t>Publisher record</w:t>
        </w:r>
      </w:hyperlink>
      <w:r>
        <w:rPr>
          <w:sz w:val="21"/>
        </w:rPr>
        <w:t>.</w:t>
      </w:r>
    </w:p>
    <w:p w14:paraId="0C53EB92" w14:textId="77777777" w:rsidR="00AD4ED9" w:rsidRDefault="00000000" w:rsidP="00435E6E">
      <w:pPr>
        <w:pStyle w:val="BodyText"/>
        <w:keepLines/>
        <w:spacing w:after="140"/>
        <w:ind w:left="374" w:hanging="374"/>
        <w:jc w:val="both"/>
      </w:pPr>
      <w:r>
        <w:rPr>
          <w:sz w:val="21"/>
        </w:rPr>
        <w:t xml:space="preserve">[9] Breuillard, E., and Gelander, T. (2002). On Dense Free Subgroups of Lie Groups. arXiv math/0206236, version 2. </w:t>
      </w:r>
      <w:hyperlink r:id="rId17">
        <w:r>
          <w:rPr>
            <w:rStyle w:val="Hyperlink"/>
            <w:sz w:val="21"/>
          </w:rPr>
          <w:t>Paper</w:t>
        </w:r>
      </w:hyperlink>
      <w:r>
        <w:rPr>
          <w:sz w:val="21"/>
        </w:rPr>
        <w:t>.</w:t>
      </w:r>
    </w:p>
    <w:p w14:paraId="0A81098C" w14:textId="77777777" w:rsidR="00AD4ED9" w:rsidRDefault="00000000" w:rsidP="00435E6E">
      <w:pPr>
        <w:pStyle w:val="BodyText"/>
        <w:keepLines/>
        <w:spacing w:after="140"/>
        <w:ind w:left="374" w:hanging="374"/>
        <w:jc w:val="both"/>
      </w:pPr>
      <w:r>
        <w:rPr>
          <w:sz w:val="21"/>
        </w:rPr>
        <w:t xml:space="preserve">[10] Arjovsky, M., Shah, A., and Bengio, Y. (2016). Unitary Evolution Recurrent Neural Networks. </w:t>
      </w:r>
      <w:r>
        <w:rPr>
          <w:i/>
          <w:iCs/>
          <w:sz w:val="21"/>
        </w:rPr>
        <w:t>ICML 2016</w:t>
      </w:r>
      <w:r>
        <w:rPr>
          <w:sz w:val="21"/>
        </w:rPr>
        <w:t xml:space="preserve">. </w:t>
      </w:r>
      <w:hyperlink r:id="rId18">
        <w:r>
          <w:rPr>
            <w:rStyle w:val="Hyperlink"/>
            <w:sz w:val="21"/>
          </w:rPr>
          <w:t>Preprint</w:t>
        </w:r>
      </w:hyperlink>
      <w:r>
        <w:rPr>
          <w:sz w:val="21"/>
        </w:rPr>
        <w:t>.</w:t>
      </w:r>
    </w:p>
    <w:p w14:paraId="1358061C" w14:textId="77777777" w:rsidR="00AD4ED9" w:rsidRDefault="00000000" w:rsidP="00435E6E">
      <w:pPr>
        <w:pStyle w:val="BodyText"/>
        <w:keepLines/>
        <w:spacing w:after="140"/>
        <w:ind w:left="374" w:hanging="374"/>
        <w:jc w:val="both"/>
      </w:pPr>
      <w:r>
        <w:rPr>
          <w:sz w:val="21"/>
        </w:rPr>
        <w:t xml:space="preserve">[11] Wisdom, S., Powers, T., Hershey, J. R., Le Roux, J., and Atlas, L. (2016). Full-Capacity Unitary Recurrent Neural Networks. </w:t>
      </w:r>
      <w:r>
        <w:rPr>
          <w:i/>
          <w:iCs/>
          <w:sz w:val="21"/>
        </w:rPr>
        <w:t>NeurIPS 2016</w:t>
      </w:r>
      <w:r>
        <w:rPr>
          <w:sz w:val="21"/>
        </w:rPr>
        <w:t xml:space="preserve">. </w:t>
      </w:r>
      <w:hyperlink r:id="rId19">
        <w:r>
          <w:rPr>
            <w:rStyle w:val="Hyperlink"/>
            <w:sz w:val="21"/>
          </w:rPr>
          <w:t>Preprint</w:t>
        </w:r>
      </w:hyperlink>
      <w:r>
        <w:rPr>
          <w:sz w:val="21"/>
        </w:rPr>
        <w:t>.</w:t>
      </w:r>
    </w:p>
    <w:p w14:paraId="32EF0B85" w14:textId="77777777" w:rsidR="00AD4ED9" w:rsidRDefault="00000000" w:rsidP="00435E6E">
      <w:pPr>
        <w:pStyle w:val="BodyText"/>
        <w:keepLines/>
        <w:spacing w:after="140"/>
        <w:ind w:left="374" w:hanging="374"/>
        <w:jc w:val="both"/>
      </w:pPr>
      <w:r>
        <w:rPr>
          <w:sz w:val="21"/>
        </w:rPr>
        <w:t xml:space="preserve">[12] Lezcano-Casado, M., and Martínez-Rubio, D. (2019). Cheap Orthogonal Constraints in Neural Networks: A Simple Parametrization of the Orthogonal and Unitary Group. </w:t>
      </w:r>
      <w:r>
        <w:rPr>
          <w:i/>
          <w:iCs/>
          <w:sz w:val="21"/>
        </w:rPr>
        <w:t>Proceedings of Machine Learning Research</w:t>
      </w:r>
      <w:r>
        <w:rPr>
          <w:sz w:val="21"/>
        </w:rPr>
        <w:t xml:space="preserve">, 97, 3794–3803. </w:t>
      </w:r>
      <w:hyperlink r:id="rId20">
        <w:r>
          <w:rPr>
            <w:rStyle w:val="Hyperlink"/>
            <w:sz w:val="21"/>
          </w:rPr>
          <w:t>Paper</w:t>
        </w:r>
      </w:hyperlink>
      <w:r>
        <w:rPr>
          <w:sz w:val="21"/>
        </w:rPr>
        <w:t>.</w:t>
      </w:r>
    </w:p>
    <w:p w14:paraId="1799B703" w14:textId="77777777" w:rsidR="00AD4ED9" w:rsidRDefault="00000000" w:rsidP="00435E6E">
      <w:pPr>
        <w:pStyle w:val="BodyText"/>
        <w:keepLines/>
        <w:spacing w:after="140"/>
        <w:ind w:left="374" w:hanging="374"/>
        <w:jc w:val="both"/>
      </w:pPr>
      <w:r>
        <w:rPr>
          <w:sz w:val="21"/>
        </w:rPr>
        <w:t xml:space="preserve">[13] Cohen, T. S., and Welling, M. (2016). Group Equivariant Convolutional Networks. </w:t>
      </w:r>
      <w:r>
        <w:rPr>
          <w:i/>
          <w:iCs/>
          <w:sz w:val="21"/>
        </w:rPr>
        <w:t>ICML 2016</w:t>
      </w:r>
      <w:r>
        <w:rPr>
          <w:sz w:val="21"/>
        </w:rPr>
        <w:t xml:space="preserve">. </w:t>
      </w:r>
      <w:hyperlink r:id="rId21">
        <w:r>
          <w:rPr>
            <w:rStyle w:val="Hyperlink"/>
            <w:sz w:val="21"/>
          </w:rPr>
          <w:t>Preprint</w:t>
        </w:r>
      </w:hyperlink>
      <w:r>
        <w:rPr>
          <w:sz w:val="21"/>
        </w:rPr>
        <w:t>.</w:t>
      </w:r>
      <w:bookmarkEnd w:id="12"/>
    </w:p>
    <w:sectPr w:rsidR="00AD4ED9">
      <w:footerReference w:type="default" r:id="rId22"/>
      <w:pgSz w:w="12240" w:h="15840"/>
      <w:pgMar w:top="1037" w:right="1224" w:bottom="979" w:left="1224"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FB15E" w14:textId="77777777" w:rsidR="00130E84" w:rsidRDefault="00130E84">
      <w:pPr>
        <w:spacing w:after="0" w:line="240" w:lineRule="auto"/>
      </w:pPr>
      <w:r>
        <w:separator/>
      </w:r>
    </w:p>
  </w:endnote>
  <w:endnote w:type="continuationSeparator" w:id="0">
    <w:p w14:paraId="7325593A" w14:textId="77777777" w:rsidR="00130E84" w:rsidRDefault="0013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301C" w14:textId="77777777" w:rsidR="00AD4ED9" w:rsidRDefault="00000000">
    <w:pPr>
      <w:jc w:val="right"/>
    </w:pPr>
    <w:r>
      <w:rPr>
        <w:sz w:val="18"/>
      </w:rPr>
      <w:t xml:space="preserve">Neural </w:t>
    </w:r>
    <w:proofErr w:type="gramStart"/>
    <w:r>
      <w:rPr>
        <w:sz w:val="18"/>
      </w:rPr>
      <w:t>memory  |</w:t>
    </w:r>
    <w:proofErr w:type="gramEnd"/>
    <w:r>
      <w:rPr>
        <w:sz w:val="18"/>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E2E63" w14:textId="77777777" w:rsidR="00130E84" w:rsidRDefault="00130E84">
      <w:r>
        <w:separator/>
      </w:r>
    </w:p>
  </w:footnote>
  <w:footnote w:type="continuationSeparator" w:id="0">
    <w:p w14:paraId="5C97797E" w14:textId="77777777" w:rsidR="00130E84" w:rsidRDefault="00130E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9AD7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419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4ED9"/>
    <w:rsid w:val="00130E84"/>
    <w:rsid w:val="00435E6E"/>
    <w:rsid w:val="00AD4ED9"/>
    <w:rsid w:val="00BB03C9"/>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D68A"/>
  <w15:docId w15:val="{64A248DE-EE26-472C-917E-C820B370D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64" w:lineRule="auto"/>
    </w:pPr>
    <w:rPr>
      <w:rFonts w:ascii="Times New Roman" w:hAnsi="Times New Roman"/>
      <w:color w:val="000000"/>
      <w:sz w:val="23"/>
    </w:rPr>
  </w:style>
  <w:style w:type="paragraph" w:styleId="Heading1">
    <w:name w:val="heading 1"/>
    <w:basedOn w:val="Normal"/>
    <w:next w:val="BodyText"/>
    <w:uiPriority w:val="9"/>
    <w:qFormat/>
    <w:pPr>
      <w:keepNext/>
      <w:keepLines/>
      <w:spacing w:before="280" w:after="120"/>
      <w:outlineLvl w:val="0"/>
    </w:pPr>
    <w:rPr>
      <w:b/>
      <w:bCs/>
      <w:sz w:val="30"/>
      <w:szCs w:val="32"/>
    </w:rPr>
  </w:style>
  <w:style w:type="paragraph" w:styleId="Heading2">
    <w:name w:val="heading 2"/>
    <w:basedOn w:val="Normal"/>
    <w:next w:val="BodyText"/>
    <w:uiPriority w:val="9"/>
    <w:unhideWhenUsed/>
    <w:qFormat/>
    <w:pPr>
      <w:keepNext/>
      <w:keepLines/>
      <w:spacing w:before="220" w:after="120"/>
      <w:outlineLvl w:val="1"/>
    </w:pPr>
    <w:rPr>
      <w:b/>
      <w:bCs/>
      <w:sz w:val="24"/>
      <w:szCs w:val="28"/>
    </w:rPr>
  </w:style>
  <w:style w:type="paragraph" w:styleId="Heading3">
    <w:name w:val="heading 3"/>
    <w:basedOn w:val="Normal"/>
    <w:next w:val="BodyText"/>
    <w:uiPriority w:val="9"/>
    <w:unhideWhenUsed/>
    <w:qFormat/>
    <w:pPr>
      <w:keepNext/>
      <w:keepLines/>
      <w:spacing w:before="220" w:after="120"/>
      <w:outlineLvl w:val="2"/>
    </w:pPr>
    <w:rPr>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20" w:line="254" w:lineRule="auto"/>
      <w:jc w:val="center"/>
    </w:pPr>
    <w:rPr>
      <w:b/>
      <w:bCs/>
      <w:sz w:val="46"/>
      <w:szCs w:val="36"/>
    </w:rPr>
  </w:style>
  <w:style w:type="paragraph" w:styleId="Subtitle">
    <w:name w:val="Subtitle"/>
    <w:basedOn w:val="Title"/>
    <w:next w:val="BodyText"/>
    <w:qFormat/>
    <w:rPr>
      <w:b w:val="0"/>
      <w:sz w:val="25"/>
      <w:szCs w:val="30"/>
    </w:rPr>
  </w:style>
  <w:style w:type="paragraph" w:customStyle="1" w:styleId="Author">
    <w:name w:val="Author"/>
    <w:next w:val="BodyText"/>
    <w:qFormat/>
    <w:pPr>
      <w:keepNext/>
      <w:keepLines/>
      <w:spacing w:after="120" w:line="254" w:lineRule="auto"/>
      <w:jc w:val="center"/>
    </w:pPr>
    <w:rPr>
      <w:rFonts w:ascii="Times New Roman" w:hAnsi="Times New Roman"/>
      <w:color w:val="000000"/>
      <w:sz w:val="23"/>
    </w:rPr>
  </w:style>
  <w:style w:type="paragraph" w:styleId="Date">
    <w:name w:val="Date"/>
    <w:next w:val="BodyText"/>
    <w:qFormat/>
    <w:pPr>
      <w:keepNext/>
      <w:keepLines/>
      <w:spacing w:after="120" w:line="254" w:lineRule="auto"/>
      <w:jc w:val="center"/>
    </w:pPr>
    <w:rPr>
      <w:rFonts w:ascii="Times New Roman" w:hAnsi="Times New Roman"/>
      <w:color w:val="000000"/>
      <w:sz w:val="21"/>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s.tufts.edu/~nr/cs257/archive/frank-kschischang/factor-graphs.pdf" TargetMode="External"/><Relationship Id="rId18" Type="http://schemas.openxmlformats.org/officeDocument/2006/relationships/hyperlink" Target="https://arxiv.org/abs/1511.06464" TargetMode="External"/><Relationship Id="rId3" Type="http://schemas.openxmlformats.org/officeDocument/2006/relationships/settings" Target="settings.xml"/><Relationship Id="rId21" Type="http://schemas.openxmlformats.org/officeDocument/2006/relationships/hyperlink" Target="https://arxiv.org/abs/1602.07576" TargetMode="External"/><Relationship Id="rId7" Type="http://schemas.openxmlformats.org/officeDocument/2006/relationships/image" Target="media/image1.png"/><Relationship Id="rId12" Type="http://schemas.openxmlformats.org/officeDocument/2006/relationships/hyperlink" Target="https://www.researchgate.net/publication/387437540_Truncated_Skew_Transformer" TargetMode="External"/><Relationship Id="rId17" Type="http://schemas.openxmlformats.org/officeDocument/2006/relationships/hyperlink" Target="https://arxiv.org/abs/math/0206236" TargetMode="External"/><Relationship Id="rId2" Type="http://schemas.openxmlformats.org/officeDocument/2006/relationships/styles" Target="styles.xml"/><Relationship Id="rId16" Type="http://schemas.openxmlformats.org/officeDocument/2006/relationships/hyperlink" Target="https://www.sciencedirect.com/science/article/pii/0021869372900580" TargetMode="External"/><Relationship Id="rId20" Type="http://schemas.openxmlformats.org/officeDocument/2006/relationships/hyperlink" Target="https://arxiv.org/abs/1901.084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87057093_Deep_Skew_Transform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rxiv.org/abs/2407.04153" TargetMode="External"/><Relationship Id="rId23" Type="http://schemas.openxmlformats.org/officeDocument/2006/relationships/fontTable" Target="fontTable.xml"/><Relationship Id="rId10" Type="http://schemas.openxmlformats.org/officeDocument/2006/relationships/hyperlink" Target="https://arxiv.org/abs/2202.04579" TargetMode="External"/><Relationship Id="rId19" Type="http://schemas.openxmlformats.org/officeDocument/2006/relationships/hyperlink" Target="https://arxiv.org/abs/1611.00035" TargetMode="External"/><Relationship Id="rId4" Type="http://schemas.openxmlformats.org/officeDocument/2006/relationships/webSettings" Target="webSettings.xml"/><Relationship Id="rId9" Type="http://schemas.openxmlformats.org/officeDocument/2006/relationships/hyperlink" Target="https://arxiv.org/abs/1808.01513" TargetMode="External"/><Relationship Id="rId14" Type="http://schemas.openxmlformats.org/officeDocument/2006/relationships/hyperlink" Target="https://arxiv.org/abs/1907.05242"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6308</Words>
  <Characters>35962</Characters>
  <Application>Microsoft Office Word</Application>
  <DocSecurity>0</DocSecurity>
  <Lines>299</Lines>
  <Paragraphs>84</Paragraphs>
  <ScaleCrop>false</ScaleCrop>
  <Company/>
  <LinksUpToDate>false</LinksUpToDate>
  <CharactersWithSpaces>42186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Preconditions for Cellular Sheaf Models of Neural Memory</dc:title>
  <dc:subject>Compatibility, fidelity, compositional experts, and recurrent memory</dc:subject>
  <dc:creator>Debi Prasad Ghosh</dc:creator>
  <cp:keywords>Cellular sheaf, neural memory, compositional experts, orthogonal transport, memory horizon</cp:keywords>
  <dc:description>Conceptual manuscript with proofs and deterministic checks. No trained-model experiments are reported.</dc:description>
  <cp:lastModifiedBy>Debiprasad Ghosh</cp:lastModifiedBy>
  <cp:revision>2</cp:revision>
  <dcterms:created xsi:type="dcterms:W3CDTF">2026-09-20T15:22:00Z</dcterms:created>
  <dcterms:modified xsi:type="dcterms:W3CDTF">2026-09-20T17:01:00Z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September 2026</vt:lpwstr>
  </property>
  <property fmtid="{D5CDD505-2E9C-101B-9397-08002B2CF9AE}" pid="3" name="subtitle">
    <vt:lpwstr>Compatibility and fidelity in recurrent memory and compositional experts</vt:lpwstr>
  </property>
</Properties>
</file>