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26FC5" w14:textId="77777777" w:rsidR="00B46A75" w:rsidRDefault="00000000" w:rsidP="00135058">
      <w:pPr>
        <w:pStyle w:val="Title"/>
        <w:jc w:val="center"/>
      </w:pPr>
      <w:r>
        <w:t>Specification Authority in AI Written Software</w:t>
      </w:r>
    </w:p>
    <w:p w14:paraId="44E6D625" w14:textId="77777777" w:rsidR="00B46A75" w:rsidRPr="00135058" w:rsidRDefault="00000000" w:rsidP="00135058">
      <w:pPr>
        <w:pStyle w:val="Subtitle"/>
        <w:jc w:val="center"/>
        <w:rPr>
          <w:color w:val="00B0F0"/>
          <w:sz w:val="32"/>
          <w:szCs w:val="32"/>
        </w:rPr>
      </w:pPr>
      <w:r w:rsidRPr="00135058">
        <w:rPr>
          <w:color w:val="00B0F0"/>
          <w:sz w:val="32"/>
          <w:szCs w:val="32"/>
        </w:rPr>
        <w:t>SpecHub and the four architectures of code admission</w:t>
      </w:r>
    </w:p>
    <w:p w14:paraId="66B233C3" w14:textId="178D8668" w:rsidR="00B46A75" w:rsidRDefault="00000000" w:rsidP="00135058">
      <w:pPr>
        <w:jc w:val="center"/>
      </w:pPr>
      <w:r>
        <w:t>Debi Prasad Ghosh</w:t>
      </w:r>
      <w:r w:rsidR="00706210">
        <w:t xml:space="preserve"> </w:t>
      </w:r>
      <w:r w:rsidR="00706210">
        <w:t xml:space="preserve">| </w:t>
      </w:r>
      <w:r w:rsidR="00706210">
        <w:t>debiprasadghosh@gmail.com</w:t>
      </w:r>
      <w:r>
        <w:br/>
        <w:t>Founder and Principal Engineer | Debias Parametric Guru | Kolkata India</w:t>
      </w:r>
      <w:r>
        <w:br/>
        <w:t>Conceptual research paper | 16 October 2026</w:t>
      </w:r>
      <w:r w:rsidR="00706210">
        <w:t xml:space="preserve"> |</w:t>
      </w:r>
      <w:r w:rsidR="00706210">
        <w:t xml:space="preserve"> </w:t>
      </w:r>
      <w:r w:rsidR="00706210" w:rsidRPr="00706210">
        <w:t>https://doi.org/10.13140/RG.2.2.14816.03841</w:t>
      </w:r>
    </w:p>
    <w:p w14:paraId="5D78B660" w14:textId="77777777" w:rsidR="00B46A75" w:rsidRDefault="00000000" w:rsidP="00135058">
      <w:pPr>
        <w:pStyle w:val="Heading1"/>
        <w:jc w:val="both"/>
      </w:pPr>
      <w:r>
        <w:t>Abstract</w:t>
      </w:r>
    </w:p>
    <w:p w14:paraId="7AF96859" w14:textId="7D468C84" w:rsidR="00B46A75" w:rsidRDefault="00000000" w:rsidP="00135058">
      <w:pPr>
        <w:jc w:val="both"/>
      </w:pPr>
      <w:r>
        <w:t>A specification can govern AI-written software only when the organisation records who may change requirements, what evidence supports acceptance, and how an implementation acquires maintained status. This paper develops a specification system of record around four architectures: Sat Ma for continuity in inherited systems, Lethel for disposable assistance, the Professor for preserved reference instruments, and the Guru for autonomous implementation from a fixed specification. We separate three independent questions: where improvement effort should be invested, whether an implementation can be regenerated within an acceptable risk budget, and whether a dedicated platform provides advantages over repository-based records. A probabilistic decomposition distinguishes specification conformance from stakeholder acceptance and exposes generator-dependent specification adequacy. Elementary propositions establish a cost-sensitive investment rule, the limits of regeneration evidence, and a drift model with both damage and repair. We then propose an authority graph and admission protocol that connect requirements, implementation versions, evidence, ownership, and reference baselines. SpecHub is examined as a motivating product rather than a validated implementation of this architecture. A structural-engineering example and a preregisterable evaluation design make the proposal concrete. The contribution is a governance model and a set of testable claims; no delivery improvement, safety benefit, or product superiority is reported as an experimental result.</w:t>
      </w:r>
    </w:p>
    <w:p w14:paraId="4D25189D" w14:textId="77777777" w:rsidR="00B46A75" w:rsidRDefault="00000000" w:rsidP="00135058">
      <w:pPr>
        <w:jc w:val="both"/>
      </w:pPr>
      <w:r>
        <w:t>Keywords: specification systems of record; AI coding agents; requirements engineering; code admission; software provenance; construction automation.</w:t>
      </w:r>
    </w:p>
    <w:p w14:paraId="232E29A9" w14:textId="77777777" w:rsidR="00B46A75" w:rsidRDefault="00000000" w:rsidP="00135058">
      <w:pPr>
        <w:pStyle w:val="Heading1"/>
        <w:jc w:val="both"/>
      </w:pPr>
      <w:r>
        <w:t>1 Research question and scope</w:t>
      </w:r>
    </w:p>
    <w:p w14:paraId="3D00FE14" w14:textId="77777777" w:rsidR="00B46A75" w:rsidRDefault="00000000" w:rsidP="00135058">
      <w:pPr>
        <w:jc w:val="both"/>
      </w:pPr>
      <w:r>
        <w:t>The central question is what gives generated software authority. An agent can produce a working patch without acquiring permission to alter a requirement, replace a numerical reference, or create a production dependency. These decisions remain distinct even when the same interface offers to perform them in one conversation. We argue that a specification system of record should preserve these distinctions throughout a project.</w:t>
      </w:r>
    </w:p>
    <w:p w14:paraId="6A201C41" w14:textId="77777777" w:rsidR="00B46A75" w:rsidRDefault="00000000" w:rsidP="00135058">
      <w:pPr>
        <w:jc w:val="both"/>
      </w:pPr>
      <w:r>
        <w:t>The attached first version of this paper examined SpecHub through a bottleneck claim, a source-of-truth claim, and a platform claim [1]. This revision retains that distinction while correcting several implications. The claims are not logically nested. A specification may govern work even while implementation remains the main bottleneck. A dedicated requirements platform may be valuable while both source code and specifications remain maintained artifacts. Conversely, cheap regeneration does not establish a need for a new hosting platform.</w:t>
      </w:r>
    </w:p>
    <w:p w14:paraId="6CE8E564" w14:textId="77777777" w:rsidR="00B46A75" w:rsidRDefault="00000000" w:rsidP="00135058">
      <w:pPr>
        <w:jc w:val="both"/>
      </w:pPr>
      <w:r>
        <w:t xml:space="preserve">The author’s four architectural metaphors [2] supply the missing governance layer. Sat Ma governs admission into an inherited household. Lethel governs bounded assistance without inheritance. The Professor protects the identity of an experimental instrument. The Guru delegates implementation </w:t>
      </w:r>
      <w:r>
        <w:lastRenderedPageBreak/>
        <w:t>within an approved specification. Here these become policies attached to artifacts and transitions, rather than personality types or prompting styles.</w:t>
      </w:r>
    </w:p>
    <w:p w14:paraId="3DB5303A" w14:textId="77777777" w:rsidR="00B46A75" w:rsidRDefault="00000000" w:rsidP="00135058">
      <w:pPr>
        <w:jc w:val="both"/>
      </w:pPr>
      <w:r>
        <w:t>The scope is software engineering with particular attention to construction design automation and numerical tools. The paper does not claim that a finite test suite proves structural safety or that software conformance certifies an engineering design. Its mathematical results are elementary consequences of stated models. The proposed authority graph is an architectural synthesis, not a claim that versioning, traceability, or change control is newly invented.</w:t>
      </w:r>
    </w:p>
    <w:p w14:paraId="6B08077F" w14:textId="77777777" w:rsidR="00B46A75" w:rsidRDefault="00000000" w:rsidP="00135058">
      <w:pPr>
        <w:pStyle w:val="Heading1"/>
        <w:jc w:val="both"/>
      </w:pPr>
      <w:r>
        <w:t>2 Related work and current source evidence</w:t>
      </w:r>
    </w:p>
    <w:p w14:paraId="2E147897" w14:textId="77777777" w:rsidR="00B46A75" w:rsidRDefault="00000000" w:rsidP="00135058">
      <w:pPr>
        <w:jc w:val="both"/>
      </w:pPr>
      <w:r>
        <w:t>Piskala distinguishes spec-first, spec-anchored, and spec-as-source practice [3]. These describe increasing reliance on specifications through implementation and maintenance. They do not determine who may approve requirements, adopt an experiment, or replace a reference. Our four policies address those decisions and can coexist with more than one specification workflow.</w:t>
      </w:r>
    </w:p>
    <w:p w14:paraId="62631098" w14:textId="77777777" w:rsidR="00B46A75" w:rsidRDefault="00000000" w:rsidP="00135058">
      <w:pPr>
        <w:jc w:val="both"/>
      </w:pPr>
      <w:r>
        <w:t>GitHub’s current Spec Kit quickstart includes a project constitution and a path from specification through planning, tasks, implementation, and convergence; clarification and consistency checks appear in the fuller process [4]. This supports iterative preparation and checking, rather than the claim that specification-driven work inherently means one initial instruction with no later interpretation. Kiro documents requirements or bug analysis, design, and tasks as separate artifacts, with feature and bug-fix workflows [5]. These are examples of structured development, not independent demonstrations that their specifications capture all stakeholder intent.</w:t>
      </w:r>
    </w:p>
    <w:p w14:paraId="0D808BF6" w14:textId="77777777" w:rsidR="00B46A75" w:rsidRDefault="00000000" w:rsidP="00135058">
      <w:pPr>
        <w:jc w:val="both"/>
      </w:pPr>
      <w:r>
        <w:t>The model-driven engineering precedent matters. France and Rumpe describe systematic transformation from abstract models to concrete implementations and the difficulty of realising that vision broadly [6]. Kuhn, Murphy, and Thompson report an automotive case study in which organisational context, diffing, traceability, and runtime change created friction [7]. This history supports examining the surrounding record and approval process. It does not imply that every attempt to derive code from a specification must fail.</w:t>
      </w:r>
    </w:p>
    <w:p w14:paraId="17860FB2" w14:textId="77777777" w:rsidR="00B46A75" w:rsidRDefault="00000000" w:rsidP="00135058">
      <w:pPr>
        <w:jc w:val="both"/>
      </w:pPr>
      <w:r>
        <w:t>Anthropic reports that long-running coding agents can leave incomplete work, lose context between sessions, or declare completion prematurely. Its proposed remedies include structured progress records, incremental implementation, and explicit end-to-end checks [8]. These observations motivate separating a model’s ability to implement from the harness that preserves state and evidence. They do not establish a universal minimum harness or a guarantee for frontier models.</w:t>
      </w:r>
    </w:p>
    <w:p w14:paraId="0D14E367" w14:textId="77777777" w:rsidR="00B46A75" w:rsidRDefault="00000000" w:rsidP="00135058">
      <w:pPr>
        <w:jc w:val="both"/>
      </w:pPr>
      <w:r>
        <w:t>SpecHub’s indexed official material describes specification bootstrapping and requirements management; its FAQ search extract describes an API over the specification hierarchy [9–11]. Direct retrieval of the homepage and integrations page was blocked during this revision. Consequently, detailed capability descriptions inherited from version 1 remain attributed vendor descriptions, not newly verified observations. We make no current claim about pricing, access restrictions, export completeness, independent benchmark availability, or repository star counts. Similarly named projects on other domains are excluded.</w:t>
      </w:r>
    </w:p>
    <w:p w14:paraId="7564A1AF" w14:textId="77777777" w:rsidR="00B46A75" w:rsidRDefault="00000000" w:rsidP="00135058">
      <w:pPr>
        <w:pStyle w:val="Caption"/>
        <w:jc w:val="both"/>
      </w:pPr>
      <w:r>
        <w:lastRenderedPageBreak/>
        <w:t>Table 1  Evidence boundaries for the present analysis</w:t>
      </w:r>
    </w:p>
    <w:tbl>
      <w:tblPr>
        <w:tblW w:w="0" w:type="auto"/>
        <w:jc w:val="center"/>
        <w:tblLayout w:type="fixed"/>
        <w:tblLook w:val="04A0" w:firstRow="1" w:lastRow="0" w:firstColumn="1" w:lastColumn="0" w:noHBand="0" w:noVBand="1"/>
      </w:tblPr>
      <w:tblGrid>
        <w:gridCol w:w="2376"/>
        <w:gridCol w:w="3384"/>
        <w:gridCol w:w="3539"/>
      </w:tblGrid>
      <w:tr w:rsidR="00B46A75" w14:paraId="266567D0" w14:textId="77777777" w:rsidTr="009008E9">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4EAF0"/>
            <w:tcMar>
              <w:top w:w="85" w:type="dxa"/>
              <w:left w:w="85" w:type="dxa"/>
              <w:bottom w:w="85" w:type="dxa"/>
              <w:right w:w="85" w:type="dxa"/>
            </w:tcMar>
            <w:vAlign w:val="center"/>
          </w:tcPr>
          <w:p w14:paraId="309BAA6A" w14:textId="77777777" w:rsidR="00B46A75" w:rsidRDefault="00000000" w:rsidP="00135058">
            <w:pPr>
              <w:keepNext/>
              <w:spacing w:after="60" w:line="245" w:lineRule="auto"/>
              <w:jc w:val="both"/>
            </w:pPr>
            <w:r>
              <w:rPr>
                <w:b/>
                <w:sz w:val="19"/>
              </w:rPr>
              <w:t>Source</w:t>
            </w:r>
          </w:p>
        </w:tc>
        <w:tc>
          <w:tcPr>
            <w:tcW w:w="3384" w:type="dxa"/>
            <w:tcBorders>
              <w:top w:val="single" w:sz="4" w:space="0" w:color="D9D9D9"/>
              <w:left w:val="single" w:sz="4" w:space="0" w:color="D9D9D9"/>
              <w:bottom w:val="single" w:sz="4" w:space="0" w:color="D9D9D9"/>
              <w:right w:val="single" w:sz="4" w:space="0" w:color="D9D9D9"/>
            </w:tcBorders>
            <w:shd w:val="clear" w:color="auto" w:fill="E4EAF0"/>
            <w:tcMar>
              <w:top w:w="85" w:type="dxa"/>
              <w:left w:w="85" w:type="dxa"/>
              <w:bottom w:w="85" w:type="dxa"/>
              <w:right w:w="85" w:type="dxa"/>
            </w:tcMar>
            <w:vAlign w:val="center"/>
          </w:tcPr>
          <w:p w14:paraId="5EE57774" w14:textId="77777777" w:rsidR="00B46A75" w:rsidRDefault="00000000" w:rsidP="00135058">
            <w:pPr>
              <w:keepNext/>
              <w:spacing w:after="60" w:line="245" w:lineRule="auto"/>
              <w:jc w:val="both"/>
            </w:pPr>
            <w:r>
              <w:rPr>
                <w:b/>
                <w:sz w:val="19"/>
              </w:rPr>
              <w:t>What it supports</w:t>
            </w:r>
          </w:p>
        </w:tc>
        <w:tc>
          <w:tcPr>
            <w:tcW w:w="3539" w:type="dxa"/>
            <w:tcBorders>
              <w:top w:val="single" w:sz="4" w:space="0" w:color="D9D9D9"/>
              <w:left w:val="single" w:sz="4" w:space="0" w:color="D9D9D9"/>
              <w:bottom w:val="single" w:sz="4" w:space="0" w:color="D9D9D9"/>
              <w:right w:val="single" w:sz="4" w:space="0" w:color="D9D9D9"/>
            </w:tcBorders>
            <w:shd w:val="clear" w:color="auto" w:fill="E4EAF0"/>
            <w:tcMar>
              <w:top w:w="85" w:type="dxa"/>
              <w:left w:w="85" w:type="dxa"/>
              <w:bottom w:w="85" w:type="dxa"/>
              <w:right w:w="85" w:type="dxa"/>
            </w:tcMar>
            <w:vAlign w:val="center"/>
          </w:tcPr>
          <w:p w14:paraId="242479E7" w14:textId="77777777" w:rsidR="00B46A75" w:rsidRDefault="00000000" w:rsidP="00135058">
            <w:pPr>
              <w:keepNext/>
              <w:spacing w:after="60" w:line="245" w:lineRule="auto"/>
              <w:jc w:val="both"/>
            </w:pPr>
            <w:r>
              <w:rPr>
                <w:b/>
                <w:sz w:val="19"/>
              </w:rPr>
              <w:t>What it does not establish</w:t>
            </w:r>
          </w:p>
        </w:tc>
      </w:tr>
      <w:tr w:rsidR="00B46A75" w14:paraId="3BACA0BA" w14:textId="77777777" w:rsidTr="009008E9">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C68B0" w14:textId="77777777" w:rsidR="00B46A75" w:rsidRDefault="00000000" w:rsidP="00135058">
            <w:pPr>
              <w:keepNext/>
              <w:spacing w:after="60" w:line="245" w:lineRule="auto"/>
              <w:jc w:val="both"/>
            </w:pPr>
            <w:r>
              <w:rPr>
                <w:sz w:val="19"/>
              </w:rPr>
              <w:t>Spec Kit official quickstart [4]</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58DE69" w14:textId="77777777" w:rsidR="00B46A75" w:rsidRDefault="00000000" w:rsidP="00135058">
            <w:pPr>
              <w:keepNext/>
              <w:spacing w:after="60" w:line="245" w:lineRule="auto"/>
              <w:jc w:val="both"/>
            </w:pPr>
            <w:r>
              <w:rPr>
                <w:sz w:val="19"/>
              </w:rPr>
              <w:t>Documented specification workflow and checks</w:t>
            </w:r>
          </w:p>
        </w:tc>
        <w:tc>
          <w:tcPr>
            <w:tcW w:w="35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593E02" w14:textId="77777777" w:rsidR="00B46A75" w:rsidRDefault="00000000" w:rsidP="00135058">
            <w:pPr>
              <w:keepNext/>
              <w:spacing w:after="60" w:line="245" w:lineRule="auto"/>
              <w:jc w:val="both"/>
            </w:pPr>
            <w:r>
              <w:rPr>
                <w:sz w:val="19"/>
              </w:rPr>
              <w:t>Measured adequacy or intent preservation</w:t>
            </w:r>
          </w:p>
        </w:tc>
      </w:tr>
      <w:tr w:rsidR="00B46A75" w14:paraId="2D169BC7" w14:textId="77777777" w:rsidTr="009008E9">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89EDCC7" w14:textId="77777777" w:rsidR="00B46A75" w:rsidRDefault="00000000" w:rsidP="00135058">
            <w:pPr>
              <w:keepNext/>
              <w:spacing w:after="60" w:line="245" w:lineRule="auto"/>
              <w:jc w:val="both"/>
            </w:pPr>
            <w:r>
              <w:rPr>
                <w:sz w:val="19"/>
              </w:rPr>
              <w:t>Kiro official documentation [5]</w:t>
            </w:r>
          </w:p>
        </w:tc>
        <w:tc>
          <w:tcPr>
            <w:tcW w:w="338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188BCFF" w14:textId="77777777" w:rsidR="00B46A75" w:rsidRDefault="00000000" w:rsidP="00135058">
            <w:pPr>
              <w:keepNext/>
              <w:spacing w:after="60" w:line="245" w:lineRule="auto"/>
              <w:jc w:val="both"/>
            </w:pPr>
            <w:r>
              <w:rPr>
                <w:sz w:val="19"/>
              </w:rPr>
              <w:t>Separate requirements design and task artifacts</w:t>
            </w:r>
          </w:p>
        </w:tc>
        <w:tc>
          <w:tcPr>
            <w:tcW w:w="3539"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5C76265" w14:textId="77777777" w:rsidR="00B46A75" w:rsidRDefault="00000000" w:rsidP="00135058">
            <w:pPr>
              <w:keepNext/>
              <w:spacing w:after="60" w:line="245" w:lineRule="auto"/>
              <w:jc w:val="both"/>
            </w:pPr>
            <w:r>
              <w:rPr>
                <w:sz w:val="19"/>
              </w:rPr>
              <w:t>Correctness of every resulting implementation</w:t>
            </w:r>
          </w:p>
        </w:tc>
      </w:tr>
      <w:tr w:rsidR="00B46A75" w14:paraId="2B50CF8F" w14:textId="77777777" w:rsidTr="009008E9">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62E806" w14:textId="77777777" w:rsidR="00B46A75" w:rsidRDefault="00000000" w:rsidP="00135058">
            <w:pPr>
              <w:keepNext/>
              <w:spacing w:after="60" w:line="245" w:lineRule="auto"/>
              <w:jc w:val="both"/>
            </w:pPr>
            <w:r>
              <w:rPr>
                <w:sz w:val="19"/>
              </w:rPr>
              <w:t>SpecHub official indexed material [9–11]</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6C1A01" w14:textId="77777777" w:rsidR="00B46A75" w:rsidRDefault="00000000" w:rsidP="00135058">
            <w:pPr>
              <w:keepNext/>
              <w:spacing w:after="60" w:line="245" w:lineRule="auto"/>
              <w:jc w:val="both"/>
            </w:pPr>
            <w:r>
              <w:rPr>
                <w:sz w:val="19"/>
              </w:rPr>
              <w:t>Vendor positioning and stated capabilities</w:t>
            </w:r>
          </w:p>
        </w:tc>
        <w:tc>
          <w:tcPr>
            <w:tcW w:w="35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2E5A73" w14:textId="77777777" w:rsidR="00B46A75" w:rsidRDefault="00000000" w:rsidP="00135058">
            <w:pPr>
              <w:keepNext/>
              <w:spacing w:after="60" w:line="245" w:lineRule="auto"/>
              <w:jc w:val="both"/>
            </w:pPr>
            <w:r>
              <w:rPr>
                <w:sz w:val="19"/>
              </w:rPr>
              <w:t>Independent efficacy or complete export semantics</w:t>
            </w:r>
          </w:p>
        </w:tc>
      </w:tr>
      <w:tr w:rsidR="00B46A75" w14:paraId="4EF105CE" w14:textId="77777777" w:rsidTr="009008E9">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6377C5C" w14:textId="77777777" w:rsidR="00B46A75" w:rsidRDefault="00000000" w:rsidP="00135058">
            <w:pPr>
              <w:keepNext/>
              <w:spacing w:after="60" w:line="245" w:lineRule="auto"/>
              <w:jc w:val="both"/>
            </w:pPr>
            <w:r>
              <w:rPr>
                <w:sz w:val="19"/>
              </w:rPr>
              <w:t>Agent harness report [8]</w:t>
            </w:r>
          </w:p>
        </w:tc>
        <w:tc>
          <w:tcPr>
            <w:tcW w:w="338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9AAC657" w14:textId="77777777" w:rsidR="00B46A75" w:rsidRDefault="00000000" w:rsidP="00135058">
            <w:pPr>
              <w:keepNext/>
              <w:spacing w:after="60" w:line="245" w:lineRule="auto"/>
              <w:jc w:val="both"/>
            </w:pPr>
            <w:r>
              <w:rPr>
                <w:sz w:val="19"/>
              </w:rPr>
              <w:t>Reported failure modes and engineering remedies</w:t>
            </w:r>
          </w:p>
        </w:tc>
        <w:tc>
          <w:tcPr>
            <w:tcW w:w="3539"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787C72F" w14:textId="77777777" w:rsidR="00B46A75" w:rsidRDefault="00000000" w:rsidP="00135058">
            <w:pPr>
              <w:keepNext/>
              <w:spacing w:after="60" w:line="245" w:lineRule="auto"/>
              <w:jc w:val="both"/>
            </w:pPr>
            <w:r>
              <w:rPr>
                <w:sz w:val="19"/>
              </w:rPr>
              <w:t>Model independent guarantees</w:t>
            </w:r>
          </w:p>
        </w:tc>
      </w:tr>
      <w:tr w:rsidR="00B46A75" w14:paraId="72AAC55C" w14:textId="77777777" w:rsidTr="009008E9">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787E5D" w14:textId="77777777" w:rsidR="00B46A75" w:rsidRDefault="00000000" w:rsidP="00135058">
            <w:pPr>
              <w:spacing w:after="60" w:line="245" w:lineRule="auto"/>
              <w:jc w:val="both"/>
            </w:pPr>
            <w:r>
              <w:rPr>
                <w:sz w:val="19"/>
              </w:rPr>
              <w:t>This paper</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94770D" w14:textId="77777777" w:rsidR="00B46A75" w:rsidRDefault="00000000" w:rsidP="00135058">
            <w:pPr>
              <w:spacing w:after="60" w:line="245" w:lineRule="auto"/>
              <w:jc w:val="both"/>
            </w:pPr>
            <w:r>
              <w:rPr>
                <w:sz w:val="19"/>
              </w:rPr>
              <w:t>Definitions conditional proofs and proposed protocol</w:t>
            </w:r>
          </w:p>
        </w:tc>
        <w:tc>
          <w:tcPr>
            <w:tcW w:w="35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A7E938" w14:textId="77777777" w:rsidR="00B46A75" w:rsidRDefault="00000000" w:rsidP="00135058">
            <w:pPr>
              <w:spacing w:after="60" w:line="245" w:lineRule="auto"/>
              <w:jc w:val="both"/>
            </w:pPr>
            <w:r>
              <w:rPr>
                <w:sz w:val="19"/>
              </w:rPr>
              <w:t>Observed superiority of any product</w:t>
            </w:r>
          </w:p>
        </w:tc>
      </w:tr>
    </w:tbl>
    <w:p w14:paraId="1C624738" w14:textId="77777777" w:rsidR="00B46A75" w:rsidRDefault="00B46A75" w:rsidP="00135058">
      <w:pPr>
        <w:spacing w:after="20"/>
        <w:jc w:val="both"/>
      </w:pPr>
    </w:p>
    <w:p w14:paraId="0152FF4C" w14:textId="77777777" w:rsidR="00B46A75" w:rsidRDefault="00000000" w:rsidP="00135058">
      <w:pPr>
        <w:pStyle w:val="Heading1"/>
        <w:jc w:val="both"/>
      </w:pPr>
      <w:r>
        <w:t>3 Four architectures of code authority</w:t>
      </w:r>
    </w:p>
    <w:p w14:paraId="6818B2D1" w14:textId="77777777" w:rsidR="00B46A75" w:rsidRDefault="00000000" w:rsidP="00135058">
      <w:pPr>
        <w:pStyle w:val="Heading2"/>
        <w:jc w:val="both"/>
      </w:pPr>
      <w:r>
        <w:t>3 1 Sat Ma and inherited obligations</w:t>
      </w:r>
    </w:p>
    <w:p w14:paraId="1690DC36" w14:textId="77777777" w:rsidR="00B46A75" w:rsidRDefault="00000000" w:rsidP="00135058">
      <w:pPr>
        <w:jc w:val="both"/>
      </w:pPr>
      <w:r>
        <w:t>Sat Ma applies when an existing system already has users and obligations. New work enters through narrow interfaces and reviewed changes. The protected object is the set of declared obligations, including compatibility commitments, rather than every historical implementation detail. An inherited defect is recorded as observed behaviour; an approved correction changes the intended contract. Characterisation tests and acceptance criteria therefore have different roles.</w:t>
      </w:r>
    </w:p>
    <w:p w14:paraId="4E5CD237" w14:textId="77777777" w:rsidR="00B46A75" w:rsidRDefault="00000000" w:rsidP="00135058">
      <w:pPr>
        <w:jc w:val="both"/>
      </w:pPr>
      <w:r>
        <w:t>An old numerical kernel may lack documentation yet encode valuable assumptions. Its replacement requires an inventory of those assumptions, suitable comparison evidence, an owner, and a migration decision. Age does not justify removal, and an interface-compatible replacement is insufficient if units, tolerances, conditioning, or exceptional cases change. The transfer being approved is responsibility for obligations.</w:t>
      </w:r>
    </w:p>
    <w:p w14:paraId="59F97693" w14:textId="77777777" w:rsidR="00B46A75" w:rsidRDefault="00000000" w:rsidP="00135058">
      <w:pPr>
        <w:pStyle w:val="Heading2"/>
        <w:jc w:val="both"/>
      </w:pPr>
      <w:r>
        <w:t>3 2 Lethel and bounded assistance</w:t>
      </w:r>
    </w:p>
    <w:p w14:paraId="5246C323" w14:textId="77777777" w:rsidR="00B46A75" w:rsidRDefault="00000000" w:rsidP="00135058">
      <w:pPr>
        <w:jc w:val="both"/>
      </w:pPr>
      <w:r>
        <w:t>Lethel is commissioned code that may explore, scaffold, fuzz, translate, or analyse within a bounded environment. It has no automatic route into maintained dependencies. A useful script becoming indispensable is itself an admission event, even if no source file was merged. This policy therefore includes scheduled jobs, generated packages, and external services invoked by production code.</w:t>
      </w:r>
    </w:p>
    <w:p w14:paraId="7FB8F877" w14:textId="77777777" w:rsidR="00B46A75" w:rsidRDefault="00000000" w:rsidP="00135058">
      <w:pPr>
        <w:jc w:val="both"/>
      </w:pPr>
      <w:r>
        <w:t>The metaphor’s second-class status is a governance restriction rather than a technical statement about AI authorship. Human-written experiments can occupy the same status. Promotion requires a person to explain the intended behaviour, assess assumptions and evidence, and accept maintenance responsibility. Retyping generated code does not perform that transfer. Tests generated from the same misunderstanding as the implementation provide weak protection against that misunderstanding.</w:t>
      </w:r>
    </w:p>
    <w:p w14:paraId="7620FCDD" w14:textId="77777777" w:rsidR="00B46A75" w:rsidRDefault="00000000" w:rsidP="00135058">
      <w:pPr>
        <w:pStyle w:val="Heading2"/>
        <w:jc w:val="both"/>
      </w:pPr>
      <w:r>
        <w:t>3 3 The Professor and reference identity</w:t>
      </w:r>
    </w:p>
    <w:p w14:paraId="6A91B26D" w14:textId="77777777" w:rsidR="00B46A75" w:rsidRDefault="00000000" w:rsidP="00135058">
      <w:pPr>
        <w:jc w:val="both"/>
      </w:pPr>
      <w:r>
        <w:t xml:space="preserve">The Professor preserves a declared instrument against which experiments are compared. Its identity includes source, toolchain, dependencies, inputs, execution settings, and tolerances. A source file held </w:t>
      </w:r>
      <w:r>
        <w:lastRenderedPageBreak/>
        <w:t>fixed while compiler settings change is not necessarily the same numerical instrument. A baseline supports comparison; an oracle establishes an expected answer. The former need not be the latter.</w:t>
      </w:r>
    </w:p>
    <w:p w14:paraId="72770172" w14:textId="77777777" w:rsidR="00B46A75" w:rsidRDefault="00000000" w:rsidP="00135058">
      <w:pPr>
        <w:jc w:val="both"/>
      </w:pPr>
      <w:r>
        <w:t>A discovered baseline defect is documented without rewriting the historical record. A replacement reference receives a new identity and a comparison to its predecessor. An experimental improvement, publication, or benchmark score cannot silently update the instrument. Multiple reference versions may coexist when their domains and limitations are explicit.</w:t>
      </w:r>
    </w:p>
    <w:p w14:paraId="5A7F6A4C" w14:textId="77777777" w:rsidR="00B46A75" w:rsidRDefault="00000000" w:rsidP="00135058">
      <w:pPr>
        <w:pStyle w:val="Heading2"/>
        <w:jc w:val="both"/>
      </w:pPr>
      <w:r>
        <w:t>3 4 The Guru and bounded delegation</w:t>
      </w:r>
    </w:p>
    <w:p w14:paraId="651DD76C" w14:textId="77777777" w:rsidR="00B46A75" w:rsidRDefault="00000000" w:rsidP="00135058">
      <w:pPr>
        <w:jc w:val="both"/>
      </w:pPr>
      <w:r>
        <w:t>The Guru authorises a bounded build from an approved specification and then leaves implementation to the agent. The specification records required outcomes, prohibited changes, delegated choices, assumptions, and ambiguity conditions that require stopping. Choosing a data structure within delegated freedom is implementation. Introducing a new externally visible obligation is an amendment.</w:t>
      </w:r>
    </w:p>
    <w:p w14:paraId="44DE4711" w14:textId="77777777" w:rsidR="00B46A75" w:rsidRDefault="00000000" w:rsidP="00135058">
      <w:pPr>
        <w:jc w:val="both"/>
      </w:pPr>
      <w:r>
        <w:t>The strongest form of the metaphor permits no clarification during a build epoch. Discovery of an unresolved material ambiguity then produces a documented stop or a failed epoch. If the owner speaks again, a new specification version starts a new epoch. This preserves the author’s distinction between an initial direction and a resident product owner while allowing honest failure. The hypothesis is that some task families can achieve useful completion rates under this rule; frontier capability alone is not a theorem of sufficiency.</w:t>
      </w:r>
    </w:p>
    <w:p w14:paraId="1E59222E" w14:textId="77777777" w:rsidR="00B46A75" w:rsidRDefault="00000000" w:rsidP="00135058">
      <w:pPr>
        <w:pStyle w:val="Caption"/>
        <w:jc w:val="both"/>
      </w:pPr>
      <w:r>
        <w:t>Table 2  Admission policies and protected authority</w:t>
      </w:r>
    </w:p>
    <w:tbl>
      <w:tblPr>
        <w:tblW w:w="0" w:type="auto"/>
        <w:jc w:val="center"/>
        <w:tblLayout w:type="fixed"/>
        <w:tblLook w:val="04A0" w:firstRow="1" w:lastRow="0" w:firstColumn="1" w:lastColumn="0" w:noHBand="0" w:noVBand="1"/>
      </w:tblPr>
      <w:tblGrid>
        <w:gridCol w:w="1440"/>
        <w:gridCol w:w="2952"/>
        <w:gridCol w:w="4765"/>
      </w:tblGrid>
      <w:tr w:rsidR="00B46A75" w14:paraId="2BF75BE7" w14:textId="77777777" w:rsidTr="009008E9">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4EAF0"/>
            <w:tcMar>
              <w:top w:w="85" w:type="dxa"/>
              <w:left w:w="85" w:type="dxa"/>
              <w:bottom w:w="85" w:type="dxa"/>
              <w:right w:w="85" w:type="dxa"/>
            </w:tcMar>
            <w:vAlign w:val="center"/>
          </w:tcPr>
          <w:p w14:paraId="5C8111BB" w14:textId="77777777" w:rsidR="00B46A75" w:rsidRDefault="00000000" w:rsidP="00135058">
            <w:pPr>
              <w:spacing w:after="60" w:line="245" w:lineRule="auto"/>
              <w:jc w:val="both"/>
            </w:pPr>
            <w:r>
              <w:rPr>
                <w:b/>
                <w:sz w:val="19"/>
              </w:rPr>
              <w:t>Policy</w:t>
            </w:r>
          </w:p>
        </w:tc>
        <w:tc>
          <w:tcPr>
            <w:tcW w:w="2952" w:type="dxa"/>
            <w:tcBorders>
              <w:top w:val="single" w:sz="4" w:space="0" w:color="D9D9D9"/>
              <w:left w:val="single" w:sz="4" w:space="0" w:color="D9D9D9"/>
              <w:bottom w:val="single" w:sz="4" w:space="0" w:color="D9D9D9"/>
              <w:right w:val="single" w:sz="4" w:space="0" w:color="D9D9D9"/>
            </w:tcBorders>
            <w:shd w:val="clear" w:color="auto" w:fill="E4EAF0"/>
            <w:tcMar>
              <w:top w:w="85" w:type="dxa"/>
              <w:left w:w="85" w:type="dxa"/>
              <w:bottom w:w="85" w:type="dxa"/>
              <w:right w:w="85" w:type="dxa"/>
            </w:tcMar>
            <w:vAlign w:val="center"/>
          </w:tcPr>
          <w:p w14:paraId="5E9216A9" w14:textId="77777777" w:rsidR="00B46A75" w:rsidRDefault="00000000" w:rsidP="00135058">
            <w:pPr>
              <w:spacing w:after="60" w:line="245" w:lineRule="auto"/>
              <w:jc w:val="both"/>
            </w:pPr>
            <w:r>
              <w:rPr>
                <w:b/>
                <w:sz w:val="19"/>
              </w:rPr>
              <w:t>Protected authority</w:t>
            </w:r>
          </w:p>
        </w:tc>
        <w:tc>
          <w:tcPr>
            <w:tcW w:w="4765" w:type="dxa"/>
            <w:tcBorders>
              <w:top w:val="single" w:sz="4" w:space="0" w:color="D9D9D9"/>
              <w:left w:val="single" w:sz="4" w:space="0" w:color="D9D9D9"/>
              <w:bottom w:val="single" w:sz="4" w:space="0" w:color="D9D9D9"/>
              <w:right w:val="single" w:sz="4" w:space="0" w:color="D9D9D9"/>
            </w:tcBorders>
            <w:shd w:val="clear" w:color="auto" w:fill="E4EAF0"/>
            <w:tcMar>
              <w:top w:w="85" w:type="dxa"/>
              <w:left w:w="85" w:type="dxa"/>
              <w:bottom w:w="85" w:type="dxa"/>
              <w:right w:w="85" w:type="dxa"/>
            </w:tcMar>
            <w:vAlign w:val="center"/>
          </w:tcPr>
          <w:p w14:paraId="257C4888" w14:textId="77777777" w:rsidR="00B46A75" w:rsidRDefault="00000000" w:rsidP="00135058">
            <w:pPr>
              <w:spacing w:after="60" w:line="245" w:lineRule="auto"/>
              <w:jc w:val="both"/>
            </w:pPr>
            <w:r>
              <w:rPr>
                <w:b/>
                <w:sz w:val="19"/>
              </w:rPr>
              <w:t>Required transition evidence</w:t>
            </w:r>
          </w:p>
        </w:tc>
      </w:tr>
      <w:tr w:rsidR="00B46A75" w14:paraId="74083BF8" w14:textId="77777777" w:rsidTr="009008E9">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8D863B" w14:textId="77777777" w:rsidR="00B46A75" w:rsidRDefault="00000000" w:rsidP="00135058">
            <w:pPr>
              <w:spacing w:after="60" w:line="245" w:lineRule="auto"/>
              <w:jc w:val="both"/>
            </w:pPr>
            <w:r>
              <w:rPr>
                <w:sz w:val="19"/>
              </w:rPr>
              <w:t>Sat Ma</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63730F" w14:textId="77777777" w:rsidR="00B46A75" w:rsidRDefault="00000000" w:rsidP="00135058">
            <w:pPr>
              <w:spacing w:after="60" w:line="245" w:lineRule="auto"/>
              <w:jc w:val="both"/>
            </w:pPr>
            <w:r>
              <w:rPr>
                <w:sz w:val="19"/>
              </w:rPr>
              <w:t>Inherited obligations</w:t>
            </w:r>
          </w:p>
        </w:tc>
        <w:tc>
          <w:tcPr>
            <w:tcW w:w="47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41AFF5" w14:textId="77777777" w:rsidR="00B46A75" w:rsidRDefault="00000000" w:rsidP="00135058">
            <w:pPr>
              <w:spacing w:after="60" w:line="245" w:lineRule="auto"/>
              <w:jc w:val="both"/>
            </w:pPr>
            <w:r>
              <w:rPr>
                <w:sz w:val="19"/>
              </w:rPr>
              <w:t>Contract impact review owner and migration evidence</w:t>
            </w:r>
          </w:p>
        </w:tc>
      </w:tr>
      <w:tr w:rsidR="00B46A75" w14:paraId="1049F8D3" w14:textId="77777777" w:rsidTr="009008E9">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AF17D92" w14:textId="77777777" w:rsidR="00B46A75" w:rsidRDefault="00000000" w:rsidP="00135058">
            <w:pPr>
              <w:spacing w:after="60" w:line="245" w:lineRule="auto"/>
              <w:jc w:val="both"/>
            </w:pPr>
            <w:r>
              <w:rPr>
                <w:sz w:val="19"/>
              </w:rPr>
              <w:t>Lethel</w:t>
            </w:r>
          </w:p>
        </w:tc>
        <w:tc>
          <w:tcPr>
            <w:tcW w:w="29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D6B3A36" w14:textId="77777777" w:rsidR="00B46A75" w:rsidRDefault="00000000" w:rsidP="00135058">
            <w:pPr>
              <w:spacing w:after="60" w:line="245" w:lineRule="auto"/>
              <w:jc w:val="both"/>
            </w:pPr>
            <w:r>
              <w:rPr>
                <w:sz w:val="19"/>
              </w:rPr>
              <w:t>Boundary of maintained software</w:t>
            </w:r>
          </w:p>
        </w:tc>
        <w:tc>
          <w:tcPr>
            <w:tcW w:w="4765"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5A4D9F2" w14:textId="77777777" w:rsidR="00B46A75" w:rsidRDefault="00000000" w:rsidP="00135058">
            <w:pPr>
              <w:spacing w:after="60" w:line="245" w:lineRule="auto"/>
              <w:jc w:val="both"/>
            </w:pPr>
            <w:r>
              <w:rPr>
                <w:sz w:val="19"/>
              </w:rPr>
              <w:t>Explicit adoption decision and operational ownership</w:t>
            </w:r>
          </w:p>
        </w:tc>
      </w:tr>
      <w:tr w:rsidR="00B46A75" w14:paraId="16E355C5" w14:textId="77777777" w:rsidTr="009008E9">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DB7D50" w14:textId="77777777" w:rsidR="00B46A75" w:rsidRDefault="00000000" w:rsidP="00135058">
            <w:pPr>
              <w:spacing w:after="60" w:line="245" w:lineRule="auto"/>
              <w:jc w:val="both"/>
            </w:pPr>
            <w:r>
              <w:rPr>
                <w:sz w:val="19"/>
              </w:rPr>
              <w:t>Professor</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63248D" w14:textId="77777777" w:rsidR="00B46A75" w:rsidRDefault="00000000" w:rsidP="00135058">
            <w:pPr>
              <w:spacing w:after="60" w:line="245" w:lineRule="auto"/>
              <w:jc w:val="both"/>
            </w:pPr>
            <w:r>
              <w:rPr>
                <w:sz w:val="19"/>
              </w:rPr>
              <w:t>Reference instrument identity</w:t>
            </w:r>
          </w:p>
        </w:tc>
        <w:tc>
          <w:tcPr>
            <w:tcW w:w="47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7E21CC" w14:textId="77777777" w:rsidR="00B46A75" w:rsidRDefault="00000000" w:rsidP="00135058">
            <w:pPr>
              <w:spacing w:after="60" w:line="245" w:lineRule="auto"/>
              <w:jc w:val="both"/>
            </w:pPr>
            <w:r>
              <w:rPr>
                <w:sz w:val="19"/>
              </w:rPr>
              <w:t>New baseline version and comparative evidence</w:t>
            </w:r>
          </w:p>
        </w:tc>
      </w:tr>
      <w:tr w:rsidR="00B46A75" w14:paraId="0E3F63A0" w14:textId="77777777" w:rsidTr="009008E9">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A5E250F" w14:textId="77777777" w:rsidR="00B46A75" w:rsidRDefault="00000000" w:rsidP="00135058">
            <w:pPr>
              <w:spacing w:after="60" w:line="245" w:lineRule="auto"/>
              <w:jc w:val="both"/>
            </w:pPr>
            <w:r>
              <w:rPr>
                <w:sz w:val="19"/>
              </w:rPr>
              <w:t>Guru</w:t>
            </w:r>
          </w:p>
        </w:tc>
        <w:tc>
          <w:tcPr>
            <w:tcW w:w="29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8C076A7" w14:textId="77777777" w:rsidR="00B46A75" w:rsidRDefault="00000000" w:rsidP="00135058">
            <w:pPr>
              <w:spacing w:after="60" w:line="245" w:lineRule="auto"/>
              <w:jc w:val="both"/>
            </w:pPr>
            <w:r>
              <w:rPr>
                <w:sz w:val="19"/>
              </w:rPr>
              <w:t>Approved specification in a build epoch</w:t>
            </w:r>
          </w:p>
        </w:tc>
        <w:tc>
          <w:tcPr>
            <w:tcW w:w="4765"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A94EC71" w14:textId="77777777" w:rsidR="00B46A75" w:rsidRDefault="00000000" w:rsidP="00135058">
            <w:pPr>
              <w:spacing w:after="60" w:line="245" w:lineRule="auto"/>
              <w:jc w:val="both"/>
            </w:pPr>
            <w:r>
              <w:rPr>
                <w:sz w:val="19"/>
              </w:rPr>
              <w:t>Requirement coverage and amendment or stop record</w:t>
            </w:r>
          </w:p>
        </w:tc>
      </w:tr>
    </w:tbl>
    <w:p w14:paraId="30DDA9EC" w14:textId="77777777" w:rsidR="00B46A75" w:rsidRDefault="00B46A75" w:rsidP="00135058">
      <w:pPr>
        <w:spacing w:after="20"/>
        <w:jc w:val="both"/>
      </w:pPr>
    </w:p>
    <w:p w14:paraId="42CC906F" w14:textId="77777777" w:rsidR="00B46A75" w:rsidRDefault="00000000" w:rsidP="00135058">
      <w:pPr>
        <w:jc w:val="both"/>
      </w:pPr>
      <w:r>
        <w:t>These policies apply to commitments within a project. A Guru-built service can later acquire users and require Sat Ma maintenance. A frozen release may become a Professor baseline. Its experimental successor may begin under Lethel. The transition must be recorded; the existence of a new policy does not erase earlier obligations.</w:t>
      </w:r>
    </w:p>
    <w:p w14:paraId="3CCDDA07" w14:textId="77777777" w:rsidR="00B46A75" w:rsidRDefault="00000000" w:rsidP="00135058">
      <w:pPr>
        <w:pStyle w:val="Heading1"/>
        <w:jc w:val="both"/>
      </w:pPr>
      <w:r>
        <w:t>4 Formal model of conformance and acceptance</w:t>
      </w:r>
    </w:p>
    <w:p w14:paraId="40320101" w14:textId="77777777" w:rsidR="00B46A75" w:rsidRDefault="00000000" w:rsidP="00135058">
      <w:pPr>
        <w:pStyle w:val="Heading2"/>
        <w:jc w:val="both"/>
      </w:pPr>
      <w:r>
        <w:t>4 1 Objects and observable evidence</w:t>
      </w:r>
    </w:p>
    <w:p w14:paraId="595D619F" w14:textId="77777777" w:rsidR="00B46A75" w:rsidRDefault="00000000" w:rsidP="00135058">
      <w:pPr>
        <w:jc w:val="both"/>
      </w:pPr>
      <w:r>
        <w:t>Fix a deployment domain Ω, an environment distribution μ, and a stakeholder assessment procedure. Let P be the space of candidate implementations, including relevant configuration. Let I ⊆ P denote implementations acceptable under that procedure and domain. This idealised set is held fixed for each analysis; disagreements or changing intent require a revised assessment, not an assumption that intent is perfectly knowable.</w:t>
      </w:r>
    </w:p>
    <w:p w14:paraId="6E76FDEE" w14:textId="77777777" w:rsidR="00B46A75" w:rsidRDefault="00000000" w:rsidP="00135058">
      <w:pPr>
        <w:jc w:val="both"/>
      </w:pPr>
      <w:r>
        <w:t xml:space="preserve">A specification S has semantic obligations r₁ through rₙ. Define A = Sat(S) as the implementations satisfying every obligation in Ω. Semantic satisfaction need not be decidable. A practical evidence suite T produces an acceptance decision B(C), using automated tests, proof checks, expert review, or operating </w:t>
      </w:r>
      <w:r>
        <w:lastRenderedPageBreak/>
        <w:t>observations. Passing B is evidence about A and I, not their definition. This separation prevents green tests from becoming truth by notation.</w:t>
      </w:r>
    </w:p>
    <w:p w14:paraId="65F88640" w14:textId="77777777" w:rsidR="00B46A75" w:rsidRDefault="00000000" w:rsidP="00135058">
      <w:pPr>
        <w:jc w:val="both"/>
      </w:pPr>
      <w:r>
        <w:t>Let G depend on S, the model, harness, tools, context, and execution budget. It induces a distribution over implementations C. For e &gt; 0 define:</w:t>
      </w:r>
    </w:p>
    <w:p w14:paraId="0A432995" w14:textId="77777777" w:rsidR="00B46A75" w:rsidRDefault="00000000" w:rsidP="009008E9">
      <w:pPr>
        <w:jc w:val="center"/>
      </w:pPr>
      <w:r>
        <w:rPr>
          <w:rFonts w:ascii="Cambria Math" w:hAnsi="Cambria Math"/>
        </w:rPr>
        <w:t>e = Pr(C ∈ A)     q = Pr(C ∈ I | C ∈ A)     ε = Pr(C ∈ I and C ∉ A)     (1)</w:t>
      </w:r>
    </w:p>
    <w:p w14:paraId="4D9EF4EC" w14:textId="77777777" w:rsidR="00B46A75" w:rsidRDefault="00000000" w:rsidP="009008E9">
      <w:pPr>
        <w:jc w:val="center"/>
      </w:pPr>
      <w:r>
        <w:rPr>
          <w:rFonts w:ascii="Cambria Math" w:hAnsi="Cambria Math"/>
        </w:rPr>
        <w:t>p = Pr(C ∈ I) = e q + ε.     (2)</w:t>
      </w:r>
    </w:p>
    <w:p w14:paraId="6626D9A0" w14:textId="77777777" w:rsidR="00B46A75" w:rsidRDefault="00000000" w:rsidP="00135058">
      <w:pPr>
        <w:jc w:val="both"/>
      </w:pPr>
      <w:r>
        <w:t>Equation 2 follows by partitioning I according to membership in A. If e = 0, q is undefined and the product is replaced by Pr(C ∈ I ∩ A) = 0. The quantity ε records acceptable deviations from a defective or overly restrictive specification. It should trigger review of the specification rather than reward silent disobedience.</w:t>
      </w:r>
    </w:p>
    <w:p w14:paraId="7B77AB6F" w14:textId="77777777" w:rsidR="00B46A75" w:rsidRDefault="00000000" w:rsidP="00135058">
      <w:pPr>
        <w:jc w:val="both"/>
      </w:pPr>
      <w:r>
        <w:t>Adequacy q depends on G as well as S and I. A new model can satisfy the written obligations more often while exploiting freedoms that stakeholders dislike. Measured test pass rate is not e unless the evidence suite perfectly identifies A; held-out stakeholder assessments estimate acceptance under the chosen domain rather than universal correctness. We therefore report observable estimates separately from these latent quantities.</w:t>
      </w:r>
    </w:p>
    <w:p w14:paraId="38F8B923" w14:textId="77777777" w:rsidR="00B46A75" w:rsidRDefault="00000000" w:rsidP="00135058">
      <w:pPr>
        <w:pStyle w:val="Heading2"/>
        <w:jc w:val="both"/>
      </w:pPr>
      <w:r>
        <w:t>4 2 Proposition 1 on investment decisions</w:t>
      </w:r>
    </w:p>
    <w:p w14:paraId="38E33846" w14:textId="77777777" w:rsidR="00B46A75" w:rsidRDefault="00000000" w:rsidP="00135058">
      <w:pPr>
        <w:jc w:val="both"/>
      </w:pPr>
      <w:r>
        <w:t>Suppose interventions change e and q independently, keep ε fixed, and cost cₑ and c_q per unit increase respectively. Then an infinitesimal investment in adequacy yields a greater increase in p per unit cost than an investment in fidelity exactly when e/c_q &gt; q/cₑ. Proof: the two marginal returns from Equation 2 are e/c_q and q/cₑ. The familiar rule e &gt; q follows only for equal costs under these independence assumptions.</w:t>
      </w:r>
    </w:p>
    <w:p w14:paraId="7FF2B6FC" w14:textId="77777777" w:rsidR="00B46A75" w:rsidRDefault="00000000" w:rsidP="00135058">
      <w:pPr>
        <w:jc w:val="both"/>
      </w:pPr>
      <w:r>
        <w:t>For an actual intervention j with finite changes, the exact increment is Δpⱼ = qΔeⱼ + eΔqⱼ + ΔeⱼΔqⱼ + Δεⱼ. Compare this increment with its measured cost. Model upgrades and specification refinements generally affect both e and q, so the equal-cost derivative rule cannot rank them without intervention data. This corrects a stronger inference in version 1.</w:t>
      </w:r>
    </w:p>
    <w:p w14:paraId="1D62CE6C" w14:textId="77777777" w:rsidR="00B46A75" w:rsidRDefault="00000000" w:rsidP="00135058">
      <w:pPr>
        <w:pStyle w:val="Heading2"/>
        <w:jc w:val="both"/>
      </w:pPr>
      <w:r>
        <w:t>4 3 Proposition 2 on regeneration risk</w:t>
      </w:r>
    </w:p>
    <w:p w14:paraId="7295B5DC" w14:textId="77777777" w:rsidR="00B46A75" w:rsidRDefault="00000000" w:rsidP="00135058">
      <w:pPr>
        <w:jc w:val="both"/>
      </w:pPr>
      <w:r>
        <w:t>Conditional on conformance, regeneration is acceptable almost surely if and only if q = 1. Proof: the conditional probability of a conforming but unacceptable draw is 1 − q. For a discrete generator this is equivalent to every conforming output with positive probability belonging to I. In general probability spaces, almost-sure acceptance does not imply that every point in a topological support is acceptable; a zero-probability exceptional point can lie in that support.</w:t>
      </w:r>
    </w:p>
    <w:p w14:paraId="746EB4B3" w14:textId="77777777" w:rsidR="00B46A75" w:rsidRDefault="00000000" w:rsidP="00135058">
      <w:pPr>
        <w:jc w:val="both"/>
      </w:pPr>
      <w:r>
        <w:t>Unconditional regeneration additionally requires sufficient e and a treatment of ε. If release accepts only conforming outputs, q describes residual intent risk among those outputs. If release accepts on B instead, the relevant quantity is r_B = Pr(C ∉ I | B(C) = pass). Neither q nor r_B is fixed by the specification alone, and both must be reconsidered after a model, harness, or deployment-domain change.</w:t>
      </w:r>
    </w:p>
    <w:p w14:paraId="561739ED" w14:textId="77777777" w:rsidR="00B46A75" w:rsidRDefault="00000000" w:rsidP="00135058">
      <w:pPr>
        <w:jc w:val="both"/>
      </w:pPr>
      <w:r>
        <w:rPr>
          <w:rFonts w:ascii="Cambria Math" w:hAnsi="Cambria Math"/>
        </w:rPr>
        <w:t>Pr(at least one unacceptable release in m independent releases) = 1 − (1 − r_B)ᵐ.     (3)</w:t>
      </w:r>
    </w:p>
    <w:p w14:paraId="54161F86" w14:textId="77777777" w:rsidR="00B46A75" w:rsidRDefault="00000000" w:rsidP="00135058">
      <w:pPr>
        <w:jc w:val="both"/>
      </w:pPr>
      <w:r>
        <w:t xml:space="preserve">Equation 3 assumes identical independent accepted-release draws. Without independence, a union bound gives at most the sum of the individual residual risks. Under an illustrative r_B = 0.01 and m = 100, the independent probability is about 0.634. This arithmetic is a sensitivity example, not an </w:t>
      </w:r>
      <w:r>
        <w:lastRenderedPageBreak/>
        <w:t>observed software failure rate. Local regeneration behind retained interfaces can therefore be rational even when unrestricted whole-system regeneration is not.</w:t>
      </w:r>
    </w:p>
    <w:p w14:paraId="6FC43D21" w14:textId="77777777" w:rsidR="00B46A75" w:rsidRDefault="00000000" w:rsidP="00135058">
      <w:pPr>
        <w:pStyle w:val="Heading2"/>
        <w:jc w:val="both"/>
      </w:pPr>
      <w:r>
        <w:t>4 4 Lemma on evidence indistinguishability</w:t>
      </w:r>
    </w:p>
    <w:p w14:paraId="566A18F1" w14:textId="77777777" w:rsidR="00B46A75" w:rsidRDefault="00000000" w:rsidP="00135058">
      <w:pPr>
        <w:jc w:val="both"/>
      </w:pPr>
      <w:r>
        <w:t>Suppose C_good ∈ I and C_bad ∉ I produce exactly the same complete evidence record under T. A decision rule using only that record cannot accept one and reject the other. Proof: identical inputs to the rule yield the same decision, or the same decision distribution if the rule randomises. To distinguish the implementations, one must add evidence, narrow the domain, or change the acceptance policy.</w:t>
      </w:r>
    </w:p>
    <w:p w14:paraId="3F4BBC6D" w14:textId="77777777" w:rsidR="00B46A75" w:rsidRDefault="00000000" w:rsidP="00135058">
      <w:pPr>
        <w:jc w:val="both"/>
      </w:pPr>
      <w:r>
        <w:t>The lemma identifies a limit of an evidence boundary, not a limit unique to automated testing. Expert inspection, operational monitoring, and formal proof can enlarge the evidence record. Structured natural language such as EARS can improve expression [12], but syntax alone does not add a proof that the implementation fulfils intent. Human judgement is evidence with its own scope and error, rather than an infallible escape from the lemma.</w:t>
      </w:r>
    </w:p>
    <w:p w14:paraId="57888A7F" w14:textId="77777777" w:rsidR="00B46A75" w:rsidRDefault="00000000" w:rsidP="00135058">
      <w:pPr>
        <w:pStyle w:val="Heading1"/>
        <w:jc w:val="both"/>
      </w:pPr>
      <w:r>
        <w:t>5 Drift with damage and repair</w:t>
      </w:r>
    </w:p>
    <w:p w14:paraId="2C360F5E" w14:textId="77777777" w:rsidR="00B46A75" w:rsidRDefault="00000000" w:rsidP="00135058">
      <w:pPr>
        <w:jc w:val="both"/>
      </w:pPr>
      <w:r>
        <w:t>Version 1 used an accumulating-breakage model that drives unchecked obligations toward certain failure. That conclusion requires absorbing failures and no repair. Real teams review, detect, and repair problems, including obligations without automated tests. A two-state model makes those assumptions visible.</w:t>
      </w:r>
    </w:p>
    <w:p w14:paraId="30F84BD6" w14:textId="77777777" w:rsidR="00B46A75" w:rsidRDefault="00000000" w:rsidP="00135058">
      <w:pPr>
        <w:jc w:val="both"/>
      </w:pPr>
      <w:r>
        <w:t>For obligation i let dᵢ,t be the probability it is violated after release t. Let λᵢ be the probability that a satisfied obligation becomes violated during the next release, and ρᵢ the probability that a violated obligation returns to satisfaction. These are net transition probabilities under the workflow; detection alone is not repair. With stable probabilities:</w:t>
      </w:r>
    </w:p>
    <w:p w14:paraId="40821D8B" w14:textId="77777777" w:rsidR="00B46A75" w:rsidRDefault="00000000" w:rsidP="009008E9">
      <w:pPr>
        <w:jc w:val="center"/>
      </w:pPr>
      <w:r>
        <w:rPr>
          <w:rFonts w:ascii="Cambria Math" w:hAnsi="Cambria Math"/>
        </w:rPr>
        <w:t>dᵢ,t+1 = λᵢ + (1 − λᵢ − ρᵢ)dᵢ,t.     (4)</w:t>
      </w:r>
    </w:p>
    <w:p w14:paraId="5AB43E4D" w14:textId="77777777" w:rsidR="00B46A75" w:rsidRDefault="00000000" w:rsidP="009008E9">
      <w:pPr>
        <w:jc w:val="center"/>
      </w:pPr>
      <w:r>
        <w:rPr>
          <w:rFonts w:ascii="Cambria Math" w:hAnsi="Cambria Math"/>
        </w:rPr>
        <w:t>dᵢ,* = λᵢ/(λᵢ + ρᵢ)     when λᵢ + ρᵢ &gt; 0.     (5)</w:t>
      </w:r>
    </w:p>
    <w:p w14:paraId="4FC703E3" w14:textId="77777777" w:rsidR="00B46A75" w:rsidRDefault="00000000" w:rsidP="00135058">
      <w:pPr>
        <w:jc w:val="both"/>
      </w:pPr>
      <w:r>
        <w:t>Proposition 3. If 0 &lt; λᵢ + ρᵢ &lt; 2, the recurrence converges to Equation 5, with dᵢ,t = dᵢ,* + (dᵢ,0 − dᵢ,*)(1 − λᵢ − ρᵢ)ᵗ. Proof: subtract the fixed point from both sides of Equation 4 and iterate. At λᵢ = ρᵢ = 0 the state persists; at λᵢ = ρᵢ = 1 the state alternates and generally does not converge. If ρᵢ = 0 and λᵢ &gt; 0, the accumulating-breakage model is recovered.</w:t>
      </w:r>
    </w:p>
    <w:p w14:paraId="20ECF53B" w14:textId="77777777" w:rsidR="00B46A75" w:rsidRDefault="00000000" w:rsidP="00135058">
      <w:pPr>
        <w:jc w:val="both"/>
      </w:pPr>
      <w:r>
        <w:t>A merge gate can reduce λᵢ. Review and monitoring can increase ρᵢ even when no executable acceptance predicate exists. Conversely, a weak automated test may change neither parameter materially. The fraction φ of criteria linked to executable tests measures binding coverage, not semantic correctness or a universal drift bound. Risk-weighted coverage should accompany raw counts so that many trivial checks cannot hide one unchecked critical obligation.</w:t>
      </w:r>
    </w:p>
    <w:p w14:paraId="3D88A323" w14:textId="77777777" w:rsidR="00B46A75" w:rsidRDefault="00000000" w:rsidP="00135058">
      <w:pPr>
        <w:jc w:val="both"/>
      </w:pPr>
      <w:r>
        <w:t>For weights wᵢ ≥ 0 summing to one, expected drift is Dₜ = Σᵢ wᵢdᵢ,t. As an illustrative calculation, λ = 0.02 and ρ = 0.18 give stationary violation probability 0.10; increasing repair to 0.38 gives 0.05. These values are stipulated. A longitudinal study must estimate transitions, report uncertain observations, and test whether stable-rate assumptions fit before using this model predictively.</w:t>
      </w:r>
    </w:p>
    <w:p w14:paraId="3DE7533A" w14:textId="77777777" w:rsidR="00B46A75" w:rsidRDefault="00000000" w:rsidP="00135058">
      <w:pPr>
        <w:pStyle w:val="Heading1"/>
        <w:jc w:val="both"/>
      </w:pPr>
      <w:r>
        <w:t>6 The authority graph and admission protocol</w:t>
      </w:r>
    </w:p>
    <w:p w14:paraId="6E70A5EB" w14:textId="77777777" w:rsidR="00B46A75" w:rsidRDefault="00000000" w:rsidP="00135058">
      <w:pPr>
        <w:jc w:val="both"/>
      </w:pPr>
      <w:r>
        <w:t xml:space="preserve">We propose an authority graph whose nodes are immutable versions of requirements, decisions, assumptions, implementation artifacts, evidence records, reference instruments, environments, and releases. Typed edges record relations such as implements, evaluates, approves, depends on, </w:t>
      </w:r>
      <w:r>
        <w:lastRenderedPageBreak/>
        <w:t>supersedes, and admitted under. A test result evaluates a particular artifact version under a particular environment; it does not approve an unspecified future artifact.</w:t>
      </w:r>
    </w:p>
    <w:p w14:paraId="729A1E01" w14:textId="77777777" w:rsidR="00B46A75" w:rsidRDefault="00000000" w:rsidP="00135058">
      <w:pPr>
        <w:jc w:val="both"/>
      </w:pPr>
      <w:r>
        <w:t>Each requirement separates normative basis from provenance. A statement inferred from code is observed behaviour until an authorised decision adopts it as intended. Drafting, editing, and approval are separate events rather than mutually exclusive labels. An AI-drafted requirement can later be human-approved without losing its drafting history. Confidence, ownership, and applicability are also separate fields.</w:t>
      </w:r>
    </w:p>
    <w:p w14:paraId="1D7E1376" w14:textId="77777777" w:rsidR="00B46A75" w:rsidRDefault="00000000" w:rsidP="00135058">
      <w:pPr>
        <w:jc w:val="both"/>
      </w:pPr>
      <w:r>
        <w:t>The proposed admission invariant is that every released maintained artifact has an explicit admission decision binding its version to a governing requirement version, an accountable owner or approved delegation, applicable evidence, and any accepted exceptions. Cryptographic hashes can detect byte changes, but cannot validate a mistaken requirement. Accountability may be delegated by policy; the graph records the delegation rather than forcing a manual signature on every low-risk change.</w:t>
      </w:r>
    </w:p>
    <w:p w14:paraId="08BD5C87" w14:textId="77777777" w:rsidR="00B46A75" w:rsidRDefault="00000000" w:rsidP="00135058">
      <w:pPr>
        <w:pStyle w:val="Caption"/>
        <w:jc w:val="both"/>
      </w:pPr>
      <w:r>
        <w:t>Table 3  Compact admission record</w:t>
      </w:r>
    </w:p>
    <w:tbl>
      <w:tblPr>
        <w:tblW w:w="0" w:type="auto"/>
        <w:jc w:val="center"/>
        <w:tblLayout w:type="fixed"/>
        <w:tblLook w:val="04A0" w:firstRow="1" w:lastRow="0" w:firstColumn="1" w:lastColumn="0" w:noHBand="0" w:noVBand="1"/>
      </w:tblPr>
      <w:tblGrid>
        <w:gridCol w:w="2376"/>
        <w:gridCol w:w="5789"/>
      </w:tblGrid>
      <w:tr w:rsidR="00B46A75" w14:paraId="43049E3A" w14:textId="77777777" w:rsidTr="009008E9">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4EAF0"/>
            <w:tcMar>
              <w:top w:w="85" w:type="dxa"/>
              <w:left w:w="85" w:type="dxa"/>
              <w:bottom w:w="85" w:type="dxa"/>
              <w:right w:w="85" w:type="dxa"/>
            </w:tcMar>
            <w:vAlign w:val="center"/>
          </w:tcPr>
          <w:p w14:paraId="63936588" w14:textId="77777777" w:rsidR="00B46A75" w:rsidRDefault="00000000" w:rsidP="00135058">
            <w:pPr>
              <w:spacing w:after="60" w:line="245" w:lineRule="auto"/>
              <w:jc w:val="both"/>
            </w:pPr>
            <w:r>
              <w:rPr>
                <w:b/>
                <w:sz w:val="19"/>
              </w:rPr>
              <w:t>Field</w:t>
            </w:r>
          </w:p>
        </w:tc>
        <w:tc>
          <w:tcPr>
            <w:tcW w:w="5789" w:type="dxa"/>
            <w:tcBorders>
              <w:top w:val="single" w:sz="4" w:space="0" w:color="D9D9D9"/>
              <w:left w:val="single" w:sz="4" w:space="0" w:color="D9D9D9"/>
              <w:bottom w:val="single" w:sz="4" w:space="0" w:color="D9D9D9"/>
              <w:right w:val="single" w:sz="4" w:space="0" w:color="D9D9D9"/>
            </w:tcBorders>
            <w:shd w:val="clear" w:color="auto" w:fill="E4EAF0"/>
            <w:tcMar>
              <w:top w:w="85" w:type="dxa"/>
              <w:left w:w="85" w:type="dxa"/>
              <w:bottom w:w="85" w:type="dxa"/>
              <w:right w:w="85" w:type="dxa"/>
            </w:tcMar>
            <w:vAlign w:val="center"/>
          </w:tcPr>
          <w:p w14:paraId="28AAFEFB" w14:textId="77777777" w:rsidR="00B46A75" w:rsidRDefault="00000000" w:rsidP="00135058">
            <w:pPr>
              <w:spacing w:after="60" w:line="245" w:lineRule="auto"/>
              <w:jc w:val="both"/>
            </w:pPr>
            <w:r>
              <w:rPr>
                <w:b/>
                <w:sz w:val="19"/>
              </w:rPr>
              <w:t>Required meaning</w:t>
            </w:r>
          </w:p>
        </w:tc>
      </w:tr>
      <w:tr w:rsidR="00B46A75" w14:paraId="215ED962" w14:textId="77777777" w:rsidTr="009008E9">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36F602" w14:textId="77777777" w:rsidR="00B46A75" w:rsidRDefault="00000000" w:rsidP="00135058">
            <w:pPr>
              <w:spacing w:after="60" w:line="245" w:lineRule="auto"/>
              <w:jc w:val="both"/>
            </w:pPr>
            <w:r>
              <w:rPr>
                <w:sz w:val="19"/>
              </w:rPr>
              <w:t>Artifact and environment</w:t>
            </w:r>
          </w:p>
        </w:tc>
        <w:tc>
          <w:tcPr>
            <w:tcW w:w="578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886387" w14:textId="77777777" w:rsidR="00B46A75" w:rsidRDefault="00000000" w:rsidP="00135058">
            <w:pPr>
              <w:spacing w:after="60" w:line="245" w:lineRule="auto"/>
              <w:jc w:val="both"/>
            </w:pPr>
            <w:r>
              <w:rPr>
                <w:sz w:val="19"/>
              </w:rPr>
              <w:t>Exact revision digest dependencies and runtime identity</w:t>
            </w:r>
          </w:p>
        </w:tc>
      </w:tr>
      <w:tr w:rsidR="00B46A75" w14:paraId="72ABDE59" w14:textId="77777777" w:rsidTr="009008E9">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EC645F0" w14:textId="77777777" w:rsidR="00B46A75" w:rsidRDefault="00000000" w:rsidP="00135058">
            <w:pPr>
              <w:spacing w:after="60" w:line="245" w:lineRule="auto"/>
              <w:jc w:val="both"/>
            </w:pPr>
            <w:r>
              <w:rPr>
                <w:sz w:val="19"/>
              </w:rPr>
              <w:t>Normative basis</w:t>
            </w:r>
          </w:p>
        </w:tc>
        <w:tc>
          <w:tcPr>
            <w:tcW w:w="5789"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775F104" w14:textId="77777777" w:rsidR="00B46A75" w:rsidRDefault="00000000" w:rsidP="00135058">
            <w:pPr>
              <w:spacing w:after="60" w:line="245" w:lineRule="auto"/>
              <w:jc w:val="both"/>
            </w:pPr>
            <w:r>
              <w:rPr>
                <w:sz w:val="19"/>
              </w:rPr>
              <w:t>Approved requirement versions and applicability domain</w:t>
            </w:r>
          </w:p>
        </w:tc>
      </w:tr>
      <w:tr w:rsidR="00B46A75" w14:paraId="5F8DC915" w14:textId="77777777" w:rsidTr="009008E9">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7DE981" w14:textId="77777777" w:rsidR="00B46A75" w:rsidRDefault="00000000" w:rsidP="00135058">
            <w:pPr>
              <w:spacing w:after="60" w:line="245" w:lineRule="auto"/>
              <w:jc w:val="both"/>
            </w:pPr>
            <w:r>
              <w:rPr>
                <w:sz w:val="19"/>
              </w:rPr>
              <w:t>Policy and ownership</w:t>
            </w:r>
          </w:p>
        </w:tc>
        <w:tc>
          <w:tcPr>
            <w:tcW w:w="578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73C65D" w14:textId="77777777" w:rsidR="00B46A75" w:rsidRDefault="00000000" w:rsidP="00135058">
            <w:pPr>
              <w:spacing w:after="60" w:line="245" w:lineRule="auto"/>
              <w:jc w:val="both"/>
            </w:pPr>
            <w:r>
              <w:rPr>
                <w:sz w:val="19"/>
              </w:rPr>
              <w:t>Sat Ma Lethel Professor or Guru and accountable owner</w:t>
            </w:r>
          </w:p>
        </w:tc>
      </w:tr>
      <w:tr w:rsidR="00B46A75" w14:paraId="44BBD0F8" w14:textId="77777777" w:rsidTr="009008E9">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D6808AA" w14:textId="77777777" w:rsidR="00B46A75" w:rsidRDefault="00000000" w:rsidP="00135058">
            <w:pPr>
              <w:spacing w:after="60" w:line="245" w:lineRule="auto"/>
              <w:jc w:val="both"/>
            </w:pPr>
            <w:r>
              <w:rPr>
                <w:sz w:val="19"/>
              </w:rPr>
              <w:t>Evidence</w:t>
            </w:r>
          </w:p>
        </w:tc>
        <w:tc>
          <w:tcPr>
            <w:tcW w:w="5789"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B213A05" w14:textId="77777777" w:rsidR="00B46A75" w:rsidRDefault="00000000" w:rsidP="00135058">
            <w:pPr>
              <w:spacing w:after="60" w:line="245" w:lineRule="auto"/>
              <w:jc w:val="both"/>
            </w:pPr>
            <w:r>
              <w:rPr>
                <w:sz w:val="19"/>
              </w:rPr>
              <w:t>Result method evaluator scope time and evaluated revision</w:t>
            </w:r>
          </w:p>
        </w:tc>
      </w:tr>
      <w:tr w:rsidR="00B46A75" w14:paraId="002544C1" w14:textId="77777777" w:rsidTr="009008E9">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4C9D5F" w14:textId="77777777" w:rsidR="00B46A75" w:rsidRDefault="00000000" w:rsidP="00135058">
            <w:pPr>
              <w:spacing w:after="60" w:line="245" w:lineRule="auto"/>
              <w:jc w:val="both"/>
            </w:pPr>
            <w:r>
              <w:rPr>
                <w:sz w:val="19"/>
              </w:rPr>
              <w:t>Decision</w:t>
            </w:r>
          </w:p>
        </w:tc>
        <w:tc>
          <w:tcPr>
            <w:tcW w:w="578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3E3934" w14:textId="77777777" w:rsidR="00B46A75" w:rsidRDefault="00000000" w:rsidP="00135058">
            <w:pPr>
              <w:spacing w:after="60" w:line="245" w:lineRule="auto"/>
              <w:jc w:val="both"/>
            </w:pPr>
            <w:r>
              <w:rPr>
                <w:sz w:val="19"/>
              </w:rPr>
              <w:t>Accept reject or defer with authority and rationale</w:t>
            </w:r>
          </w:p>
        </w:tc>
      </w:tr>
      <w:tr w:rsidR="00B46A75" w14:paraId="22AB69DE" w14:textId="77777777" w:rsidTr="009008E9">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0CB50D1" w14:textId="77777777" w:rsidR="00B46A75" w:rsidRDefault="00000000" w:rsidP="00135058">
            <w:pPr>
              <w:spacing w:after="60" w:line="245" w:lineRule="auto"/>
              <w:jc w:val="both"/>
            </w:pPr>
            <w:r>
              <w:rPr>
                <w:sz w:val="19"/>
              </w:rPr>
              <w:t>Exceptions and dependencies</w:t>
            </w:r>
          </w:p>
        </w:tc>
        <w:tc>
          <w:tcPr>
            <w:tcW w:w="5789"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2E83E51" w14:textId="77777777" w:rsidR="00B46A75" w:rsidRDefault="00000000" w:rsidP="00135058">
            <w:pPr>
              <w:spacing w:after="60" w:line="245" w:lineRule="auto"/>
              <w:jc w:val="both"/>
            </w:pPr>
            <w:r>
              <w:rPr>
                <w:sz w:val="19"/>
              </w:rPr>
              <w:t>Residual issues expiry triggers and inherited obligations</w:t>
            </w:r>
          </w:p>
        </w:tc>
      </w:tr>
    </w:tbl>
    <w:p w14:paraId="25092539" w14:textId="77777777" w:rsidR="00B46A75" w:rsidRDefault="00B46A75" w:rsidP="00135058">
      <w:pPr>
        <w:spacing w:after="20"/>
        <w:jc w:val="both"/>
      </w:pPr>
    </w:p>
    <w:p w14:paraId="6AE5AF55" w14:textId="77777777" w:rsidR="00B46A75" w:rsidRDefault="00000000" w:rsidP="00135058">
      <w:pPr>
        <w:jc w:val="both"/>
      </w:pPr>
      <w:r>
        <w:t>A candidate first receives a policy and bounded task. The agent produces an artifact and evidence references. The gate checks identity, requirement coverage, stale evidence, unresolved ambiguity, and applicable approval rules. It then records accept, reject, or defer. An accepted artifact can enter a release manifest. Admission remains provisional with respect to its declared operating domain; later evidence can trigger restriction, rollback, or supersession without erasing the earlier decision.</w:t>
      </w:r>
    </w:p>
    <w:p w14:paraId="08842F7E" w14:textId="77777777" w:rsidR="00B46A75" w:rsidRDefault="00000000" w:rsidP="00135058">
      <w:pPr>
        <w:jc w:val="both"/>
      </w:pPr>
      <w:r>
        <w:t>This architecture does not require a graph database. Repository files with stable identifiers and validation scripts can implement an initial version. A hosted platform adds value if it makes cross-repository identity, approval, and evidence retrieval easier without losing portability. The proposed graph is a logical data model whose storage can be selected independently.</w:t>
      </w:r>
    </w:p>
    <w:p w14:paraId="521E9F8F" w14:textId="77777777" w:rsidR="00B46A75" w:rsidRDefault="00000000" w:rsidP="00135058">
      <w:pPr>
        <w:pStyle w:val="Heading2"/>
        <w:jc w:val="both"/>
      </w:pPr>
      <w:r>
        <w:t>6 1 A fixed specification with an evolving working state</w:t>
      </w:r>
    </w:p>
    <w:p w14:paraId="7BDBFFEC" w14:textId="77777777" w:rsidR="00B46A75" w:rsidRDefault="00000000" w:rsidP="00135058">
      <w:pPr>
        <w:jc w:val="both"/>
      </w:pPr>
      <w:r>
        <w:t>For a Guru epoch v, keep the approved specification Sᵥ immutable and let the working state Xₜ contain plans, code, tests, observations, and unresolved issues. The agent iterates Xₜ₊₁ = F(Xₜ, Sᵥ, observationₜ). This loop can revise implementation plans within delegated freedom. It has no authority to revise Sᵥ. An amendment ends the epoch and creates Sᵥ₊₁.</w:t>
      </w:r>
    </w:p>
    <w:p w14:paraId="41F5EBCF" w14:textId="77777777" w:rsidR="00B46A75" w:rsidRDefault="00000000" w:rsidP="00135058">
      <w:pPr>
        <w:jc w:val="both"/>
      </w:pPr>
      <w:r>
        <w:t xml:space="preserve">The harness should protect the approved record, preserve progress, and keep acceptance evidence separate from the generator’s completion claims. Access control is stronger than a prompt asking the agent not to change a file. However, enforcement of artifact immutability does not prove semantic </w:t>
      </w:r>
      <w:r>
        <w:lastRenderedPageBreak/>
        <w:t>obedience: an implementation can violate an unchanged specification. Independent evidence is still needed.</w:t>
      </w:r>
    </w:p>
    <w:p w14:paraId="12642D68" w14:textId="77777777" w:rsidR="00B46A75" w:rsidRDefault="00000000" w:rsidP="00135058">
      <w:pPr>
        <w:jc w:val="both"/>
      </w:pPr>
      <w:r>
        <w:t>Specification change also invalidates evidence selectively. A change to an allowable stress limit should invalidate relevant design checks; an editorial correction need not invalidate unrelated tests. The affected dependency closure identifies candidates for reevaluation, while the dependency model itself requires review. Missing edges can make an apparently precise impact analysis incomplete.</w:t>
      </w:r>
    </w:p>
    <w:p w14:paraId="282EB404" w14:textId="77777777" w:rsidR="00B46A75" w:rsidRDefault="00000000" w:rsidP="00135058">
      <w:pPr>
        <w:pStyle w:val="Heading1"/>
        <w:jc w:val="both"/>
      </w:pPr>
      <w:r>
        <w:t>7 Worked construction engineering example</w:t>
      </w:r>
    </w:p>
    <w:p w14:paraId="22BCD100" w14:textId="77777777" w:rsidR="00B46A75" w:rsidRDefault="00000000" w:rsidP="00135058">
      <w:pPr>
        <w:jc w:val="both"/>
      </w:pPr>
      <w:r>
        <w:t>Consider a bounded steel-member calculation service receiving axial force N in newtons, cross-sectional area A in square millimetres, and a project-approved allowable stress σ_allow in newtons per square millimetre. The example is deliberately a scalar service. It excludes buckling, bending, fatigue, connection design, and all claims of compliance with a named design code. It illustrates software governance rather than a complete member design method.</w:t>
      </w:r>
    </w:p>
    <w:p w14:paraId="40AAB4C8" w14:textId="77777777" w:rsidR="00B46A75" w:rsidRDefault="00000000" w:rsidP="009008E9">
      <w:pPr>
        <w:jc w:val="center"/>
      </w:pPr>
      <w:r>
        <w:rPr>
          <w:rFonts w:ascii="Cambria Math" w:hAnsi="Cambria Math"/>
        </w:rPr>
        <w:t>σ = |N|/A     u = σ/σ_allow     accept scalar check if u ≤ 1.     (6)</w:t>
      </w:r>
    </w:p>
    <w:p w14:paraId="6FE636F1" w14:textId="77777777" w:rsidR="00B46A75" w:rsidRDefault="00000000" w:rsidP="00135058">
      <w:pPr>
        <w:jc w:val="both"/>
      </w:pPr>
      <w:r>
        <w:t>The Guru specification fixes units, valid finite inputs, A &gt; 0, σ_allow &gt; 0, response fields, boundary comparison policy, error responses, and the excluded domain. It delegates internal data structures and implementation language only within approved integration constraints. It also states whether compression is rejected or handled by magnitude. That decision cannot be inferred safely from the absolute-value formula alone.</w:t>
      </w:r>
    </w:p>
    <w:p w14:paraId="6DD6B708" w14:textId="77777777" w:rsidR="00B46A75" w:rsidRDefault="00000000" w:rsidP="00135058">
      <w:pPr>
        <w:jc w:val="both"/>
      </w:pPr>
      <w:r>
        <w:t>A Lethel script explores a legacy spreadsheet and discovers that an empty area cell is treated as zero demand. Its report is evidence of observed behaviour, not permission to carry that behaviour forward. Sat Ma governs the adapter that existing users call: changing an error contract requires a migration decision. The Professor preserves the old spreadsheet, runtime, sample inputs, and known defect record for comparison. It is a regression baseline for historical behaviour, not an oracle for engineering correctness.</w:t>
      </w:r>
    </w:p>
    <w:p w14:paraId="613894EE" w14:textId="77777777" w:rsidR="00B46A75" w:rsidRDefault="00000000" w:rsidP="00135058">
      <w:pPr>
        <w:jc w:val="both"/>
      </w:pPr>
      <w:r>
        <w:t>Use an independently calculated example with N = 100000 N, A = 1000 mm², and σ_allow = 150 N/mm². The expected stress is 100 N/mm² and utilisation is 2/3. A second representation N = 100 kN must be rejected by an API that accepts only newtons, or converted by a separately specified unit-aware interface. The same displayed number with different units is a different input. Neither agreement with the spreadsheet nor a generated test that repeats the implementation formula resolves a unit error.</w:t>
      </w:r>
    </w:p>
    <w:p w14:paraId="52B6655F" w14:textId="77777777" w:rsidR="00B46A75" w:rsidRDefault="00000000" w:rsidP="00135058">
      <w:pPr>
        <w:jc w:val="both"/>
      </w:pPr>
      <w:r>
        <w:t>Acceptance evidence includes hand-checked boundary cases, invalid-input tests, dimensional checks, and a property that scaling both N and A by the same positive factor preserves stress within a declared numerical tolerance. A separately authored assessment checks that no output presents this scalar result as full member certification. If a later release introduces buckling, it needs a new normative basis, domain, evidence, and engineering approval. It cannot obtain that authority by adding a field to the response.</w:t>
      </w:r>
    </w:p>
    <w:p w14:paraId="3A5BD177" w14:textId="77777777" w:rsidR="00B46A75" w:rsidRDefault="00000000" w:rsidP="00135058">
      <w:pPr>
        <w:pStyle w:val="Heading1"/>
        <w:jc w:val="both"/>
      </w:pPr>
      <w:r>
        <w:t>8 Platform implications and economics</w:t>
      </w:r>
    </w:p>
    <w:p w14:paraId="6F7FA7E8" w14:textId="77777777" w:rsidR="00B46A75" w:rsidRDefault="00000000" w:rsidP="00135058">
      <w:pPr>
        <w:jc w:val="both"/>
      </w:pPr>
      <w:r>
        <w:t>A system of record is an accountable history of approved state and transitions. It need not be the only location containing information. Specifications govern obligations, code records implementation, deployment manifests identify operation, and reference instruments preserve comparison. The authority graph connects these records without pretending that one artifact answers every question.</w:t>
      </w:r>
    </w:p>
    <w:p w14:paraId="0F595BC8" w14:textId="77777777" w:rsidR="00B46A75" w:rsidRDefault="00000000" w:rsidP="00135058">
      <w:pPr>
        <w:jc w:val="both"/>
      </w:pPr>
      <w:r>
        <w:t xml:space="preserve">SpecHub illustrates the opportunity to manage requirements above individual repositories. The GitHub analogy is strongest for versioned collaboration and weakest where it assumes that hosting intent </w:t>
      </w:r>
      <w:r>
        <w:lastRenderedPageBreak/>
        <w:t>automatically establishes executable meaning. Code execution also depends on environments and can be nondeterministic; the distinction is not that code is inherently deterministic. It is that the route from a natural-language obligation to reliable evidence requires additional interpretation.</w:t>
      </w:r>
    </w:p>
    <w:p w14:paraId="7222BBBB" w14:textId="77777777" w:rsidR="00B46A75" w:rsidRDefault="00000000" w:rsidP="00135058">
      <w:pPr>
        <w:jc w:val="both"/>
      </w:pPr>
      <w:r>
        <w:t>Portable export should preserve requirement identity, revision relationships, approvals, provenance, evidence links, and policy assignments. A folder of readable Markdown may preserve content while losing these semantics. Acceptance of an export feature therefore requires a round-trip comparison of the authority graph, including unresolved issues. Shared terminology and cross-project reuse may create platform benefits, but private specifications, integration costs, and incumbent repository workflows can limit network effects. These are competing hypotheses, not predictions with a guaranteed outcome.</w:t>
      </w:r>
    </w:p>
    <w:p w14:paraId="3988D7FD" w14:textId="77777777" w:rsidR="00B46A75" w:rsidRDefault="00000000" w:rsidP="009008E9">
      <w:pPr>
        <w:jc w:val="center"/>
      </w:pPr>
      <w:r>
        <w:rPr>
          <w:rFonts w:ascii="Cambria Math" w:hAnsi="Cambria Math"/>
        </w:rPr>
        <w:t>Adopt workflow j if Kⱼ + E[Lⱼ] &lt; K_base + E[L_base].     (7)</w:t>
      </w:r>
    </w:p>
    <w:p w14:paraId="51D2E3D8" w14:textId="77777777" w:rsidR="00B46A75" w:rsidRDefault="00000000" w:rsidP="00135058">
      <w:pPr>
        <w:jc w:val="both"/>
      </w:pPr>
      <w:r>
        <w:t>Here K includes authoring, review, agent execution, evidence production, platform operation, and maintenance costs. L is consequence-weighted loss over a stated horizon. Under equal failure consequences and a single binary outcome, this reduces to a probability improvement multiplied by loss exceeding added workflow cost. In practice severity differs between failures, so an average acceptance rate is insufficient. Exploration with low consequence may justify a lightweight Lethel record; recurring calculation services may justify stronger admission evidence.</w:t>
      </w:r>
    </w:p>
    <w:p w14:paraId="227BB4A1" w14:textId="77777777" w:rsidR="00B46A75" w:rsidRDefault="00000000" w:rsidP="00135058">
      <w:pPr>
        <w:jc w:val="both"/>
      </w:pPr>
      <w:r>
        <w:t>The economic thesis is therefore conditional. Cheap implementation increases the relative importance of specifying and accepting work, but does not make maximal documentation optimal. The useful unit is the smallest reviewable obligation whose failure has a meaningful consequence. Review time, stale evidence, and unresolved assumptions are costs that should be measured alongside generated code volume.</w:t>
      </w:r>
    </w:p>
    <w:p w14:paraId="7ECD522F" w14:textId="77777777" w:rsidR="00B46A75" w:rsidRDefault="00000000" w:rsidP="00135058">
      <w:pPr>
        <w:pStyle w:val="Heading1"/>
        <w:jc w:val="both"/>
      </w:pPr>
      <w:r>
        <w:t>9 Evaluation design and falsifiable hypotheses</w:t>
      </w:r>
    </w:p>
    <w:p w14:paraId="25D6E324" w14:textId="77777777" w:rsidR="00B46A75" w:rsidRDefault="00000000" w:rsidP="00135058">
      <w:pPr>
        <w:jc w:val="both"/>
      </w:pPr>
      <w:r>
        <w:t>The following is a proposed study, not a report of experiments. Use tasks stratified by legacy extension, isolated exploration, numerical comparison, and bounded greenfield development. Freeze task inputs, reference environments, and evaluator criteria before runs. Randomise workflow assignment within task blocks and separate generator-visible checks from held-out assessment. Compare prompt-only work, a maintained specification workflow, and the authority-graph workflow. Cross these with at least two fixed model versions where resources permit.</w:t>
      </w:r>
    </w:p>
    <w:p w14:paraId="3FD49E8A" w14:textId="77777777" w:rsidR="00B46A75" w:rsidRDefault="00000000" w:rsidP="00135058">
      <w:pPr>
        <w:jc w:val="both"/>
      </w:pPr>
      <w:r>
        <w:t>A practical pilot might contain 24 tasks with three independent runs per model and workflow. This is a workload proposal, not a power calculation. Runs are clustered within tasks; repeated generations must not be treated as unrelated task samples. Use pilot variance and a prespecified minimum useful effect to size a confirmatory study. Record failed and stopped runs, including Guru ambiguity stops, rather than analysing completed artifacts alone.</w:t>
      </w:r>
    </w:p>
    <w:p w14:paraId="5AD2F264" w14:textId="77777777" w:rsidR="00B46A75" w:rsidRDefault="00000000" w:rsidP="00135058">
      <w:pPr>
        <w:pStyle w:val="Heading2"/>
        <w:jc w:val="both"/>
      </w:pPr>
      <w:r>
        <w:t>9 1 Hypotheses and failure criteria</w:t>
      </w:r>
    </w:p>
    <w:p w14:paraId="69A9D37F" w14:textId="77777777" w:rsidR="00B46A75" w:rsidRDefault="00000000" w:rsidP="00135058">
      <w:pPr>
        <w:jc w:val="both"/>
      </w:pPr>
      <w:r>
        <w:t>H1 predicts that explicit policy assignment and admission records reduce unauthorised promotions relative to a maintained-specification baseline. An unauthorised promotion is a maintained dependency, requirement change, or baseline replacement lacking the required decision. The hypothesis fails to show benefit if the task-level interval excludes the preregistered minimum useful reduction or if the review cost exceeds the accepted budget. Report each promotion type separately.</w:t>
      </w:r>
    </w:p>
    <w:p w14:paraId="3323A1EE" w14:textId="77777777" w:rsidR="00B46A75" w:rsidRDefault="00000000" w:rsidP="00135058">
      <w:pPr>
        <w:jc w:val="both"/>
      </w:pPr>
      <w:r>
        <w:t xml:space="preserve">H2 predicts that measured gains from specification refinement and model upgrades depend on their joint effects on conformance and acceptance. Estimate both before and after intervention rather than </w:t>
      </w:r>
      <w:r>
        <w:lastRenderedPageBreak/>
        <w:t>ranking solely by baseline e &gt; q. An empirical investment recommendation is rejected if its held-out gain per total cost is inferior to the competing intervention beyond the prespecified tolerance. This tests the recommendation; the algebraic identity itself is not an empirical hypothesis.</w:t>
      </w:r>
    </w:p>
    <w:p w14:paraId="7907E56C" w14:textId="77777777" w:rsidR="00B46A75" w:rsidRDefault="00000000" w:rsidP="00135058">
      <w:pPr>
        <w:jc w:val="both"/>
      </w:pPr>
      <w:r>
        <w:t>H3 predicts that two-state damage and repair estimates forecast later requirement violations better than the no-repair model on projects with documented corrective activity. Fit on an early period and assess calibration on later releases. Reject the proposed predictive use if it fails the prespecified calibration error or does not outperform a constant-risk baseline. Changing rates, correlated requirements, and uncertain labels must be reported rather than hidden in aggregate drift.</w:t>
      </w:r>
    </w:p>
    <w:p w14:paraId="3EF968C1" w14:textId="77777777" w:rsidR="00B46A75" w:rsidRDefault="00000000" w:rsidP="00135058">
      <w:pPr>
        <w:jc w:val="both"/>
      </w:pPr>
      <w:r>
        <w:t>H4 predicts that a fixed-specification Guru epoch can complete a bounded task family above a specified completion threshold while keeping held-out unacceptable-release risk below a specified limit. Evaluate completion and risk jointly to prevent a system that always stops from appearing successful. Any material amendment is a new epoch. A result applies to the tested model, harness, domain, and budget, and must be rechecked after changes.</w:t>
      </w:r>
    </w:p>
    <w:p w14:paraId="01348C28" w14:textId="77777777" w:rsidR="00B46A75" w:rsidRDefault="00000000" w:rsidP="00135058">
      <w:pPr>
        <w:jc w:val="both"/>
      </w:pPr>
      <w:r>
        <w:t>H5 predicts that a dedicated platform reduces cross-repository traceability and review effort without loss of authority information compared with a repository implementation of the same schema. Hold the logical workflow fixed to isolate hosting from process effects. Failure of lossless round-trip, increased missing-decision rates, or no useful cost reduction defeats the platform claim for the tested setting. Popularity and stars are not outcome measures.</w:t>
      </w:r>
    </w:p>
    <w:p w14:paraId="57F19E6A" w14:textId="77777777" w:rsidR="00B46A75" w:rsidRDefault="00000000" w:rsidP="00135058">
      <w:pPr>
        <w:pStyle w:val="Heading2"/>
        <w:jc w:val="both"/>
      </w:pPr>
      <w:r>
        <w:t>9 2 Metrics uncertainty and safeguards against circular evaluation</w:t>
      </w:r>
    </w:p>
    <w:p w14:paraId="6B573813" w14:textId="77777777" w:rsidR="00B46A75" w:rsidRDefault="00000000" w:rsidP="00135058">
      <w:pPr>
        <w:jc w:val="both"/>
      </w:pPr>
      <w:r>
        <w:t>Primary outcomes are held-out stakeholder acceptance, unauthorised promotion rate, escaped high-consequence defects, completed tasks per total cost, and reviewer time. Secondary outcomes include test binding coverage, risk-weighted evidence coverage, ambiguity stops, evidence staleness, and recovery effort. An independent assessor reviews intent-related outcomes without knowing workflow assignment where feasible. Resolve disagreement through a declared rubric and preserve the original ratings.</w:t>
      </w:r>
    </w:p>
    <w:p w14:paraId="0C0F27F8" w14:textId="77777777" w:rsidR="00B46A75" w:rsidRDefault="00000000" w:rsidP="00135058">
      <w:pPr>
        <w:jc w:val="both"/>
      </w:pPr>
      <w:r>
        <w:t>For n independent accepted releases with zero detected unacceptable outcomes, a one-sided 95 percent upper confidence bound on the Bernoulli failure rate is 1 − 0.05^(1/n), approximately 3/n. Ten clean regenerations therefore give an upper bound near 0.259, which cannot support a small failure-risk claim. Cluster dependence and an imperfect assessment oracle weaken this interpretation further. No finite number of passing samples establishes q = 1.</w:t>
      </w:r>
    </w:p>
    <w:p w14:paraId="3C7CFA55" w14:textId="77777777" w:rsidR="00B46A75" w:rsidRDefault="00000000" w:rsidP="00135058">
      <w:pPr>
        <w:jc w:val="both"/>
      </w:pPr>
      <w:r>
        <w:t>Keep environment and tool budgets comparable, log actual context and model identifiers, and distinguish specification-authoring effort from implementation effort. Do not let the producing agent rewrite the held-out rubric. A separate model can assist assessment but is not independent merely because it occupies another session; shared training and common prompts may produce correlated errors. Publish redacted tasks, decision records, and analysis plans where confidentiality permits.</w:t>
      </w:r>
    </w:p>
    <w:p w14:paraId="219C7349" w14:textId="77777777" w:rsidR="00B46A75" w:rsidRDefault="00000000" w:rsidP="00135058">
      <w:pPr>
        <w:pStyle w:val="Heading1"/>
        <w:jc w:val="both"/>
      </w:pPr>
      <w:r>
        <w:t>10 Limitations and research contribution</w:t>
      </w:r>
    </w:p>
    <w:p w14:paraId="09FF7A49" w14:textId="77777777" w:rsidR="00B46A75" w:rsidRDefault="00000000" w:rsidP="00135058">
      <w:pPr>
        <w:jc w:val="both"/>
      </w:pPr>
      <w:r>
        <w:t>Stakeholder intent is incompletely observable and may conflict across stakeholders. Treating I as fixed is an analytical convenience that must be bounded by a domain and assessment period. Binary satisfaction compresses partial quality, temporal properties, and severity. The Markov model omits common-cause failures and changing workflows. The authority graph records decisions but cannot make an incompetent approval competent or prevent malicious collusion by itself.</w:t>
      </w:r>
    </w:p>
    <w:p w14:paraId="2902EFEE" w14:textId="77777777" w:rsidR="00B46A75" w:rsidRDefault="00000000" w:rsidP="00135058">
      <w:pPr>
        <w:jc w:val="both"/>
      </w:pPr>
      <w:r>
        <w:lastRenderedPageBreak/>
        <w:t>The framework also incurs maintenance cost. Fine-grained links can become stale, large graphs can obscure the few decisions that matter, and excessive approval can delay small changes. Risk-adaptive rules and explicit delegation are necessary implementation choices. They require evaluation rather than universal prescriptions. The scalar engineering example establishes no readiness for safety-critical deployment.</w:t>
      </w:r>
    </w:p>
    <w:p w14:paraId="70BB33C8" w14:textId="77777777" w:rsidR="00B46A75" w:rsidRDefault="00000000" w:rsidP="00135058">
      <w:pPr>
        <w:jc w:val="both"/>
      </w:pPr>
      <w:r>
        <w:t>The proposed contribution is to connect specification authority with explicit changes of artifact status. Sat Ma transfers inherited obligations, Lethel bounds assistance, the Professor preserves comparison, and the Guru fixes delegation within a build epoch. The corrected probability and drift models prevent conformance statistics from being mistaken for proof of intent. A useful specification system of record preserves these decisions and their evidence, whether implemented in a repository, SpecHub, or another platform. Product superiority and autonomous completeness remain empirical questions.</w:t>
      </w:r>
    </w:p>
    <w:p w14:paraId="58BE73F2" w14:textId="77777777" w:rsidR="00B46A75" w:rsidRDefault="00000000" w:rsidP="00135058">
      <w:pPr>
        <w:pStyle w:val="Heading1"/>
        <w:jc w:val="both"/>
      </w:pPr>
      <w:r>
        <w:t>References</w:t>
      </w:r>
    </w:p>
    <w:p w14:paraId="1D72E129" w14:textId="0D62AEA2" w:rsidR="00B46A75" w:rsidRDefault="00000000" w:rsidP="00135058">
      <w:pPr>
        <w:jc w:val="both"/>
      </w:pPr>
      <w:r>
        <w:t xml:space="preserve">[1] Ghosh, D. P. SpecHub Specification as System of Record. Author supplied manuscript, version 1. </w:t>
      </w:r>
      <w:r w:rsidR="00D505B4" w:rsidRPr="00D505B4">
        <w:t>https://github.com/debiprasadghosh/ResearchOverFlow/tree/main/October2026/SoftwareArchitectuteInAI</w:t>
      </w:r>
    </w:p>
    <w:p w14:paraId="5B3497FE" w14:textId="1C2FAC6B" w:rsidR="00B46A75" w:rsidRDefault="00000000" w:rsidP="00135058">
      <w:pPr>
        <w:jc w:val="both"/>
      </w:pPr>
      <w:r>
        <w:t xml:space="preserve">[2] Ghosh, D. P. Sat Ma, Lethel, Professor, and the Guru: Four Architectures for the Age of AI-Written Code. </w:t>
      </w:r>
      <w:r w:rsidR="00D505B4" w:rsidRPr="00D505B4">
        <w:t>https://doi.org/10.13140/RG.2.2.14485.08169</w:t>
      </w:r>
      <w:r>
        <w:t xml:space="preserve"> </w:t>
      </w:r>
    </w:p>
    <w:p w14:paraId="0BB7CAA9" w14:textId="1DD228E9" w:rsidR="00B46A75" w:rsidRDefault="00000000" w:rsidP="00135058">
      <w:pPr>
        <w:jc w:val="both"/>
      </w:pPr>
      <w:r>
        <w:t xml:space="preserve">[3] Piskala, D. B. (2026). Spec-Driven Development: From Code to Contract in the Age of AI Coding Assistants. arXiv:2602.00180. https://arxiv.org/abs/2602.00180 </w:t>
      </w:r>
    </w:p>
    <w:p w14:paraId="24E671A4" w14:textId="77777777" w:rsidR="00B46A75" w:rsidRDefault="00000000" w:rsidP="00135058">
      <w:pPr>
        <w:jc w:val="both"/>
      </w:pPr>
      <w:r>
        <w:t>[4] GitHub. Spec-Driven Development Quickstart. https://github.github.com/spec-kit/quickstart.html . Official documentation consulted 16 October 2026.</w:t>
      </w:r>
    </w:p>
    <w:p w14:paraId="37A2558E" w14:textId="77777777" w:rsidR="00B46A75" w:rsidRDefault="00000000" w:rsidP="00135058">
      <w:pPr>
        <w:jc w:val="both"/>
      </w:pPr>
      <w:r>
        <w:t>[5] Kiro. Specs. https://kiro.dev/docs/specs/ . Official documentation, page updated 15 October 2026; consulted 16 October 2026.</w:t>
      </w:r>
    </w:p>
    <w:p w14:paraId="69B8EC2B" w14:textId="77777777" w:rsidR="00B46A75" w:rsidRDefault="00000000" w:rsidP="00135058">
      <w:pPr>
        <w:jc w:val="both"/>
      </w:pPr>
      <w:r>
        <w:t>[6] France, R., and Rumpe, B. (2007). Model-Driven Development of Complex Software: A Research Roadmap. Future of Software Engineering, pp. 37–54. doi:10.1109/FOSE.2007.14. Abstract and bibliographic record: https://arxiv.org/abs/1409.6620 . Consulted 16 October 2026.</w:t>
      </w:r>
    </w:p>
    <w:p w14:paraId="764927AD" w14:textId="77777777" w:rsidR="00B46A75" w:rsidRDefault="00000000" w:rsidP="00135058">
      <w:pPr>
        <w:jc w:val="both"/>
      </w:pPr>
      <w:r>
        <w:t>[7] Kuhn, A., Murphy, G. C., and Thompson, C. A. (2012). An Exploratory Study of Forces and Frictions affecting Large-Scale Model-Driven Development. MODELS 2012. doi:10.1007/978-3-642-33666-9_23. Abstract and bibliographic record: https://arxiv.org/abs/1207.0855 . Consulted 16 October 2026.</w:t>
      </w:r>
    </w:p>
    <w:p w14:paraId="6F8413ED" w14:textId="77777777" w:rsidR="00B46A75" w:rsidRDefault="00000000" w:rsidP="00135058">
      <w:pPr>
        <w:jc w:val="both"/>
      </w:pPr>
      <w:r>
        <w:t>[8] Young, J. (2025). Effective harnesses for long-running agents. Anthropic Engineering, 26 November 2025. https://www.anthropic.com/engineering/effective-harnesses-for-long-running-agents . Consulted 16 October 2026.</w:t>
      </w:r>
    </w:p>
    <w:p w14:paraId="38FD6382" w14:textId="77777777" w:rsidR="00B46A75" w:rsidRDefault="00000000" w:rsidP="00135058">
      <w:pPr>
        <w:jc w:val="both"/>
      </w:pPr>
      <w:r>
        <w:t>[9] SpecHub. AI-assisted spec-driven development. https://spechub.app/ . Official search-index extract consulted 16 October 2026; direct page retrieval returned 403. Vendor description only.</w:t>
      </w:r>
    </w:p>
    <w:p w14:paraId="6BDF482B" w14:textId="77777777" w:rsidR="00B46A75" w:rsidRDefault="00000000" w:rsidP="00135058">
      <w:pPr>
        <w:jc w:val="both"/>
      </w:pPr>
      <w:r>
        <w:t>[10] SpecHub. Requirements Management. https://spechub.app/features/prd . Official search-index extract consulted 16 October 2026. Vendor description only.</w:t>
      </w:r>
    </w:p>
    <w:p w14:paraId="6FE08092" w14:textId="77777777" w:rsidR="00B46A75" w:rsidRDefault="00000000" w:rsidP="00135058">
      <w:pPr>
        <w:jc w:val="both"/>
      </w:pPr>
      <w:r>
        <w:t>[11] SpecHub. FAQ. https://spechub.app/docs/faq . Official search-index extract consulted 16 October 2026; direct page retrieval unavailable. API statement is vendor-described.</w:t>
      </w:r>
    </w:p>
    <w:p w14:paraId="12B1510F" w14:textId="77777777" w:rsidR="00B46A75" w:rsidRDefault="00000000" w:rsidP="00135058">
      <w:pPr>
        <w:jc w:val="both"/>
      </w:pPr>
      <w:r>
        <w:t>[12] Mavin, A. EARS official guide. https://alistairmavin.com/ears/ . Consulted 16 October 2026; cited for constrained natural-language requirements syntax.</w:t>
      </w:r>
    </w:p>
    <w:p w14:paraId="377F7535" w14:textId="77777777" w:rsidR="00B46A75" w:rsidRDefault="00000000" w:rsidP="00135058">
      <w:pPr>
        <w:pStyle w:val="Heading1"/>
        <w:jc w:val="both"/>
      </w:pPr>
      <w:r>
        <w:lastRenderedPageBreak/>
        <w:t>Appendix A Minimal acceptance semantics</w:t>
      </w:r>
    </w:p>
    <w:p w14:paraId="2FC0340B" w14:textId="77777777" w:rsidR="00B46A75" w:rsidRDefault="00000000" w:rsidP="00135058">
      <w:pPr>
        <w:jc w:val="both"/>
      </w:pPr>
      <w:r>
        <w:t>A conforming implementation, a passing evidence suite, and an approved release are three separate predicates. An operational record should retain each outcome. Use unknown when an obligation has not been evaluated; do not silently count unknown as satisfied. If a dashboard requires a single conservative established-satisfaction fraction, use established passing obligations divided by all applicable obligations and label it evidence coverage rather than truth.</w:t>
      </w:r>
    </w:p>
    <w:p w14:paraId="7B994FE7" w14:textId="77777777" w:rsidR="00B46A75" w:rsidRDefault="00000000" w:rsidP="00135058">
      <w:pPr>
        <w:jc w:val="both"/>
      </w:pPr>
      <w:r>
        <w:t>An evidence result should include the requirement version, artifact digest, environment digest, evaluator or tool identity, method, observation time, result, and applicability limits. A release decision binds to those records and an explicit policy. Unknown, failed, and stale results remain visible even when a declared exception permits release. An exception records its authorising role and review trigger; it is not a passing test.</w:t>
      </w:r>
    </w:p>
    <w:p w14:paraId="439B3CD1" w14:textId="77777777" w:rsidR="00B46A75" w:rsidRDefault="00000000" w:rsidP="00135058">
      <w:pPr>
        <w:jc w:val="both"/>
      </w:pPr>
      <w:r>
        <w:t>For a reverse-engineered requirement, retain basis = observed, the observation evidence, and the source artifact version. Later adoption adds a normative approval event without deleting the observation event. The original draft’s single provenance enumeration should therefore be replaced by an event history. This avoids representing AI-drafted and human-approved as incompatible states.</w:t>
      </w:r>
    </w:p>
    <w:p w14:paraId="3578E6FB" w14:textId="77777777" w:rsidR="00B46A75" w:rsidRDefault="00000000" w:rsidP="00135058">
      <w:pPr>
        <w:pStyle w:val="Heading1"/>
        <w:jc w:val="both"/>
      </w:pPr>
      <w:r>
        <w:t>Appendix B Revision record</w:t>
      </w:r>
    </w:p>
    <w:p w14:paraId="7A4208D7" w14:textId="77777777" w:rsidR="00B46A75" w:rsidRDefault="00000000" w:rsidP="00135058">
      <w:pPr>
        <w:jc w:val="both"/>
      </w:pPr>
      <w:r>
        <w:t>This revision replaces the claim that the three platform theses are nested with independent decision questions. It separates semantic conformance from observed test passage, makes adequacy generator-dependent, and limits the marginal investment result to independent interventions. It distinguishes almost-sure regeneration from pointwise support guarantees, introduces repair into the drift model, and recognises review and monitoring as evidence for obligations without automated checks. It connects the four architectural policies to an authority graph, replaces mutable popularity claims with source-qualified descriptions, and adds a bounded engineering example and an evaluation plan. No numerical experiments or independent product trials are claimed.</w:t>
      </w:r>
    </w:p>
    <w:sectPr w:rsidR="00B46A75" w:rsidSect="00034616">
      <w:headerReference w:type="default" r:id="rId8"/>
      <w:footerReference w:type="default" r:id="rId9"/>
      <w:pgSz w:w="12240" w:h="15840"/>
      <w:pgMar w:top="1123" w:right="1224" w:bottom="1123"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0DBDF" w14:textId="77777777" w:rsidR="008C5FE3" w:rsidRDefault="008C5FE3">
      <w:pPr>
        <w:spacing w:after="0" w:line="240" w:lineRule="auto"/>
      </w:pPr>
      <w:r>
        <w:separator/>
      </w:r>
    </w:p>
  </w:endnote>
  <w:endnote w:type="continuationSeparator" w:id="0">
    <w:p w14:paraId="26036A39" w14:textId="77777777" w:rsidR="008C5FE3" w:rsidRDefault="008C5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A5788" w14:textId="025774EF" w:rsidR="00B46A75" w:rsidRDefault="00000000">
    <w:pPr>
      <w:pStyle w:val="Footer"/>
      <w:jc w:val="right"/>
    </w:pPr>
    <w:r>
      <w:t xml:space="preserve">Ghosh | </w:t>
    </w:r>
    <w:r>
      <w:fldChar w:fldCharType="begin"/>
    </w:r>
    <w:r>
      <w:instrText>PAGE</w:instrText>
    </w:r>
    <w:r>
      <w:fldChar w:fldCharType="separate"/>
    </w:r>
    <w:r w:rsidR="0013505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C9087" w14:textId="77777777" w:rsidR="008C5FE3" w:rsidRDefault="008C5FE3">
      <w:pPr>
        <w:spacing w:after="0" w:line="240" w:lineRule="auto"/>
      </w:pPr>
      <w:r>
        <w:separator/>
      </w:r>
    </w:p>
  </w:footnote>
  <w:footnote w:type="continuationSeparator" w:id="0">
    <w:p w14:paraId="241475DD" w14:textId="77777777" w:rsidR="008C5FE3" w:rsidRDefault="008C5F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83C04" w14:textId="77777777" w:rsidR="00B46A75" w:rsidRDefault="00000000">
    <w:pPr>
      <w:pStyle w:val="Caption"/>
    </w:pPr>
    <w:r>
      <w:t>SPECIFICATION AUTHORITY IN AI WRITTEN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8096297">
    <w:abstractNumId w:val="8"/>
  </w:num>
  <w:num w:numId="2" w16cid:durableId="1519463976">
    <w:abstractNumId w:val="6"/>
  </w:num>
  <w:num w:numId="3" w16cid:durableId="1849053675">
    <w:abstractNumId w:val="5"/>
  </w:num>
  <w:num w:numId="4" w16cid:durableId="1131946333">
    <w:abstractNumId w:val="4"/>
  </w:num>
  <w:num w:numId="5" w16cid:durableId="2137797919">
    <w:abstractNumId w:val="7"/>
  </w:num>
  <w:num w:numId="6" w16cid:durableId="2050908878">
    <w:abstractNumId w:val="3"/>
  </w:num>
  <w:num w:numId="7" w16cid:durableId="1732993708">
    <w:abstractNumId w:val="2"/>
  </w:num>
  <w:num w:numId="8" w16cid:durableId="864372094">
    <w:abstractNumId w:val="1"/>
  </w:num>
  <w:num w:numId="9" w16cid:durableId="1107313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194"/>
    <w:rsid w:val="00034616"/>
    <w:rsid w:val="0006063C"/>
    <w:rsid w:val="00135058"/>
    <w:rsid w:val="0015074B"/>
    <w:rsid w:val="0029639D"/>
    <w:rsid w:val="00301F0B"/>
    <w:rsid w:val="00326F90"/>
    <w:rsid w:val="00706210"/>
    <w:rsid w:val="007E0EF7"/>
    <w:rsid w:val="008C5FE3"/>
    <w:rsid w:val="009008E9"/>
    <w:rsid w:val="00AA1D8D"/>
    <w:rsid w:val="00AC5356"/>
    <w:rsid w:val="00B46A75"/>
    <w:rsid w:val="00B47730"/>
    <w:rsid w:val="00CB0664"/>
    <w:rsid w:val="00D505B4"/>
    <w:rsid w:val="00F24A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4760B5"/>
  <w14:defaultImageDpi w14:val="300"/>
  <w15:docId w15:val="{395009B2-7317-4F56-94B3-2AA0B84BD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mbria" w:hAnsi="Cambria"/>
      <w:color w:val="000000"/>
    </w:rPr>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12</Pages>
  <Words>5807</Words>
  <Characters>33101</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Specification Authority in AI Written Software</vt:lpstr>
    </vt:vector>
  </TitlesOfParts>
  <Manager/>
  <Company/>
  <LinksUpToDate>false</LinksUpToDate>
  <CharactersWithSpaces>38831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 Authority in AI Written Software</dc:title>
  <dc:subject>SpecHub and the four architectures of code admission</dc:subject>
  <dc:creator>Debi Prasad Ghosh</dc:creator>
  <cp:keywords/>
  <dc:description>generated by python-docx</dc:description>
  <cp:lastModifiedBy>Debiprasad Ghosh</cp:lastModifiedBy>
  <cp:revision>6</cp:revision>
  <cp:lastPrinted>2026-10-21T03:54:00Z</cp:lastPrinted>
  <dcterms:created xsi:type="dcterms:W3CDTF">2013-12-23T23:15:00Z</dcterms:created>
  <dcterms:modified xsi:type="dcterms:W3CDTF">2026-10-21T03:57:00Z</dcterms:modified>
  <cp:category/>
</cp:coreProperties>
</file>