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F44F" w14:textId="1698830B" w:rsidR="001B1454" w:rsidRPr="004B0D0F" w:rsidRDefault="00000000" w:rsidP="004B0D0F">
      <w:pPr>
        <w:pStyle w:val="NoSpacing"/>
        <w:jc w:val="center"/>
        <w:rPr>
          <w:sz w:val="28"/>
          <w:szCs w:val="28"/>
        </w:rPr>
      </w:pPr>
      <w:r w:rsidRPr="004B0D0F">
        <w:rPr>
          <w:sz w:val="28"/>
          <w:szCs w:val="28"/>
        </w:rPr>
        <w:t>AIgory Theory: A Categorical Research Programme</w:t>
      </w:r>
      <w:r w:rsidR="004B0D0F" w:rsidRPr="004B0D0F">
        <w:rPr>
          <w:sz w:val="28"/>
          <w:szCs w:val="28"/>
        </w:rPr>
        <w:t xml:space="preserve"> </w:t>
      </w:r>
      <w:r w:rsidRPr="004B0D0F">
        <w:rPr>
          <w:sz w:val="28"/>
          <w:szCs w:val="28"/>
        </w:rPr>
        <w:t>for Governed AI Knowledge</w:t>
      </w:r>
    </w:p>
    <w:p w14:paraId="2260835F" w14:textId="77777777" w:rsidR="001B1454" w:rsidRPr="004B0D0F" w:rsidRDefault="00000000" w:rsidP="004B0D0F">
      <w:pPr>
        <w:pStyle w:val="Subtitle"/>
        <w:jc w:val="center"/>
        <w:rPr>
          <w:sz w:val="28"/>
          <w:szCs w:val="32"/>
        </w:rPr>
      </w:pPr>
      <w:r w:rsidRPr="004B0D0F">
        <w:rPr>
          <w:sz w:val="28"/>
          <w:szCs w:val="32"/>
        </w:rPr>
        <w:t>From structure-preserving maps to witness-preserving MathOps</w:t>
      </w:r>
    </w:p>
    <w:p w14:paraId="6B9C92F9" w14:textId="0837D1E4" w:rsidR="001B1454" w:rsidRDefault="00000000" w:rsidP="004B0D0F">
      <w:pPr>
        <w:jc w:val="center"/>
      </w:pPr>
      <w:r>
        <w:rPr>
          <w:b/>
          <w:sz w:val="23"/>
        </w:rPr>
        <w:t>Debi</w:t>
      </w:r>
      <w:r w:rsidR="004B0D0F">
        <w:rPr>
          <w:b/>
          <w:sz w:val="23"/>
        </w:rPr>
        <w:t xml:space="preserve"> P</w:t>
      </w:r>
      <w:r>
        <w:rPr>
          <w:b/>
          <w:sz w:val="23"/>
        </w:rPr>
        <w:t>rasad Ghosh</w:t>
      </w:r>
      <w:r w:rsidR="00270B11">
        <w:rPr>
          <w:b/>
          <w:sz w:val="23"/>
        </w:rPr>
        <w:t xml:space="preserve">, </w:t>
      </w:r>
      <w:hyperlink r:id="rId8" w:history="1">
        <w:r w:rsidR="00270B11" w:rsidRPr="007E33B6">
          <w:rPr>
            <w:rStyle w:val="Hyperlink"/>
            <w:b/>
            <w:sz w:val="23"/>
          </w:rPr>
          <w:t>debiprasadghosh@gmail.com</w:t>
        </w:r>
      </w:hyperlink>
      <w:r w:rsidR="00270B11">
        <w:rPr>
          <w:b/>
          <w:sz w:val="23"/>
        </w:rPr>
        <w:t xml:space="preserve"> </w:t>
      </w:r>
    </w:p>
    <w:p w14:paraId="70BF54E3" w14:textId="77777777" w:rsidR="001B1454" w:rsidRDefault="00000000" w:rsidP="004B0D0F">
      <w:pPr>
        <w:jc w:val="center"/>
        <w:rPr>
          <w:i/>
          <w:color w:val="475569"/>
          <w:sz w:val="19"/>
        </w:rPr>
      </w:pPr>
      <w:r>
        <w:rPr>
          <w:i/>
          <w:color w:val="475569"/>
          <w:sz w:val="19"/>
        </w:rPr>
        <w:t>Conceptual paper · July 2026</w:t>
      </w:r>
    </w:p>
    <w:p w14:paraId="69ED069F" w14:textId="290AFD1D" w:rsidR="006A59D6" w:rsidRPr="006A59D6" w:rsidRDefault="00B9564A" w:rsidP="004B0D0F">
      <w:pPr>
        <w:jc w:val="center"/>
        <w:rPr>
          <w:iCs/>
        </w:rPr>
      </w:pPr>
      <w:hyperlink r:id="rId9" w:history="1">
        <w:r w:rsidRPr="007E33B6">
          <w:rPr>
            <w:rStyle w:val="Hyperlink"/>
            <w:iCs/>
          </w:rPr>
          <w:t>https://doi.org/10.13140/RG.2.2.31469.35041</w:t>
        </w:r>
      </w:hyperlink>
      <w:r>
        <w:rPr>
          <w:iCs/>
        </w:rPr>
        <w:t xml:space="preserve"> </w:t>
      </w:r>
    </w:p>
    <w:p w14:paraId="67F066CC" w14:textId="0E6D14B4" w:rsidR="001B1454" w:rsidRPr="005445D6" w:rsidRDefault="00000000" w:rsidP="006A59D6">
      <w:pPr>
        <w:jc w:val="both"/>
        <w:rPr>
          <w:sz w:val="24"/>
          <w:szCs w:val="32"/>
        </w:rPr>
      </w:pPr>
      <w:r>
        <w:rPr>
          <w:b/>
          <w:color w:val="15324B"/>
          <w:sz w:val="23"/>
        </w:rPr>
        <w:t>Abstract</w:t>
      </w:r>
      <w:r w:rsidR="006A59D6">
        <w:rPr>
          <w:b/>
          <w:color w:val="15324B"/>
          <w:sz w:val="23"/>
        </w:rPr>
        <w:t xml:space="preserve">: </w:t>
      </w:r>
      <w:r w:rsidRPr="005445D6">
        <w:rPr>
          <w:sz w:val="24"/>
          <w:szCs w:val="32"/>
        </w:rPr>
        <w:t>Artificial intelligence increasingly makes the generation of candidate proofs, summaries, memories, plans, and models inexpensive, while the judgment required to admit them into durable knowledge remains scarce. This paper proposes AIgory Theory as a categorical research programme for that admission problem and MathOps as its operational discipline. The central object is a governed epistemic artifact consisting of content together with provenance, legitimate scope, load-bearing witness commitments, uncertainty, governance status, and recovery structure. The paper distinguishes a strict conservative category, in which protected structure is preserved, from a broader certificate-aware bicategorical or double-categorical layer for declared loss, comparison, and audit. This correction avoids treating every computable transformation as an admissible morphism and avoids assuming that witness transport, provenance, salience, semantic integration, or canonicalization already satisfy strict functorial, monadic, or adjoint laws. Defensible commutativity is formulated as agreement of transformation paths across protected components rather than textual output alone. Contextual memory is modeled through descent and stack-like gluing, because local memories generally agree only up to certified isomorphism. The paper also develops conditional canonicalization, constitutional judgment functors, structured obstructions, and governed forgetting. The result is not presented as a completed theory or as a technical instance of allegory theory, but as a falsifiable programme whose formal obligations are explicitly stated. Its engineering realization, MathOps, governs the passage from generated candidates to verified, semantically defensible, recoverable, and potentially canonical knowledge.</w:t>
      </w:r>
    </w:p>
    <w:p w14:paraId="0CA49D05" w14:textId="77777777" w:rsidR="001B1454" w:rsidRPr="00DF5B0E" w:rsidRDefault="00000000" w:rsidP="004B0D0F">
      <w:pPr>
        <w:pStyle w:val="Keywords"/>
        <w:jc w:val="both"/>
        <w:rPr>
          <w:sz w:val="22"/>
          <w:szCs w:val="28"/>
        </w:rPr>
      </w:pPr>
      <w:r w:rsidRPr="00DF5B0E">
        <w:rPr>
          <w:b/>
          <w:sz w:val="22"/>
          <w:szCs w:val="28"/>
        </w:rPr>
        <w:t>Keywords—</w:t>
      </w:r>
      <w:r w:rsidRPr="00DF5B0E">
        <w:rPr>
          <w:sz w:val="22"/>
          <w:szCs w:val="28"/>
        </w:rPr>
        <w:t xml:space="preserve"> AI governance; category theory; epistemic provenance; agent memory; formal mathematics; canonicalization; descent; MathOps; witness preservation.</w:t>
      </w:r>
    </w:p>
    <w:p w14:paraId="2228746D" w14:textId="77777777" w:rsidR="001B1454" w:rsidRDefault="00000000" w:rsidP="004B0D0F">
      <w:pPr>
        <w:jc w:val="both"/>
      </w:pPr>
      <w:r>
        <w:rPr>
          <w:noProof/>
        </w:rPr>
        <w:drawing>
          <wp:inline distT="0" distB="0" distL="0" distR="0" wp14:anchorId="23578D88" wp14:editId="70DD597E">
            <wp:extent cx="5989320" cy="2766669"/>
            <wp:effectExtent l="0" t="0" r="0" b="0"/>
            <wp:docPr id="1" name="Picture 1" descr="Conceptual diagram showing Mathematics leading to Category Theory and AIgory Theory, with MathOps as the operational implementation layer." title="AIgory Theory and MathOps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gory_framework_figure.png"/>
                    <pic:cNvPicPr/>
                  </pic:nvPicPr>
                  <pic:blipFill>
                    <a:blip r:embed="rId10"/>
                    <a:stretch>
                      <a:fillRect/>
                    </a:stretch>
                  </pic:blipFill>
                  <pic:spPr>
                    <a:xfrm>
                      <a:off x="0" y="0"/>
                      <a:ext cx="5989320" cy="2766669"/>
                    </a:xfrm>
                    <a:prstGeom prst="rect">
                      <a:avLst/>
                    </a:prstGeom>
                  </pic:spPr>
                </pic:pic>
              </a:graphicData>
            </a:graphic>
          </wp:inline>
        </w:drawing>
      </w:r>
    </w:p>
    <w:p w14:paraId="05074880" w14:textId="77777777" w:rsidR="001B1454" w:rsidRDefault="00000000" w:rsidP="004B0D0F">
      <w:pPr>
        <w:pStyle w:val="CaptionCustom"/>
        <w:jc w:val="both"/>
      </w:pPr>
      <w:r>
        <w:t>Figure 1. Conceptual progression from mathematical validity to governed epistemic transformation and its MathOps implementation.</w:t>
      </w:r>
    </w:p>
    <w:p w14:paraId="0375143F" w14:textId="77777777" w:rsidR="001B1454" w:rsidRDefault="00000000" w:rsidP="004B0D0F">
      <w:pPr>
        <w:pStyle w:val="Heading1"/>
        <w:jc w:val="both"/>
      </w:pPr>
      <w:r>
        <w:lastRenderedPageBreak/>
        <w:t>1. Introduction</w:t>
      </w:r>
    </w:p>
    <w:p w14:paraId="3D965BC6" w14:textId="77777777" w:rsidR="001B1454" w:rsidRPr="00CD434E" w:rsidRDefault="00000000" w:rsidP="004B0D0F">
      <w:pPr>
        <w:jc w:val="both"/>
        <w:rPr>
          <w:sz w:val="22"/>
          <w:szCs w:val="24"/>
        </w:rPr>
      </w:pPr>
      <w:r w:rsidRPr="00CD434E">
        <w:rPr>
          <w:sz w:val="22"/>
          <w:szCs w:val="24"/>
        </w:rPr>
        <w:t>Mathematics asks whether a statement is valid under stated assumptions. Category theory asks how mathematical structures relate and which features survive admissible transformation. Artificial intelligence introduces a further problem: candidate artifacts can now be produced, revised, and recombined at a rate that may exceed the capacity of people and institutions to judge what should become durable knowledge. The central difficulty is no longer generation alone; it is governed survival.</w:t>
      </w:r>
    </w:p>
    <w:p w14:paraId="4C4B9F2F" w14:textId="77777777" w:rsidR="001B1454" w:rsidRPr="00CD434E" w:rsidRDefault="00000000" w:rsidP="004B0D0F">
      <w:pPr>
        <w:jc w:val="both"/>
        <w:rPr>
          <w:sz w:val="22"/>
          <w:szCs w:val="24"/>
        </w:rPr>
      </w:pPr>
      <w:r w:rsidRPr="00CD434E">
        <w:rPr>
          <w:sz w:val="22"/>
          <w:szCs w:val="24"/>
        </w:rPr>
        <w:t>This paper proposes the progression mathematics → category theory → AIgory Theory. The first term emphasizes validity, the second structure-preserving transformation, and the third the preservation and explicit discharge of epistemic obligations during AI-mediated transformation. MathOps is proposed as the operational discipline that implements those obligations in formal mathematics and, by extension, in long-lived AI memory. The proposal synthesizes five earlier essays on the curation problem, memory consolidation, constitutional governance, mediating disciplines, and disciplined mirror systems (Ghosh, 2026a–e).</w:t>
      </w:r>
    </w:p>
    <w:p w14:paraId="0C26A944" w14:textId="77777777" w:rsidR="001B1454" w:rsidRPr="00CD434E" w:rsidRDefault="00000000" w:rsidP="004B0D0F">
      <w:pPr>
        <w:jc w:val="both"/>
        <w:rPr>
          <w:sz w:val="22"/>
          <w:szCs w:val="24"/>
        </w:rPr>
      </w:pPr>
      <w:r w:rsidRPr="00CD434E">
        <w:rPr>
          <w:sz w:val="22"/>
          <w:szCs w:val="24"/>
        </w:rPr>
        <w:t>The paper is deliberately framed as a conceptual research programme rather than a completed mathematical theory. Several constructions in the motivating draft were too strong if read literally. In particular, declared-loss transformations need not form an ordinary category with a strict witness functor; the provenance, salience, and semantic-integration constructions are not monads until their laws are specified and proved; canonicalization is not automatically a reflector; and contextual memory is generally stack-like rather than a sheaf of sets. These corrections are adopted as part of the theory rather than hidden as implementation details.</w:t>
      </w:r>
    </w:p>
    <w:p w14:paraId="42384B5A" w14:textId="77777777" w:rsidR="001B1454" w:rsidRPr="00CD434E" w:rsidRDefault="00000000" w:rsidP="004B0D0F">
      <w:pPr>
        <w:jc w:val="both"/>
        <w:rPr>
          <w:sz w:val="22"/>
          <w:szCs w:val="24"/>
        </w:rPr>
      </w:pPr>
      <w:r w:rsidRPr="00CD434E">
        <w:rPr>
          <w:sz w:val="22"/>
          <w:szCs w:val="24"/>
        </w:rPr>
        <w:t>The principal contribution is a disciplined formal vocabulary for distinguishing mere computation from defensible epistemic transformation. It defines governed artifacts, a strict conservative core, a certificate-aware extension, defensible diagrams, conditional canonicalization, constitutional judgments, contextual descent, and governed forgetting. It then identifies the precise open problems that must be solved before the programme can mature into a formal calculus.</w:t>
      </w:r>
    </w:p>
    <w:p w14:paraId="04AF97A3" w14:textId="77777777" w:rsidR="001B1454" w:rsidRDefault="00000000" w:rsidP="004B0D0F">
      <w:pPr>
        <w:pStyle w:val="Heading1"/>
        <w:jc w:val="both"/>
      </w:pPr>
      <w:r>
        <w:t>2. Motivation and Related Foundations</w:t>
      </w:r>
    </w:p>
    <w:p w14:paraId="5F58F6D2" w14:textId="77777777" w:rsidR="001B1454" w:rsidRDefault="00000000" w:rsidP="004B0D0F">
      <w:pPr>
        <w:pStyle w:val="Heading2"/>
        <w:jc w:val="both"/>
      </w:pPr>
      <w:r>
        <w:t>2.1 The inversion of scarcity</w:t>
      </w:r>
    </w:p>
    <w:p w14:paraId="7301AF60" w14:textId="77777777" w:rsidR="001B1454" w:rsidRPr="00CD434E" w:rsidRDefault="00000000" w:rsidP="004B0D0F">
      <w:pPr>
        <w:jc w:val="both"/>
        <w:rPr>
          <w:sz w:val="22"/>
          <w:szCs w:val="24"/>
        </w:rPr>
      </w:pPr>
      <w:r w:rsidRPr="00CD434E">
        <w:rPr>
          <w:sz w:val="22"/>
          <w:szCs w:val="24"/>
        </w:rPr>
        <w:t>For most of the history of formal mathematics, the production of a checked proof was expensive enough to act as an implicit filter. AI-assisted theorem proving and large formal libraries weaken that filter by making candidate generation and verification more scalable. Even when a proof checks, however, a theorem may remain redundant, badly placed, unnecessarily specialized, difficult to maintain, or semantically misaligned with the intended statement. The resulting problem is curation rather than proof checking alone (Ghosh, 2026d).</w:t>
      </w:r>
    </w:p>
    <w:p w14:paraId="22B1F4F5" w14:textId="77777777" w:rsidR="001B1454" w:rsidRPr="00CD434E" w:rsidRDefault="00000000" w:rsidP="004B0D0F">
      <w:pPr>
        <w:jc w:val="both"/>
        <w:rPr>
          <w:sz w:val="22"/>
          <w:szCs w:val="24"/>
        </w:rPr>
      </w:pPr>
      <w:r w:rsidRPr="00CD434E">
        <w:rPr>
          <w:sz w:val="22"/>
          <w:szCs w:val="24"/>
        </w:rPr>
        <w:t>The same architecture appears in persistent AI memory. Retrieval-augmented generation and memory-management systems improve access to information beyond a single context window (Lewis et al., 2020; Packer et al., 2023), while agent simulations show how stored experiences can support reflection and longer-term behavior (Park et al., 2023). Yet storage and retrieval do not by themselves determine whether a memory was well sourced, correctly scoped, ethically admissible, or safe to generalize. The admission policy is therefore a first-class component of intelligence.</w:t>
      </w:r>
    </w:p>
    <w:p w14:paraId="200F10E1" w14:textId="77777777" w:rsidR="001B1454" w:rsidRPr="00CD434E" w:rsidRDefault="00000000" w:rsidP="004B0D0F">
      <w:pPr>
        <w:jc w:val="both"/>
        <w:rPr>
          <w:sz w:val="22"/>
          <w:szCs w:val="24"/>
        </w:rPr>
      </w:pPr>
      <w:r w:rsidRPr="00CD434E">
        <w:rPr>
          <w:sz w:val="22"/>
          <w:szCs w:val="24"/>
        </w:rPr>
        <w:t>Mathematics is useful here as a model organism because its verification layer is unusually explicit. If a high-verifiability domain still requires provenance, semantic placement, staged admission, recovery, and deprecation, weak-verifiability domains require at least as much governance (Ghosh, 2026c). The analogy concerns architecture, not biological mechanism.</w:t>
      </w:r>
    </w:p>
    <w:p w14:paraId="7D075237" w14:textId="77777777" w:rsidR="001B1454" w:rsidRDefault="00000000" w:rsidP="004B0D0F">
      <w:pPr>
        <w:pStyle w:val="Heading2"/>
        <w:jc w:val="both"/>
      </w:pPr>
      <w:r>
        <w:lastRenderedPageBreak/>
        <w:t>2.2 Category theory, effects, provenance, and memory</w:t>
      </w:r>
    </w:p>
    <w:p w14:paraId="1CE9F6F4" w14:textId="77777777" w:rsidR="001B1454" w:rsidRPr="00CD434E" w:rsidRDefault="00000000" w:rsidP="004B0D0F">
      <w:pPr>
        <w:jc w:val="both"/>
        <w:rPr>
          <w:sz w:val="22"/>
          <w:szCs w:val="24"/>
        </w:rPr>
      </w:pPr>
      <w:r w:rsidRPr="00CD434E">
        <w:rPr>
          <w:sz w:val="22"/>
          <w:szCs w:val="24"/>
        </w:rPr>
        <w:t>Category theory provides a language of objects, morphisms, composition, functors, adjunctions, monads, and descent (Mac Lane, 1998; Awodey, 2010; Riehl, 2016). Its value for the present programme is not decorative abstraction. It forces explicit answers to questions that are otherwise left informal: Which transformations are admitted? What composes? What is preserved? When are two routes equivalent? Does a best approximation exist? Can local data be glued?</w:t>
      </w:r>
    </w:p>
    <w:p w14:paraId="56B3A291" w14:textId="77777777" w:rsidR="001B1454" w:rsidRPr="00CD434E" w:rsidRDefault="00000000" w:rsidP="004B0D0F">
      <w:pPr>
        <w:jc w:val="both"/>
        <w:rPr>
          <w:sz w:val="22"/>
          <w:szCs w:val="24"/>
        </w:rPr>
      </w:pPr>
      <w:r w:rsidRPr="00CD434E">
        <w:rPr>
          <w:sz w:val="22"/>
          <w:szCs w:val="24"/>
        </w:rPr>
        <w:t>The use of monadic language is motivated by the treatment of computational effects: context is carried through transformations rather than hidden (Moggi, 1991; Wadler, 1995). The use of provenance is grounded in database research and standard provenance models, where origin and derivation are represented as part of the data product rather than as optional metadata (Buneman et al., 2001; Cheney et al., 2009; Moreau &amp; Missier, 2013).</w:t>
      </w:r>
    </w:p>
    <w:p w14:paraId="447069CB" w14:textId="77777777" w:rsidR="001B1454" w:rsidRPr="00CD434E" w:rsidRDefault="00000000" w:rsidP="004B0D0F">
      <w:pPr>
        <w:jc w:val="both"/>
        <w:rPr>
          <w:sz w:val="22"/>
          <w:szCs w:val="24"/>
        </w:rPr>
      </w:pPr>
      <w:r w:rsidRPr="00CD434E">
        <w:rPr>
          <w:sz w:val="22"/>
          <w:szCs w:val="24"/>
        </w:rPr>
        <w:t>The consolidation analogy also has a neuroscience precedent. Complementary learning systems distinguish fast episodic acquisition from slower integration into structured knowledge (McClelland et al., 1995; Kumaran et al., 2016), while memory research emphasizes transformation, reconsolidation, source monitoring, and selective forgetting rather than passive archival storage (Johnson et al., 1993; Dudai et al., 2015). These sources motivate the problem but do not imply that biological memory implements the categorical structures proposed here.</w:t>
      </w:r>
    </w:p>
    <w:p w14:paraId="279777C6" w14:textId="77777777" w:rsidR="001B1454" w:rsidRDefault="00000000" w:rsidP="004B0D0F">
      <w:pPr>
        <w:pStyle w:val="Heading2"/>
        <w:jc w:val="both"/>
      </w:pPr>
      <w:r>
        <w:t>2.3 Formal mathematics as an operational testbed</w:t>
      </w:r>
    </w:p>
    <w:p w14:paraId="78DAB766" w14:textId="77777777" w:rsidR="001B1454" w:rsidRPr="00CD434E" w:rsidRDefault="00000000" w:rsidP="004B0D0F">
      <w:pPr>
        <w:jc w:val="both"/>
        <w:rPr>
          <w:sz w:val="22"/>
          <w:szCs w:val="24"/>
        </w:rPr>
      </w:pPr>
      <w:r w:rsidRPr="00CD434E">
        <w:rPr>
          <w:sz w:val="22"/>
          <w:szCs w:val="24"/>
        </w:rPr>
        <w:t>Modern proof assistants and community libraries make dependencies, versions, theorem statements, and kernel checking inspectable (de Moura &amp; Ullrich, 2021; The mathlib Community, 2020). This supports controlled experiments on candidate staging, provenance ablation, canonicalization, refactoring, rollback, and corpus health. MathOps therefore treats a formal library not as a passive repository but as a governed, versioned knowledge system.</w:t>
      </w:r>
    </w:p>
    <w:p w14:paraId="79BAC767" w14:textId="77777777" w:rsidR="001B1454" w:rsidRPr="00CD434E" w:rsidRDefault="00000000" w:rsidP="004B0D0F">
      <w:pPr>
        <w:jc w:val="both"/>
        <w:rPr>
          <w:sz w:val="22"/>
          <w:szCs w:val="24"/>
        </w:rPr>
      </w:pPr>
      <w:r w:rsidRPr="00CD434E">
        <w:rPr>
          <w:sz w:val="22"/>
          <w:szCs w:val="24"/>
        </w:rPr>
        <w:t>The paper does not claim that the term MathOps has a standardized meaning across the literature. It uses MathOps in the specific sense developed in the author’s essay series: the operational discipline for generating, checking, comparing, admitting, consolidating, deprecating, and forgetting AI-generated formal and epistemic artifacts (Ghosh, 2026b, 2026c).</w:t>
      </w:r>
    </w:p>
    <w:p w14:paraId="0D80A44C" w14:textId="77777777" w:rsidR="001B1454" w:rsidRDefault="00000000" w:rsidP="004B0D0F">
      <w:pPr>
        <w:pStyle w:val="Heading1"/>
        <w:jc w:val="both"/>
      </w:pPr>
      <w:r>
        <w:t>3. Scope, Nomenclature, and Nonclaims</w:t>
      </w:r>
    </w:p>
    <w:p w14:paraId="1B2B9E0D" w14:textId="77777777" w:rsidR="001B1454" w:rsidRDefault="00000000" w:rsidP="004B0D0F">
      <w:pPr>
        <w:pStyle w:val="Heading2"/>
        <w:jc w:val="both"/>
      </w:pPr>
      <w:r>
        <w:t>3.1 The name “AIgory”</w:t>
      </w:r>
    </w:p>
    <w:p w14:paraId="735B132A" w14:textId="77777777" w:rsidR="001B1454" w:rsidRPr="00CD434E" w:rsidRDefault="00000000" w:rsidP="004B0D0F">
      <w:pPr>
        <w:jc w:val="both"/>
        <w:rPr>
          <w:sz w:val="22"/>
          <w:szCs w:val="24"/>
        </w:rPr>
      </w:pPr>
      <w:r w:rsidRPr="00CD434E">
        <w:rPr>
          <w:sz w:val="22"/>
          <w:szCs w:val="24"/>
        </w:rPr>
        <w:t>AIgory is a neologism combining AI with the idea of categorical and allegorical representation. It is intended to suggest that AI artifacts are partial mirrors of richer objects and situations. Category theory already contains a technical theory of allegories: certain categories enriched in partially ordered hom-sets and equipped with additional relational structure (Freyd &amp; Scedrov, 1990). This paper does not claim that the proposed category of governed artifacts is an allegory in that established sense.</w:t>
      </w:r>
    </w:p>
    <w:p w14:paraId="07FB262D" w14:textId="77777777" w:rsidR="001B1454" w:rsidRPr="00CD434E" w:rsidRDefault="00000000" w:rsidP="004B0D0F">
      <w:pPr>
        <w:jc w:val="both"/>
        <w:rPr>
          <w:sz w:val="22"/>
          <w:szCs w:val="24"/>
        </w:rPr>
      </w:pPr>
      <w:r w:rsidRPr="00CD434E">
        <w:rPr>
          <w:sz w:val="22"/>
          <w:szCs w:val="24"/>
        </w:rPr>
        <w:t>A future connection may be possible if AIgory morphisms are ordered by informational strength, equipped with suitable involutions, and shown to satisfy allegorical axioms. Until such results exist, the terms must remain distinct. The capitalized phrase AIgory Theory names the present research programme; allegory theory retains its conventional categorical meaning.</w:t>
      </w:r>
    </w:p>
    <w:p w14:paraId="48F43FD3" w14:textId="77777777" w:rsidR="001B1454" w:rsidRDefault="00000000" w:rsidP="004B0D0F">
      <w:pPr>
        <w:pStyle w:val="Heading2"/>
        <w:jc w:val="both"/>
      </w:pPr>
      <w:r>
        <w:t>3.2 What the proposal does not claim</w:t>
      </w:r>
    </w:p>
    <w:p w14:paraId="5D415353" w14:textId="77777777" w:rsidR="001B1454" w:rsidRPr="00CD434E" w:rsidRDefault="00000000" w:rsidP="004B0D0F">
      <w:pPr>
        <w:jc w:val="both"/>
        <w:rPr>
          <w:sz w:val="22"/>
          <w:szCs w:val="24"/>
        </w:rPr>
      </w:pPr>
      <w:r w:rsidRPr="00CD434E">
        <w:rPr>
          <w:sz w:val="22"/>
          <w:szCs w:val="24"/>
        </w:rPr>
        <w:t xml:space="preserve">The proposal does not claim that every epistemic judgment can be formalized, that formalization guarantees moral or social understanding, or that a single metric can combine correctness, consent, provenance, utility, </w:t>
      </w:r>
      <w:r w:rsidRPr="00CD434E">
        <w:rPr>
          <w:sz w:val="22"/>
          <w:szCs w:val="24"/>
        </w:rPr>
        <w:lastRenderedPageBreak/>
        <w:t>and risk. It does not claim that category theory alone supplies an AI constitution. It also does not claim that canonical knowledge is eternally true or that every candidate family has a unique best representative.</w:t>
      </w:r>
    </w:p>
    <w:p w14:paraId="2E26708B" w14:textId="77777777" w:rsidR="001B1454" w:rsidRPr="00CD434E" w:rsidRDefault="00000000" w:rsidP="004B0D0F">
      <w:pPr>
        <w:jc w:val="both"/>
        <w:rPr>
          <w:sz w:val="22"/>
          <w:szCs w:val="24"/>
        </w:rPr>
      </w:pPr>
      <w:r w:rsidRPr="00CD434E">
        <w:rPr>
          <w:sz w:val="22"/>
          <w:szCs w:val="24"/>
        </w:rPr>
        <w:t>The intended standard is remainder honesty: every projection must state what it fails to represent. The formal layer supports accountable comparison and principled refusal; it does not erase the need for domain expertise, user authority, institutional governance, or empirical validation.</w:t>
      </w:r>
    </w:p>
    <w:tbl>
      <w:tblPr>
        <w:tblW w:w="0" w:type="auto"/>
        <w:jc w:val="center"/>
        <w:tblLayout w:type="fixed"/>
        <w:tblLook w:val="04A0" w:firstRow="1" w:lastRow="0" w:firstColumn="1" w:lastColumn="0" w:noHBand="0" w:noVBand="1"/>
      </w:tblPr>
      <w:tblGrid>
        <w:gridCol w:w="9072"/>
      </w:tblGrid>
      <w:tr w:rsidR="001B1454" w:rsidRPr="00CD434E" w14:paraId="214A4EF6" w14:textId="77777777">
        <w:trPr>
          <w:tblHeader/>
          <w:jc w:val="center"/>
        </w:trPr>
        <w:tc>
          <w:tcPr>
            <w:tcW w:w="9072" w:type="dxa"/>
            <w:shd w:val="clear" w:color="auto" w:fill="F3F4F6"/>
            <w:tcMar>
              <w:top w:w="140" w:type="dxa"/>
              <w:left w:w="180" w:type="dxa"/>
              <w:bottom w:w="140" w:type="dxa"/>
              <w:right w:w="180" w:type="dxa"/>
            </w:tcMar>
          </w:tcPr>
          <w:p w14:paraId="13B852B9" w14:textId="77777777" w:rsidR="001B1454" w:rsidRPr="00CD434E" w:rsidRDefault="00000000" w:rsidP="004B0D0F">
            <w:pPr>
              <w:spacing w:after="60"/>
              <w:jc w:val="both"/>
              <w:rPr>
                <w:sz w:val="22"/>
                <w:szCs w:val="24"/>
              </w:rPr>
            </w:pPr>
            <w:r w:rsidRPr="00CD434E">
              <w:rPr>
                <w:b/>
                <w:color w:val="1F2937"/>
                <w:sz w:val="22"/>
                <w:szCs w:val="24"/>
              </w:rPr>
              <w:t xml:space="preserve">Status of the theory: </w:t>
            </w:r>
            <w:r w:rsidRPr="00CD434E">
              <w:rPr>
                <w:sz w:val="22"/>
                <w:szCs w:val="24"/>
              </w:rPr>
              <w:t>The definitions below form a coherent conceptual scaffold. Claims involving monads, adjunctions, enriched residuals, stacks, or double categories are research hypotheses until their laws and existence conditions are established.</w:t>
            </w:r>
          </w:p>
        </w:tc>
      </w:tr>
    </w:tbl>
    <w:p w14:paraId="3AC3FF58" w14:textId="77777777" w:rsidR="001B1454" w:rsidRDefault="001B1454" w:rsidP="004B0D0F">
      <w:pPr>
        <w:spacing w:after="0"/>
        <w:jc w:val="both"/>
      </w:pPr>
    </w:p>
    <w:p w14:paraId="0C27B3DB" w14:textId="77777777" w:rsidR="001B1454" w:rsidRDefault="00000000" w:rsidP="004B0D0F">
      <w:pPr>
        <w:pStyle w:val="Heading1"/>
        <w:jc w:val="both"/>
      </w:pPr>
      <w:r>
        <w:t>4. Governed Epistemic Artifacts</w:t>
      </w:r>
    </w:p>
    <w:p w14:paraId="6A2B86B6" w14:textId="77777777" w:rsidR="001B1454" w:rsidRPr="00CD434E" w:rsidRDefault="00000000" w:rsidP="004B0D0F">
      <w:pPr>
        <w:pStyle w:val="Definition"/>
        <w:jc w:val="both"/>
        <w:rPr>
          <w:sz w:val="22"/>
          <w:szCs w:val="24"/>
        </w:rPr>
      </w:pPr>
      <w:r w:rsidRPr="00CD434E">
        <w:rPr>
          <w:b/>
          <w:sz w:val="22"/>
          <w:szCs w:val="24"/>
        </w:rPr>
        <w:t xml:space="preserve">Definition 1 (Governed epistemic artifact). </w:t>
      </w:r>
      <w:r w:rsidRPr="00CD434E">
        <w:rPr>
          <w:sz w:val="22"/>
          <w:szCs w:val="24"/>
        </w:rPr>
        <w:t>A governed epistemic artifact is a tuple A = (X, Π, Σ, W, U, Γ, R), where X is content; Π is provenance; Σ is legitimate scope; W is a family of load-bearing witness commitments; U is uncertainty; Γ is governance state; and R is recovery structure.</w:t>
      </w:r>
    </w:p>
    <w:p w14:paraId="22DBF020" w14:textId="52EF0DB6" w:rsidR="001B1454" w:rsidRDefault="00000000" w:rsidP="00E61C14">
      <w:pPr>
        <w:tabs>
          <w:tab w:val="right" w:pos="9000"/>
        </w:tabs>
        <w:spacing w:before="80" w:after="80"/>
        <w:jc w:val="center"/>
        <w:rPr>
          <w:sz w:val="28"/>
          <w:szCs w:val="32"/>
        </w:rPr>
      </w:pPr>
      <w:r w:rsidRPr="00CD434E">
        <w:rPr>
          <w:rFonts w:ascii="Cambria Math" w:hAnsi="Cambria Math"/>
          <w:sz w:val="28"/>
          <w:szCs w:val="32"/>
        </w:rPr>
        <w:t>A = (X, Π, Σ, W, U, Γ, R)</w:t>
      </w:r>
      <w:r w:rsidR="00E61C14" w:rsidRPr="00CD434E">
        <w:rPr>
          <w:rFonts w:ascii="Cambria Math" w:hAnsi="Cambria Math"/>
          <w:sz w:val="28"/>
          <w:szCs w:val="32"/>
        </w:rPr>
        <w:t xml:space="preserve">   </w:t>
      </w:r>
      <w:r w:rsidRPr="00CD434E">
        <w:rPr>
          <w:sz w:val="28"/>
          <w:szCs w:val="32"/>
        </w:rPr>
        <w:t>(1)</w:t>
      </w:r>
    </w:p>
    <w:p w14:paraId="265F976D" w14:textId="77777777" w:rsidR="00CD434E" w:rsidRPr="00CD434E" w:rsidRDefault="00CD434E" w:rsidP="00E61C14">
      <w:pPr>
        <w:tabs>
          <w:tab w:val="right" w:pos="9000"/>
        </w:tabs>
        <w:spacing w:before="80" w:after="80"/>
        <w:jc w:val="center"/>
        <w:rPr>
          <w:sz w:val="28"/>
          <w:szCs w:val="32"/>
        </w:rPr>
      </w:pPr>
    </w:p>
    <w:tbl>
      <w:tblPr>
        <w:tblStyle w:val="TableGrid"/>
        <w:tblW w:w="9192" w:type="dxa"/>
        <w:jc w:val="center"/>
        <w:tblLayout w:type="fixed"/>
        <w:tblLook w:val="04A0" w:firstRow="1" w:lastRow="0" w:firstColumn="1" w:lastColumn="0" w:noHBand="0" w:noVBand="1"/>
      </w:tblPr>
      <w:tblGrid>
        <w:gridCol w:w="1728"/>
        <w:gridCol w:w="7464"/>
      </w:tblGrid>
      <w:tr w:rsidR="001B1454" w14:paraId="5A3D85D8" w14:textId="77777777" w:rsidTr="006641A2">
        <w:trPr>
          <w:tblHeader/>
          <w:jc w:val="center"/>
        </w:trPr>
        <w:tc>
          <w:tcPr>
            <w:tcW w:w="1728" w:type="dxa"/>
            <w:shd w:val="clear" w:color="auto" w:fill="DCE6F1"/>
            <w:vAlign w:val="center"/>
          </w:tcPr>
          <w:p w14:paraId="6A97C6B3" w14:textId="77777777" w:rsidR="001B1454" w:rsidRDefault="00000000" w:rsidP="00E61C14">
            <w:pPr>
              <w:jc w:val="center"/>
            </w:pPr>
            <w:r>
              <w:t>Component</w:t>
            </w:r>
          </w:p>
        </w:tc>
        <w:tc>
          <w:tcPr>
            <w:tcW w:w="7464" w:type="dxa"/>
            <w:shd w:val="clear" w:color="auto" w:fill="DCE6F1"/>
            <w:vAlign w:val="center"/>
          </w:tcPr>
          <w:p w14:paraId="5BAEC161" w14:textId="77777777" w:rsidR="001B1454" w:rsidRDefault="00000000" w:rsidP="00E61C14">
            <w:pPr>
              <w:jc w:val="center"/>
            </w:pPr>
            <w:r>
              <w:t>Operational meaning</w:t>
            </w:r>
          </w:p>
        </w:tc>
      </w:tr>
      <w:tr w:rsidR="001B1454" w14:paraId="23E07B9B" w14:textId="77777777" w:rsidTr="006641A2">
        <w:trPr>
          <w:jc w:val="center"/>
        </w:trPr>
        <w:tc>
          <w:tcPr>
            <w:tcW w:w="1728" w:type="dxa"/>
            <w:tcMar>
              <w:top w:w="80" w:type="dxa"/>
              <w:left w:w="90" w:type="dxa"/>
              <w:bottom w:w="80" w:type="dxa"/>
              <w:right w:w="90" w:type="dxa"/>
            </w:tcMar>
          </w:tcPr>
          <w:p w14:paraId="0544A6FC" w14:textId="77777777" w:rsidR="001B1454" w:rsidRDefault="00000000" w:rsidP="004B0D0F">
            <w:pPr>
              <w:jc w:val="both"/>
            </w:pPr>
            <w:r>
              <w:t>X — content</w:t>
            </w:r>
          </w:p>
        </w:tc>
        <w:tc>
          <w:tcPr>
            <w:tcW w:w="7464" w:type="dxa"/>
            <w:tcMar>
              <w:top w:w="80" w:type="dxa"/>
              <w:left w:w="90" w:type="dxa"/>
              <w:bottom w:w="80" w:type="dxa"/>
              <w:right w:w="90" w:type="dxa"/>
            </w:tcMar>
          </w:tcPr>
          <w:p w14:paraId="35C6BA29" w14:textId="77777777" w:rsidR="001B1454" w:rsidRDefault="00000000" w:rsidP="004B0D0F">
            <w:pPr>
              <w:jc w:val="both"/>
            </w:pPr>
            <w:r>
              <w:t>The proposition, proof, plan, memory, model, policy, or interpretation under consideration.</w:t>
            </w:r>
          </w:p>
        </w:tc>
      </w:tr>
      <w:tr w:rsidR="001B1454" w14:paraId="7386962A" w14:textId="77777777" w:rsidTr="006641A2">
        <w:trPr>
          <w:jc w:val="center"/>
        </w:trPr>
        <w:tc>
          <w:tcPr>
            <w:tcW w:w="1728" w:type="dxa"/>
            <w:tcMar>
              <w:top w:w="80" w:type="dxa"/>
              <w:left w:w="90" w:type="dxa"/>
              <w:bottom w:w="80" w:type="dxa"/>
              <w:right w:w="90" w:type="dxa"/>
            </w:tcMar>
          </w:tcPr>
          <w:p w14:paraId="75F2B270" w14:textId="77777777" w:rsidR="001B1454" w:rsidRDefault="00000000" w:rsidP="004B0D0F">
            <w:pPr>
              <w:jc w:val="both"/>
            </w:pPr>
            <w:r>
              <w:t>Π — provenance</w:t>
            </w:r>
          </w:p>
        </w:tc>
        <w:tc>
          <w:tcPr>
            <w:tcW w:w="7464" w:type="dxa"/>
            <w:tcMar>
              <w:top w:w="80" w:type="dxa"/>
              <w:left w:w="90" w:type="dxa"/>
              <w:bottom w:w="80" w:type="dxa"/>
              <w:right w:w="90" w:type="dxa"/>
            </w:tcMar>
          </w:tcPr>
          <w:p w14:paraId="7AB45750" w14:textId="77777777" w:rsidR="001B1454" w:rsidRDefault="00000000" w:rsidP="004B0D0F">
            <w:pPr>
              <w:jc w:val="both"/>
            </w:pPr>
            <w:r>
              <w:t>Source identity, generation process, model and prompt history, retrieval source, versions, reviewers, and transformation lineage.</w:t>
            </w:r>
          </w:p>
        </w:tc>
      </w:tr>
      <w:tr w:rsidR="001B1454" w14:paraId="00BFD904" w14:textId="77777777" w:rsidTr="006641A2">
        <w:trPr>
          <w:jc w:val="center"/>
        </w:trPr>
        <w:tc>
          <w:tcPr>
            <w:tcW w:w="1728" w:type="dxa"/>
            <w:tcMar>
              <w:top w:w="80" w:type="dxa"/>
              <w:left w:w="90" w:type="dxa"/>
              <w:bottom w:w="80" w:type="dxa"/>
              <w:right w:w="90" w:type="dxa"/>
            </w:tcMar>
          </w:tcPr>
          <w:p w14:paraId="0D3BBE13" w14:textId="77777777" w:rsidR="001B1454" w:rsidRDefault="00000000" w:rsidP="004B0D0F">
            <w:pPr>
              <w:jc w:val="both"/>
            </w:pPr>
            <w:r>
              <w:t>Σ — scope</w:t>
            </w:r>
          </w:p>
        </w:tc>
        <w:tc>
          <w:tcPr>
            <w:tcW w:w="7464" w:type="dxa"/>
            <w:tcMar>
              <w:top w:w="80" w:type="dxa"/>
              <w:left w:w="90" w:type="dxa"/>
              <w:bottom w:w="80" w:type="dxa"/>
              <w:right w:w="90" w:type="dxa"/>
            </w:tcMar>
          </w:tcPr>
          <w:p w14:paraId="47F79945" w14:textId="77777777" w:rsidR="001B1454" w:rsidRDefault="00000000" w:rsidP="004B0D0F">
            <w:pPr>
              <w:jc w:val="both"/>
            </w:pPr>
            <w:r>
              <w:t>The contexts, assumptions, times, jurisdictions, users, domains, or operating regimes in which the content may be applied.</w:t>
            </w:r>
          </w:p>
        </w:tc>
      </w:tr>
      <w:tr w:rsidR="001B1454" w14:paraId="73C5484C" w14:textId="77777777" w:rsidTr="006641A2">
        <w:trPr>
          <w:jc w:val="center"/>
        </w:trPr>
        <w:tc>
          <w:tcPr>
            <w:tcW w:w="1728" w:type="dxa"/>
            <w:tcMar>
              <w:top w:w="80" w:type="dxa"/>
              <w:left w:w="90" w:type="dxa"/>
              <w:bottom w:w="80" w:type="dxa"/>
              <w:right w:w="90" w:type="dxa"/>
            </w:tcMar>
          </w:tcPr>
          <w:p w14:paraId="5AF525F9" w14:textId="77777777" w:rsidR="001B1454" w:rsidRDefault="00000000" w:rsidP="004B0D0F">
            <w:pPr>
              <w:jc w:val="both"/>
            </w:pPr>
            <w:r>
              <w:t>W — witnesses</w:t>
            </w:r>
          </w:p>
        </w:tc>
        <w:tc>
          <w:tcPr>
            <w:tcW w:w="7464" w:type="dxa"/>
            <w:tcMar>
              <w:top w:w="80" w:type="dxa"/>
              <w:left w:w="90" w:type="dxa"/>
              <w:bottom w:w="80" w:type="dxa"/>
              <w:right w:w="90" w:type="dxa"/>
            </w:tcMar>
          </w:tcPr>
          <w:p w14:paraId="09BEB227" w14:textId="77777777" w:rsidR="001B1454" w:rsidRDefault="00000000" w:rsidP="004B0D0F">
            <w:pPr>
              <w:jc w:val="both"/>
            </w:pPr>
            <w:r>
              <w:t>Protected commitments whose loss would alter what the artifact is about: assumptions, exceptions, consent, attribution, non-generalization, identity boundaries.</w:t>
            </w:r>
          </w:p>
        </w:tc>
      </w:tr>
      <w:tr w:rsidR="001B1454" w14:paraId="532C1242" w14:textId="77777777" w:rsidTr="006641A2">
        <w:trPr>
          <w:jc w:val="center"/>
        </w:trPr>
        <w:tc>
          <w:tcPr>
            <w:tcW w:w="1728" w:type="dxa"/>
            <w:tcMar>
              <w:top w:w="80" w:type="dxa"/>
              <w:left w:w="90" w:type="dxa"/>
              <w:bottom w:w="80" w:type="dxa"/>
              <w:right w:w="90" w:type="dxa"/>
            </w:tcMar>
          </w:tcPr>
          <w:p w14:paraId="72738C69" w14:textId="77777777" w:rsidR="001B1454" w:rsidRDefault="00000000" w:rsidP="004B0D0F">
            <w:pPr>
              <w:jc w:val="both"/>
            </w:pPr>
            <w:r>
              <w:t>U — uncertainty</w:t>
            </w:r>
          </w:p>
        </w:tc>
        <w:tc>
          <w:tcPr>
            <w:tcW w:w="7464" w:type="dxa"/>
            <w:tcMar>
              <w:top w:w="80" w:type="dxa"/>
              <w:left w:w="90" w:type="dxa"/>
              <w:bottom w:w="80" w:type="dxa"/>
              <w:right w:w="90" w:type="dxa"/>
            </w:tcMar>
          </w:tcPr>
          <w:p w14:paraId="55DE7B46" w14:textId="77777777" w:rsidR="001B1454" w:rsidRDefault="00000000" w:rsidP="004B0D0F">
            <w:pPr>
              <w:jc w:val="both"/>
            </w:pPr>
            <w:r>
              <w:t>Probability where appropriate, but also ambiguity, disagreement, contradiction, missing evidence, epistemic status, and unformalized remainder.</w:t>
            </w:r>
          </w:p>
        </w:tc>
      </w:tr>
      <w:tr w:rsidR="001B1454" w14:paraId="51806364" w14:textId="77777777" w:rsidTr="006641A2">
        <w:trPr>
          <w:jc w:val="center"/>
        </w:trPr>
        <w:tc>
          <w:tcPr>
            <w:tcW w:w="1728" w:type="dxa"/>
            <w:tcMar>
              <w:top w:w="80" w:type="dxa"/>
              <w:left w:w="90" w:type="dxa"/>
              <w:bottom w:w="80" w:type="dxa"/>
              <w:right w:w="90" w:type="dxa"/>
            </w:tcMar>
          </w:tcPr>
          <w:p w14:paraId="5CC5420B" w14:textId="77777777" w:rsidR="001B1454" w:rsidRDefault="00000000" w:rsidP="004B0D0F">
            <w:pPr>
              <w:jc w:val="both"/>
            </w:pPr>
            <w:r>
              <w:t>Γ — governance</w:t>
            </w:r>
          </w:p>
        </w:tc>
        <w:tc>
          <w:tcPr>
            <w:tcW w:w="7464" w:type="dxa"/>
            <w:tcMar>
              <w:top w:w="80" w:type="dxa"/>
              <w:left w:w="90" w:type="dxa"/>
              <w:bottom w:w="80" w:type="dxa"/>
              <w:right w:w="90" w:type="dxa"/>
            </w:tcMar>
          </w:tcPr>
          <w:p w14:paraId="1683988F" w14:textId="77777777" w:rsidR="001B1454" w:rsidRDefault="00000000" w:rsidP="004B0D0F">
            <w:pPr>
              <w:jc w:val="both"/>
            </w:pPr>
            <w:r>
              <w:t>Generated, staged, verified, reviewed, admitted, canonical, disputed, quarantined, deprecated, or protected.</w:t>
            </w:r>
          </w:p>
        </w:tc>
      </w:tr>
      <w:tr w:rsidR="001B1454" w14:paraId="3B08CDB3" w14:textId="77777777" w:rsidTr="006641A2">
        <w:trPr>
          <w:jc w:val="center"/>
        </w:trPr>
        <w:tc>
          <w:tcPr>
            <w:tcW w:w="1728" w:type="dxa"/>
            <w:tcMar>
              <w:top w:w="80" w:type="dxa"/>
              <w:left w:w="90" w:type="dxa"/>
              <w:bottom w:w="80" w:type="dxa"/>
              <w:right w:w="90" w:type="dxa"/>
            </w:tcMar>
          </w:tcPr>
          <w:p w14:paraId="4571CB12" w14:textId="77777777" w:rsidR="001B1454" w:rsidRDefault="00000000" w:rsidP="004B0D0F">
            <w:pPr>
              <w:jc w:val="both"/>
            </w:pPr>
            <w:r>
              <w:t>R — recovery</w:t>
            </w:r>
          </w:p>
        </w:tc>
        <w:tc>
          <w:tcPr>
            <w:tcW w:w="7464" w:type="dxa"/>
            <w:tcMar>
              <w:top w:w="80" w:type="dxa"/>
              <w:left w:w="90" w:type="dxa"/>
              <w:bottom w:w="80" w:type="dxa"/>
              <w:right w:w="90" w:type="dxa"/>
            </w:tcMar>
          </w:tcPr>
          <w:p w14:paraId="39883FEA" w14:textId="77777777" w:rsidR="001B1454" w:rsidRDefault="00000000" w:rsidP="004B0D0F">
            <w:pPr>
              <w:jc w:val="both"/>
            </w:pPr>
            <w:r>
              <w:t>Correction, rollback, supersession, dependency repair, de-canonicalization, deletion, and structured forgetting.</w:t>
            </w:r>
          </w:p>
        </w:tc>
      </w:tr>
    </w:tbl>
    <w:p w14:paraId="5BC80FC3" w14:textId="77777777" w:rsidR="001B1454" w:rsidRDefault="00000000" w:rsidP="006641A2">
      <w:pPr>
        <w:pStyle w:val="CaptionCustom"/>
      </w:pPr>
      <w:r>
        <w:t>Table 1. Components of a governed epistemic artifact.</w:t>
      </w:r>
    </w:p>
    <w:p w14:paraId="25118D79" w14:textId="77777777" w:rsidR="001B1454" w:rsidRPr="00CD434E" w:rsidRDefault="00000000" w:rsidP="004B0D0F">
      <w:pPr>
        <w:jc w:val="both"/>
        <w:rPr>
          <w:sz w:val="22"/>
          <w:szCs w:val="24"/>
        </w:rPr>
      </w:pPr>
      <w:r w:rsidRPr="00CD434E">
        <w:rPr>
          <w:sz w:val="22"/>
          <w:szCs w:val="24"/>
        </w:rPr>
        <w:t>The tuple is schematic rather than ontologically final. Some components may be dependent types rather than independent fields. For example, the admissible scope of a claim may depend on its provenance, and recovery obligations may depend on governance status. The research question is not whether seven database columns are sufficient, but which structure must be preserved so that transformation remains defensible.</w:t>
      </w:r>
    </w:p>
    <w:p w14:paraId="2D6D286F" w14:textId="77777777" w:rsidR="001B1454" w:rsidRPr="00CD434E" w:rsidRDefault="00000000" w:rsidP="004B0D0F">
      <w:pPr>
        <w:jc w:val="both"/>
        <w:rPr>
          <w:sz w:val="22"/>
          <w:szCs w:val="24"/>
        </w:rPr>
      </w:pPr>
      <w:r w:rsidRPr="00CD434E">
        <w:rPr>
          <w:sz w:val="22"/>
          <w:szCs w:val="24"/>
        </w:rPr>
        <w:lastRenderedPageBreak/>
        <w:t>Content equality is not epistemic equality. Two artifacts may carry the same sentence but differ because one is an observation and the other an inference, or because one is public and the other private. Let U₀ map a governed artifact to its content. The fibre over a content item contains the epistemically distinct ways in which that content can exist. Collapsing the fibre is a primary source of memory error.</w:t>
      </w:r>
    </w:p>
    <w:p w14:paraId="4FB4FD1F" w14:textId="4CB644CF" w:rsidR="001B1454" w:rsidRPr="00CD434E" w:rsidRDefault="00000000" w:rsidP="00E61C14">
      <w:pPr>
        <w:tabs>
          <w:tab w:val="right" w:pos="9000"/>
        </w:tabs>
        <w:spacing w:before="80" w:after="80"/>
        <w:jc w:val="center"/>
        <w:rPr>
          <w:sz w:val="28"/>
          <w:szCs w:val="32"/>
        </w:rPr>
      </w:pPr>
      <w:r w:rsidRPr="00CD434E">
        <w:rPr>
          <w:rFonts w:ascii="Cambria Math" w:hAnsi="Cambria Math"/>
          <w:sz w:val="28"/>
          <w:szCs w:val="32"/>
        </w:rPr>
        <w:t>U₀ : AIG → CONT</w:t>
      </w:r>
      <w:r w:rsidR="00E61C14" w:rsidRPr="00CD434E">
        <w:rPr>
          <w:sz w:val="28"/>
          <w:szCs w:val="32"/>
        </w:rPr>
        <w:t xml:space="preserve">   </w:t>
      </w:r>
      <w:r w:rsidRPr="00CD434E">
        <w:rPr>
          <w:sz w:val="28"/>
          <w:szCs w:val="32"/>
        </w:rPr>
        <w:t>(2)</w:t>
      </w:r>
    </w:p>
    <w:p w14:paraId="6D5F5D15" w14:textId="77777777" w:rsidR="001B1454" w:rsidRDefault="00000000" w:rsidP="004B0D0F">
      <w:pPr>
        <w:pStyle w:val="Heading1"/>
        <w:jc w:val="both"/>
      </w:pPr>
      <w:r>
        <w:t>5. The Strict Core and the Certificate-Aware Extension</w:t>
      </w:r>
    </w:p>
    <w:p w14:paraId="7E82F220" w14:textId="77777777" w:rsidR="001B1454" w:rsidRDefault="00000000" w:rsidP="004B0D0F">
      <w:pPr>
        <w:pStyle w:val="Heading2"/>
        <w:jc w:val="both"/>
      </w:pPr>
      <w:r>
        <w:t>5.1 Conservative morphisms</w:t>
      </w:r>
    </w:p>
    <w:p w14:paraId="008FAD71" w14:textId="77777777" w:rsidR="001B1454" w:rsidRPr="00CD434E" w:rsidRDefault="00000000" w:rsidP="004B0D0F">
      <w:pPr>
        <w:pStyle w:val="Definition"/>
        <w:jc w:val="both"/>
        <w:rPr>
          <w:sz w:val="22"/>
          <w:szCs w:val="24"/>
        </w:rPr>
      </w:pPr>
      <w:r w:rsidRPr="00CD434E">
        <w:rPr>
          <w:b/>
          <w:sz w:val="22"/>
          <w:szCs w:val="24"/>
        </w:rPr>
        <w:t xml:space="preserve">Definition 2 (Conservative morphism). </w:t>
      </w:r>
      <w:r w:rsidRPr="00CD434E">
        <w:rPr>
          <w:sz w:val="22"/>
          <w:szCs w:val="24"/>
        </w:rPr>
        <w:t>A conservative morphism f : A → B is a transformation whose transport maps preserve every protected component required by the governing policy. Any change of representation must retain provenance linkage, remain within authorized scope, preserve protected witnesses, propagate uncertainty honestly, and maintain a valid recovery path.</w:t>
      </w:r>
    </w:p>
    <w:p w14:paraId="22FD6640" w14:textId="77777777" w:rsidR="001B1454" w:rsidRPr="00CD434E" w:rsidRDefault="00000000" w:rsidP="004B0D0F">
      <w:pPr>
        <w:jc w:val="both"/>
        <w:rPr>
          <w:sz w:val="22"/>
          <w:szCs w:val="24"/>
        </w:rPr>
      </w:pPr>
      <w:r w:rsidRPr="00CD434E">
        <w:rPr>
          <w:sz w:val="22"/>
          <w:szCs w:val="24"/>
        </w:rPr>
        <w:t>Conservative morphisms can form an ordinary category AIGcon once identity and composition are defined so that preservation data compose strictly. There is then an underlying-computation functor V : AIGcon → COMP that forgets governance structure and returns the executable transformation. The existence of V expresses a one-way fact: every conservative AIgory morphism is computable, but not every computable map is conservative.</w:t>
      </w:r>
    </w:p>
    <w:p w14:paraId="6E486071" w14:textId="77777777" w:rsidR="001B1454" w:rsidRPr="00CD434E" w:rsidRDefault="00000000" w:rsidP="004B0D0F">
      <w:pPr>
        <w:jc w:val="both"/>
        <w:rPr>
          <w:sz w:val="22"/>
          <w:szCs w:val="24"/>
        </w:rPr>
      </w:pPr>
      <w:r w:rsidRPr="00CD434E">
        <w:rPr>
          <w:sz w:val="22"/>
          <w:szCs w:val="24"/>
        </w:rPr>
        <w:t>This formulation replaces the informal notation AIG ⊆ COMP, which is generally misleading because the objects and morphisms are not literally the same. A functor between a governed category and a computational category is the correct structural relation.</w:t>
      </w:r>
    </w:p>
    <w:p w14:paraId="69A8C76C" w14:textId="2D92B6F6" w:rsidR="001B1454" w:rsidRPr="00CD434E" w:rsidRDefault="00000000" w:rsidP="00E61C14">
      <w:pPr>
        <w:tabs>
          <w:tab w:val="right" w:pos="9000"/>
        </w:tabs>
        <w:spacing w:before="80" w:after="80"/>
        <w:jc w:val="center"/>
        <w:rPr>
          <w:sz w:val="28"/>
          <w:szCs w:val="32"/>
        </w:rPr>
      </w:pPr>
      <w:r w:rsidRPr="00CD434E">
        <w:rPr>
          <w:rFonts w:ascii="Cambria Math" w:hAnsi="Cambria Math"/>
          <w:sz w:val="28"/>
          <w:szCs w:val="32"/>
        </w:rPr>
        <w:t>V : AIGcon → COMP</w:t>
      </w:r>
      <w:r w:rsidR="00E61C14" w:rsidRPr="00CD434E">
        <w:rPr>
          <w:sz w:val="28"/>
          <w:szCs w:val="32"/>
        </w:rPr>
        <w:t xml:space="preserve">   </w:t>
      </w:r>
      <w:r w:rsidRPr="00CD434E">
        <w:rPr>
          <w:sz w:val="28"/>
          <w:szCs w:val="32"/>
        </w:rPr>
        <w:t>(3)</w:t>
      </w:r>
    </w:p>
    <w:p w14:paraId="0AF75FEA" w14:textId="77777777" w:rsidR="001B1454" w:rsidRDefault="00000000" w:rsidP="004B0D0F">
      <w:pPr>
        <w:pStyle w:val="Heading2"/>
        <w:jc w:val="both"/>
      </w:pPr>
      <w:r>
        <w:t>5.2 Loss-declared transformations</w:t>
      </w:r>
    </w:p>
    <w:p w14:paraId="4F275A24" w14:textId="77777777" w:rsidR="001B1454" w:rsidRPr="00CD434E" w:rsidRDefault="00000000" w:rsidP="004B0D0F">
      <w:pPr>
        <w:pStyle w:val="Definition"/>
        <w:jc w:val="both"/>
        <w:rPr>
          <w:sz w:val="22"/>
          <w:szCs w:val="24"/>
        </w:rPr>
      </w:pPr>
      <w:r w:rsidRPr="00CD434E">
        <w:rPr>
          <w:b/>
          <w:sz w:val="22"/>
          <w:szCs w:val="24"/>
        </w:rPr>
        <w:t xml:space="preserve">Definition 3 (Loss-declared transformation). </w:t>
      </w:r>
      <w:r w:rsidRPr="00CD434E">
        <w:rPr>
          <w:sz w:val="22"/>
          <w:szCs w:val="24"/>
        </w:rPr>
        <w:t>A loss-declared transformation is a pair (f, ωf), where f is the underlying computation and ωf is a preservation certificate stating which components were preserved, weakened, discharged, or made uncertain, together with the authority and purpose under which the loss is allowed.</w:t>
      </w:r>
    </w:p>
    <w:p w14:paraId="33B9F185" w14:textId="77777777" w:rsidR="001B1454" w:rsidRPr="00CD434E" w:rsidRDefault="00000000" w:rsidP="004B0D0F">
      <w:pPr>
        <w:jc w:val="both"/>
        <w:rPr>
          <w:sz w:val="22"/>
          <w:szCs w:val="24"/>
        </w:rPr>
      </w:pPr>
      <w:r w:rsidRPr="00CD434E">
        <w:rPr>
          <w:sz w:val="22"/>
          <w:szCs w:val="24"/>
        </w:rPr>
        <w:t>Summarization, abstraction, compression, anonymization, and forgetting normally remove information. Treating all such operations as strict witness-preserving maps would make the theory either false or unusably narrow. The certificate therefore becomes part of the morphism-like structure.</w:t>
      </w:r>
    </w:p>
    <w:p w14:paraId="7F733801" w14:textId="77777777" w:rsidR="001B1454" w:rsidRPr="00CD434E" w:rsidRDefault="00000000" w:rsidP="004B0D0F">
      <w:pPr>
        <w:jc w:val="both"/>
        <w:rPr>
          <w:sz w:val="22"/>
          <w:szCs w:val="24"/>
        </w:rPr>
      </w:pPr>
      <w:r w:rsidRPr="00CD434E">
        <w:rPr>
          <w:sz w:val="22"/>
          <w:szCs w:val="24"/>
        </w:rPr>
        <w:t>Certificate composition may be associative only up to coherent comparison. Two audit trails can be equivalent without being textually identical. The natural general structure is therefore a bicategory, a double category, or another higher-categorical system: objects are governed artifacts; tight arrows are conservative morphisms; loose arrows are loss-declared transformations; and 2-cells or squares compare certificates. The paper leaves the exact choice open, because choosing it is one of the formal problems rather than a formatting decision.</w:t>
      </w:r>
    </w:p>
    <w:p w14:paraId="02388384" w14:textId="77777777" w:rsidR="001B1454" w:rsidRDefault="00000000" w:rsidP="004B0D0F">
      <w:pPr>
        <w:pStyle w:val="Heading2"/>
        <w:jc w:val="both"/>
      </w:pPr>
      <w:r>
        <w:t>5.3 Forbidden transformations and obstructions</w:t>
      </w:r>
    </w:p>
    <w:p w14:paraId="4D1A09E3" w14:textId="77777777" w:rsidR="001B1454" w:rsidRPr="00CD434E" w:rsidRDefault="00000000" w:rsidP="004B0D0F">
      <w:pPr>
        <w:pStyle w:val="Definition"/>
        <w:jc w:val="both"/>
        <w:rPr>
          <w:sz w:val="22"/>
          <w:szCs w:val="24"/>
        </w:rPr>
      </w:pPr>
      <w:r w:rsidRPr="00CD434E">
        <w:rPr>
          <w:b/>
          <w:sz w:val="22"/>
          <w:szCs w:val="24"/>
        </w:rPr>
        <w:t xml:space="preserve">Definition 4 (Forbidden transformation). </w:t>
      </w:r>
      <w:r w:rsidRPr="00CD434E">
        <w:rPr>
          <w:sz w:val="22"/>
          <w:szCs w:val="24"/>
        </w:rPr>
        <w:t>A transformation is forbidden when it removes or alters a protected commitment without an authorized and reviewable discharge. Typical cases include converting inference into observation, broadening a local preference into a universal trait, deleting an exception, erasing uncertainty, merging distinct identities, or stripping attribution from a canonical object.</w:t>
      </w:r>
    </w:p>
    <w:p w14:paraId="7AFA2660" w14:textId="01109A5C" w:rsidR="001B1454" w:rsidRPr="00CD434E" w:rsidRDefault="00000000" w:rsidP="00E61C14">
      <w:pPr>
        <w:tabs>
          <w:tab w:val="right" w:pos="9000"/>
        </w:tabs>
        <w:spacing w:before="80" w:after="80"/>
        <w:jc w:val="center"/>
        <w:rPr>
          <w:sz w:val="28"/>
          <w:szCs w:val="32"/>
        </w:rPr>
      </w:pPr>
      <w:r w:rsidRPr="00CD434E">
        <w:rPr>
          <w:rFonts w:ascii="Cambria Math" w:hAnsi="Cambria Math"/>
          <w:sz w:val="28"/>
          <w:szCs w:val="32"/>
        </w:rPr>
        <w:lastRenderedPageBreak/>
        <w:t>Undeclared protected loss  ⇒  inadmissibility</w:t>
      </w:r>
      <w:r w:rsidR="00E61C14" w:rsidRPr="00CD434E">
        <w:rPr>
          <w:sz w:val="28"/>
          <w:szCs w:val="32"/>
        </w:rPr>
        <w:t xml:space="preserve">   </w:t>
      </w:r>
      <w:r w:rsidRPr="00CD434E">
        <w:rPr>
          <w:sz w:val="28"/>
          <w:szCs w:val="32"/>
        </w:rPr>
        <w:t>(4)</w:t>
      </w:r>
    </w:p>
    <w:p w14:paraId="699F2AB5" w14:textId="77777777" w:rsidR="001B1454" w:rsidRPr="00CD434E" w:rsidRDefault="00000000" w:rsidP="004B0D0F">
      <w:pPr>
        <w:jc w:val="both"/>
        <w:rPr>
          <w:sz w:val="22"/>
          <w:szCs w:val="24"/>
        </w:rPr>
      </w:pPr>
      <w:r w:rsidRPr="00CD434E">
        <w:rPr>
          <w:sz w:val="22"/>
          <w:szCs w:val="24"/>
        </w:rPr>
        <w:t>A failed transformation should return more than a Boolean rejection. An obstruction object Obs(A, B) should identify why an admissible map is unavailable: missing provenance, incompatible scopes, absent consent, unresolved contradiction, non-recoverable consolidation, identity collision, or failure of descent. Mature intelligence includes principled non-transformability—the capacity to decline invalid composition and explain the obstruction.</w:t>
      </w:r>
    </w:p>
    <w:p w14:paraId="1A364915" w14:textId="77777777" w:rsidR="001B1454" w:rsidRPr="00CD434E" w:rsidRDefault="00000000" w:rsidP="004B0D0F">
      <w:pPr>
        <w:jc w:val="both"/>
        <w:rPr>
          <w:sz w:val="22"/>
          <w:szCs w:val="24"/>
        </w:rPr>
      </w:pPr>
      <w:r w:rsidRPr="00CD434E">
        <w:rPr>
          <w:sz w:val="22"/>
          <w:szCs w:val="24"/>
        </w:rPr>
        <w:t>Identity is also nontrivial. Copying content across storage locations may alter jurisdiction, access control, retention, or auditability. A content-level copy is an identity in the governed category only when the relevant governed structure is unchanged or the change is explicitly certified.</w:t>
      </w:r>
    </w:p>
    <w:p w14:paraId="2F9E709D" w14:textId="77777777" w:rsidR="001B1454" w:rsidRDefault="00000000" w:rsidP="004B0D0F">
      <w:pPr>
        <w:pStyle w:val="Heading1"/>
        <w:jc w:val="both"/>
      </w:pPr>
      <w:r>
        <w:t>6. Defensible Diagrams</w:t>
      </w:r>
    </w:p>
    <w:p w14:paraId="6C530389" w14:textId="77777777" w:rsidR="001B1454" w:rsidRPr="00CD434E" w:rsidRDefault="00000000" w:rsidP="004B0D0F">
      <w:pPr>
        <w:pStyle w:val="Definition"/>
        <w:jc w:val="both"/>
        <w:rPr>
          <w:sz w:val="22"/>
          <w:szCs w:val="24"/>
        </w:rPr>
      </w:pPr>
      <w:r w:rsidRPr="00CD434E">
        <w:rPr>
          <w:b/>
          <w:sz w:val="22"/>
          <w:szCs w:val="24"/>
        </w:rPr>
        <w:t xml:space="preserve">Definition 5 (Defensible commutativity). </w:t>
      </w:r>
      <w:r w:rsidRPr="00CD434E">
        <w:rPr>
          <w:sz w:val="22"/>
          <w:szCs w:val="24"/>
        </w:rPr>
        <w:t>Two transformation paths are defensibly commutative when their outputs agree under the chosen content equivalence and their transported provenance, scope, protected witnesses, uncertainty, governance effects, and recovery obligations agree up to an authorized certificate.</w:t>
      </w:r>
    </w:p>
    <w:p w14:paraId="47BB8A11" w14:textId="77777777" w:rsidR="001B1454" w:rsidRPr="00CD434E" w:rsidRDefault="00000000" w:rsidP="004B0D0F">
      <w:pPr>
        <w:jc w:val="both"/>
        <w:rPr>
          <w:sz w:val="22"/>
          <w:szCs w:val="24"/>
        </w:rPr>
      </w:pPr>
      <w:r w:rsidRPr="00CD434E">
        <w:rPr>
          <w:sz w:val="22"/>
          <w:szCs w:val="24"/>
        </w:rPr>
        <w:t>Ordinary textual equality is too weak. A summary-first path and a scope-review-first path may produce the same final sentence while preserving different rights and assumptions. AIgory Theory therefore treats a diagram as deceptive when it commutes syntactically but fails in a protected component.</w:t>
      </w:r>
    </w:p>
    <w:p w14:paraId="00AC8C37" w14:textId="77777777" w:rsidR="001B1454" w:rsidRPr="00CD434E" w:rsidRDefault="00000000" w:rsidP="004B0D0F">
      <w:pPr>
        <w:jc w:val="both"/>
        <w:rPr>
          <w:sz w:val="22"/>
          <w:szCs w:val="24"/>
        </w:rPr>
      </w:pPr>
      <w:r w:rsidRPr="00CD434E">
        <w:rPr>
          <w:sz w:val="22"/>
          <w:szCs w:val="24"/>
        </w:rPr>
        <w:t>Let p and q be two paths from A to D. The defensibility residual Δ(p, q) is a structured record of componentwise mismatch. Calling it a residual does not yet make it numerical. A metric, norm, enrichment, ideal, or obstruction class must be supplied before quantitative claims are justified. Protected components may use veto semantics, whereas unprotected components may admit bounded mismatch.</w:t>
      </w:r>
    </w:p>
    <w:p w14:paraId="768BCBE1" w14:textId="135472BB" w:rsidR="001B1454" w:rsidRPr="00CD434E" w:rsidRDefault="00000000" w:rsidP="00E61C14">
      <w:pPr>
        <w:tabs>
          <w:tab w:val="right" w:pos="9000"/>
        </w:tabs>
        <w:spacing w:before="80" w:after="80"/>
        <w:jc w:val="center"/>
        <w:rPr>
          <w:sz w:val="28"/>
          <w:szCs w:val="32"/>
        </w:rPr>
      </w:pPr>
      <w:r w:rsidRPr="00CD434E">
        <w:rPr>
          <w:rFonts w:ascii="Cambria Math" w:hAnsi="Cambria Math"/>
          <w:sz w:val="28"/>
          <w:szCs w:val="32"/>
        </w:rPr>
        <w:t>Δ(p,q) = (ΔX, ΔΠ, ΔΣ, ΔW, ΔU, ΔΓ, ΔR)</w:t>
      </w:r>
      <w:r w:rsidR="00E61C14" w:rsidRPr="00CD434E">
        <w:rPr>
          <w:sz w:val="28"/>
          <w:szCs w:val="32"/>
        </w:rPr>
        <w:t xml:space="preserve">   </w:t>
      </w:r>
      <w:r w:rsidRPr="00CD434E">
        <w:rPr>
          <w:sz w:val="28"/>
          <w:szCs w:val="32"/>
        </w:rPr>
        <w:t>(5)</w:t>
      </w:r>
    </w:p>
    <w:p w14:paraId="6C1975E4" w14:textId="31386FDC" w:rsidR="001B1454" w:rsidRPr="00CD434E" w:rsidRDefault="00000000" w:rsidP="00E61C14">
      <w:pPr>
        <w:tabs>
          <w:tab w:val="right" w:pos="9000"/>
        </w:tabs>
        <w:spacing w:before="80" w:after="80"/>
        <w:jc w:val="center"/>
        <w:rPr>
          <w:sz w:val="28"/>
          <w:szCs w:val="32"/>
        </w:rPr>
      </w:pPr>
      <w:r w:rsidRPr="00CD434E">
        <w:rPr>
          <w:rFonts w:ascii="Cambria Math" w:hAnsi="Cambria Math"/>
          <w:sz w:val="28"/>
          <w:szCs w:val="32"/>
        </w:rPr>
        <w:t>Defensible commutativity:  Δk(p,q) = 0  for every protected component k</w:t>
      </w:r>
      <w:r w:rsidR="00E61C14" w:rsidRPr="00CD434E">
        <w:rPr>
          <w:sz w:val="28"/>
          <w:szCs w:val="32"/>
        </w:rPr>
        <w:t xml:space="preserve">   </w:t>
      </w:r>
      <w:r w:rsidRPr="00CD434E">
        <w:rPr>
          <w:sz w:val="28"/>
          <w:szCs w:val="32"/>
        </w:rPr>
        <w:t>(6)</w:t>
      </w:r>
    </w:p>
    <w:p w14:paraId="27CC9AA6" w14:textId="77777777" w:rsidR="001B1454" w:rsidRPr="00CD434E" w:rsidRDefault="00000000" w:rsidP="004B0D0F">
      <w:pPr>
        <w:jc w:val="both"/>
        <w:rPr>
          <w:sz w:val="22"/>
          <w:szCs w:val="24"/>
        </w:rPr>
      </w:pPr>
      <w:r w:rsidRPr="00CD434E">
        <w:rPr>
          <w:sz w:val="22"/>
          <w:szCs w:val="24"/>
        </w:rPr>
        <w:t>This non-compensatory structure is essential. Strong utility cannot cancel absent consent; high confidence cannot cancel invalid scope; formal correctness cannot cancel privacy violation. A single scalar score would permit exactly the trades that constitutional governance may need to forbid.</w:t>
      </w:r>
    </w:p>
    <w:p w14:paraId="6F559EA7" w14:textId="77777777" w:rsidR="001B1454" w:rsidRPr="00CD434E" w:rsidRDefault="00000000" w:rsidP="004B0D0F">
      <w:pPr>
        <w:jc w:val="both"/>
        <w:rPr>
          <w:sz w:val="22"/>
          <w:szCs w:val="24"/>
        </w:rPr>
      </w:pPr>
      <w:r w:rsidRPr="00CD434E">
        <w:rPr>
          <w:sz w:val="22"/>
          <w:szCs w:val="24"/>
        </w:rPr>
        <w:t>The strict core can require equality in protected transports. The certificate-aware extension can replace equality with a specified invertible or directed 2-cell whose residual lies entirely in tolerated components. This yields a concrete formal target for auditability.</w:t>
      </w:r>
    </w:p>
    <w:p w14:paraId="42B47064" w14:textId="77777777" w:rsidR="001B1454" w:rsidRDefault="00000000" w:rsidP="004B0D0F">
      <w:pPr>
        <w:pStyle w:val="Heading1"/>
        <w:jc w:val="both"/>
      </w:pPr>
      <w:r>
        <w:t>7. Provenance, Salience, and Semantic Integration as Candidate Effects</w:t>
      </w:r>
    </w:p>
    <w:p w14:paraId="1F4892C2" w14:textId="77777777" w:rsidR="001B1454" w:rsidRPr="00CD434E" w:rsidRDefault="00000000" w:rsidP="004B0D0F">
      <w:pPr>
        <w:jc w:val="both"/>
        <w:rPr>
          <w:sz w:val="22"/>
          <w:szCs w:val="24"/>
        </w:rPr>
      </w:pPr>
      <w:r w:rsidRPr="00CD434E">
        <w:rPr>
          <w:sz w:val="22"/>
          <w:szCs w:val="24"/>
        </w:rPr>
        <w:t>The earlier MathOps essays described provenance, salience, and semantic integration as three monads (Ghosh, 2026c). The intuition remains useful, but the formal claim must be weakened. A monad requires an endofunctor, a unit, a multiplication, and verified associativity and unit laws. Those data have not yet been constructed for the proposed artifact category.</w:t>
      </w:r>
    </w:p>
    <w:p w14:paraId="3E32DB91" w14:textId="77777777" w:rsidR="001B1454" w:rsidRPr="00CD434E" w:rsidRDefault="00000000" w:rsidP="004B0D0F">
      <w:pPr>
        <w:jc w:val="both"/>
        <w:rPr>
          <w:sz w:val="22"/>
          <w:szCs w:val="24"/>
        </w:rPr>
      </w:pPr>
      <w:r w:rsidRPr="00CD434E">
        <w:rPr>
          <w:sz w:val="22"/>
          <w:szCs w:val="24"/>
        </w:rPr>
        <w:t>This paper therefore calls P, S, and I candidate effect structures. They may become monads on a suitable category, graded monads, indexed monads, lax monoidal endofunctors, or algebraic effects. Their correct type depends on whether context changes object types, whether governance is indexed by policy, and whether loss is partial.</w:t>
      </w:r>
    </w:p>
    <w:p w14:paraId="401E2144" w14:textId="77777777" w:rsidR="001B1454" w:rsidRDefault="00000000" w:rsidP="004B0D0F">
      <w:pPr>
        <w:pStyle w:val="Heading2"/>
        <w:jc w:val="both"/>
      </w:pPr>
      <w:r>
        <w:lastRenderedPageBreak/>
        <w:t>7.1 Provenance effect P</w:t>
      </w:r>
    </w:p>
    <w:p w14:paraId="5EEF1481" w14:textId="77777777" w:rsidR="001B1454" w:rsidRPr="00CD434E" w:rsidRDefault="00000000" w:rsidP="004B0D0F">
      <w:pPr>
        <w:jc w:val="both"/>
        <w:rPr>
          <w:sz w:val="22"/>
          <w:szCs w:val="24"/>
        </w:rPr>
      </w:pPr>
      <w:r w:rsidRPr="00CD434E">
        <w:rPr>
          <w:sz w:val="22"/>
          <w:szCs w:val="24"/>
        </w:rPr>
        <w:t>P enriches an artifact with origin and derivation. Its intended unit attaches an initial provenance record, and its intended multiplication flattens nested provenance without erasing causal order or attribution boundaries. Database provenance and the W3C PROV model demonstrate that derivation is structurally representable, but they do not automatically provide the monad required here (Buneman et al., 2001; Cheney et al., 2009; Moreau &amp; Missier, 2013).</w:t>
      </w:r>
    </w:p>
    <w:p w14:paraId="14F27ACC" w14:textId="77777777" w:rsidR="001B1454" w:rsidRPr="00CD434E" w:rsidRDefault="00000000" w:rsidP="004B0D0F">
      <w:pPr>
        <w:jc w:val="both"/>
        <w:rPr>
          <w:sz w:val="22"/>
          <w:szCs w:val="24"/>
        </w:rPr>
      </w:pPr>
      <w:r w:rsidRPr="00CD434E">
        <w:rPr>
          <w:sz w:val="22"/>
          <w:szCs w:val="24"/>
        </w:rPr>
        <w:t>A provenance law for AIgory Theory should ensure that the provenance of a composite transformation is derived from the actual provenance of its stages rather than reconstructed after the event.</w:t>
      </w:r>
    </w:p>
    <w:p w14:paraId="355DA719" w14:textId="77777777" w:rsidR="001B1454" w:rsidRDefault="00000000" w:rsidP="004B0D0F">
      <w:pPr>
        <w:pStyle w:val="Heading2"/>
        <w:jc w:val="both"/>
      </w:pPr>
      <w:r>
        <w:t>7.2 Salience effect S</w:t>
      </w:r>
    </w:p>
    <w:p w14:paraId="64E02C64" w14:textId="77777777" w:rsidR="001B1454" w:rsidRPr="00CD434E" w:rsidRDefault="00000000" w:rsidP="004B0D0F">
      <w:pPr>
        <w:jc w:val="both"/>
        <w:rPr>
          <w:sz w:val="22"/>
          <w:szCs w:val="24"/>
        </w:rPr>
      </w:pPr>
      <w:r w:rsidRPr="00CD434E">
        <w:rPr>
          <w:sz w:val="22"/>
          <w:szCs w:val="24"/>
        </w:rPr>
        <w:t>S carries consequence, sensitivity, urgency, and downstream impact. Salience routes review; it does not determine truth. Its algebra is likely ordered and non-compensatory. Suitable candidates include lattices, quantales, ordered monoids with absorbing veto elements, or policy-indexed risk objects.</w:t>
      </w:r>
    </w:p>
    <w:p w14:paraId="0713EF05" w14:textId="77777777" w:rsidR="001B1454" w:rsidRPr="00CD434E" w:rsidRDefault="00000000" w:rsidP="004B0D0F">
      <w:pPr>
        <w:jc w:val="both"/>
        <w:rPr>
          <w:sz w:val="22"/>
          <w:szCs w:val="24"/>
        </w:rPr>
      </w:pPr>
      <w:r w:rsidRPr="00CD434E">
        <w:rPr>
          <w:sz w:val="22"/>
          <w:szCs w:val="24"/>
        </w:rPr>
        <w:t>Associativity is not guaranteed. If the salience of a sequence depends on the order in which consequences are aggregated, then S is not an ordinary monad on the proposed base category. Such a negative result would itself matter: it would show that governance history cannot be compressed into an order-independent score.</w:t>
      </w:r>
    </w:p>
    <w:p w14:paraId="22C53B81" w14:textId="77777777" w:rsidR="001B1454" w:rsidRDefault="00000000" w:rsidP="004B0D0F">
      <w:pPr>
        <w:pStyle w:val="Heading2"/>
        <w:jc w:val="both"/>
      </w:pPr>
      <w:r>
        <w:t>7.3 Semantic-integration effect I</w:t>
      </w:r>
    </w:p>
    <w:p w14:paraId="03888F8B" w14:textId="77777777" w:rsidR="001B1454" w:rsidRPr="00CD434E" w:rsidRDefault="00000000" w:rsidP="004B0D0F">
      <w:pPr>
        <w:jc w:val="both"/>
        <w:rPr>
          <w:sz w:val="22"/>
          <w:szCs w:val="24"/>
        </w:rPr>
      </w:pPr>
      <w:r w:rsidRPr="00CD434E">
        <w:rPr>
          <w:sz w:val="22"/>
          <w:szCs w:val="24"/>
        </w:rPr>
        <w:t>I places a candidate relative to existing knowledge. It asks whether the candidate is redundant, contradictory, too specific, abstraction-increasing, dependency-heavy, or suitable for canonical admission. It therefore operates on a changing knowledge environment rather than on isolated objects.</w:t>
      </w:r>
    </w:p>
    <w:p w14:paraId="28F78C82" w14:textId="77777777" w:rsidR="001B1454" w:rsidRPr="00CD434E" w:rsidRDefault="00000000" w:rsidP="004B0D0F">
      <w:pPr>
        <w:jc w:val="both"/>
        <w:rPr>
          <w:sz w:val="22"/>
          <w:szCs w:val="24"/>
        </w:rPr>
      </w:pPr>
      <w:r w:rsidRPr="00CD434E">
        <w:rPr>
          <w:sz w:val="22"/>
          <w:szCs w:val="24"/>
        </w:rPr>
        <w:t>An indexed or fibred formulation may be necessary: I_K(A) integrates candidate A relative to corpus state K. Updating K changes the meaning of integration, so the effect may not be a single endofunctor on a fixed category.</w:t>
      </w:r>
    </w:p>
    <w:p w14:paraId="3BD615DE" w14:textId="77777777" w:rsidR="001B1454" w:rsidRDefault="00000000" w:rsidP="004B0D0F">
      <w:pPr>
        <w:pStyle w:val="Heading2"/>
        <w:jc w:val="both"/>
      </w:pPr>
      <w:r>
        <w:t>7.4 Ordering and distributive laws</w:t>
      </w:r>
    </w:p>
    <w:p w14:paraId="1F11B9CC" w14:textId="77777777" w:rsidR="001B1454" w:rsidRPr="00CD434E" w:rsidRDefault="00000000" w:rsidP="004B0D0F">
      <w:pPr>
        <w:jc w:val="both"/>
        <w:rPr>
          <w:sz w:val="22"/>
          <w:szCs w:val="24"/>
        </w:rPr>
      </w:pPr>
      <w:r w:rsidRPr="00CD434E">
        <w:rPr>
          <w:sz w:val="22"/>
          <w:szCs w:val="24"/>
        </w:rPr>
        <w:t>The effects cannot be assumed to commute. Integration before provenance may erase the distinction between independent evidence and repeated output from one model. Salience may determine how much provenance is required. Provenance may change the salience of an apparently routine candidate.</w:t>
      </w:r>
    </w:p>
    <w:p w14:paraId="061179EA" w14:textId="77777777" w:rsidR="001B1454" w:rsidRPr="00CD434E" w:rsidRDefault="00000000" w:rsidP="004B0D0F">
      <w:pPr>
        <w:jc w:val="both"/>
        <w:rPr>
          <w:sz w:val="22"/>
          <w:szCs w:val="24"/>
        </w:rPr>
      </w:pPr>
      <w:r w:rsidRPr="00CD434E">
        <w:rPr>
          <w:sz w:val="22"/>
          <w:szCs w:val="24"/>
        </w:rPr>
        <w:t>The existence or non-existence of distributive laws such as PS ⇒ SP, PI ⇒ IP, and SI ⇒ IS is therefore a central mathematical question. A proof that certain orders are structurally unavailable would turn an operational rule—such as provenance before consolidation—into a theorem of the architecture.</w:t>
      </w:r>
    </w:p>
    <w:p w14:paraId="677EBF53" w14:textId="77777777" w:rsidR="001B1454" w:rsidRDefault="00000000" w:rsidP="004B0D0F">
      <w:pPr>
        <w:pStyle w:val="Heading1"/>
        <w:jc w:val="both"/>
      </w:pPr>
      <w:r>
        <w:t>8. Candidate Spaces, Canonicalization, and Consolidation</w:t>
      </w:r>
    </w:p>
    <w:p w14:paraId="047ED1A3" w14:textId="77777777" w:rsidR="001B1454" w:rsidRPr="00CD434E" w:rsidRDefault="00000000" w:rsidP="004B0D0F">
      <w:pPr>
        <w:jc w:val="both"/>
        <w:rPr>
          <w:sz w:val="22"/>
          <w:szCs w:val="24"/>
        </w:rPr>
      </w:pPr>
      <w:r w:rsidRPr="00CD434E">
        <w:rPr>
          <w:sz w:val="22"/>
          <w:szCs w:val="24"/>
        </w:rPr>
        <w:t>Let CAND be a category or bicategory of staged candidates and CAN a governed substructure of admitted canonical artifacts. Canonicalization should not be modeled as a total function. Candidate families may have no representative, several incomparable representatives, or a plurality whose disagreement is itself load-bearing.</w:t>
      </w:r>
    </w:p>
    <w:p w14:paraId="103CFEB5" w14:textId="77777777" w:rsidR="001B1454" w:rsidRPr="00CD434E" w:rsidRDefault="00000000" w:rsidP="004B0D0F">
      <w:pPr>
        <w:jc w:val="both"/>
        <w:rPr>
          <w:sz w:val="22"/>
          <w:szCs w:val="24"/>
        </w:rPr>
      </w:pPr>
      <w:r w:rsidRPr="00CD434E">
        <w:rPr>
          <w:sz w:val="22"/>
          <w:szCs w:val="24"/>
        </w:rPr>
        <w:t>On an admissible domain D ⊆ CAND, a reflector L : D → CAN with inclusion J : CAN → D may exist. Only under those conditions is L ⊣ J justified. The unit ηA : A → JLA then expresses the universal map from a candidate to its best canonical approximation relative to a fixed constitutional version.</w:t>
      </w:r>
    </w:p>
    <w:p w14:paraId="0F042AD7" w14:textId="532BB990" w:rsidR="001B1454" w:rsidRPr="00CD434E" w:rsidRDefault="00000000" w:rsidP="00E61C14">
      <w:pPr>
        <w:tabs>
          <w:tab w:val="right" w:pos="9000"/>
        </w:tabs>
        <w:spacing w:before="80" w:after="80"/>
        <w:jc w:val="center"/>
        <w:rPr>
          <w:sz w:val="28"/>
          <w:szCs w:val="32"/>
        </w:rPr>
      </w:pPr>
      <w:r w:rsidRPr="00CD434E">
        <w:rPr>
          <w:rFonts w:ascii="Cambria Math" w:hAnsi="Cambria Math"/>
          <w:sz w:val="28"/>
          <w:szCs w:val="32"/>
        </w:rPr>
        <w:t>L ⊣ J   only on a domain where the reflector exists</w:t>
      </w:r>
      <w:r w:rsidR="00E61C14" w:rsidRPr="00CD434E">
        <w:rPr>
          <w:sz w:val="28"/>
          <w:szCs w:val="32"/>
        </w:rPr>
        <w:t xml:space="preserve">   </w:t>
      </w:r>
      <w:r w:rsidRPr="00CD434E">
        <w:rPr>
          <w:sz w:val="28"/>
          <w:szCs w:val="32"/>
        </w:rPr>
        <w:t>(7)</w:t>
      </w:r>
    </w:p>
    <w:p w14:paraId="2DEC3FB7" w14:textId="77777777" w:rsidR="001B1454" w:rsidRPr="00CD434E" w:rsidRDefault="00000000" w:rsidP="004B0D0F">
      <w:pPr>
        <w:pStyle w:val="Definition"/>
        <w:jc w:val="both"/>
        <w:rPr>
          <w:sz w:val="22"/>
          <w:szCs w:val="24"/>
        </w:rPr>
      </w:pPr>
      <w:r w:rsidRPr="00CD434E">
        <w:rPr>
          <w:b/>
          <w:sz w:val="22"/>
          <w:szCs w:val="24"/>
        </w:rPr>
        <w:t xml:space="preserve">Definition 6 (Canonicalization certificate). </w:t>
      </w:r>
      <w:r w:rsidRPr="00CD434E">
        <w:rPr>
          <w:sz w:val="22"/>
          <w:szCs w:val="24"/>
        </w:rPr>
        <w:t>A canonicalization certificate records the comparison set, preserved and discharged witnesses, rejected alternatives, remaining uncertainty, governing policy version, reconsideration triggers, and rollback path associated with admission.</w:t>
      </w:r>
    </w:p>
    <w:p w14:paraId="5B551F81" w14:textId="77777777" w:rsidR="001B1454" w:rsidRPr="00CD434E" w:rsidRDefault="00000000" w:rsidP="004B0D0F">
      <w:pPr>
        <w:jc w:val="both"/>
        <w:rPr>
          <w:sz w:val="22"/>
          <w:szCs w:val="24"/>
        </w:rPr>
      </w:pPr>
      <w:r w:rsidRPr="00CD434E">
        <w:rPr>
          <w:sz w:val="22"/>
          <w:szCs w:val="24"/>
        </w:rPr>
        <w:lastRenderedPageBreak/>
        <w:t>Candidate superposition is therefore an architectural requirement. Multiple definitions, proofs, summaries, or user models remain staged until comparison is justified. Verification is necessary where available but does not by itself select a canonical representative.</w:t>
      </w:r>
    </w:p>
    <w:p w14:paraId="6BA67166" w14:textId="77777777" w:rsidR="001B1454" w:rsidRPr="00CD434E" w:rsidRDefault="00000000" w:rsidP="004B0D0F">
      <w:pPr>
        <w:jc w:val="both"/>
        <w:rPr>
          <w:sz w:val="22"/>
          <w:szCs w:val="24"/>
        </w:rPr>
      </w:pPr>
      <w:r w:rsidRPr="00CD434E">
        <w:rPr>
          <w:sz w:val="22"/>
          <w:szCs w:val="24"/>
        </w:rPr>
        <w:t>Where reflectivity holds, T = JL is an idempotent monad up to the relevant notion of equivalence. The interpretation is consolidation: applying the same constitutional consolidation again should not arbitrarily change the artifact. New evidence or a new constitution changes the ambient problem and may legitimately de-canonicalize an earlier result.</w:t>
      </w:r>
    </w:p>
    <w:p w14:paraId="6B595894" w14:textId="77777777" w:rsidR="001B1454" w:rsidRPr="00CD434E" w:rsidRDefault="00000000" w:rsidP="004B0D0F">
      <w:pPr>
        <w:jc w:val="both"/>
        <w:rPr>
          <w:sz w:val="22"/>
          <w:szCs w:val="24"/>
        </w:rPr>
      </w:pPr>
      <w:r w:rsidRPr="00CD434E">
        <w:rPr>
          <w:sz w:val="22"/>
          <w:szCs w:val="24"/>
        </w:rPr>
        <w:t>Limits and colimits must also be governed. A synthesis should record not only the common content but the provenance of contributors and the assumptions that were not merged. Integration must preserve disagreement boundaries.</w:t>
      </w:r>
    </w:p>
    <w:p w14:paraId="5DA80FCA" w14:textId="77777777" w:rsidR="001B1454" w:rsidRDefault="00000000" w:rsidP="004B0D0F">
      <w:pPr>
        <w:pStyle w:val="Heading1"/>
        <w:jc w:val="both"/>
      </w:pPr>
      <w:r>
        <w:t>9. Mirror Functors and Constitutional Judgment</w:t>
      </w:r>
    </w:p>
    <w:p w14:paraId="13729320" w14:textId="77777777" w:rsidR="001B1454" w:rsidRDefault="00000000" w:rsidP="004B0D0F">
      <w:pPr>
        <w:pStyle w:val="Heading2"/>
        <w:jc w:val="both"/>
      </w:pPr>
      <w:r>
        <w:t>9.1 Disciplined mirrors</w:t>
      </w:r>
    </w:p>
    <w:p w14:paraId="2D82E4D4" w14:textId="77777777" w:rsidR="001B1454" w:rsidRPr="00CD434E" w:rsidRDefault="00000000" w:rsidP="004B0D0F">
      <w:pPr>
        <w:jc w:val="both"/>
        <w:rPr>
          <w:sz w:val="22"/>
          <w:szCs w:val="24"/>
        </w:rPr>
      </w:pPr>
      <w:r w:rsidRPr="00CD434E">
        <w:rPr>
          <w:sz w:val="22"/>
          <w:szCs w:val="24"/>
        </w:rPr>
        <w:t>Many humanly important claims are weakly verifiable: intention, vulnerability, consent, preference, social meaning, and future relevance do not admit a universal binary kernel. The mirror-system proposal does not try to prove them directly. It projects them into several structured domains that expose different failure modes (Ghosh, 2026e).</w:t>
      </w:r>
    </w:p>
    <w:p w14:paraId="11916752" w14:textId="77777777" w:rsidR="001B1454" w:rsidRPr="00CD434E" w:rsidRDefault="00000000" w:rsidP="004B0D0F">
      <w:pPr>
        <w:jc w:val="both"/>
        <w:rPr>
          <w:sz w:val="22"/>
          <w:szCs w:val="24"/>
        </w:rPr>
      </w:pPr>
      <w:r w:rsidRPr="00CD434E">
        <w:rPr>
          <w:sz w:val="22"/>
          <w:szCs w:val="24"/>
        </w:rPr>
        <w:t>Let Yi be a weak-verifiability domain and Xi structured checking domains such as provenance, privacy, causality, legal authority, security, or care. Candidate mirror functors Fi : Y → Xi are useful only when their limitations are explicit. Several near-identical mirrors do not provide independent support; failure-mode diversity matters more than model count.</w:t>
      </w:r>
    </w:p>
    <w:p w14:paraId="12356126" w14:textId="30AFED2C" w:rsidR="001B1454" w:rsidRPr="00CD434E" w:rsidRDefault="00000000" w:rsidP="00E61C14">
      <w:pPr>
        <w:tabs>
          <w:tab w:val="right" w:pos="9000"/>
        </w:tabs>
        <w:spacing w:before="80" w:after="80"/>
        <w:jc w:val="center"/>
        <w:rPr>
          <w:sz w:val="28"/>
          <w:szCs w:val="32"/>
        </w:rPr>
      </w:pPr>
      <w:r w:rsidRPr="00CD434E">
        <w:rPr>
          <w:rFonts w:ascii="Cambria Math" w:hAnsi="Cambria Math"/>
          <w:sz w:val="28"/>
          <w:szCs w:val="32"/>
        </w:rPr>
        <w:t>Fi : Y → Xi</w:t>
      </w:r>
      <w:r w:rsidR="00E61C14" w:rsidRPr="00CD434E">
        <w:rPr>
          <w:sz w:val="28"/>
          <w:szCs w:val="32"/>
        </w:rPr>
        <w:t xml:space="preserve">   </w:t>
      </w:r>
      <w:r w:rsidRPr="00CD434E">
        <w:rPr>
          <w:sz w:val="28"/>
          <w:szCs w:val="32"/>
        </w:rPr>
        <w:t>(8)</w:t>
      </w:r>
    </w:p>
    <w:p w14:paraId="24DCB6AA" w14:textId="77777777" w:rsidR="001B1454" w:rsidRPr="00CD434E" w:rsidRDefault="00000000" w:rsidP="004B0D0F">
      <w:pPr>
        <w:jc w:val="both"/>
        <w:rPr>
          <w:sz w:val="22"/>
          <w:szCs w:val="24"/>
        </w:rPr>
      </w:pPr>
      <w:r w:rsidRPr="00CD434E">
        <w:rPr>
          <w:sz w:val="22"/>
          <w:szCs w:val="24"/>
        </w:rPr>
        <w:t>A mirror report must include a remainder object or annotation describing what the projection did not formalize. Agreement among mirrors supports consolidation and review; it does not establish metaphysical truth. This distinction prevents math-washing—the substitution of formal elegance for semantic adequacy.</w:t>
      </w:r>
    </w:p>
    <w:p w14:paraId="425852A7" w14:textId="77777777" w:rsidR="001B1454" w:rsidRPr="00CD434E" w:rsidRDefault="00000000" w:rsidP="004B0D0F">
      <w:pPr>
        <w:jc w:val="both"/>
        <w:rPr>
          <w:sz w:val="22"/>
          <w:szCs w:val="24"/>
        </w:rPr>
      </w:pPr>
      <w:r w:rsidRPr="00CD434E">
        <w:rPr>
          <w:sz w:val="22"/>
          <w:szCs w:val="24"/>
        </w:rPr>
        <w:t>The appropriate comparison among mirrors may itself be higher-categorical, because projections can preserve different witnesses and their outputs may agree only through certified translations.</w:t>
      </w:r>
    </w:p>
    <w:p w14:paraId="5167A1AA" w14:textId="77777777" w:rsidR="001B1454" w:rsidRDefault="00000000" w:rsidP="004B0D0F">
      <w:pPr>
        <w:pStyle w:val="Heading2"/>
        <w:jc w:val="both"/>
      </w:pPr>
      <w:r>
        <w:t>9.2 Constitutional judgment</w:t>
      </w:r>
    </w:p>
    <w:p w14:paraId="0FB1DE2A" w14:textId="77777777" w:rsidR="001B1454" w:rsidRPr="00CD434E" w:rsidRDefault="00000000" w:rsidP="004B0D0F">
      <w:pPr>
        <w:jc w:val="both"/>
        <w:rPr>
          <w:sz w:val="22"/>
          <w:szCs w:val="24"/>
        </w:rPr>
      </w:pPr>
      <w:r w:rsidRPr="00CD434E">
        <w:rPr>
          <w:sz w:val="22"/>
          <w:szCs w:val="24"/>
        </w:rPr>
        <w:t>A constitutional evaluator K maps artifacts and transformations into a judgment structure JUDG. The codomain should support incomparability, review states, vetoes, and obligations rather than only scalar ranking. A partially ordered category, lattice-valued logic, or enriched judgment category is more plausible than a single reward.</w:t>
      </w:r>
    </w:p>
    <w:p w14:paraId="35A497D9" w14:textId="77777777" w:rsidR="001B1454" w:rsidRPr="00CD434E" w:rsidRDefault="00000000" w:rsidP="004B0D0F">
      <w:pPr>
        <w:jc w:val="both"/>
        <w:rPr>
          <w:sz w:val="22"/>
          <w:szCs w:val="24"/>
        </w:rPr>
      </w:pPr>
      <w:r w:rsidRPr="00CD434E">
        <w:rPr>
          <w:sz w:val="22"/>
          <w:szCs w:val="24"/>
        </w:rPr>
        <w:t>Policy migration between K1 and K2 may be represented by a natural or pseudonatural transformation only if structurally related artifacts are reinterpreted coherently. A policy update must preserve traceability and explain exceptions. Governance change is itself a governed transformation.</w:t>
      </w:r>
    </w:p>
    <w:p w14:paraId="06622837" w14:textId="4422789D" w:rsidR="001B1454" w:rsidRPr="00CD434E" w:rsidRDefault="00000000" w:rsidP="00E61C14">
      <w:pPr>
        <w:tabs>
          <w:tab w:val="right" w:pos="9000"/>
        </w:tabs>
        <w:spacing w:before="80" w:after="80"/>
        <w:jc w:val="center"/>
        <w:rPr>
          <w:sz w:val="28"/>
          <w:szCs w:val="32"/>
        </w:rPr>
      </w:pPr>
      <w:r w:rsidRPr="00CD434E">
        <w:rPr>
          <w:rFonts w:ascii="Cambria Math" w:hAnsi="Cambria Math"/>
          <w:sz w:val="28"/>
          <w:szCs w:val="32"/>
        </w:rPr>
        <w:t>K : AIGcert → JUDG</w:t>
      </w:r>
      <w:r w:rsidR="00E61C14" w:rsidRPr="00CD434E">
        <w:rPr>
          <w:sz w:val="28"/>
          <w:szCs w:val="32"/>
        </w:rPr>
        <w:t xml:space="preserve">   </w:t>
      </w:r>
      <w:r w:rsidRPr="00CD434E">
        <w:rPr>
          <w:sz w:val="28"/>
          <w:szCs w:val="32"/>
        </w:rPr>
        <w:t>(9)</w:t>
      </w:r>
    </w:p>
    <w:p w14:paraId="7EAD8B49" w14:textId="77777777" w:rsidR="001B1454" w:rsidRDefault="00000000" w:rsidP="004B0D0F">
      <w:pPr>
        <w:pStyle w:val="Heading1"/>
        <w:jc w:val="both"/>
      </w:pPr>
      <w:r>
        <w:t>10. Contextual Memory as Descent</w:t>
      </w:r>
    </w:p>
    <w:p w14:paraId="62C57065" w14:textId="77777777" w:rsidR="001B1454" w:rsidRPr="00CD434E" w:rsidRDefault="00000000" w:rsidP="004B0D0F">
      <w:pPr>
        <w:jc w:val="both"/>
        <w:rPr>
          <w:sz w:val="22"/>
          <w:szCs w:val="24"/>
        </w:rPr>
      </w:pPr>
      <w:r w:rsidRPr="00CD434E">
        <w:rPr>
          <w:sz w:val="22"/>
          <w:szCs w:val="24"/>
        </w:rPr>
        <w:t>Persistent AI memory is local. A preference may hold in technical writing and fail in emotional conversation; a policy may apply in one jurisdiction but not another; a theorem may hold under one assumption set but not another. Context should therefore be represented as a site C of conversational, temporal, organizational, legal, or operational regions.</w:t>
      </w:r>
    </w:p>
    <w:p w14:paraId="4B75BCB7" w14:textId="77777777" w:rsidR="001B1454" w:rsidRPr="00CD434E" w:rsidRDefault="00000000" w:rsidP="004B0D0F">
      <w:pPr>
        <w:jc w:val="both"/>
        <w:rPr>
          <w:sz w:val="22"/>
          <w:szCs w:val="24"/>
        </w:rPr>
      </w:pPr>
      <w:r w:rsidRPr="00CD434E">
        <w:rPr>
          <w:sz w:val="22"/>
          <w:szCs w:val="24"/>
        </w:rPr>
        <w:lastRenderedPageBreak/>
        <w:t>A set-valued sheaf is usually too strict because local memories need not agree literally. They may agree up to a certified isomorphism that preserves provenance and identity boundaries. The more suitable candidate is a stack or pseudofunctor of groupoids, M : Cᵒᵖ → Gpd, satisfying effective descent for authorized covers (Mac Lane &amp; Moerdijk, 1992; Vistoli, 2005).</w:t>
      </w:r>
    </w:p>
    <w:p w14:paraId="7ED59324" w14:textId="724C3C36" w:rsidR="001B1454" w:rsidRPr="00CD434E" w:rsidRDefault="00000000" w:rsidP="00E61C14">
      <w:pPr>
        <w:tabs>
          <w:tab w:val="right" w:pos="9000"/>
        </w:tabs>
        <w:spacing w:before="80" w:after="80"/>
        <w:jc w:val="center"/>
        <w:rPr>
          <w:sz w:val="28"/>
          <w:szCs w:val="32"/>
        </w:rPr>
      </w:pPr>
      <w:r w:rsidRPr="00CD434E">
        <w:rPr>
          <w:rFonts w:ascii="Cambria Math" w:hAnsi="Cambria Math"/>
          <w:sz w:val="28"/>
          <w:szCs w:val="32"/>
        </w:rPr>
        <w:t>M : Cᵒᵖ → Gpd(AIGcert)</w:t>
      </w:r>
      <w:r w:rsidR="00E61C14" w:rsidRPr="00CD434E">
        <w:rPr>
          <w:sz w:val="28"/>
          <w:szCs w:val="32"/>
        </w:rPr>
        <w:t xml:space="preserve">   </w:t>
      </w:r>
      <w:r w:rsidRPr="00CD434E">
        <w:rPr>
          <w:sz w:val="28"/>
          <w:szCs w:val="32"/>
        </w:rPr>
        <w:t>(10)</w:t>
      </w:r>
    </w:p>
    <w:p w14:paraId="627AC409" w14:textId="77777777" w:rsidR="001B1454" w:rsidRPr="00CD434E" w:rsidRDefault="00000000" w:rsidP="004B0D0F">
      <w:pPr>
        <w:pStyle w:val="Definition"/>
        <w:jc w:val="both"/>
        <w:rPr>
          <w:sz w:val="22"/>
          <w:szCs w:val="24"/>
        </w:rPr>
      </w:pPr>
      <w:r w:rsidRPr="00CD434E">
        <w:rPr>
          <w:b/>
          <w:sz w:val="22"/>
          <w:szCs w:val="24"/>
        </w:rPr>
        <w:t xml:space="preserve">Definition 7 (Certified descent). </w:t>
      </w:r>
      <w:r w:rsidRPr="00CD434E">
        <w:rPr>
          <w:sz w:val="22"/>
          <w:szCs w:val="24"/>
        </w:rPr>
        <w:t>Local artifacts mi on a cover {Ui → U} admit a global artifact only when their overlap comparisons are certified, satisfy cocycle coherence, preserve protected boundaries, and are effective under the governing policy.</w:t>
      </w:r>
    </w:p>
    <w:p w14:paraId="1ABF8622" w14:textId="77777777" w:rsidR="001B1454" w:rsidRPr="00CD434E" w:rsidRDefault="00000000" w:rsidP="004B0D0F">
      <w:pPr>
        <w:jc w:val="both"/>
        <w:rPr>
          <w:sz w:val="22"/>
          <w:szCs w:val="24"/>
        </w:rPr>
      </w:pPr>
      <w:r w:rsidRPr="00CD434E">
        <w:rPr>
          <w:sz w:val="22"/>
          <w:szCs w:val="24"/>
        </w:rPr>
        <w:t>False gluing occurs when a system compresses context-specific observations into a universal memory without compatible overlap data. For example, directness requested during one technical review should not become a permanent personality trait. Global memory must be earned through descent rather than manufactured through aggressive summarization.</w:t>
      </w:r>
    </w:p>
    <w:p w14:paraId="4089794E" w14:textId="77777777" w:rsidR="001B1454" w:rsidRPr="00CD434E" w:rsidRDefault="00000000" w:rsidP="004B0D0F">
      <w:pPr>
        <w:jc w:val="both"/>
        <w:rPr>
          <w:sz w:val="22"/>
          <w:szCs w:val="24"/>
        </w:rPr>
      </w:pPr>
      <w:r w:rsidRPr="00CD434E">
        <w:rPr>
          <w:sz w:val="22"/>
          <w:szCs w:val="24"/>
        </w:rPr>
        <w:t>Separation properties become privacy requirements. The context system must distinguish users, organizations, public statements, private inference, jurisdictions, and agent-internal states strongly enough to prevent unauthorized gluing. The exact relation between classical T0–T6 separation and operational privacy is a further research problem; the present paper does not identify them without an explicit semantics.</w:t>
      </w:r>
    </w:p>
    <w:p w14:paraId="74FF6C97" w14:textId="77777777" w:rsidR="001B1454" w:rsidRDefault="00000000" w:rsidP="004B0D0F">
      <w:pPr>
        <w:pStyle w:val="Heading2"/>
        <w:jc w:val="both"/>
      </w:pPr>
      <w:r>
        <w:t>10.1 Governed forgetting</w:t>
      </w:r>
    </w:p>
    <w:p w14:paraId="05F5D319" w14:textId="77777777" w:rsidR="001B1454" w:rsidRPr="00CD434E" w:rsidRDefault="00000000" w:rsidP="004B0D0F">
      <w:pPr>
        <w:jc w:val="both"/>
        <w:rPr>
          <w:sz w:val="22"/>
          <w:szCs w:val="24"/>
        </w:rPr>
      </w:pPr>
      <w:r w:rsidRPr="00CD434E">
        <w:rPr>
          <w:sz w:val="22"/>
          <w:szCs w:val="24"/>
        </w:rPr>
        <w:t>Forgetting is not a map to an empty store if derived artifacts, embeddings, summaries, and dependencies remain. A forgetting operation must propagate through a dependency graph, determine which derivatives are invalidated or repairable, preserve legally required audit traces, and prevent silent regeneration from nearby context.</w:t>
      </w:r>
    </w:p>
    <w:p w14:paraId="42B00B79" w14:textId="77777777" w:rsidR="001B1454" w:rsidRPr="00CD434E" w:rsidRDefault="00000000" w:rsidP="004B0D0F">
      <w:pPr>
        <w:jc w:val="both"/>
        <w:rPr>
          <w:sz w:val="22"/>
          <w:szCs w:val="24"/>
        </w:rPr>
      </w:pPr>
      <w:r w:rsidRPr="00CD434E">
        <w:rPr>
          <w:sz w:val="22"/>
          <w:szCs w:val="24"/>
        </w:rPr>
        <w:t>The correct structure may be a deconsolidation process with obligations rather than a simple zero morphism. Memory admission and memory exit must be designed together. A system that can consolidate but cannot deconsolidate is constitutionally incomplete.</w:t>
      </w:r>
    </w:p>
    <w:p w14:paraId="76B4ECEE" w14:textId="77777777" w:rsidR="001B1454" w:rsidRDefault="00000000" w:rsidP="004B0D0F">
      <w:pPr>
        <w:pStyle w:val="Heading1"/>
        <w:jc w:val="both"/>
      </w:pPr>
      <w:r>
        <w:t>11. Six Operational Axioms</w:t>
      </w:r>
    </w:p>
    <w:p w14:paraId="15F26DB6" w14:textId="77777777" w:rsidR="001B1454" w:rsidRPr="00CD434E" w:rsidRDefault="00000000" w:rsidP="004B0D0F">
      <w:pPr>
        <w:ind w:left="317" w:hanging="317"/>
        <w:jc w:val="both"/>
        <w:rPr>
          <w:sz w:val="22"/>
          <w:szCs w:val="24"/>
        </w:rPr>
      </w:pPr>
      <w:r w:rsidRPr="00CD434E">
        <w:rPr>
          <w:b/>
          <w:color w:val="1F4E79"/>
          <w:sz w:val="22"/>
          <w:szCs w:val="24"/>
        </w:rPr>
        <w:t xml:space="preserve">Axiom 1 — Provenance totality. </w:t>
      </w:r>
      <w:r w:rsidRPr="00CD434E">
        <w:rPr>
          <w:sz w:val="22"/>
          <w:szCs w:val="24"/>
        </w:rPr>
        <w:t>Every durable artifact has a traceable origin and transformation history. Unknown provenance may remain staged but cannot silently become canonical.</w:t>
      </w:r>
    </w:p>
    <w:p w14:paraId="10678D5A" w14:textId="77777777" w:rsidR="001B1454" w:rsidRPr="00CD434E" w:rsidRDefault="00000000" w:rsidP="004B0D0F">
      <w:pPr>
        <w:ind w:left="317" w:hanging="317"/>
        <w:jc w:val="both"/>
        <w:rPr>
          <w:sz w:val="22"/>
          <w:szCs w:val="24"/>
        </w:rPr>
      </w:pPr>
      <w:r w:rsidRPr="00CD434E">
        <w:rPr>
          <w:b/>
          <w:color w:val="1F4E79"/>
          <w:sz w:val="22"/>
          <w:szCs w:val="24"/>
        </w:rPr>
        <w:t xml:space="preserve">Axiom 2 — Scope non-expansion. </w:t>
      </w:r>
      <w:r w:rsidRPr="00CD434E">
        <w:rPr>
          <w:sz w:val="22"/>
          <w:szCs w:val="24"/>
        </w:rPr>
        <w:t>A transformation does not broaden legitimate scope without new evidence or explicit authorization. Restriction is easier than generalization; generalization requires a new witness.</w:t>
      </w:r>
    </w:p>
    <w:p w14:paraId="6FA66BF1" w14:textId="77777777" w:rsidR="001B1454" w:rsidRPr="00CD434E" w:rsidRDefault="00000000" w:rsidP="004B0D0F">
      <w:pPr>
        <w:ind w:left="317" w:hanging="317"/>
        <w:jc w:val="both"/>
        <w:rPr>
          <w:sz w:val="22"/>
          <w:szCs w:val="24"/>
        </w:rPr>
      </w:pPr>
      <w:r w:rsidRPr="00CD434E">
        <w:rPr>
          <w:b/>
          <w:color w:val="1F4E79"/>
          <w:sz w:val="22"/>
          <w:szCs w:val="24"/>
        </w:rPr>
        <w:t xml:space="preserve">Axiom 3 — Witness accountability. </w:t>
      </w:r>
      <w:r w:rsidRPr="00CD434E">
        <w:rPr>
          <w:sz w:val="22"/>
          <w:szCs w:val="24"/>
        </w:rPr>
        <w:t>Every admissible transformation preserves protected commitments or explicitly records their authorized discharge. Silent protected loss is forbidden.</w:t>
      </w:r>
    </w:p>
    <w:p w14:paraId="5E87E9DF" w14:textId="77777777" w:rsidR="001B1454" w:rsidRPr="00CD434E" w:rsidRDefault="00000000" w:rsidP="004B0D0F">
      <w:pPr>
        <w:ind w:left="317" w:hanging="317"/>
        <w:jc w:val="both"/>
        <w:rPr>
          <w:sz w:val="22"/>
          <w:szCs w:val="24"/>
        </w:rPr>
      </w:pPr>
      <w:r w:rsidRPr="00CD434E">
        <w:rPr>
          <w:b/>
          <w:color w:val="1F4E79"/>
          <w:sz w:val="22"/>
          <w:szCs w:val="24"/>
        </w:rPr>
        <w:t xml:space="preserve">Axiom 4 — Delayed canonicalization. </w:t>
      </w:r>
      <w:r w:rsidRPr="00CD434E">
        <w:rPr>
          <w:sz w:val="22"/>
          <w:szCs w:val="24"/>
        </w:rPr>
        <w:t>Verification alone does not trigger canonical admission. Comparison, semantic fit, provenance, scope, impact, and recovery are separate gates.</w:t>
      </w:r>
    </w:p>
    <w:p w14:paraId="1F23EA74" w14:textId="77777777" w:rsidR="001B1454" w:rsidRPr="00CD434E" w:rsidRDefault="00000000" w:rsidP="004B0D0F">
      <w:pPr>
        <w:ind w:left="317" w:hanging="317"/>
        <w:jc w:val="both"/>
        <w:rPr>
          <w:sz w:val="22"/>
          <w:szCs w:val="24"/>
        </w:rPr>
      </w:pPr>
      <w:r w:rsidRPr="00CD434E">
        <w:rPr>
          <w:b/>
          <w:color w:val="1F4E79"/>
          <w:sz w:val="22"/>
          <w:szCs w:val="24"/>
        </w:rPr>
        <w:t xml:space="preserve">Axiom 5 — Recoverability. </w:t>
      </w:r>
      <w:r w:rsidRPr="00CD434E">
        <w:rPr>
          <w:sz w:val="22"/>
          <w:szCs w:val="24"/>
        </w:rPr>
        <w:t>Every significant admission, merge, generalization, or refactoring has a correction, rollback, deprecation, or deconsolidation path. Irreversibility requires exceptional justification.</w:t>
      </w:r>
    </w:p>
    <w:p w14:paraId="3FE620D5" w14:textId="77777777" w:rsidR="001B1454" w:rsidRPr="00CD434E" w:rsidRDefault="00000000" w:rsidP="004B0D0F">
      <w:pPr>
        <w:ind w:left="317" w:hanging="317"/>
        <w:jc w:val="both"/>
        <w:rPr>
          <w:sz w:val="22"/>
          <w:szCs w:val="24"/>
        </w:rPr>
      </w:pPr>
      <w:r w:rsidRPr="00CD434E">
        <w:rPr>
          <w:b/>
          <w:color w:val="1F4E79"/>
          <w:sz w:val="22"/>
          <w:szCs w:val="24"/>
        </w:rPr>
        <w:t xml:space="preserve">Axiom 6 — Remainder honesty. </w:t>
      </w:r>
      <w:r w:rsidRPr="00CD434E">
        <w:rPr>
          <w:sz w:val="22"/>
          <w:szCs w:val="24"/>
        </w:rPr>
        <w:t>Every formal projection states what it did not represent. Unformalized remainder is not treated as nonexistent.</w:t>
      </w:r>
    </w:p>
    <w:p w14:paraId="7A866A29" w14:textId="77777777" w:rsidR="001B1454" w:rsidRPr="00CD434E" w:rsidRDefault="00000000" w:rsidP="004B0D0F">
      <w:pPr>
        <w:jc w:val="both"/>
        <w:rPr>
          <w:sz w:val="22"/>
          <w:szCs w:val="24"/>
        </w:rPr>
      </w:pPr>
      <w:r w:rsidRPr="00CD434E">
        <w:rPr>
          <w:sz w:val="22"/>
          <w:szCs w:val="24"/>
        </w:rPr>
        <w:t>These axioms are operational contracts rather than metaphysical truths. Each should compile into audit predicates and obstruction reports. Their adequacy can be tested by whether they detect known failure modes without producing intolerable false positives or blocking useful innovation.</w:t>
      </w:r>
    </w:p>
    <w:p w14:paraId="11A39E7C" w14:textId="77777777" w:rsidR="001B1454" w:rsidRPr="00CD434E" w:rsidRDefault="00000000" w:rsidP="004B0D0F">
      <w:pPr>
        <w:jc w:val="both"/>
        <w:rPr>
          <w:sz w:val="22"/>
          <w:szCs w:val="24"/>
        </w:rPr>
      </w:pPr>
      <w:r w:rsidRPr="00CD434E">
        <w:rPr>
          <w:sz w:val="22"/>
          <w:szCs w:val="24"/>
        </w:rPr>
        <w:lastRenderedPageBreak/>
        <w:t>The axioms also encode the non-compensation principle. A violation of a protected axiom is not repaired by success on unrelated dimensions unless the constitution explicitly authorizes that trade.</w:t>
      </w:r>
    </w:p>
    <w:p w14:paraId="4D03AAA0" w14:textId="77777777" w:rsidR="001B1454" w:rsidRDefault="00000000" w:rsidP="004B0D0F">
      <w:pPr>
        <w:pStyle w:val="Heading1"/>
        <w:jc w:val="both"/>
      </w:pPr>
      <w:r>
        <w:t>12. MathOps as Operational Semantics</w:t>
      </w:r>
    </w:p>
    <w:p w14:paraId="20B5A314" w14:textId="77777777" w:rsidR="001B1454" w:rsidRPr="00CD434E" w:rsidRDefault="00000000" w:rsidP="004B0D0F">
      <w:pPr>
        <w:jc w:val="both"/>
        <w:rPr>
          <w:sz w:val="22"/>
          <w:szCs w:val="24"/>
        </w:rPr>
      </w:pPr>
      <w:r w:rsidRPr="00CD434E">
        <w:rPr>
          <w:sz w:val="22"/>
          <w:szCs w:val="24"/>
        </w:rPr>
        <w:t>AIgory Theory supplies the abstract governance vocabulary; MathOps supplies the executable lifecycle. The relationship parallels the appearance of mediating disciplines when powerful substrates develop characteristic pathologies: SOLID disciplines structural change in object-oriented systems, monadic and effect systems discipline computational effects, and MathOps disciplines epistemic generation and consolidation (Ghosh, 2026b).</w:t>
      </w:r>
    </w:p>
    <w:p w14:paraId="733DFFC4" w14:textId="77777777" w:rsidR="001B1454" w:rsidRPr="00CD434E" w:rsidRDefault="00000000" w:rsidP="004B0D0F">
      <w:pPr>
        <w:jc w:val="both"/>
        <w:rPr>
          <w:sz w:val="22"/>
          <w:szCs w:val="24"/>
        </w:rPr>
      </w:pPr>
      <w:r w:rsidRPr="00CD434E">
        <w:rPr>
          <w:sz w:val="22"/>
          <w:szCs w:val="24"/>
        </w:rPr>
        <w:t>MathOps is not merely MLOps applied to theorem proving. Its unit of control is not only a trained model or deployment pipeline but an epistemic artifact and its admission history. In formal mathematics, this includes theorem statements, proofs, definitions, refactorings, dependency structure, library versions, review decisions, and rollback. In long-lived AI, it extends to memories, inferred preferences, plans, policies, and user models.</w:t>
      </w:r>
    </w:p>
    <w:p w14:paraId="2C8A09AD" w14:textId="77777777" w:rsidR="001B1454" w:rsidRPr="00CD434E" w:rsidRDefault="00000000" w:rsidP="004B0D0F">
      <w:pPr>
        <w:pStyle w:val="ListNumber"/>
        <w:jc w:val="both"/>
        <w:rPr>
          <w:sz w:val="22"/>
          <w:szCs w:val="24"/>
        </w:rPr>
      </w:pPr>
      <w:r w:rsidRPr="00CD434E">
        <w:rPr>
          <w:sz w:val="22"/>
          <w:szCs w:val="24"/>
        </w:rPr>
        <w:t>Candidate generation: produce alternative proofs, definitions, memories, summaries, plans, or policies.</w:t>
      </w:r>
    </w:p>
    <w:p w14:paraId="46A1F4E9" w14:textId="77777777" w:rsidR="001B1454" w:rsidRPr="00CD434E" w:rsidRDefault="00000000" w:rsidP="004B0D0F">
      <w:pPr>
        <w:pStyle w:val="ListNumber"/>
        <w:jc w:val="both"/>
        <w:rPr>
          <w:sz w:val="22"/>
          <w:szCs w:val="24"/>
        </w:rPr>
      </w:pPr>
      <w:r w:rsidRPr="00CD434E">
        <w:rPr>
          <w:sz w:val="22"/>
          <w:szCs w:val="24"/>
        </w:rPr>
        <w:t>Candidate staging: preserve alternatives without premature commitment.</w:t>
      </w:r>
    </w:p>
    <w:p w14:paraId="4E3D57ED" w14:textId="77777777" w:rsidR="001B1454" w:rsidRPr="00CD434E" w:rsidRDefault="00000000" w:rsidP="004B0D0F">
      <w:pPr>
        <w:pStyle w:val="ListNumber"/>
        <w:jc w:val="both"/>
        <w:rPr>
          <w:sz w:val="22"/>
          <w:szCs w:val="24"/>
        </w:rPr>
      </w:pPr>
      <w:r w:rsidRPr="00CD434E">
        <w:rPr>
          <w:sz w:val="22"/>
          <w:szCs w:val="24"/>
        </w:rPr>
        <w:t>Hard verification: apply proof kernels, tests, schemas, calculations, or tool checks where available.</w:t>
      </w:r>
    </w:p>
    <w:p w14:paraId="2262EB4D" w14:textId="77777777" w:rsidR="001B1454" w:rsidRPr="00CD434E" w:rsidRDefault="00000000" w:rsidP="004B0D0F">
      <w:pPr>
        <w:pStyle w:val="ListNumber"/>
        <w:jc w:val="both"/>
        <w:rPr>
          <w:sz w:val="22"/>
          <w:szCs w:val="24"/>
        </w:rPr>
      </w:pPr>
      <w:r w:rsidRPr="00CD434E">
        <w:rPr>
          <w:sz w:val="22"/>
          <w:szCs w:val="24"/>
        </w:rPr>
        <w:t>Statement-faithfulness testing: check whether the formal artifact expresses the intended claim.</w:t>
      </w:r>
    </w:p>
    <w:p w14:paraId="47E9B866" w14:textId="77777777" w:rsidR="001B1454" w:rsidRPr="00CD434E" w:rsidRDefault="00000000" w:rsidP="004B0D0F">
      <w:pPr>
        <w:pStyle w:val="ListNumber"/>
        <w:jc w:val="both"/>
        <w:rPr>
          <w:sz w:val="22"/>
          <w:szCs w:val="24"/>
        </w:rPr>
      </w:pPr>
      <w:r w:rsidRPr="00CD434E">
        <w:rPr>
          <w:sz w:val="22"/>
          <w:szCs w:val="24"/>
        </w:rPr>
        <w:t>Provenance and scope extraction: record origin, assumptions, authority, context, and non-generalization conditions.</w:t>
      </w:r>
    </w:p>
    <w:p w14:paraId="6C53E935" w14:textId="77777777" w:rsidR="001B1454" w:rsidRPr="00CD434E" w:rsidRDefault="00000000" w:rsidP="004B0D0F">
      <w:pPr>
        <w:pStyle w:val="ListNumber"/>
        <w:jc w:val="both"/>
        <w:rPr>
          <w:sz w:val="22"/>
          <w:szCs w:val="24"/>
        </w:rPr>
      </w:pPr>
      <w:r w:rsidRPr="00CD434E">
        <w:rPr>
          <w:sz w:val="22"/>
          <w:szCs w:val="24"/>
        </w:rPr>
        <w:t>Witness classification: identify protected, dischargeable, and incidental components.</w:t>
      </w:r>
    </w:p>
    <w:p w14:paraId="6A269362" w14:textId="77777777" w:rsidR="001B1454" w:rsidRPr="00CD434E" w:rsidRDefault="00000000" w:rsidP="004B0D0F">
      <w:pPr>
        <w:pStyle w:val="ListNumber"/>
        <w:jc w:val="both"/>
        <w:rPr>
          <w:sz w:val="22"/>
          <w:szCs w:val="24"/>
        </w:rPr>
      </w:pPr>
      <w:r w:rsidRPr="00CD434E">
        <w:rPr>
          <w:sz w:val="22"/>
          <w:szCs w:val="24"/>
        </w:rPr>
        <w:t>Mirror review: project through non-equivalent checking domains with explicit remainder reports.</w:t>
      </w:r>
    </w:p>
    <w:p w14:paraId="64F0FDA0" w14:textId="77777777" w:rsidR="001B1454" w:rsidRPr="00CD434E" w:rsidRDefault="00000000" w:rsidP="004B0D0F">
      <w:pPr>
        <w:pStyle w:val="ListNumber"/>
        <w:jc w:val="both"/>
        <w:rPr>
          <w:sz w:val="22"/>
          <w:szCs w:val="24"/>
        </w:rPr>
      </w:pPr>
      <w:r w:rsidRPr="00CD434E">
        <w:rPr>
          <w:sz w:val="22"/>
          <w:szCs w:val="24"/>
        </w:rPr>
        <w:t>Constitutional judgment: apply vetoes, review obligations, and policy-indexed admissibility.</w:t>
      </w:r>
    </w:p>
    <w:p w14:paraId="0C3ED9F7" w14:textId="77777777" w:rsidR="001B1454" w:rsidRPr="00CD434E" w:rsidRDefault="00000000" w:rsidP="004B0D0F">
      <w:pPr>
        <w:pStyle w:val="ListNumber"/>
        <w:jc w:val="both"/>
        <w:rPr>
          <w:sz w:val="22"/>
          <w:szCs w:val="24"/>
        </w:rPr>
      </w:pPr>
      <w:r w:rsidRPr="00CD434E">
        <w:rPr>
          <w:sz w:val="22"/>
          <w:szCs w:val="24"/>
        </w:rPr>
        <w:t>Merge-readiness analysis: assess redundancy, dependencies, abstraction debt, interoperability, and downstream impact.</w:t>
      </w:r>
    </w:p>
    <w:p w14:paraId="623C8F5A" w14:textId="77777777" w:rsidR="001B1454" w:rsidRPr="00CD434E" w:rsidRDefault="00000000" w:rsidP="004B0D0F">
      <w:pPr>
        <w:pStyle w:val="ListNumber"/>
        <w:jc w:val="both"/>
        <w:rPr>
          <w:sz w:val="22"/>
          <w:szCs w:val="24"/>
        </w:rPr>
      </w:pPr>
      <w:r w:rsidRPr="00CD434E">
        <w:rPr>
          <w:sz w:val="22"/>
          <w:szCs w:val="24"/>
        </w:rPr>
        <w:t>Conditional canonicalization: select a representative only where an admissible universal or decision procedure exists.</w:t>
      </w:r>
    </w:p>
    <w:p w14:paraId="4854597E" w14:textId="77777777" w:rsidR="001B1454" w:rsidRPr="00CD434E" w:rsidRDefault="00000000" w:rsidP="004B0D0F">
      <w:pPr>
        <w:pStyle w:val="ListNumber"/>
        <w:jc w:val="both"/>
        <w:rPr>
          <w:sz w:val="22"/>
          <w:szCs w:val="24"/>
        </w:rPr>
      </w:pPr>
      <w:r w:rsidRPr="00CD434E">
        <w:rPr>
          <w:sz w:val="22"/>
          <w:szCs w:val="24"/>
        </w:rPr>
        <w:t>Consolidation: integrate the artifact with versioned certificates and dependency records.</w:t>
      </w:r>
    </w:p>
    <w:p w14:paraId="66FA22E5" w14:textId="77777777" w:rsidR="001B1454" w:rsidRPr="00CD434E" w:rsidRDefault="00000000" w:rsidP="004B0D0F">
      <w:pPr>
        <w:pStyle w:val="ListNumber"/>
        <w:jc w:val="both"/>
        <w:rPr>
          <w:sz w:val="22"/>
          <w:szCs w:val="24"/>
        </w:rPr>
      </w:pPr>
      <w:r w:rsidRPr="00CD434E">
        <w:rPr>
          <w:sz w:val="22"/>
          <w:szCs w:val="24"/>
        </w:rPr>
        <w:t>Recovery and forgetting: support correction, deprecation, rollback, deconsolidation, and structured deletion.</w:t>
      </w:r>
    </w:p>
    <w:p w14:paraId="25198927" w14:textId="77777777" w:rsidR="001B1454" w:rsidRPr="00CD434E" w:rsidRDefault="00000000" w:rsidP="00E61C14">
      <w:pPr>
        <w:tabs>
          <w:tab w:val="right" w:pos="9000"/>
        </w:tabs>
        <w:spacing w:before="80" w:after="80"/>
        <w:jc w:val="center"/>
        <w:rPr>
          <w:sz w:val="22"/>
          <w:szCs w:val="24"/>
        </w:rPr>
      </w:pPr>
      <w:r w:rsidRPr="00CD434E">
        <w:rPr>
          <w:rFonts w:ascii="Cambria Math" w:hAnsi="Cambria Math"/>
          <w:sz w:val="22"/>
          <w:szCs w:val="24"/>
        </w:rPr>
        <w:t>Generated candidate → verified artifact → defensible artifact → governed canonical knowledge</w:t>
      </w:r>
      <w:r w:rsidRPr="00CD434E">
        <w:rPr>
          <w:sz w:val="22"/>
          <w:szCs w:val="24"/>
        </w:rPr>
        <w:tab/>
        <w:t>(11)</w:t>
      </w:r>
    </w:p>
    <w:p w14:paraId="5FAF6E77" w14:textId="77777777" w:rsidR="001B1454" w:rsidRPr="00CD434E" w:rsidRDefault="00000000" w:rsidP="004B0D0F">
      <w:pPr>
        <w:jc w:val="both"/>
        <w:rPr>
          <w:sz w:val="22"/>
          <w:szCs w:val="24"/>
        </w:rPr>
      </w:pPr>
      <w:r w:rsidRPr="00CD434E">
        <w:rPr>
          <w:sz w:val="22"/>
          <w:szCs w:val="24"/>
        </w:rPr>
        <w:t>This pipeline is intentionally reversible at several points. It also separates verification from admission. A formally valid object can remain staged; a useful but uncertain object can remain local; a canonical object can be deprecated when its witnesses fail or its governing context changes.</w:t>
      </w:r>
    </w:p>
    <w:p w14:paraId="682DA824" w14:textId="77777777" w:rsidR="001B1454" w:rsidRPr="00CD434E" w:rsidRDefault="00000000" w:rsidP="004B0D0F">
      <w:pPr>
        <w:jc w:val="both"/>
        <w:rPr>
          <w:sz w:val="22"/>
          <w:szCs w:val="24"/>
        </w:rPr>
      </w:pPr>
      <w:r w:rsidRPr="00CD434E">
        <w:rPr>
          <w:sz w:val="22"/>
          <w:szCs w:val="24"/>
        </w:rPr>
        <w:t>The mathematical library is an especially suitable test environment because corpus branches can be compared under different provenance, salience, refactoring, and admission policies. Such experiments can generate measurable outcomes: dependency breakage, redundancy, review cost, rollback success, proof-search degradation, and time to recover from adversarial admissions.</w:t>
      </w:r>
    </w:p>
    <w:p w14:paraId="3A984FE9" w14:textId="77777777" w:rsidR="001B1454" w:rsidRDefault="00000000" w:rsidP="004B0D0F">
      <w:pPr>
        <w:pStyle w:val="Heading1"/>
        <w:jc w:val="both"/>
      </w:pPr>
      <w:r>
        <w:t>13. Formal Research Agenda and Falsifiability</w:t>
      </w:r>
    </w:p>
    <w:p w14:paraId="003E6787" w14:textId="77777777" w:rsidR="001B1454" w:rsidRPr="00CD434E" w:rsidRDefault="00000000" w:rsidP="004B0D0F">
      <w:pPr>
        <w:ind w:left="317" w:hanging="317"/>
        <w:jc w:val="both"/>
        <w:rPr>
          <w:sz w:val="22"/>
          <w:szCs w:val="24"/>
        </w:rPr>
      </w:pPr>
      <w:r w:rsidRPr="00CD434E">
        <w:rPr>
          <w:b/>
          <w:sz w:val="22"/>
          <w:szCs w:val="24"/>
        </w:rPr>
        <w:t xml:space="preserve">Problem 1 — Witness transport. </w:t>
      </w:r>
      <w:r w:rsidRPr="00CD434E">
        <w:rPr>
          <w:sz w:val="22"/>
          <w:szCs w:val="24"/>
        </w:rPr>
        <w:t>Determine whether conservative witnesses form a strict functor and whether declared-loss transport is best modeled by partial maps, spans, profunctors, fibrations, or a lax/double-categorical construction.</w:t>
      </w:r>
    </w:p>
    <w:p w14:paraId="75165D43" w14:textId="77777777" w:rsidR="001B1454" w:rsidRPr="00CD434E" w:rsidRDefault="00000000" w:rsidP="004B0D0F">
      <w:pPr>
        <w:ind w:left="317" w:hanging="317"/>
        <w:jc w:val="both"/>
        <w:rPr>
          <w:sz w:val="22"/>
          <w:szCs w:val="24"/>
        </w:rPr>
      </w:pPr>
      <w:r w:rsidRPr="00CD434E">
        <w:rPr>
          <w:b/>
          <w:sz w:val="22"/>
          <w:szCs w:val="24"/>
        </w:rPr>
        <w:t xml:space="preserve">Problem 2 — Certificate coherence. </w:t>
      </w:r>
      <w:r w:rsidRPr="00CD434E">
        <w:rPr>
          <w:sz w:val="22"/>
          <w:szCs w:val="24"/>
        </w:rPr>
        <w:t>Specify certificate composition and prove strict associativity or the required bicategorical coherence. Define when two certificates are equivalent.</w:t>
      </w:r>
    </w:p>
    <w:p w14:paraId="7604CE85" w14:textId="77777777" w:rsidR="001B1454" w:rsidRPr="00CD434E" w:rsidRDefault="00000000" w:rsidP="004B0D0F">
      <w:pPr>
        <w:ind w:left="317" w:hanging="317"/>
        <w:jc w:val="both"/>
        <w:rPr>
          <w:sz w:val="22"/>
          <w:szCs w:val="24"/>
        </w:rPr>
      </w:pPr>
      <w:r w:rsidRPr="00CD434E">
        <w:rPr>
          <w:b/>
          <w:sz w:val="22"/>
          <w:szCs w:val="24"/>
        </w:rPr>
        <w:lastRenderedPageBreak/>
        <w:t xml:space="preserve">Problem 3 — Salience algebra. </w:t>
      </w:r>
      <w:r w:rsidRPr="00CD434E">
        <w:rPr>
          <w:sz w:val="22"/>
          <w:szCs w:val="24"/>
        </w:rPr>
        <w:t>Characterize ordered structures with vetoes on which salience aggregation is associative and policy-consistent. Identify whether order-dependence is unavoidable.</w:t>
      </w:r>
    </w:p>
    <w:p w14:paraId="3173C438" w14:textId="77777777" w:rsidR="001B1454" w:rsidRPr="00CD434E" w:rsidRDefault="00000000" w:rsidP="004B0D0F">
      <w:pPr>
        <w:ind w:left="317" w:hanging="317"/>
        <w:jc w:val="both"/>
        <w:rPr>
          <w:sz w:val="22"/>
          <w:szCs w:val="24"/>
        </w:rPr>
      </w:pPr>
      <w:r w:rsidRPr="00CD434E">
        <w:rPr>
          <w:b/>
          <w:sz w:val="22"/>
          <w:szCs w:val="24"/>
        </w:rPr>
        <w:t xml:space="preserve">Problem 4 — Effect interaction. </w:t>
      </w:r>
      <w:r w:rsidRPr="00CD434E">
        <w:rPr>
          <w:sz w:val="22"/>
          <w:szCs w:val="24"/>
        </w:rPr>
        <w:t>Establish or refute distributive laws among provenance, salience, and integration. Determine whether provenance-first ordering can be derived structurally.</w:t>
      </w:r>
    </w:p>
    <w:p w14:paraId="413B7495" w14:textId="77777777" w:rsidR="001B1454" w:rsidRPr="00CD434E" w:rsidRDefault="00000000" w:rsidP="004B0D0F">
      <w:pPr>
        <w:ind w:left="317" w:hanging="317"/>
        <w:jc w:val="both"/>
        <w:rPr>
          <w:sz w:val="22"/>
          <w:szCs w:val="24"/>
        </w:rPr>
      </w:pPr>
      <w:r w:rsidRPr="00CD434E">
        <w:rPr>
          <w:b/>
          <w:sz w:val="22"/>
          <w:szCs w:val="24"/>
        </w:rPr>
        <w:t xml:space="preserve">Problem 5 — Canonicalization domains. </w:t>
      </w:r>
      <w:r w:rsidRPr="00CD434E">
        <w:rPr>
          <w:sz w:val="22"/>
          <w:szCs w:val="24"/>
        </w:rPr>
        <w:t>Characterize candidate families for which a reflector exists, and identify obstruction classes where plurality is essential.</w:t>
      </w:r>
    </w:p>
    <w:p w14:paraId="20F4429C" w14:textId="77777777" w:rsidR="001B1454" w:rsidRPr="00CD434E" w:rsidRDefault="00000000" w:rsidP="004B0D0F">
      <w:pPr>
        <w:ind w:left="317" w:hanging="317"/>
        <w:jc w:val="both"/>
        <w:rPr>
          <w:sz w:val="22"/>
          <w:szCs w:val="24"/>
        </w:rPr>
      </w:pPr>
      <w:r w:rsidRPr="00CD434E">
        <w:rPr>
          <w:b/>
          <w:sz w:val="22"/>
          <w:szCs w:val="24"/>
        </w:rPr>
        <w:t xml:space="preserve">Problem 6 — Defensibility residual. </w:t>
      </w:r>
      <w:r w:rsidRPr="00CD434E">
        <w:rPr>
          <w:sz w:val="22"/>
          <w:szCs w:val="24"/>
        </w:rPr>
        <w:t>Construct an enriched codomain in which tolerated mismatch, hard veto, and unresolved remainder have mathematical status rather than ad hoc thresholds.</w:t>
      </w:r>
    </w:p>
    <w:p w14:paraId="55AC2347" w14:textId="77777777" w:rsidR="001B1454" w:rsidRPr="00CD434E" w:rsidRDefault="00000000" w:rsidP="004B0D0F">
      <w:pPr>
        <w:ind w:left="317" w:hanging="317"/>
        <w:jc w:val="both"/>
        <w:rPr>
          <w:sz w:val="22"/>
          <w:szCs w:val="24"/>
        </w:rPr>
      </w:pPr>
      <w:r w:rsidRPr="00CD434E">
        <w:rPr>
          <w:b/>
          <w:sz w:val="22"/>
          <w:szCs w:val="24"/>
        </w:rPr>
        <w:t xml:space="preserve">Problem 7 — Contextual descent. </w:t>
      </w:r>
      <w:r w:rsidRPr="00CD434E">
        <w:rPr>
          <w:sz w:val="22"/>
          <w:szCs w:val="24"/>
        </w:rPr>
        <w:t>Specify a site of contexts, certified overlap morphisms, cocycle laws, and effective descent. Test whether stackification produces safe global memories or hides governance conflicts.</w:t>
      </w:r>
    </w:p>
    <w:p w14:paraId="47D23502" w14:textId="77777777" w:rsidR="001B1454" w:rsidRPr="00CD434E" w:rsidRDefault="00000000" w:rsidP="004B0D0F">
      <w:pPr>
        <w:ind w:left="317" w:hanging="317"/>
        <w:jc w:val="both"/>
        <w:rPr>
          <w:sz w:val="22"/>
          <w:szCs w:val="24"/>
        </w:rPr>
      </w:pPr>
      <w:r w:rsidRPr="00CD434E">
        <w:rPr>
          <w:b/>
          <w:sz w:val="22"/>
          <w:szCs w:val="24"/>
        </w:rPr>
        <w:t xml:space="preserve">Problem 8 — Governed forgetting. </w:t>
      </w:r>
      <w:r w:rsidRPr="00CD434E">
        <w:rPr>
          <w:sz w:val="22"/>
          <w:szCs w:val="24"/>
        </w:rPr>
        <w:t>Define dependency-aware deconsolidation and determine under which conditions forgetting is functorial, partially functorial, or necessarily nonlocal.</w:t>
      </w:r>
    </w:p>
    <w:p w14:paraId="66485BE0" w14:textId="77777777" w:rsidR="001B1454" w:rsidRPr="00CD434E" w:rsidRDefault="00000000" w:rsidP="004B0D0F">
      <w:pPr>
        <w:ind w:left="317" w:hanging="317"/>
        <w:jc w:val="both"/>
        <w:rPr>
          <w:sz w:val="22"/>
          <w:szCs w:val="24"/>
        </w:rPr>
      </w:pPr>
      <w:r w:rsidRPr="00CD434E">
        <w:rPr>
          <w:b/>
          <w:sz w:val="22"/>
          <w:szCs w:val="24"/>
        </w:rPr>
        <w:t xml:space="preserve">Problem 9 — Institutional evaluation. </w:t>
      </w:r>
      <w:r w:rsidRPr="00CD434E">
        <w:rPr>
          <w:sz w:val="22"/>
          <w:szCs w:val="24"/>
        </w:rPr>
        <w:t>Develop benchmarks that measure not just retrieval accuracy but scope error, provenance loss, false gluing, unauthorized generalization, rollback success, and corpus health.</w:t>
      </w:r>
    </w:p>
    <w:p w14:paraId="00F98B87" w14:textId="77777777" w:rsidR="001B1454" w:rsidRDefault="00000000" w:rsidP="004B0D0F">
      <w:pPr>
        <w:pStyle w:val="Heading2"/>
        <w:jc w:val="both"/>
      </w:pPr>
      <w:r>
        <w:t>13.1 Conditions under which the programme would fail</w:t>
      </w:r>
    </w:p>
    <w:p w14:paraId="006A63C8" w14:textId="77777777" w:rsidR="001B1454" w:rsidRPr="00CD434E" w:rsidRDefault="00000000" w:rsidP="004B0D0F">
      <w:pPr>
        <w:jc w:val="both"/>
        <w:rPr>
          <w:sz w:val="22"/>
          <w:szCs w:val="24"/>
        </w:rPr>
      </w:pPr>
      <w:r w:rsidRPr="00CD434E">
        <w:rPr>
          <w:sz w:val="22"/>
          <w:szCs w:val="24"/>
        </w:rPr>
        <w:t>A useful research programme must expose failure conditions. AIgory Theory would require major revision if governed artifacts cannot be composed without unmanageable certificate growth; if witness sets cannot be made stable enough for operational use; if contextual descent merely relocates ambiguity rather than controlling it; or if canonicalization decisions remain entirely institution-specific with no reusable structure.</w:t>
      </w:r>
    </w:p>
    <w:p w14:paraId="0C82A9CE" w14:textId="77777777" w:rsidR="001B1454" w:rsidRPr="00CD434E" w:rsidRDefault="00000000" w:rsidP="004B0D0F">
      <w:pPr>
        <w:jc w:val="both"/>
        <w:rPr>
          <w:sz w:val="22"/>
          <w:szCs w:val="24"/>
        </w:rPr>
      </w:pPr>
      <w:r w:rsidRPr="00CD434E">
        <w:rPr>
          <w:sz w:val="22"/>
          <w:szCs w:val="24"/>
        </w:rPr>
        <w:t>It would also fail as an engineering discipline if its governance overhead consistently exceeds the value of preventing epistemic drift, or if simpler provenance-and-policy systems achieve the same outcomes. These are empirical questions for MathOps implementations, not matters to be decided by terminology.</w:t>
      </w:r>
    </w:p>
    <w:p w14:paraId="0BB90104" w14:textId="77777777" w:rsidR="001B1454" w:rsidRDefault="00000000" w:rsidP="004B0D0F">
      <w:pPr>
        <w:pStyle w:val="Heading1"/>
        <w:jc w:val="both"/>
      </w:pPr>
      <w:r>
        <w:t>14. Discussion</w:t>
      </w:r>
    </w:p>
    <w:p w14:paraId="5368B1FE" w14:textId="77777777" w:rsidR="001B1454" w:rsidRDefault="00000000" w:rsidP="004B0D0F">
      <w:pPr>
        <w:pStyle w:val="Heading2"/>
        <w:jc w:val="both"/>
      </w:pPr>
      <w:r>
        <w:t>14.1 Why category theory is useful but insufficient</w:t>
      </w:r>
    </w:p>
    <w:p w14:paraId="72813F36" w14:textId="77777777" w:rsidR="001B1454" w:rsidRPr="00CD434E" w:rsidRDefault="00000000" w:rsidP="004B0D0F">
      <w:pPr>
        <w:jc w:val="both"/>
        <w:rPr>
          <w:sz w:val="22"/>
          <w:szCs w:val="24"/>
        </w:rPr>
      </w:pPr>
      <w:r w:rsidRPr="00CD434E">
        <w:rPr>
          <w:sz w:val="22"/>
          <w:szCs w:val="24"/>
        </w:rPr>
        <w:t>Category theory contributes discipline by forcing composition and universal claims to be explicit. It cannot determine which witnesses should be protected, whose consent matters, which risk is unacceptable, or which institution has authority. Those choices enter through constitutional data and domain-specific semantics.</w:t>
      </w:r>
    </w:p>
    <w:p w14:paraId="6362F340" w14:textId="77777777" w:rsidR="001B1454" w:rsidRPr="00CD434E" w:rsidRDefault="00000000" w:rsidP="004B0D0F">
      <w:pPr>
        <w:jc w:val="both"/>
        <w:rPr>
          <w:sz w:val="22"/>
          <w:szCs w:val="24"/>
        </w:rPr>
      </w:pPr>
      <w:r w:rsidRPr="00CD434E">
        <w:rPr>
          <w:sz w:val="22"/>
          <w:szCs w:val="24"/>
        </w:rPr>
        <w:t>AIgory Theory is therefore not category theory replacing ethics, law, safety engineering, or human judgment. It is a coordination language that makes their transformation obligations composable and auditable.</w:t>
      </w:r>
    </w:p>
    <w:p w14:paraId="661AC92C" w14:textId="77777777" w:rsidR="001B1454" w:rsidRDefault="00000000" w:rsidP="004B0D0F">
      <w:pPr>
        <w:pStyle w:val="Heading2"/>
        <w:jc w:val="both"/>
      </w:pPr>
      <w:r>
        <w:t>14.2 The unit of intelligence</w:t>
      </w:r>
    </w:p>
    <w:p w14:paraId="2CA47E8B" w14:textId="77777777" w:rsidR="001B1454" w:rsidRPr="00CD434E" w:rsidRDefault="00000000" w:rsidP="004B0D0F">
      <w:pPr>
        <w:jc w:val="both"/>
        <w:rPr>
          <w:sz w:val="22"/>
          <w:szCs w:val="24"/>
        </w:rPr>
      </w:pPr>
      <w:r w:rsidRPr="00CD434E">
        <w:rPr>
          <w:sz w:val="22"/>
          <w:szCs w:val="24"/>
        </w:rPr>
        <w:t>A token or proposition is too small to serve as the unit of durable intelligence. An intelligent memory must distinguish observed from inferred, local from global, private from public, provisional from canonical, and reversible from entrenched. The proposed artifact tuple makes those distinctions explicit.</w:t>
      </w:r>
    </w:p>
    <w:p w14:paraId="3D976101" w14:textId="77777777" w:rsidR="001B1454" w:rsidRPr="00CD434E" w:rsidRDefault="00000000" w:rsidP="004B0D0F">
      <w:pPr>
        <w:jc w:val="both"/>
        <w:rPr>
          <w:sz w:val="22"/>
          <w:szCs w:val="24"/>
        </w:rPr>
      </w:pPr>
      <w:r w:rsidRPr="00CD434E">
        <w:rPr>
          <w:sz w:val="22"/>
          <w:szCs w:val="24"/>
        </w:rPr>
        <w:t>This changes evaluation. A memory system should not be judged only by whether it retrieves relevant content. It should also be judged by whether it preserves source, respects scope, exposes uncertainty, avoids false gluing, supports correction, and forgets coherently.</w:t>
      </w:r>
    </w:p>
    <w:p w14:paraId="73713A47" w14:textId="77777777" w:rsidR="001B1454" w:rsidRDefault="00000000" w:rsidP="004B0D0F">
      <w:pPr>
        <w:pStyle w:val="Heading2"/>
        <w:jc w:val="both"/>
      </w:pPr>
      <w:r>
        <w:lastRenderedPageBreak/>
        <w:t>14.3 Relation to AI governance</w:t>
      </w:r>
    </w:p>
    <w:p w14:paraId="59D5AA9B" w14:textId="77777777" w:rsidR="001B1454" w:rsidRPr="00CD434E" w:rsidRDefault="00000000" w:rsidP="004B0D0F">
      <w:pPr>
        <w:jc w:val="both"/>
        <w:rPr>
          <w:sz w:val="22"/>
          <w:szCs w:val="24"/>
        </w:rPr>
      </w:pPr>
      <w:r w:rsidRPr="00CD434E">
        <w:rPr>
          <w:sz w:val="22"/>
          <w:szCs w:val="24"/>
        </w:rPr>
        <w:t>AI governance frameworks emphasize validity, transparency, accountability, privacy, and risk management (Amershi et al., 2019; National Institute of Standards and Technology, 2023). AIgory Theory attempts to provide a compositional substrate beneath such requirements. Rather than attaching governance only at deployment, it attaches obligations to artifacts and transports them through the knowledge lifecycle.</w:t>
      </w:r>
    </w:p>
    <w:p w14:paraId="74FEDD0A" w14:textId="77777777" w:rsidR="001B1454" w:rsidRPr="00CD434E" w:rsidRDefault="00000000" w:rsidP="004B0D0F">
      <w:pPr>
        <w:jc w:val="both"/>
        <w:rPr>
          <w:sz w:val="22"/>
          <w:szCs w:val="24"/>
        </w:rPr>
      </w:pPr>
      <w:r w:rsidRPr="00CD434E">
        <w:rPr>
          <w:sz w:val="22"/>
          <w:szCs w:val="24"/>
        </w:rPr>
        <w:t>The constitutional layer should remain plural and versioned. Different domains will define different protected witnesses and vetoes. The contribution is not one universal policy but a structure in which policy changes, exceptions, and recovery can be represented coherently.</w:t>
      </w:r>
    </w:p>
    <w:p w14:paraId="7072B593" w14:textId="77777777" w:rsidR="001B1454" w:rsidRDefault="00000000" w:rsidP="004B0D0F">
      <w:pPr>
        <w:pStyle w:val="Heading1"/>
        <w:jc w:val="both"/>
      </w:pPr>
      <w:r>
        <w:t>15. Limitations</w:t>
      </w:r>
    </w:p>
    <w:p w14:paraId="7BACCCCC" w14:textId="77777777" w:rsidR="001B1454" w:rsidRPr="00CD434E" w:rsidRDefault="00000000" w:rsidP="004B0D0F">
      <w:pPr>
        <w:pStyle w:val="ListBullet"/>
        <w:jc w:val="both"/>
        <w:rPr>
          <w:sz w:val="22"/>
          <w:szCs w:val="24"/>
        </w:rPr>
      </w:pPr>
      <w:r w:rsidRPr="00CD434E">
        <w:rPr>
          <w:sz w:val="22"/>
          <w:szCs w:val="24"/>
        </w:rPr>
        <w:t>The paper is conceptual and contains no implementation, benchmark, or formal proof of coherence.</w:t>
      </w:r>
    </w:p>
    <w:p w14:paraId="2F39ACD1" w14:textId="77777777" w:rsidR="001B1454" w:rsidRPr="00CD434E" w:rsidRDefault="00000000" w:rsidP="004B0D0F">
      <w:pPr>
        <w:pStyle w:val="ListBullet"/>
        <w:jc w:val="both"/>
        <w:rPr>
          <w:sz w:val="22"/>
          <w:szCs w:val="24"/>
        </w:rPr>
      </w:pPr>
      <w:r w:rsidRPr="00CD434E">
        <w:rPr>
          <w:sz w:val="22"/>
          <w:szCs w:val="24"/>
        </w:rPr>
        <w:t>The seven-component artifact tuple may be incomplete or over-factorized; a dependent or fibred representation may be necessary.</w:t>
      </w:r>
    </w:p>
    <w:p w14:paraId="52A78765" w14:textId="77777777" w:rsidR="001B1454" w:rsidRPr="00CD434E" w:rsidRDefault="00000000" w:rsidP="004B0D0F">
      <w:pPr>
        <w:pStyle w:val="ListBullet"/>
        <w:jc w:val="both"/>
        <w:rPr>
          <w:sz w:val="22"/>
          <w:szCs w:val="24"/>
        </w:rPr>
      </w:pPr>
      <w:r w:rsidRPr="00CD434E">
        <w:rPr>
          <w:sz w:val="22"/>
          <w:szCs w:val="24"/>
        </w:rPr>
        <w:t>The strict category, bicategory, double category, and stack proposals are alternatives under investigation, not simultaneously established structures.</w:t>
      </w:r>
    </w:p>
    <w:p w14:paraId="000213BF" w14:textId="77777777" w:rsidR="001B1454" w:rsidRPr="00CD434E" w:rsidRDefault="00000000" w:rsidP="004B0D0F">
      <w:pPr>
        <w:pStyle w:val="ListBullet"/>
        <w:jc w:val="both"/>
        <w:rPr>
          <w:sz w:val="22"/>
          <w:szCs w:val="24"/>
        </w:rPr>
      </w:pPr>
      <w:r w:rsidRPr="00CD434E">
        <w:rPr>
          <w:sz w:val="22"/>
          <w:szCs w:val="24"/>
        </w:rPr>
        <w:t>The terms witness, constitution, salience, and recovery require domain-specific semantics before automated checking is possible.</w:t>
      </w:r>
    </w:p>
    <w:p w14:paraId="6ABC48FF" w14:textId="77777777" w:rsidR="001B1454" w:rsidRPr="00CD434E" w:rsidRDefault="00000000" w:rsidP="004B0D0F">
      <w:pPr>
        <w:pStyle w:val="ListBullet"/>
        <w:jc w:val="both"/>
        <w:rPr>
          <w:sz w:val="22"/>
          <w:szCs w:val="24"/>
        </w:rPr>
      </w:pPr>
      <w:r w:rsidRPr="00CD434E">
        <w:rPr>
          <w:sz w:val="22"/>
          <w:szCs w:val="24"/>
        </w:rPr>
        <w:t>The LinkedIn essays are foundational sources for the author’s programme but are not peer-reviewed publications. They are included transparently as the provenance of the concepts developed here.</w:t>
      </w:r>
    </w:p>
    <w:p w14:paraId="54494AD5" w14:textId="77777777" w:rsidR="001B1454" w:rsidRPr="00CD434E" w:rsidRDefault="00000000" w:rsidP="004B0D0F">
      <w:pPr>
        <w:pStyle w:val="ListBullet"/>
        <w:jc w:val="both"/>
        <w:rPr>
          <w:sz w:val="22"/>
          <w:szCs w:val="24"/>
        </w:rPr>
      </w:pPr>
      <w:r w:rsidRPr="00CD434E">
        <w:rPr>
          <w:sz w:val="22"/>
          <w:szCs w:val="24"/>
        </w:rPr>
        <w:t>The biological-memory analogy motivates architecture but cannot validate mechanisms or neurological claims.</w:t>
      </w:r>
    </w:p>
    <w:p w14:paraId="1AC8C02C" w14:textId="77777777" w:rsidR="001B1454" w:rsidRPr="00CD434E" w:rsidRDefault="00000000" w:rsidP="004B0D0F">
      <w:pPr>
        <w:pStyle w:val="ListBullet"/>
        <w:jc w:val="both"/>
        <w:rPr>
          <w:sz w:val="22"/>
          <w:szCs w:val="24"/>
        </w:rPr>
      </w:pPr>
      <w:r w:rsidRPr="00CD434E">
        <w:rPr>
          <w:sz w:val="22"/>
          <w:szCs w:val="24"/>
        </w:rPr>
        <w:t>Governance can itself encode institutional bias. Provenance and auditability expose decisions; they do not guarantee justice.</w:t>
      </w:r>
    </w:p>
    <w:p w14:paraId="228115F4" w14:textId="77777777" w:rsidR="001B1454" w:rsidRDefault="00000000" w:rsidP="004B0D0F">
      <w:pPr>
        <w:pStyle w:val="Heading1"/>
        <w:jc w:val="both"/>
      </w:pPr>
      <w:r>
        <w:t>16. Conclusion</w:t>
      </w:r>
    </w:p>
    <w:p w14:paraId="4D33ED6F" w14:textId="77777777" w:rsidR="001B1454" w:rsidRPr="00CD434E" w:rsidRDefault="00000000" w:rsidP="004B0D0F">
      <w:pPr>
        <w:jc w:val="both"/>
        <w:rPr>
          <w:sz w:val="22"/>
          <w:szCs w:val="24"/>
        </w:rPr>
      </w:pPr>
      <w:r w:rsidRPr="00CD434E">
        <w:rPr>
          <w:sz w:val="22"/>
          <w:szCs w:val="24"/>
        </w:rPr>
        <w:t>Mathematics provides disciplined validity. Category theory provides disciplined transformation. AI systems now require a third discipline: governed survival of generated structure. AIgory Theory names the proposed categorical research programme; MathOps names its operational realization.</w:t>
      </w:r>
    </w:p>
    <w:p w14:paraId="5C289337" w14:textId="77777777" w:rsidR="001B1454" w:rsidRPr="00CD434E" w:rsidRDefault="00000000" w:rsidP="004B0D0F">
      <w:pPr>
        <w:jc w:val="both"/>
        <w:rPr>
          <w:sz w:val="22"/>
          <w:szCs w:val="24"/>
        </w:rPr>
      </w:pPr>
      <w:r w:rsidRPr="00CD434E">
        <w:rPr>
          <w:sz w:val="22"/>
          <w:szCs w:val="24"/>
        </w:rPr>
        <w:t>The corrected formal picture has two layers. A strict conservative category handles transformations that preserve protected structure. A certificate-aware higher-categorical layer handles declared loss, comparison, audit, and recovery. Provenance, salience, and semantic integration remain candidate effects until their laws are proved. Canonicalization is conditional, not compulsory. Contextual memory requires descent up to certified isomorphism. Forgetting is structured deconsolidation rather than deletion.</w:t>
      </w:r>
    </w:p>
    <w:p w14:paraId="1BA4814B" w14:textId="77777777" w:rsidR="001B1454" w:rsidRPr="00CD434E" w:rsidRDefault="00000000" w:rsidP="004B0D0F">
      <w:pPr>
        <w:jc w:val="both"/>
        <w:rPr>
          <w:sz w:val="22"/>
          <w:szCs w:val="24"/>
        </w:rPr>
      </w:pPr>
      <w:r w:rsidRPr="00CD434E">
        <w:rPr>
          <w:sz w:val="22"/>
          <w:szCs w:val="24"/>
        </w:rPr>
        <w:t>The final claim is therefore precise but modest: a computable transformation is not automatically an admissible epistemic transformation. An AI system should know not only content, but how the content arrived, where it is valid, what must travel with it, what remains uncertain, who may alter it, and how it can be corrected or forgotten.</w:t>
      </w:r>
    </w:p>
    <w:p w14:paraId="1100EBB2" w14:textId="77777777" w:rsidR="001B1454" w:rsidRPr="00CD434E" w:rsidRDefault="00000000" w:rsidP="004B0D0F">
      <w:pPr>
        <w:jc w:val="both"/>
        <w:rPr>
          <w:sz w:val="22"/>
          <w:szCs w:val="24"/>
        </w:rPr>
      </w:pPr>
      <w:r w:rsidRPr="00CD434E">
        <w:rPr>
          <w:sz w:val="22"/>
          <w:szCs w:val="24"/>
        </w:rPr>
        <w:t>Category theory tells us how structures can travel. AIgory Theory asks what they must carry, what they must not destroy, and whether they deserve to remain when they arrive. MathOps is how that decision becomes an auditable system.</w:t>
      </w:r>
    </w:p>
    <w:p w14:paraId="6B5ED025" w14:textId="77777777" w:rsidR="001B1454" w:rsidRDefault="00000000" w:rsidP="004B0D0F">
      <w:pPr>
        <w:pStyle w:val="Heading1"/>
        <w:jc w:val="both"/>
      </w:pPr>
      <w:r>
        <w:lastRenderedPageBreak/>
        <w:t>References</w:t>
      </w:r>
    </w:p>
    <w:p w14:paraId="2F641C65"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Amershi, S., Weld, D., Vorvoreanu, M., Fourney, A., Nushi, B., Collisson, P., Suh, J., Iqbal, S., Bennett, P. N., Inkpen, K., Teevan, J., Kikin-Gil, R., &amp; Horvitz, E. (2019). Guidelines for human–AI interaction. In Proceedings of the 2019 CHI Conference on Human Factors in Computing Systems (Paper 3, pp. 1–13). ACM. </w:t>
      </w:r>
      <w:hyperlink r:id="rId11">
        <w:r w:rsidRPr="006641A2">
          <w:rPr>
            <w:color w:val="0563C1"/>
            <w:sz w:val="21"/>
            <w:szCs w:val="21"/>
            <w:u w:val="single"/>
          </w:rPr>
          <w:t>https://doi.org/10.1145/3290605.3300233</w:t>
        </w:r>
      </w:hyperlink>
    </w:p>
    <w:p w14:paraId="2EA21965" w14:textId="77777777" w:rsidR="001B1454" w:rsidRPr="006641A2" w:rsidRDefault="00000000" w:rsidP="00A46BB4">
      <w:pPr>
        <w:pStyle w:val="Reference"/>
        <w:keepLines/>
        <w:numPr>
          <w:ilvl w:val="0"/>
          <w:numId w:val="10"/>
        </w:numPr>
        <w:jc w:val="both"/>
        <w:rPr>
          <w:sz w:val="21"/>
          <w:szCs w:val="21"/>
        </w:rPr>
      </w:pPr>
      <w:r w:rsidRPr="006641A2">
        <w:rPr>
          <w:sz w:val="21"/>
          <w:szCs w:val="21"/>
        </w:rPr>
        <w:t>Awodey, S. (2010). Category theory (2nd ed.). Oxford University Press.</w:t>
      </w:r>
    </w:p>
    <w:p w14:paraId="1BB51534"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Beck, J. (1969). Distributive laws. In B. Eckmann (Ed.), Seminar on triples and categorical homology theory (Lecture Notes in Mathematics, Vol. 80, pp. 119–140). Springer. </w:t>
      </w:r>
      <w:hyperlink r:id="rId12">
        <w:r w:rsidRPr="006641A2">
          <w:rPr>
            <w:color w:val="0563C1"/>
            <w:sz w:val="21"/>
            <w:szCs w:val="21"/>
            <w:u w:val="single"/>
          </w:rPr>
          <w:t>https://doi.org/10.1007/BFb0083084</w:t>
        </w:r>
      </w:hyperlink>
    </w:p>
    <w:p w14:paraId="0CFB39BF"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Buneman, P., Khanna, S., &amp; Tan, W.-C. (2001). Why and where: A characterization of data provenance. In Database Theory—ICDT 2001 (pp. 316–330). Springer. </w:t>
      </w:r>
      <w:hyperlink r:id="rId13">
        <w:r w:rsidRPr="006641A2">
          <w:rPr>
            <w:color w:val="0563C1"/>
            <w:sz w:val="21"/>
            <w:szCs w:val="21"/>
            <w:u w:val="single"/>
          </w:rPr>
          <w:t>https://doi.org/10.1007/3-540-44503-X_20</w:t>
        </w:r>
      </w:hyperlink>
    </w:p>
    <w:p w14:paraId="1CE2FD4D"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Cheney, J., Chiticariu, L., &amp; Tan, W.-C. (2009). Provenance in databases: Why, how, and where. Foundations and Trends in Databases, 1(4), 379–474. </w:t>
      </w:r>
      <w:hyperlink r:id="rId14">
        <w:r w:rsidRPr="006641A2">
          <w:rPr>
            <w:color w:val="0563C1"/>
            <w:sz w:val="21"/>
            <w:szCs w:val="21"/>
            <w:u w:val="single"/>
          </w:rPr>
          <w:t>https://doi.org/10.1561/1900000006</w:t>
        </w:r>
      </w:hyperlink>
    </w:p>
    <w:p w14:paraId="4B1C2D31"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de Moura, L., &amp; Ullrich, S. (2021). The Lean 4 theorem prover and programming language. In A. Platzer &amp; G. Sutcliffe (Eds.), Automated Deduction—CADE 28 (pp. 625–635). Springer. </w:t>
      </w:r>
      <w:hyperlink r:id="rId15">
        <w:r w:rsidRPr="006641A2">
          <w:rPr>
            <w:color w:val="0563C1"/>
            <w:sz w:val="21"/>
            <w:szCs w:val="21"/>
            <w:u w:val="single"/>
          </w:rPr>
          <w:t>https://doi.org/10.1007/978-3-030-79876-5_37</w:t>
        </w:r>
      </w:hyperlink>
    </w:p>
    <w:p w14:paraId="12FE8FD0"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Dudai, Y., Karni, A., &amp; Born, J. (2015). The consolidation and transformation of memory. Neuron, 88(1), 20–32. </w:t>
      </w:r>
      <w:hyperlink r:id="rId16">
        <w:r w:rsidRPr="006641A2">
          <w:rPr>
            <w:color w:val="0563C1"/>
            <w:sz w:val="21"/>
            <w:szCs w:val="21"/>
            <w:u w:val="single"/>
          </w:rPr>
          <w:t>https://doi.org/10.1016/j.neuron.2015.09.004</w:t>
        </w:r>
      </w:hyperlink>
    </w:p>
    <w:p w14:paraId="4ADFDE53" w14:textId="77777777" w:rsidR="001B1454" w:rsidRPr="006641A2" w:rsidRDefault="00000000" w:rsidP="00A46BB4">
      <w:pPr>
        <w:pStyle w:val="Reference"/>
        <w:keepLines/>
        <w:numPr>
          <w:ilvl w:val="0"/>
          <w:numId w:val="10"/>
        </w:numPr>
        <w:jc w:val="both"/>
        <w:rPr>
          <w:sz w:val="21"/>
          <w:szCs w:val="21"/>
        </w:rPr>
      </w:pPr>
      <w:r w:rsidRPr="006641A2">
        <w:rPr>
          <w:sz w:val="21"/>
          <w:szCs w:val="21"/>
        </w:rPr>
        <w:t>Freyd, P. J., &amp; Scedrov, A. (1990). Categories, allegories. North-Holland.</w:t>
      </w:r>
    </w:p>
    <w:p w14:paraId="09610619"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Ghosh, D. (2026a, May 17). Constitutional MathOps: Why future AGI memory needs more than storage. LinkedIn. </w:t>
      </w:r>
      <w:hyperlink r:id="rId17">
        <w:r w:rsidRPr="006641A2">
          <w:rPr>
            <w:color w:val="0563C1"/>
            <w:sz w:val="21"/>
            <w:szCs w:val="21"/>
            <w:u w:val="single"/>
          </w:rPr>
          <w:t>https://www.linkedin.com/pulse/constitutional-mathops-why-future-agi-memory-needs-more-ghosh-envbc/</w:t>
        </w:r>
      </w:hyperlink>
    </w:p>
    <w:p w14:paraId="6A33AECB"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Ghosh, D. (2026b, May 16). From SOLID to monads to MathOps: Why every powerful system needs a mediating discipline. LinkedIn. </w:t>
      </w:r>
      <w:hyperlink r:id="rId18">
        <w:r w:rsidRPr="006641A2">
          <w:rPr>
            <w:color w:val="0563C1"/>
            <w:sz w:val="21"/>
            <w:szCs w:val="21"/>
            <w:u w:val="single"/>
          </w:rPr>
          <w:t>https://www.linkedin.com/pulse/from-solid-monads-mathops-why-every-powerful-system-needs-ghosh-wpqic/</w:t>
        </w:r>
      </w:hyperlink>
    </w:p>
    <w:p w14:paraId="5BC5870C"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Ghosh, D. (2026c, May 17). MathOps as a model organism for memory consolidation. LinkedIn. </w:t>
      </w:r>
      <w:hyperlink r:id="rId19">
        <w:r w:rsidRPr="006641A2">
          <w:rPr>
            <w:color w:val="0563C1"/>
            <w:sz w:val="21"/>
            <w:szCs w:val="21"/>
            <w:u w:val="single"/>
          </w:rPr>
          <w:t>https://www.linkedin.com/pulse/mathops-model-organism-memory-consolidation-debiprasad-ghosh-9592c/</w:t>
        </w:r>
      </w:hyperlink>
    </w:p>
    <w:p w14:paraId="43DAC761"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Ghosh, D. (2026d, May 15). The curation problem: Why AI will not ‘solve’ mathematics—it will force us to build better mathematical memory. LinkedIn. </w:t>
      </w:r>
      <w:hyperlink r:id="rId20">
        <w:r w:rsidRPr="006641A2">
          <w:rPr>
            <w:color w:val="0563C1"/>
            <w:sz w:val="21"/>
            <w:szCs w:val="21"/>
            <w:u w:val="single"/>
          </w:rPr>
          <w:t>https://www.linkedin.com/pulse/curation-problem-why-ai-solve-mathematics-force-us-build-ghosh-rvlyc/</w:t>
        </w:r>
      </w:hyperlink>
    </w:p>
    <w:p w14:paraId="3B1F9CEB"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Ghosh, D. (2026e, May 21). Why future AGI memory needs a disciplined mirror system. LinkedIn. </w:t>
      </w:r>
      <w:hyperlink r:id="rId21">
        <w:r w:rsidRPr="006641A2">
          <w:rPr>
            <w:color w:val="0563C1"/>
            <w:sz w:val="21"/>
            <w:szCs w:val="21"/>
            <w:u w:val="single"/>
          </w:rPr>
          <w:t>https://www.linkedin.com/pulse/why-future-agi-memory-needs-disciplined-mirror-system-ghosh-ove4c/</w:t>
        </w:r>
      </w:hyperlink>
    </w:p>
    <w:p w14:paraId="46D3C48E"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Johnson, M. K., Hashtroudi, S., &amp; Lindsay, D. S. (1993). Source monitoring. Psychological Bulletin, 114(1), 3–28. </w:t>
      </w:r>
      <w:hyperlink r:id="rId22">
        <w:r w:rsidRPr="006641A2">
          <w:rPr>
            <w:color w:val="0563C1"/>
            <w:sz w:val="21"/>
            <w:szCs w:val="21"/>
            <w:u w:val="single"/>
          </w:rPr>
          <w:t>https://doi.org/10.1037/0033-2909.114.1.3</w:t>
        </w:r>
      </w:hyperlink>
    </w:p>
    <w:p w14:paraId="4528459D"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Kumaran, D., Hassabis, D., &amp; McClelland, J. L. (2016). What learning systems do intelligent agents need? Complementary learning systems theory updated. Trends in Cognitive Sciences, 20(7), 512–534. </w:t>
      </w:r>
      <w:hyperlink r:id="rId23">
        <w:r w:rsidRPr="006641A2">
          <w:rPr>
            <w:color w:val="0563C1"/>
            <w:sz w:val="21"/>
            <w:szCs w:val="21"/>
            <w:u w:val="single"/>
          </w:rPr>
          <w:t>https://doi.org/10.1016/j.tics.2016.05.004</w:t>
        </w:r>
      </w:hyperlink>
    </w:p>
    <w:p w14:paraId="3503838F"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Lewis, P., Perez, E., Piktus, A., Petroni, F., Karpukhin, V., Goyal, N., Küttler, H., Lewis, M., Yih, W.-T., Rocktäschel, T., Riedel, S., &amp; Kiela, D. (2020). Retrieval-augmented generation for knowledge-intensive NLP tasks. In Advances in Neural Information Processing Systems, 33, 9459–9474. </w:t>
      </w:r>
      <w:hyperlink r:id="rId24">
        <w:r w:rsidRPr="006641A2">
          <w:rPr>
            <w:color w:val="0563C1"/>
            <w:sz w:val="21"/>
            <w:szCs w:val="21"/>
            <w:u w:val="single"/>
          </w:rPr>
          <w:t>https://proceedings.neurips.cc/paper/2020/hash/6b493230205f780e1bc26945df7481e5-Abstract.html</w:t>
        </w:r>
      </w:hyperlink>
    </w:p>
    <w:p w14:paraId="62DAD186"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Mac Lane, S. (1998). Categories for the working mathematician (2nd ed.). Springer. </w:t>
      </w:r>
      <w:hyperlink r:id="rId25">
        <w:r w:rsidRPr="006641A2">
          <w:rPr>
            <w:color w:val="0563C1"/>
            <w:sz w:val="21"/>
            <w:szCs w:val="21"/>
            <w:u w:val="single"/>
          </w:rPr>
          <w:t>https://doi.org/10.1007/978-1-4757-4721-8</w:t>
        </w:r>
      </w:hyperlink>
    </w:p>
    <w:p w14:paraId="7FA4F3F1"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Mac Lane, S., &amp; Moerdijk, I. (1992). Sheaves in geometry and logic: A first introduction to topos theory. Springer. </w:t>
      </w:r>
      <w:hyperlink r:id="rId26">
        <w:r w:rsidRPr="006641A2">
          <w:rPr>
            <w:color w:val="0563C1"/>
            <w:sz w:val="21"/>
            <w:szCs w:val="21"/>
            <w:u w:val="single"/>
          </w:rPr>
          <w:t>https://doi.org/10.1007/978-1-4612-0927-0</w:t>
        </w:r>
      </w:hyperlink>
    </w:p>
    <w:p w14:paraId="762F64D3"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McClelland, J. L., McNaughton, B. L., &amp; O’Reilly, R. C. (1995). Why there are complementary learning systems in the hippocampus and neocortex. Psychological Review, 102(3), 419–457. </w:t>
      </w:r>
      <w:hyperlink r:id="rId27">
        <w:r w:rsidRPr="006641A2">
          <w:rPr>
            <w:color w:val="0563C1"/>
            <w:sz w:val="21"/>
            <w:szCs w:val="21"/>
            <w:u w:val="single"/>
          </w:rPr>
          <w:t>https://doi.org/10.1037/0033-295X.102.3.419</w:t>
        </w:r>
      </w:hyperlink>
    </w:p>
    <w:p w14:paraId="133BF1A9" w14:textId="77777777" w:rsidR="001B1454" w:rsidRPr="006641A2" w:rsidRDefault="00000000" w:rsidP="00A46BB4">
      <w:pPr>
        <w:pStyle w:val="Reference"/>
        <w:keepLines/>
        <w:numPr>
          <w:ilvl w:val="0"/>
          <w:numId w:val="10"/>
        </w:numPr>
        <w:jc w:val="both"/>
        <w:rPr>
          <w:sz w:val="21"/>
          <w:szCs w:val="21"/>
        </w:rPr>
      </w:pPr>
      <w:r w:rsidRPr="006641A2">
        <w:rPr>
          <w:sz w:val="21"/>
          <w:szCs w:val="21"/>
        </w:rPr>
        <w:lastRenderedPageBreak/>
        <w:t xml:space="preserve">Moggi, E. (1991). Notions of computation and monads. Information and Computation, 93(1), 55–92. </w:t>
      </w:r>
      <w:hyperlink r:id="rId28">
        <w:r w:rsidRPr="006641A2">
          <w:rPr>
            <w:color w:val="0563C1"/>
            <w:sz w:val="21"/>
            <w:szCs w:val="21"/>
            <w:u w:val="single"/>
          </w:rPr>
          <w:t>https://doi.org/10.1016/0890-5401(91)90052-4</w:t>
        </w:r>
      </w:hyperlink>
    </w:p>
    <w:p w14:paraId="7DB28F5F"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Moreau, L., &amp; Missier, P. (Eds.). (2013). PROV-DM: The PROV data model. W3C Recommendation. </w:t>
      </w:r>
      <w:hyperlink r:id="rId29">
        <w:r w:rsidRPr="006641A2">
          <w:rPr>
            <w:color w:val="0563C1"/>
            <w:sz w:val="21"/>
            <w:szCs w:val="21"/>
            <w:u w:val="single"/>
          </w:rPr>
          <w:t>https://www.w3.org/TR/prov-dm/</w:t>
        </w:r>
      </w:hyperlink>
    </w:p>
    <w:p w14:paraId="46332B71"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National Institute of Standards and Technology. (2023). Artificial Intelligence Risk Management Framework (AI RMF 1.0) (NIST AI 100-1). </w:t>
      </w:r>
      <w:hyperlink r:id="rId30">
        <w:r w:rsidRPr="006641A2">
          <w:rPr>
            <w:color w:val="0563C1"/>
            <w:sz w:val="21"/>
            <w:szCs w:val="21"/>
            <w:u w:val="single"/>
          </w:rPr>
          <w:t>https://doi.org/10.6028/NIST.AI.100-1</w:t>
        </w:r>
      </w:hyperlink>
    </w:p>
    <w:p w14:paraId="341678AD"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Packer, C., Wooders, S., Lin, K., Fang, V., Patil, S. G., Stoica, I., &amp; Gonzalez, J. E. (2023). MemGPT: Towards LLMs as operating systems. arXiv. </w:t>
      </w:r>
      <w:hyperlink r:id="rId31">
        <w:r w:rsidRPr="006641A2">
          <w:rPr>
            <w:color w:val="0563C1"/>
            <w:sz w:val="21"/>
            <w:szCs w:val="21"/>
            <w:u w:val="single"/>
          </w:rPr>
          <w:t>https://doi.org/10.48550/arXiv.2310.08560</w:t>
        </w:r>
      </w:hyperlink>
    </w:p>
    <w:p w14:paraId="5D204A88"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Park, J. S., O’Brien, J. C., Cai, C. J., Morris, M. R., Liang, P., &amp; Bernstein, M. S. (2023). Generative agents: Interactive simulacra of human behavior. In Proceedings of the 36th Annual ACM Symposium on User Interface Software and Technology (Article 2, pp. 1–22). ACM. </w:t>
      </w:r>
      <w:hyperlink r:id="rId32">
        <w:r w:rsidRPr="006641A2">
          <w:rPr>
            <w:color w:val="0563C1"/>
            <w:sz w:val="21"/>
            <w:szCs w:val="21"/>
            <w:u w:val="single"/>
          </w:rPr>
          <w:t>https://doi.org/10.1145/3586183.3606763</w:t>
        </w:r>
      </w:hyperlink>
    </w:p>
    <w:p w14:paraId="3AD81A66"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Riehl, E. (2016). Category theory in context. Dover Publications. </w:t>
      </w:r>
      <w:hyperlink r:id="rId33">
        <w:r w:rsidRPr="006641A2">
          <w:rPr>
            <w:color w:val="0563C1"/>
            <w:sz w:val="21"/>
            <w:szCs w:val="21"/>
            <w:u w:val="single"/>
          </w:rPr>
          <w:t>https://math.jhu.edu/~eriehl/context.pdf</w:t>
        </w:r>
      </w:hyperlink>
    </w:p>
    <w:p w14:paraId="0F79907A"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The mathlib Community. (2020). The Lean mathematical library. In Proceedings of the 9th ACM SIGPLAN International Conference on Certified Programs and Proofs (pp. 367–381). ACM. </w:t>
      </w:r>
      <w:hyperlink r:id="rId34">
        <w:r w:rsidRPr="006641A2">
          <w:rPr>
            <w:color w:val="0563C1"/>
            <w:sz w:val="21"/>
            <w:szCs w:val="21"/>
            <w:u w:val="single"/>
          </w:rPr>
          <w:t>https://doi.org/10.1145/3372885.3373824</w:t>
        </w:r>
      </w:hyperlink>
    </w:p>
    <w:p w14:paraId="45A84E7E"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Vistoli, A. (2005). Grothendieck topologies, fibered categories and descent theory. In B. Fantechi et al. (Eds.), Fundamental algebraic geometry: Grothendieck’s FGA explained (pp. 1–104). American Mathematical Society. </w:t>
      </w:r>
      <w:hyperlink r:id="rId35">
        <w:r w:rsidRPr="006641A2">
          <w:rPr>
            <w:color w:val="0563C1"/>
            <w:sz w:val="21"/>
            <w:szCs w:val="21"/>
            <w:u w:val="single"/>
          </w:rPr>
          <w:t>https://arxiv.org/abs/math/0412512</w:t>
        </w:r>
      </w:hyperlink>
    </w:p>
    <w:p w14:paraId="64D81E20" w14:textId="77777777" w:rsidR="001B1454" w:rsidRPr="006641A2" w:rsidRDefault="00000000" w:rsidP="00A46BB4">
      <w:pPr>
        <w:pStyle w:val="Reference"/>
        <w:keepLines/>
        <w:numPr>
          <w:ilvl w:val="0"/>
          <w:numId w:val="10"/>
        </w:numPr>
        <w:jc w:val="both"/>
        <w:rPr>
          <w:sz w:val="21"/>
          <w:szCs w:val="21"/>
        </w:rPr>
      </w:pPr>
      <w:r w:rsidRPr="006641A2">
        <w:rPr>
          <w:sz w:val="21"/>
          <w:szCs w:val="21"/>
        </w:rPr>
        <w:t xml:space="preserve">Wadler, P. (1995). Monads for functional programming. In J. Jeuring &amp; E. Meijer (Eds.), Advanced functional programming (Lecture Notes in Computer Science, Vol. 925, pp. 24–52). Springer. </w:t>
      </w:r>
      <w:hyperlink r:id="rId36">
        <w:r w:rsidRPr="006641A2">
          <w:rPr>
            <w:color w:val="0563C1"/>
            <w:sz w:val="21"/>
            <w:szCs w:val="21"/>
            <w:u w:val="single"/>
          </w:rPr>
          <w:t>https://doi.org/10.1007/3-540-59451-5_2</w:t>
        </w:r>
      </w:hyperlink>
    </w:p>
    <w:p w14:paraId="5208901C" w14:textId="77777777" w:rsidR="001B1454" w:rsidRDefault="00000000" w:rsidP="004B0D0F">
      <w:pPr>
        <w:pStyle w:val="Heading1"/>
        <w:jc w:val="both"/>
      </w:pPr>
      <w:r>
        <w:t>Author Note</w:t>
      </w:r>
    </w:p>
    <w:p w14:paraId="2D8D5DE3" w14:textId="77777777" w:rsidR="001B1454" w:rsidRPr="00CD434E" w:rsidRDefault="00000000" w:rsidP="004B0D0F">
      <w:pPr>
        <w:jc w:val="both"/>
        <w:rPr>
          <w:sz w:val="22"/>
          <w:szCs w:val="24"/>
        </w:rPr>
      </w:pPr>
      <w:r w:rsidRPr="00CD434E">
        <w:rPr>
          <w:sz w:val="22"/>
          <w:szCs w:val="24"/>
        </w:rPr>
        <w:t>This manuscript develops and corrects concepts first presented in the author’s five LinkedIn essays listed in the references. It is a conceptual proposal intended for critique, formalization, implementation, and empirical testing; it has not undergone peer review.</w:t>
      </w:r>
    </w:p>
    <w:sectPr w:rsidR="001B1454" w:rsidRPr="00CD434E" w:rsidSect="00034616">
      <w:headerReference w:type="default" r:id="rId37"/>
      <w:footerReference w:type="default" r:id="rId38"/>
      <w:pgSz w:w="12240" w:h="15840"/>
      <w:pgMar w:top="1037" w:right="1267" w:bottom="1037" w:left="126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68989" w14:textId="77777777" w:rsidR="00F064B2" w:rsidRDefault="00F064B2">
      <w:pPr>
        <w:spacing w:after="0" w:line="240" w:lineRule="auto"/>
      </w:pPr>
      <w:r>
        <w:separator/>
      </w:r>
    </w:p>
  </w:endnote>
  <w:endnote w:type="continuationSeparator" w:id="0">
    <w:p w14:paraId="299797BD" w14:textId="77777777" w:rsidR="00F064B2" w:rsidRDefault="00F06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738AF" w14:textId="77777777" w:rsidR="001B1454" w:rsidRDefault="00000000">
    <w:pPr>
      <w:pStyle w:val="Footer"/>
      <w:jc w:val="center"/>
    </w:pPr>
    <w:r>
      <w:fldChar w:fldCharType="begin"/>
    </w:r>
    <w:r>
      <w:instrText xml:space="preserve"> PAGE </w:instrText>
    </w:r>
    <w:r w:rsidR="004B0D0F">
      <w:fldChar w:fldCharType="separate"/>
    </w:r>
    <w:r w:rsidR="004B0D0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9B497" w14:textId="77777777" w:rsidR="00F064B2" w:rsidRDefault="00F064B2">
      <w:pPr>
        <w:spacing w:after="0" w:line="240" w:lineRule="auto"/>
      </w:pPr>
      <w:r>
        <w:separator/>
      </w:r>
    </w:p>
  </w:footnote>
  <w:footnote w:type="continuationSeparator" w:id="0">
    <w:p w14:paraId="4F38617D" w14:textId="77777777" w:rsidR="00F064B2" w:rsidRDefault="00F064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B5743" w14:textId="77777777" w:rsidR="001B1454" w:rsidRDefault="00000000">
    <w:pPr>
      <w:pStyle w:val="Header"/>
      <w:jc w:val="right"/>
    </w:pPr>
    <w:r>
      <w:rPr>
        <w:i/>
        <w:color w:val="64748B"/>
        <w:sz w:val="17"/>
      </w:rPr>
      <w:t>AIgory Theory and MathOps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F903BE"/>
    <w:multiLevelType w:val="hybridMultilevel"/>
    <w:tmpl w:val="66A43A34"/>
    <w:lvl w:ilvl="0" w:tplc="58CABE4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30411198">
    <w:abstractNumId w:val="8"/>
  </w:num>
  <w:num w:numId="2" w16cid:durableId="1527719801">
    <w:abstractNumId w:val="6"/>
  </w:num>
  <w:num w:numId="3" w16cid:durableId="1492023525">
    <w:abstractNumId w:val="5"/>
  </w:num>
  <w:num w:numId="4" w16cid:durableId="1566141757">
    <w:abstractNumId w:val="4"/>
  </w:num>
  <w:num w:numId="5" w16cid:durableId="1612005875">
    <w:abstractNumId w:val="7"/>
  </w:num>
  <w:num w:numId="6" w16cid:durableId="1656182138">
    <w:abstractNumId w:val="3"/>
  </w:num>
  <w:num w:numId="7" w16cid:durableId="1895774840">
    <w:abstractNumId w:val="2"/>
  </w:num>
  <w:num w:numId="8" w16cid:durableId="2043556598">
    <w:abstractNumId w:val="1"/>
  </w:num>
  <w:num w:numId="9" w16cid:durableId="302077184">
    <w:abstractNumId w:val="0"/>
  </w:num>
  <w:num w:numId="10" w16cid:durableId="8780110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454"/>
    <w:rsid w:val="00270B11"/>
    <w:rsid w:val="0029639D"/>
    <w:rsid w:val="00326F90"/>
    <w:rsid w:val="004B0D0F"/>
    <w:rsid w:val="005445D6"/>
    <w:rsid w:val="005E630E"/>
    <w:rsid w:val="006641A2"/>
    <w:rsid w:val="006A59D6"/>
    <w:rsid w:val="00736B49"/>
    <w:rsid w:val="00A46BB4"/>
    <w:rsid w:val="00AA1D8D"/>
    <w:rsid w:val="00B47730"/>
    <w:rsid w:val="00B9564A"/>
    <w:rsid w:val="00CB0664"/>
    <w:rsid w:val="00CD434E"/>
    <w:rsid w:val="00DE1B31"/>
    <w:rsid w:val="00DF5B0E"/>
    <w:rsid w:val="00E61C14"/>
    <w:rsid w:val="00F064B2"/>
    <w:rsid w:val="00F525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6356CA"/>
  <w14:defaultImageDpi w14:val="300"/>
  <w15:docId w15:val="{F9BD82F3-4293-4C4C-BCE0-AE810CFC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69"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5324B"/>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3341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5324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75569"/>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100" w:line="252" w:lineRule="auto"/>
      <w:ind w:left="360" w:right="360"/>
    </w:pPr>
    <w:rPr>
      <w:rFonts w:ascii="Times New Roman" w:hAnsi="Times New Roman"/>
      <w:sz w:val="19"/>
    </w:rPr>
  </w:style>
  <w:style w:type="paragraph" w:customStyle="1" w:styleId="Keywords">
    <w:name w:val="Keywords"/>
    <w:pPr>
      <w:ind w:left="360" w:right="360"/>
    </w:pPr>
    <w:rPr>
      <w:rFonts w:ascii="Times New Roman" w:hAnsi="Times New Roman"/>
      <w:sz w:val="18"/>
    </w:rPr>
  </w:style>
  <w:style w:type="paragraph" w:customStyle="1" w:styleId="Definition">
    <w:name w:val="Definition"/>
    <w:pPr>
      <w:spacing w:before="80" w:after="100"/>
      <w:ind w:left="360" w:right="360"/>
    </w:pPr>
    <w:rPr>
      <w:rFonts w:ascii="Times New Roman" w:hAnsi="Times New Roman"/>
      <w:sz w:val="20"/>
    </w:rPr>
  </w:style>
  <w:style w:type="paragraph" w:customStyle="1" w:styleId="Reference">
    <w:name w:val="Reference"/>
    <w:pPr>
      <w:spacing w:after="70" w:line="240" w:lineRule="auto"/>
      <w:ind w:left="403" w:hanging="403"/>
    </w:pPr>
    <w:rPr>
      <w:rFonts w:ascii="Times New Roman" w:hAnsi="Times New Roman"/>
      <w:sz w:val="18"/>
    </w:rPr>
  </w:style>
  <w:style w:type="paragraph" w:customStyle="1" w:styleId="CaptionCustom">
    <w:name w:val="CaptionCustom"/>
    <w:pPr>
      <w:spacing w:after="120"/>
      <w:jc w:val="center"/>
    </w:pPr>
    <w:rPr>
      <w:rFonts w:ascii="Times New Roman" w:hAnsi="Times New Roman"/>
      <w:i/>
      <w:sz w:val="18"/>
    </w:rPr>
  </w:style>
  <w:style w:type="character" w:styleId="Hyperlink">
    <w:name w:val="Hyperlink"/>
    <w:basedOn w:val="DefaultParagraphFont"/>
    <w:uiPriority w:val="99"/>
    <w:unhideWhenUsed/>
    <w:rsid w:val="00270B11"/>
    <w:rPr>
      <w:color w:val="0000FF" w:themeColor="hyperlink"/>
      <w:u w:val="single"/>
    </w:rPr>
  </w:style>
  <w:style w:type="character" w:styleId="UnresolvedMention">
    <w:name w:val="Unresolved Mention"/>
    <w:basedOn w:val="DefaultParagraphFont"/>
    <w:uiPriority w:val="99"/>
    <w:semiHidden/>
    <w:unhideWhenUsed/>
    <w:rsid w:val="00270B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3-540-44503-X_20" TargetMode="External"/><Relationship Id="rId18" Type="http://schemas.openxmlformats.org/officeDocument/2006/relationships/hyperlink" Target="https://www.linkedin.com/pulse/from-solid-monads-mathops-why-every-powerful-system-needs-ghosh-wpqic/" TargetMode="External"/><Relationship Id="rId26" Type="http://schemas.openxmlformats.org/officeDocument/2006/relationships/hyperlink" Target="https://doi.org/10.1007/978-1-4612-0927-0" TargetMode="External"/><Relationship Id="rId39" Type="http://schemas.openxmlformats.org/officeDocument/2006/relationships/fontTable" Target="fontTable.xml"/><Relationship Id="rId21" Type="http://schemas.openxmlformats.org/officeDocument/2006/relationships/hyperlink" Target="https://www.linkedin.com/pulse/why-future-agi-memory-needs-disciplined-mirror-system-ghosh-ove4c/" TargetMode="External"/><Relationship Id="rId34" Type="http://schemas.openxmlformats.org/officeDocument/2006/relationships/hyperlink" Target="https://doi.org/10.1145/3372885.3373824" TargetMode="External"/><Relationship Id="rId7" Type="http://schemas.openxmlformats.org/officeDocument/2006/relationships/endnotes" Target="endnotes.xml"/><Relationship Id="rId12" Type="http://schemas.openxmlformats.org/officeDocument/2006/relationships/hyperlink" Target="https://doi.org/10.1007/BFb0083084" TargetMode="External"/><Relationship Id="rId17" Type="http://schemas.openxmlformats.org/officeDocument/2006/relationships/hyperlink" Target="https://www.linkedin.com/pulse/constitutional-mathops-why-future-agi-memory-needs-more-ghosh-envbc/" TargetMode="External"/><Relationship Id="rId25" Type="http://schemas.openxmlformats.org/officeDocument/2006/relationships/hyperlink" Target="https://doi.org/10.1007/978-1-4757-4721-8" TargetMode="External"/><Relationship Id="rId33" Type="http://schemas.openxmlformats.org/officeDocument/2006/relationships/hyperlink" Target="https://math.jhu.edu/~eriehl/context.pdf"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016/j.neuron.2015.09.004" TargetMode="External"/><Relationship Id="rId20" Type="http://schemas.openxmlformats.org/officeDocument/2006/relationships/hyperlink" Target="https://www.linkedin.com/pulse/curation-problem-why-ai-solve-mathematics-force-us-build-ghosh-rvlyc/" TargetMode="External"/><Relationship Id="rId29" Type="http://schemas.openxmlformats.org/officeDocument/2006/relationships/hyperlink" Target="https://www.w3.org/TR/prov-d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3290605.3300233" TargetMode="External"/><Relationship Id="rId24" Type="http://schemas.openxmlformats.org/officeDocument/2006/relationships/hyperlink" Target="https://proceedings.neurips.cc/paper/2020/hash/6b493230205f780e1bc26945df7481e5-Abstract.html" TargetMode="External"/><Relationship Id="rId32" Type="http://schemas.openxmlformats.org/officeDocument/2006/relationships/hyperlink" Target="https://doi.org/10.1145/3586183.3606763"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07/978-3-030-79876-5_37" TargetMode="External"/><Relationship Id="rId23" Type="http://schemas.openxmlformats.org/officeDocument/2006/relationships/hyperlink" Target="https://doi.org/10.1016/j.tics.2016.05.004" TargetMode="External"/><Relationship Id="rId28" Type="http://schemas.openxmlformats.org/officeDocument/2006/relationships/hyperlink" Target="https://doi.org/10.1016/0890-5401(91)90052-4" TargetMode="External"/><Relationship Id="rId36" Type="http://schemas.openxmlformats.org/officeDocument/2006/relationships/hyperlink" Target="https://doi.org/10.1007/3-540-59451-5_2" TargetMode="External"/><Relationship Id="rId10" Type="http://schemas.openxmlformats.org/officeDocument/2006/relationships/image" Target="media/image1.png"/><Relationship Id="rId19" Type="http://schemas.openxmlformats.org/officeDocument/2006/relationships/hyperlink" Target="https://www.linkedin.com/pulse/mathops-model-organism-memory-consolidation-debiprasad-ghosh-9592c/" TargetMode="External"/><Relationship Id="rId31" Type="http://schemas.openxmlformats.org/officeDocument/2006/relationships/hyperlink" Target="https://doi.org/10.48550/arXiv.2310.08560" TargetMode="External"/><Relationship Id="rId4" Type="http://schemas.openxmlformats.org/officeDocument/2006/relationships/settings" Target="settings.xml"/><Relationship Id="rId9" Type="http://schemas.openxmlformats.org/officeDocument/2006/relationships/hyperlink" Target="https://doi.org/10.13140/RG.2.2.31469.35041" TargetMode="External"/><Relationship Id="rId14" Type="http://schemas.openxmlformats.org/officeDocument/2006/relationships/hyperlink" Target="https://doi.org/10.1561/1900000006" TargetMode="External"/><Relationship Id="rId22" Type="http://schemas.openxmlformats.org/officeDocument/2006/relationships/hyperlink" Target="https://doi.org/10.1037/0033-2909.114.1.3" TargetMode="External"/><Relationship Id="rId27" Type="http://schemas.openxmlformats.org/officeDocument/2006/relationships/hyperlink" Target="https://doi.org/10.1037/0033-295X.102.3.419" TargetMode="External"/><Relationship Id="rId30" Type="http://schemas.openxmlformats.org/officeDocument/2006/relationships/hyperlink" Target="https://doi.org/10.6028/NIST.AI.100-1" TargetMode="External"/><Relationship Id="rId35" Type="http://schemas.openxmlformats.org/officeDocument/2006/relationships/hyperlink" Target="https://arxiv.org/abs/math/0412512" TargetMode="External"/><Relationship Id="rId8" Type="http://schemas.openxmlformats.org/officeDocument/2006/relationships/hyperlink" Target="mailto:debiprasadghosh@gmail.co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14</Pages>
  <Words>6975</Words>
  <Characters>39763</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AIgory Theory: A Categorical Research Programme for Governed AI Knowledge</vt:lpstr>
    </vt:vector>
  </TitlesOfParts>
  <Manager/>
  <Company/>
  <LinksUpToDate>false</LinksUpToDate>
  <CharactersWithSpaces>46645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AIgory Theory: A Categorical Research Programme for Governed AI Knowledge</dc:title>
  <dc:subject>Conceptual framework for governed epistemic transformation and MathOps</dc:subject>
  <dc:creator>Debiprasad Ghosh</dc:creator>
  <cp:keywords>AIgory Theory, MathOps, category theory, AI memory, provenance, governance, canonicalization</cp:keywords>
  <dc:description>Publication-style conceptual manuscript generated from the author-provided synthesis and cited LinkedIn essay series.</dc:description>
  <cp:lastModifiedBy>Debiprasad Ghosh</cp:lastModifiedBy>
  <cp:revision>12</cp:revision>
  <cp:lastPrinted>2026-07-19T20:41:00Z</cp:lastPrinted>
  <dcterms:created xsi:type="dcterms:W3CDTF">2013-12-23T23:15:00Z</dcterms:created>
  <dcterms:modified xsi:type="dcterms:W3CDTF">2026-07-19T20:46:00Z</dcterms:modified>
  <cp:category/>
</cp:coreProperties>
</file>