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3676" w14:textId="77777777" w:rsidR="0033727D" w:rsidRPr="0011330F" w:rsidRDefault="00000000">
      <w:pPr>
        <w:spacing w:after="240"/>
        <w:jc w:val="center"/>
        <w:rPr>
          <w:sz w:val="9"/>
          <w:szCs w:val="10"/>
        </w:rPr>
      </w:pPr>
      <w:r w:rsidRPr="0011330F">
        <w:rPr>
          <w:rFonts w:ascii="Liberation Sans" w:eastAsia="Liberation Sans" w:hAnsi="Liberation Sans"/>
          <w:b/>
          <w:color w:val="17324D"/>
          <w:sz w:val="36"/>
          <w:szCs w:val="10"/>
        </w:rPr>
        <w:t>A Correction Is Installed Only When a Check Runs</w:t>
      </w:r>
    </w:p>
    <w:p w14:paraId="1AE65264" w14:textId="77777777" w:rsidR="0033727D" w:rsidRPr="0011330F" w:rsidRDefault="00000000">
      <w:pPr>
        <w:spacing w:after="480"/>
        <w:jc w:val="center"/>
        <w:rPr>
          <w:sz w:val="11"/>
          <w:szCs w:val="12"/>
        </w:rPr>
      </w:pPr>
      <w:r w:rsidRPr="0011330F">
        <w:rPr>
          <w:rFonts w:ascii="Liberation Sans" w:eastAsia="Liberation Sans" w:hAnsi="Liberation Sans"/>
          <w:color w:val="495D70"/>
          <w:sz w:val="18"/>
          <w:szCs w:val="12"/>
        </w:rPr>
        <w:t>The Cortical Ontology Line, Its Seven Results, and a Methodological Finding from Its Own Repeated Failure</w:t>
      </w:r>
    </w:p>
    <w:p w14:paraId="10F3942F" w14:textId="798488AF" w:rsidR="0033727D" w:rsidRDefault="00000000">
      <w:pPr>
        <w:spacing w:after="100"/>
        <w:jc w:val="center"/>
      </w:pPr>
      <w:r>
        <w:rPr>
          <w:rFonts w:ascii="Liberation Sans" w:eastAsia="Liberation Sans" w:hAnsi="Liberation Sans"/>
          <w:b/>
          <w:sz w:val="24"/>
        </w:rPr>
        <w:t>D</w:t>
      </w:r>
      <w:r w:rsidR="0011330F">
        <w:rPr>
          <w:rFonts w:ascii="Liberation Sans" w:eastAsia="Liberation Sans" w:hAnsi="Liberation Sans"/>
          <w:b/>
          <w:sz w:val="24"/>
        </w:rPr>
        <w:t>ebi</w:t>
      </w:r>
      <w:r>
        <w:rPr>
          <w:rFonts w:ascii="Liberation Sans" w:eastAsia="Liberation Sans" w:hAnsi="Liberation Sans"/>
          <w:b/>
          <w:sz w:val="24"/>
        </w:rPr>
        <w:t xml:space="preserve"> P</w:t>
      </w:r>
      <w:r w:rsidR="0011330F">
        <w:rPr>
          <w:rFonts w:ascii="Liberation Sans" w:eastAsia="Liberation Sans" w:hAnsi="Liberation Sans"/>
          <w:b/>
          <w:sz w:val="24"/>
        </w:rPr>
        <w:t>rasad</w:t>
      </w:r>
      <w:r>
        <w:rPr>
          <w:rFonts w:ascii="Liberation Sans" w:eastAsia="Liberation Sans" w:hAnsi="Liberation Sans"/>
          <w:b/>
          <w:sz w:val="24"/>
        </w:rPr>
        <w:t xml:space="preserve"> Ghosh</w:t>
      </w:r>
      <w:r w:rsidR="0011330F">
        <w:rPr>
          <w:rFonts w:ascii="Liberation Sans" w:eastAsia="Liberation Sans" w:hAnsi="Liberation Sans"/>
          <w:b/>
          <w:sz w:val="24"/>
        </w:rPr>
        <w:t xml:space="preserve">, </w:t>
      </w:r>
      <w:hyperlink r:id="rId8" w:history="1">
        <w:r w:rsidR="0011330F" w:rsidRPr="0023240F">
          <w:rPr>
            <w:rStyle w:val="Hyperlink"/>
            <w:rFonts w:ascii="Liberation Sans" w:eastAsia="Liberation Sans" w:hAnsi="Liberation Sans"/>
            <w:b/>
            <w:sz w:val="24"/>
          </w:rPr>
          <w:t>debiprasadghosh@gmail.com</w:t>
        </w:r>
      </w:hyperlink>
      <w:r w:rsidR="0011330F">
        <w:rPr>
          <w:rFonts w:ascii="Liberation Sans" w:eastAsia="Liberation Sans" w:hAnsi="Liberation Sans"/>
          <w:b/>
          <w:sz w:val="24"/>
        </w:rPr>
        <w:t xml:space="preserve"> </w:t>
      </w:r>
    </w:p>
    <w:p w14:paraId="6B8877FC" w14:textId="51A32A21" w:rsidR="0033727D" w:rsidRDefault="00000000">
      <w:pPr>
        <w:spacing w:after="100"/>
        <w:jc w:val="center"/>
      </w:pPr>
      <w:r>
        <w:rPr>
          <w:rFonts w:ascii="Liberation Sans" w:eastAsia="Liberation Sans" w:hAnsi="Liberation Sans"/>
          <w:color w:val="566573"/>
        </w:rPr>
        <w:t>Defensible Intelligence Series • Deposit Paper</w:t>
      </w:r>
    </w:p>
    <w:p w14:paraId="6D6FDF21" w14:textId="7A15B994" w:rsidR="0033727D" w:rsidRDefault="00000000">
      <w:pPr>
        <w:jc w:val="center"/>
      </w:pPr>
      <w:r>
        <w:rPr>
          <w:rFonts w:ascii="Liberation Sans" w:eastAsia="Liberation Sans" w:hAnsi="Liberation Sans"/>
          <w:color w:val="78828B"/>
          <w:sz w:val="19"/>
        </w:rPr>
        <w:t>Manuscript • July 2026</w:t>
      </w:r>
      <w:r w:rsidR="00130F63">
        <w:rPr>
          <w:rFonts w:ascii="Liberation Sans" w:eastAsia="Liberation Sans" w:hAnsi="Liberation Sans"/>
          <w:color w:val="78828B"/>
          <w:sz w:val="19"/>
        </w:rPr>
        <w:t xml:space="preserve">, </w:t>
      </w:r>
      <w:hyperlink r:id="rId9" w:history="1">
        <w:r w:rsidR="002D6982" w:rsidRPr="0023240F">
          <w:rPr>
            <w:rStyle w:val="Hyperlink"/>
            <w:rFonts w:ascii="Liberation Sans" w:eastAsia="Liberation Sans" w:hAnsi="Liberation Sans"/>
            <w:sz w:val="19"/>
          </w:rPr>
          <w:t>https://doi.org/10.13140/RG.2.2.23376.26881</w:t>
        </w:r>
      </w:hyperlink>
      <w:r w:rsidR="002D6982">
        <w:rPr>
          <w:rFonts w:ascii="Liberation Sans" w:eastAsia="Liberation Sans" w:hAnsi="Liberation Sans"/>
          <w:color w:val="78828B"/>
          <w:sz w:val="19"/>
        </w:rPr>
        <w:t xml:space="preserve"> </w:t>
      </w:r>
    </w:p>
    <w:p w14:paraId="0394DA22" w14:textId="77777777" w:rsidR="0033727D" w:rsidRDefault="00000000">
      <w:pPr>
        <w:pStyle w:val="Heading1"/>
        <w:pBdr>
          <w:bottom w:val="single" w:sz="5" w:space="4" w:color="C5CFD8"/>
        </w:pBdr>
      </w:pPr>
      <w:r>
        <w:rPr>
          <w:rFonts w:ascii="Liberation Serif" w:eastAsia="Liberation Serif" w:hAnsi="Liberation Serif"/>
          <w:b w:val="0"/>
        </w:rPr>
        <w:t>Abstract</w:t>
      </w:r>
    </w:p>
    <w:p w14:paraId="0081040D" w14:textId="77777777" w:rsidR="0033727D" w:rsidRPr="00130F63" w:rsidRDefault="00000000" w:rsidP="00443E97">
      <w:pPr>
        <w:pStyle w:val="AbstractBody"/>
        <w:ind w:left="0"/>
        <w:rPr>
          <w:sz w:val="22"/>
          <w:szCs w:val="20"/>
        </w:rPr>
      </w:pPr>
      <w:r w:rsidRPr="00130F63">
        <w:rPr>
          <w:sz w:val="22"/>
          <w:szCs w:val="20"/>
        </w:rPr>
        <w:t xml:space="preserve">Reading the anterior temporal semantic system as a query-directed entailment layer rather than a store of labels yields a specific architecture and a specific set of hazards. RDFS domain and range supply </w:t>
      </w:r>
      <w:r w:rsidRPr="00130F63">
        <w:rPr>
          <w:b/>
          <w:sz w:val="22"/>
          <w:szCs w:val="20"/>
        </w:rPr>
        <w:t>entailment</w:t>
      </w:r>
      <w:r w:rsidRPr="00130F63">
        <w:rPr>
          <w:sz w:val="22"/>
          <w:szCs w:val="20"/>
        </w:rPr>
        <w:t xml:space="preserve">: from the single assertion </w:t>
      </w:r>
      <w:r w:rsidRPr="00130F63">
        <w:rPr>
          <w:rFonts w:ascii="DejaVu Sans Mono" w:eastAsia="DejaVu Sans Mono" w:hAnsi="DejaVu Sans Mono"/>
          <w:color w:val="34495E"/>
          <w:sz w:val="22"/>
          <w:szCs w:val="20"/>
          <w:shd w:val="clear" w:color="auto" w:fill="EEF2F5"/>
        </w:rPr>
        <w:t>alice operates M1</w:t>
      </w:r>
      <w:r w:rsidRPr="00130F63">
        <w:rPr>
          <w:sz w:val="22"/>
          <w:szCs w:val="20"/>
        </w:rPr>
        <w:t xml:space="preserve"> a reasoner derives </w:t>
      </w:r>
      <w:r w:rsidRPr="00130F63">
        <w:rPr>
          <w:rFonts w:ascii="DejaVu Sans Mono" w:eastAsia="DejaVu Sans Mono" w:hAnsi="DejaVu Sans Mono"/>
          <w:color w:val="34495E"/>
          <w:sz w:val="22"/>
          <w:szCs w:val="20"/>
          <w:shd w:val="clear" w:color="auto" w:fill="EEF2F5"/>
        </w:rPr>
        <w:t>alice : Agent</w:t>
      </w:r>
      <w:r w:rsidRPr="00130F63">
        <w:rPr>
          <w:sz w:val="22"/>
          <w:szCs w:val="20"/>
        </w:rPr>
        <w:t xml:space="preserve"> and </w:t>
      </w:r>
      <w:r w:rsidRPr="00130F63">
        <w:rPr>
          <w:rFonts w:ascii="DejaVu Sans Mono" w:eastAsia="DejaVu Sans Mono" w:hAnsi="DejaVu Sans Mono"/>
          <w:color w:val="34495E"/>
          <w:sz w:val="22"/>
          <w:szCs w:val="20"/>
          <w:shd w:val="clear" w:color="auto" w:fill="EEF2F5"/>
        </w:rPr>
        <w:t>M1 : Machine</w:t>
      </w:r>
      <w:r w:rsidRPr="00130F63">
        <w:rPr>
          <w:sz w:val="22"/>
          <w:szCs w:val="20"/>
        </w:rPr>
        <w:t xml:space="preserve"> — the relation classifies its participants. But the entailment relation is </w:t>
      </w:r>
      <w:r w:rsidRPr="00130F63">
        <w:rPr>
          <w:b/>
          <w:sz w:val="22"/>
          <w:szCs w:val="20"/>
        </w:rPr>
        <w:t>monotonic within a fixed theory</w:t>
      </w:r>
      <w:r w:rsidRPr="00130F63">
        <w:rPr>
          <w:sz w:val="22"/>
          <w:szCs w:val="20"/>
        </w:rPr>
        <w:t xml:space="preserve">, while semantic memory must move non-monotonically between theory versions; OWL </w:t>
      </w:r>
      <w:r w:rsidRPr="00130F63">
        <w:rPr>
          <w:b/>
          <w:sz w:val="22"/>
          <w:szCs w:val="20"/>
        </w:rPr>
        <w:t>functionality</w:t>
      </w:r>
      <w:r w:rsidRPr="00130F63">
        <w:rPr>
          <w:sz w:val="22"/>
          <w:szCs w:val="20"/>
        </w:rPr>
        <w:t xml:space="preserve"> converts a cardinality expectation into an identity commitment, and one such axiom was shown to merge two individuals so that the merged entity lives in two cities and was born in two years; classical </w:t>
      </w:r>
      <w:r w:rsidRPr="00130F63">
        <w:rPr>
          <w:b/>
          <w:sz w:val="22"/>
          <w:szCs w:val="20"/>
        </w:rPr>
        <w:t>disjointness</w:t>
      </w:r>
      <w:r w:rsidRPr="00130F63">
        <w:rPr>
          <w:sz w:val="22"/>
          <w:szCs w:val="20"/>
        </w:rPr>
        <w:t xml:space="preserve"> does not fail safe but explodes, entailing everything; and transitive closure is quadratic, forcing selective materialization and splitting semantic status into </w:t>
      </w:r>
      <w:r w:rsidRPr="00130F63">
        <w:rPr>
          <w:i/>
          <w:sz w:val="22"/>
          <w:szCs w:val="20"/>
        </w:rPr>
        <w:t>stored</w:t>
      </w:r>
      <w:r w:rsidRPr="00130F63">
        <w:rPr>
          <w:sz w:val="22"/>
          <w:szCs w:val="20"/>
        </w:rPr>
        <w:t xml:space="preserve">, </w:t>
      </w:r>
      <w:r w:rsidRPr="00130F63">
        <w:rPr>
          <w:i/>
          <w:sz w:val="22"/>
          <w:szCs w:val="20"/>
        </w:rPr>
        <w:t>query-derivable</w:t>
      </w:r>
      <w:r w:rsidRPr="00130F63">
        <w:rPr>
          <w:sz w:val="22"/>
          <w:szCs w:val="20"/>
        </w:rPr>
        <w:t xml:space="preserve">, and </w:t>
      </w:r>
      <w:r w:rsidRPr="00130F63">
        <w:rPr>
          <w:i/>
          <w:sz w:val="22"/>
          <w:szCs w:val="20"/>
        </w:rPr>
        <w:t>permitted</w:t>
      </w:r>
      <w:r w:rsidRPr="00130F63">
        <w:rPr>
          <w:sz w:val="22"/>
          <w:szCs w:val="20"/>
        </w:rPr>
        <w:t xml:space="preserve">. Seven results follow, of which the sharpest are </w:t>
      </w:r>
      <w:r w:rsidRPr="00130F63">
        <w:rPr>
          <w:b/>
          <w:sz w:val="22"/>
          <w:szCs w:val="20"/>
        </w:rPr>
        <w:t>guarded functionality</w:t>
      </w:r>
      <w:r w:rsidRPr="00130F63">
        <w:rPr>
          <w:sz w:val="22"/>
          <w:szCs w:val="20"/>
        </w:rPr>
        <w:t xml:space="preserve"> — cardinality may nominate an identity, only a witness may commit it — and </w:t>
      </w:r>
      <w:r w:rsidRPr="00130F63">
        <w:rPr>
          <w:b/>
          <w:sz w:val="22"/>
          <w:szCs w:val="20"/>
        </w:rPr>
        <w:t>axiom non-self-certification</w:t>
      </w:r>
      <w:r w:rsidRPr="00130F63">
        <w:rPr>
          <w:sz w:val="22"/>
          <w:szCs w:val="20"/>
        </w:rPr>
        <w:t xml:space="preserve">, an executable test refusing promotion when an axiom's support lies entirely among the consequences that axiom generates. A cycle-jurisdiction result is stated with the jurisdiction it requires: a bare hub-and-spoke graph has </w:t>
      </w:r>
      <w:r w:rsidRPr="00130F63">
        <w:rPr>
          <w:rFonts w:ascii="DejaVu Sans Mono" w:eastAsia="DejaVu Sans Mono" w:hAnsi="DejaVu Sans Mono"/>
          <w:color w:val="34495E"/>
          <w:sz w:val="22"/>
          <w:szCs w:val="20"/>
          <w:shd w:val="clear" w:color="auto" w:fill="EEF2F5"/>
        </w:rPr>
        <w:t>β₁ = 0</w:t>
      </w:r>
      <w:r w:rsidRPr="00130F63">
        <w:rPr>
          <w:sz w:val="22"/>
          <w:szCs w:val="20"/>
        </w:rPr>
        <w:t xml:space="preserve"> and therefore no </w:t>
      </w:r>
      <w:r w:rsidRPr="00130F63">
        <w:rPr>
          <w:i/>
          <w:sz w:val="22"/>
          <w:szCs w:val="20"/>
        </w:rPr>
        <w:t>cycle-supported</w:t>
      </w:r>
      <w:r w:rsidRPr="00130F63">
        <w:rPr>
          <w:sz w:val="22"/>
          <w:szCs w:val="20"/>
        </w:rPr>
        <w:t xml:space="preserve"> audit channel, though a star bearing degenerate restrictions can still carry </w:t>
      </w:r>
      <w:r w:rsidRPr="00130F63">
        <w:rPr>
          <w:rFonts w:ascii="DejaVu Sans Mono" w:eastAsia="DejaVu Sans Mono" w:hAnsi="DejaVu Sans Mono"/>
          <w:color w:val="34495E"/>
          <w:sz w:val="22"/>
          <w:szCs w:val="20"/>
          <w:shd w:val="clear" w:color="auto" w:fill="EEF2F5"/>
        </w:rPr>
        <w:t>dim H¹ = 4</w:t>
      </w:r>
      <w:r w:rsidRPr="00130F63">
        <w:rPr>
          <w:sz w:val="22"/>
          <w:szCs w:val="20"/>
        </w:rPr>
        <w:t xml:space="preserve">. The paper's methodological finding is separable from all of this. The same jurisdiction error recurred </w:t>
      </w:r>
      <w:r w:rsidRPr="00130F63">
        <w:rPr>
          <w:b/>
          <w:sz w:val="22"/>
          <w:szCs w:val="20"/>
        </w:rPr>
        <w:t>three times</w:t>
      </w:r>
      <w:r w:rsidRPr="00130F63">
        <w:rPr>
          <w:sz w:val="22"/>
          <w:szCs w:val="20"/>
        </w:rPr>
        <w:t xml:space="preserve"> across the line, with an explicit correction, an explicit diagnosis, and an explicit written remedy between the second and third. </w:t>
      </w:r>
      <w:r w:rsidRPr="00130F63">
        <w:rPr>
          <w:b/>
          <w:sz w:val="22"/>
          <w:szCs w:val="20"/>
        </w:rPr>
        <w:t>A correction is installed only when a mechanism executes at the point the forbidden inference would otherwise occur.</w:t>
      </w:r>
      <w:r w:rsidRPr="00130F63">
        <w:rPr>
          <w:sz w:val="22"/>
          <w:szCs w:val="20"/>
        </w:rPr>
        <w:t xml:space="preserve"> Prose remedies are subject to the failure they describe.</w:t>
      </w:r>
    </w:p>
    <w:p w14:paraId="3C81B141" w14:textId="77777777" w:rsidR="0033727D" w:rsidRDefault="00000000">
      <w:pPr>
        <w:pStyle w:val="Heading1"/>
        <w:pBdr>
          <w:bottom w:val="single" w:sz="5" w:space="4" w:color="C5CFD8"/>
        </w:pBdr>
      </w:pPr>
      <w:r>
        <w:rPr>
          <w:rFonts w:ascii="Liberation Serif" w:eastAsia="Liberation Serif" w:hAnsi="Liberation Serif"/>
          <w:b w:val="0"/>
        </w:rPr>
        <w:t>0. Prerequisites</w:t>
      </w:r>
    </w:p>
    <w:p w14:paraId="5679DD1C" w14:textId="77777777" w:rsidR="0033727D" w:rsidRDefault="00000000">
      <w:pPr>
        <w:pStyle w:val="LeadItalic"/>
      </w:pPr>
      <w:r>
        <w:t>Collected so the body reads without detour. Sheaf background is developed in</w:t>
      </w:r>
      <w:r>
        <w:rPr>
          <w:i w:val="0"/>
        </w:rPr>
        <w:t xml:space="preserve"> Does It Glue? </w:t>
      </w:r>
      <w:r>
        <w:t>and</w:t>
      </w:r>
      <w:r>
        <w:rPr>
          <w:i w:val="0"/>
        </w:rPr>
        <w:t xml:space="preserve"> Where Does the Contradiction Live? </w:t>
      </w:r>
      <w:r>
        <w:t>(Structural Intelligence Bridge, Books 2 and 3).</w:t>
      </w:r>
    </w:p>
    <w:p w14:paraId="1C24547D" w14:textId="77777777" w:rsidR="0033727D" w:rsidRDefault="00000000">
      <w:pPr>
        <w:spacing w:before="120"/>
      </w:pPr>
      <w:r>
        <w:rPr>
          <w:b/>
        </w:rPr>
        <w:t>Standing hypotheses.</w:t>
      </w:r>
      <w:r>
        <w:t xml:space="preserve"> Ontologies are finite. </w:t>
      </w:r>
      <w:r>
        <w:rPr>
          <w:rFonts w:ascii="DejaVu Sans Mono" w:eastAsia="DejaVu Sans Mono" w:hAnsi="DejaVu Sans Mono"/>
          <w:color w:val="34495E"/>
          <w:sz w:val="20"/>
          <w:shd w:val="clear" w:color="auto" w:fill="EEF2F5"/>
        </w:rPr>
        <w:t>A</w:t>
      </w:r>
      <w:r>
        <w:t xml:space="preserve"> denotes a set of asserted triples, </w:t>
      </w:r>
      <w:r>
        <w:rPr>
          <w:rFonts w:ascii="DejaVu Sans Mono" w:eastAsia="DejaVu Sans Mono" w:hAnsi="DejaVu Sans Mono"/>
          <w:color w:val="34495E"/>
          <w:sz w:val="20"/>
          <w:shd w:val="clear" w:color="auto" w:fill="EEF2F5"/>
        </w:rPr>
        <w:t>O</w:t>
      </w:r>
      <w:r>
        <w:t xml:space="preserve"> a set of entailment rules, </w:t>
      </w:r>
      <w:r>
        <w:rPr>
          <w:rFonts w:ascii="DejaVu Sans Mono" w:eastAsia="DejaVu Sans Mono" w:hAnsi="DejaVu Sans Mono"/>
          <w:color w:val="34495E"/>
          <w:sz w:val="20"/>
          <w:shd w:val="clear" w:color="auto" w:fill="EEF2F5"/>
        </w:rPr>
        <w:t>Cl_O(A)</w:t>
      </w:r>
      <w:r>
        <w:t xml:space="preserve"> the closure of </w:t>
      </w:r>
      <w:r>
        <w:rPr>
          <w:rFonts w:ascii="DejaVu Sans Mono" w:eastAsia="DejaVu Sans Mono" w:hAnsi="DejaVu Sans Mono"/>
          <w:color w:val="34495E"/>
          <w:sz w:val="20"/>
          <w:shd w:val="clear" w:color="auto" w:fill="EEF2F5"/>
        </w:rPr>
        <w:t>A</w:t>
      </w:r>
      <w:r>
        <w:t xml:space="preserve"> under </w:t>
      </w:r>
      <w:r>
        <w:rPr>
          <w:rFonts w:ascii="DejaVu Sans Mono" w:eastAsia="DejaVu Sans Mono" w:hAnsi="DejaVu Sans Mono"/>
          <w:color w:val="34495E"/>
          <w:sz w:val="20"/>
          <w:shd w:val="clear" w:color="auto" w:fill="EEF2F5"/>
        </w:rPr>
        <w:t>O</w:t>
      </w:r>
      <w:r>
        <w:t>. Complexes are finite; sheaves are cellular sheaves of finitely generated modules; coefficients are stated where they matter.</w:t>
      </w:r>
    </w:p>
    <w:p w14:paraId="38CA06AB" w14:textId="77777777" w:rsidR="0033727D" w:rsidRDefault="00000000">
      <w:pPr>
        <w:ind w:left="490" w:hanging="403"/>
      </w:pPr>
      <w:r>
        <w:rPr>
          <w:b/>
        </w:rPr>
        <w:t>1.  RDFS domain and range are entailment rules, not signatures.</w:t>
      </w:r>
      <w:r>
        <w:t xml:space="preserve"> </w:t>
      </w:r>
      <w:r>
        <w:rPr>
          <w:rFonts w:ascii="DejaVu Sans Mono" w:eastAsia="DejaVu Sans Mono" w:hAnsi="DejaVu Sans Mono"/>
          <w:color w:val="34495E"/>
          <w:sz w:val="19"/>
          <w:shd w:val="clear" w:color="auto" w:fill="EEF2F5"/>
        </w:rPr>
        <w:t>operates rdfs:domain Agent</w:t>
      </w:r>
      <w:r>
        <w:t xml:space="preserve"> licenses the inference </w:t>
      </w:r>
      <w:r>
        <w:rPr>
          <w:rFonts w:ascii="DejaVu Sans Mono" w:eastAsia="DejaVu Sans Mono" w:hAnsi="DejaVu Sans Mono"/>
          <w:color w:val="34495E"/>
          <w:sz w:val="19"/>
          <w:shd w:val="clear" w:color="auto" w:fill="EEF2F5"/>
        </w:rPr>
        <w:t>operates(x,y) ⟹ Agent(x)</w:t>
      </w:r>
      <w:r>
        <w:t>. It does not merely validate a pre-existing type.</w:t>
      </w:r>
    </w:p>
    <w:p w14:paraId="396E9DFF" w14:textId="77777777" w:rsidR="0033727D" w:rsidRDefault="00000000">
      <w:pPr>
        <w:ind w:left="490" w:hanging="403"/>
      </w:pPr>
      <w:r>
        <w:rPr>
          <w:b/>
        </w:rPr>
        <w:t>2.  Monotonicity of the consequence relation.</w:t>
      </w:r>
      <w:r>
        <w:t xml:space="preserve"> For a fixed theory </w:t>
      </w:r>
      <w:r>
        <w:rPr>
          <w:rFonts w:ascii="DejaVu Sans Mono" w:eastAsia="DejaVu Sans Mono" w:hAnsi="DejaVu Sans Mono"/>
          <w:color w:val="34495E"/>
          <w:sz w:val="19"/>
          <w:shd w:val="clear" w:color="auto" w:fill="EEF2F5"/>
        </w:rPr>
        <w:t>O</w:t>
      </w:r>
      <w:r>
        <w:t xml:space="preserve">, </w:t>
      </w:r>
      <w:r>
        <w:rPr>
          <w:rFonts w:ascii="DejaVu Sans Mono" w:eastAsia="DejaVu Sans Mono" w:hAnsi="DejaVu Sans Mono"/>
          <w:color w:val="34495E"/>
          <w:sz w:val="19"/>
          <w:shd w:val="clear" w:color="auto" w:fill="EEF2F5"/>
        </w:rPr>
        <w:t>A ⊆ B ⟹ Cl_O(A) ⊆ Cl_O(B)</w:t>
      </w:r>
      <w:r>
        <w:t>. Adding premises cannot invalidate a previously entailed consequence; retraction requires moving to a different theory.</w:t>
      </w:r>
    </w:p>
    <w:p w14:paraId="63B00B3D" w14:textId="77777777" w:rsidR="0033727D" w:rsidRDefault="00000000">
      <w:pPr>
        <w:ind w:left="490" w:hanging="403"/>
      </w:pPr>
      <w:r>
        <w:rPr>
          <w:b/>
        </w:rPr>
        <w:t>3.  OWL functionality.</w:t>
      </w:r>
      <w:r>
        <w:t xml:space="preserve"> </w:t>
      </w:r>
      <w:r>
        <w:rPr>
          <w:rFonts w:ascii="DejaVu Sans Mono" w:eastAsia="DejaVu Sans Mono" w:hAnsi="DejaVu Sans Mono"/>
          <w:color w:val="34495E"/>
          <w:sz w:val="19"/>
          <w:shd w:val="clear" w:color="auto" w:fill="EEF2F5"/>
        </w:rPr>
        <w:t>Functional(F)</w:t>
      </w:r>
      <w:r>
        <w:t xml:space="preserve">, </w:t>
      </w:r>
      <w:r>
        <w:rPr>
          <w:rFonts w:ascii="DejaVu Sans Mono" w:eastAsia="DejaVu Sans Mono" w:hAnsi="DejaVu Sans Mono"/>
          <w:color w:val="34495E"/>
          <w:sz w:val="19"/>
          <w:shd w:val="clear" w:color="auto" w:fill="EEF2F5"/>
        </w:rPr>
        <w:t>F(x,y₁)</w:t>
      </w:r>
      <w:r>
        <w:t xml:space="preserve">, </w:t>
      </w:r>
      <w:r>
        <w:rPr>
          <w:rFonts w:ascii="DejaVu Sans Mono" w:eastAsia="DejaVu Sans Mono" w:hAnsi="DejaVu Sans Mono"/>
          <w:color w:val="34495E"/>
          <w:sz w:val="19"/>
          <w:shd w:val="clear" w:color="auto" w:fill="EEF2F5"/>
        </w:rPr>
        <w:t>F(x,y₂)</w:t>
      </w:r>
      <w:r>
        <w:t xml:space="preserve"> entails </w:t>
      </w:r>
      <w:r>
        <w:rPr>
          <w:rFonts w:ascii="DejaVu Sans Mono" w:eastAsia="DejaVu Sans Mono" w:hAnsi="DejaVu Sans Mono"/>
          <w:color w:val="34495E"/>
          <w:sz w:val="19"/>
          <w:shd w:val="clear" w:color="auto" w:fill="EEF2F5"/>
        </w:rPr>
        <w:t>y₁ = y₂</w:t>
      </w:r>
      <w:r>
        <w:t xml:space="preserve">, and </w:t>
      </w:r>
      <w:r>
        <w:rPr>
          <w:rFonts w:ascii="DejaVu Sans Mono" w:eastAsia="DejaVu Sans Mono" w:hAnsi="DejaVu Sans Mono"/>
          <w:color w:val="34495E"/>
          <w:sz w:val="19"/>
          <w:shd w:val="clear" w:color="auto" w:fill="EEF2F5"/>
        </w:rPr>
        <w:t>owl:sameAs</w:t>
      </w:r>
      <w:r>
        <w:t xml:space="preserve"> propagates all properties.</w:t>
      </w:r>
    </w:p>
    <w:p w14:paraId="73AC0790" w14:textId="77777777" w:rsidR="0033727D" w:rsidRDefault="00000000">
      <w:pPr>
        <w:ind w:left="490" w:hanging="403"/>
      </w:pPr>
      <w:r>
        <w:rPr>
          <w:b/>
        </w:rPr>
        <w:t>4.  Classical inconsistency is explosive.</w:t>
      </w:r>
      <w:r>
        <w:t xml:space="preserve"> In standard description-logic semantics an inconsistent theory entails every sentence (</w:t>
      </w:r>
      <w:r>
        <w:rPr>
          <w:i/>
        </w:rPr>
        <w:t>ex falso quodlibet</w:t>
      </w:r>
      <w:r>
        <w:t>).</w:t>
      </w:r>
    </w:p>
    <w:p w14:paraId="29AB0870" w14:textId="77777777" w:rsidR="0033727D" w:rsidRDefault="00000000">
      <w:pPr>
        <w:ind w:left="490" w:hanging="403"/>
      </w:pPr>
      <w:r>
        <w:rPr>
          <w:b/>
        </w:rPr>
        <w:lastRenderedPageBreak/>
        <w:t>5.  Cohomology of a cellular sheaf on a graph.</w:t>
      </w:r>
      <w:r>
        <w:t xml:space="preserve"> With </w:t>
      </w:r>
      <w:r>
        <w:rPr>
          <w:rFonts w:ascii="DejaVu Sans Mono" w:eastAsia="DejaVu Sans Mono" w:hAnsi="DejaVu Sans Mono"/>
          <w:color w:val="34495E"/>
          <w:sz w:val="19"/>
          <w:shd w:val="clear" w:color="auto" w:fill="EEF2F5"/>
        </w:rPr>
        <w:t>C² = 0</w:t>
      </w:r>
      <w:r>
        <w:t xml:space="preserve">, </w:t>
      </w:r>
      <w:r>
        <w:rPr>
          <w:rFonts w:ascii="DejaVu Sans Mono" w:eastAsia="DejaVu Sans Mono" w:hAnsi="DejaVu Sans Mono"/>
          <w:color w:val="34495E"/>
          <w:sz w:val="19"/>
          <w:shd w:val="clear" w:color="auto" w:fill="EEF2F5"/>
        </w:rPr>
        <w:t>H¹(X;𝓕) = C¹/im δ⁰</w:t>
      </w:r>
      <w:r>
        <w:t xml:space="preserve">, which vanishes </w:t>
      </w:r>
      <w:r>
        <w:rPr>
          <w:b/>
        </w:rPr>
        <w:t xml:space="preserve">iff </w:t>
      </w:r>
      <w:r>
        <w:rPr>
          <w:rFonts w:ascii="DejaVu Sans Mono" w:eastAsia="DejaVu Sans Mono" w:hAnsi="DejaVu Sans Mono"/>
          <w:b/>
          <w:color w:val="34495E"/>
          <w:sz w:val="19"/>
          <w:shd w:val="clear" w:color="auto" w:fill="EEF2F5"/>
        </w:rPr>
        <w:t>δ⁰</w:t>
      </w:r>
      <w:r>
        <w:rPr>
          <w:b/>
        </w:rPr>
        <w:t xml:space="preserve"> is surjective</w:t>
      </w:r>
      <w:r>
        <w:t xml:space="preserve">. The graph invariant </w:t>
      </w:r>
      <w:r>
        <w:rPr>
          <w:rFonts w:ascii="DejaVu Sans Mono" w:eastAsia="DejaVu Sans Mono" w:hAnsi="DejaVu Sans Mono"/>
          <w:color w:val="34495E"/>
          <w:sz w:val="19"/>
          <w:shd w:val="clear" w:color="auto" w:fill="EEF2F5"/>
        </w:rPr>
        <w:t>β₁ = E − V + C</w:t>
      </w:r>
      <w:r>
        <w:t xml:space="preserve"> counts candidate cycles and does </w:t>
      </w:r>
      <w:r>
        <w:rPr>
          <w:b/>
        </w:rPr>
        <w:t>not</w:t>
      </w:r>
      <w:r>
        <w:t xml:space="preserve"> determine </w:t>
      </w:r>
      <w:r>
        <w:rPr>
          <w:rFonts w:ascii="DejaVu Sans Mono" w:eastAsia="DejaVu Sans Mono" w:hAnsi="DejaVu Sans Mono"/>
          <w:color w:val="34495E"/>
          <w:sz w:val="19"/>
          <w:shd w:val="clear" w:color="auto" w:fill="EEF2F5"/>
        </w:rPr>
        <w:t>H¹</w:t>
      </w:r>
      <w:r>
        <w:t xml:space="preserve"> for a general sheaf.</w:t>
      </w:r>
    </w:p>
    <w:p w14:paraId="38024BBC" w14:textId="77777777" w:rsidR="00443E97" w:rsidRDefault="00000000" w:rsidP="00443E97">
      <w:pPr>
        <w:ind w:left="490" w:hanging="403"/>
      </w:pPr>
      <w:r>
        <w:rPr>
          <w:b/>
        </w:rPr>
        <w:t>6.  Two-axis tiering, adopted in this paper.</w:t>
      </w:r>
      <w:r>
        <w:t xml:space="preserve"> Epistemic status </w:t>
      </w:r>
      <w:r>
        <w:rPr>
          <w:rFonts w:ascii="DejaVu Sans Mono" w:eastAsia="DejaVu Sans Mono" w:hAnsi="DejaVu Sans Mono"/>
          <w:color w:val="34495E"/>
          <w:sz w:val="19"/>
          <w:shd w:val="clear" w:color="auto" w:fill="EEF2F5"/>
        </w:rPr>
        <w:t>∈ {LB, SUP, CAND, HOR, DEBT}</w:t>
      </w:r>
      <w:r>
        <w:t xml:space="preserve"> records how well a claim is warranted; provenance class </w:t>
      </w:r>
      <w:r>
        <w:rPr>
          <w:rFonts w:ascii="DejaVu Sans Mono" w:eastAsia="DejaVu Sans Mono" w:hAnsi="DejaVu Sans Mono"/>
          <w:color w:val="34495E"/>
          <w:sz w:val="19"/>
          <w:shd w:val="clear" w:color="auto" w:fill="EEF2F5"/>
        </w:rPr>
        <w:t>∈ {IMPORTED, OWNED, TRANSPOSED, NEW}</w:t>
      </w:r>
      <w:r>
        <w:t xml:space="preserve"> records where the operative machinery came from. They are orthogonal; neither substitutes for the other.</w:t>
      </w:r>
    </w:p>
    <w:p w14:paraId="4E3C390F" w14:textId="7A5C0A41" w:rsidR="0033727D" w:rsidRDefault="00000000" w:rsidP="00443E97">
      <w:pPr>
        <w:pStyle w:val="Heading1"/>
        <w:pBdr>
          <w:bottom w:val="single" w:sz="5" w:space="4" w:color="C5CFD8"/>
        </w:pBdr>
      </w:pPr>
      <w:r w:rsidRPr="00443E97">
        <w:t>Notation</w:t>
      </w:r>
      <w:r>
        <w:rPr>
          <w:rFonts w:ascii="Liberation Serif" w:eastAsia="Liberation Serif" w:hAnsi="Liberation Serif"/>
          <w:sz w:val="21"/>
        </w:rPr>
        <w:t>.</w:t>
      </w:r>
    </w:p>
    <w:tbl>
      <w:tblPr>
        <w:tblStyle w:val="TableGrid"/>
        <w:tblW w:w="0" w:type="auto"/>
        <w:jc w:val="center"/>
        <w:tblLook w:val="04A0" w:firstRow="1" w:lastRow="0" w:firstColumn="1" w:lastColumn="0" w:noHBand="0" w:noVBand="1"/>
      </w:tblPr>
      <w:tblGrid>
        <w:gridCol w:w="2977"/>
        <w:gridCol w:w="5997"/>
      </w:tblGrid>
      <w:tr w:rsidR="0033727D" w14:paraId="773D6A64" w14:textId="77777777" w:rsidTr="00443E97">
        <w:trPr>
          <w:cantSplit/>
          <w:tblHeader/>
          <w:jc w:val="center"/>
        </w:trPr>
        <w:tc>
          <w:tcPr>
            <w:tcW w:w="2977"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7765E49D" w14:textId="77777777" w:rsidR="0033727D" w:rsidRDefault="00000000">
            <w:pPr>
              <w:spacing w:after="0" w:line="240" w:lineRule="auto"/>
              <w:jc w:val="left"/>
            </w:pPr>
            <w:r>
              <w:rPr>
                <w:b/>
                <w:sz w:val="18"/>
              </w:rPr>
              <w:t>Symbol</w:t>
            </w:r>
          </w:p>
        </w:tc>
        <w:tc>
          <w:tcPr>
            <w:tcW w:w="5997"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1B005805" w14:textId="77777777" w:rsidR="0033727D" w:rsidRDefault="00000000">
            <w:pPr>
              <w:spacing w:after="0" w:line="240" w:lineRule="auto"/>
              <w:jc w:val="left"/>
            </w:pPr>
            <w:r>
              <w:rPr>
                <w:b/>
                <w:sz w:val="18"/>
              </w:rPr>
              <w:t>Meaning</w:t>
            </w:r>
          </w:p>
        </w:tc>
      </w:tr>
      <w:tr w:rsidR="0033727D" w14:paraId="7175E95F"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0A276F79"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Cl_O(A)</w:t>
            </w:r>
          </w:p>
        </w:tc>
        <w:tc>
          <w:tcPr>
            <w:tcW w:w="599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25EC3339" w14:textId="77777777" w:rsidR="0033727D" w:rsidRDefault="00000000">
            <w:pPr>
              <w:spacing w:after="0" w:line="240" w:lineRule="auto"/>
              <w:jc w:val="left"/>
            </w:pPr>
            <w:r>
              <w:rPr>
                <w:sz w:val="18"/>
              </w:rPr>
              <w:t xml:space="preserve">closure of assertions </w:t>
            </w:r>
            <w:r>
              <w:rPr>
                <w:rFonts w:ascii="DejaVu Sans Mono" w:eastAsia="DejaVu Sans Mono" w:hAnsi="DejaVu Sans Mono"/>
                <w:color w:val="34495E"/>
                <w:sz w:val="16"/>
                <w:shd w:val="clear" w:color="auto" w:fill="EEF2F5"/>
              </w:rPr>
              <w:t>A</w:t>
            </w:r>
            <w:r>
              <w:rPr>
                <w:sz w:val="18"/>
              </w:rPr>
              <w:t xml:space="preserve"> under ontology </w:t>
            </w:r>
            <w:r>
              <w:rPr>
                <w:rFonts w:ascii="DejaVu Sans Mono" w:eastAsia="DejaVu Sans Mono" w:hAnsi="DejaVu Sans Mono"/>
                <w:color w:val="34495E"/>
                <w:sz w:val="16"/>
                <w:shd w:val="clear" w:color="auto" w:fill="EEF2F5"/>
              </w:rPr>
              <w:t>O</w:t>
            </w:r>
          </w:p>
        </w:tc>
      </w:tr>
      <w:tr w:rsidR="0033727D" w14:paraId="0241FF54"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5386CF48"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Δ_a</w:t>
            </w:r>
          </w:p>
        </w:tc>
        <w:tc>
          <w:tcPr>
            <w:tcW w:w="599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75CADB0A"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Cl_{O∪{a}}(A) \ Cl_O(A)</w:t>
            </w:r>
            <w:r>
              <w:rPr>
                <w:sz w:val="18"/>
              </w:rPr>
              <w:t xml:space="preserve"> — consequences owed to axiom </w:t>
            </w:r>
            <w:r>
              <w:rPr>
                <w:rFonts w:ascii="DejaVu Sans Mono" w:eastAsia="DejaVu Sans Mono" w:hAnsi="DejaVu Sans Mono"/>
                <w:color w:val="34495E"/>
                <w:sz w:val="16"/>
                <w:shd w:val="clear" w:color="auto" w:fill="EEF2F5"/>
              </w:rPr>
              <w:t>a</w:t>
            </w:r>
          </w:p>
        </w:tc>
      </w:tr>
      <w:tr w:rsidR="0033727D" w14:paraId="14BBF2D0"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38ECF42F"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𝕊_t = (A_t, O_t, Z_t, W_t, P_t)</w:t>
            </w:r>
          </w:p>
        </w:tc>
        <w:tc>
          <w:tcPr>
            <w:tcW w:w="599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75609188" w14:textId="77777777" w:rsidR="0033727D" w:rsidRDefault="00000000">
            <w:pPr>
              <w:spacing w:after="0" w:line="240" w:lineRule="auto"/>
              <w:jc w:val="left"/>
            </w:pPr>
            <w:r>
              <w:rPr>
                <w:sz w:val="18"/>
              </w:rPr>
              <w:t>assertions, ontology, zigzag/version structure, identity witnesses, provenance</w:t>
            </w:r>
          </w:p>
        </w:tc>
      </w:tr>
      <w:tr w:rsidR="0033727D" w14:paraId="3C3F296C"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095ED854"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β₁ = E − V + C</w:t>
            </w:r>
          </w:p>
        </w:tc>
        <w:tc>
          <w:tcPr>
            <w:tcW w:w="599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169DBBED" w14:textId="77777777" w:rsidR="0033727D" w:rsidRDefault="00000000">
            <w:pPr>
              <w:spacing w:after="0" w:line="240" w:lineRule="auto"/>
              <w:jc w:val="left"/>
            </w:pPr>
            <w:r>
              <w:rPr>
                <w:sz w:val="18"/>
              </w:rPr>
              <w:t>graph cycle rank</w:t>
            </w:r>
          </w:p>
        </w:tc>
      </w:tr>
      <w:tr w:rsidR="0033727D" w14:paraId="0608BC2E"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E24E229"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H¹(X;𝓕)</w:t>
            </w:r>
          </w:p>
        </w:tc>
        <w:tc>
          <w:tcPr>
            <w:tcW w:w="599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48051523" w14:textId="77777777" w:rsidR="0033727D" w:rsidRDefault="00000000">
            <w:pPr>
              <w:spacing w:after="0" w:line="240" w:lineRule="auto"/>
              <w:jc w:val="left"/>
            </w:pPr>
            <w:r>
              <w:rPr>
                <w:sz w:val="18"/>
              </w:rPr>
              <w:t>sheaf first cohomology</w:t>
            </w:r>
          </w:p>
        </w:tc>
      </w:tr>
      <w:tr w:rsidR="0033727D" w14:paraId="50C8C278" w14:textId="77777777" w:rsidTr="00443E97">
        <w:trPr>
          <w:cantSplit/>
          <w:jc w:val="center"/>
        </w:trPr>
        <w:tc>
          <w:tcPr>
            <w:tcW w:w="297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1827E9BC" w14:textId="77777777" w:rsidR="0033727D" w:rsidRDefault="00000000">
            <w:pPr>
              <w:spacing w:after="0" w:line="240" w:lineRule="auto"/>
              <w:jc w:val="left"/>
            </w:pPr>
            <w:r>
              <w:rPr>
                <w:rFonts w:ascii="DejaVu Sans Mono" w:eastAsia="DejaVu Sans Mono" w:hAnsi="DejaVu Sans Mono"/>
                <w:color w:val="34495E"/>
                <w:sz w:val="16"/>
                <w:shd w:val="clear" w:color="auto" w:fill="EEF2F5"/>
              </w:rPr>
              <w:t>K_stored</w:t>
            </w:r>
            <w:r>
              <w:rPr>
                <w:sz w:val="18"/>
              </w:rPr>
              <w:t xml:space="preserve">, </w:t>
            </w:r>
            <w:r>
              <w:rPr>
                <w:rFonts w:ascii="DejaVu Sans Mono" w:eastAsia="DejaVu Sans Mono" w:hAnsi="DejaVu Sans Mono"/>
                <w:color w:val="34495E"/>
                <w:sz w:val="16"/>
                <w:shd w:val="clear" w:color="auto" w:fill="EEF2F5"/>
              </w:rPr>
              <w:t>K_derivable(q)</w:t>
            </w:r>
          </w:p>
        </w:tc>
        <w:tc>
          <w:tcPr>
            <w:tcW w:w="599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4E3E8D8A" w14:textId="77777777" w:rsidR="0033727D" w:rsidRDefault="00000000">
            <w:pPr>
              <w:spacing w:after="0" w:line="240" w:lineRule="auto"/>
              <w:jc w:val="left"/>
            </w:pPr>
            <w:r>
              <w:rPr>
                <w:sz w:val="18"/>
              </w:rPr>
              <w:t>immediately available versus query-relative knowledge</w:t>
            </w:r>
          </w:p>
        </w:tc>
      </w:tr>
    </w:tbl>
    <w:p w14:paraId="40D95F8B" w14:textId="77777777" w:rsidR="0033727D" w:rsidRDefault="0033727D">
      <w:pPr>
        <w:spacing w:after="20"/>
      </w:pPr>
    </w:p>
    <w:p w14:paraId="3C0CCC85" w14:textId="77777777" w:rsidR="0033727D" w:rsidRDefault="00000000">
      <w:pPr>
        <w:pStyle w:val="Heading1"/>
        <w:pBdr>
          <w:bottom w:val="single" w:sz="5" w:space="4" w:color="C5CFD8"/>
        </w:pBdr>
      </w:pPr>
      <w:r>
        <w:rPr>
          <w:rFonts w:ascii="Liberation Serif" w:eastAsia="Liberation Serif" w:hAnsi="Liberation Serif"/>
          <w:b w:val="0"/>
        </w:rPr>
        <w:t>1. Introduction</w:t>
      </w:r>
    </w:p>
    <w:p w14:paraId="520EDC5D" w14:textId="77777777" w:rsidR="0033727D" w:rsidRDefault="00000000">
      <w:r>
        <w:t xml:space="preserve">The proposal that opened this line was an analogy: the anterior temporal semantic hub might be to the neocortex what a structured knowledge graph is to an encyclopedia — not a store of labels but a layer of typed entities and relations over which inference runs. The hub-and-spoke evidence for anterior temporal semantic integration is </w:t>
      </w:r>
      <w:r>
        <w:rPr>
          <w:rFonts w:ascii="DejaVu Sans Mono" w:eastAsia="DejaVu Sans Mono" w:hAnsi="DejaVu Sans Mono"/>
          <w:color w:val="34495E"/>
          <w:sz w:val="20"/>
          <w:shd w:val="clear" w:color="auto" w:fill="EEF2F5"/>
        </w:rPr>
        <w:t>[SUP / IMPORTED]</w:t>
      </w:r>
      <w:r>
        <w:t>, attributed to the cited literature.</w:t>
      </w:r>
    </w:p>
    <w:p w14:paraId="1F28B1A8" w14:textId="77777777" w:rsidR="0033727D" w:rsidRDefault="00000000">
      <w:r>
        <w:t xml:space="preserve">Successive audits narrowed the analogy considerably, and the narrowing is the substance. The system is </w:t>
      </w:r>
      <w:r>
        <w:rPr>
          <w:b/>
        </w:rPr>
        <w:t>not</w:t>
      </w:r>
      <w:r>
        <w:t xml:space="preserve"> the complete audit substrate. It is a versioned, query-directed entailment layer whose outputs must still pass identity, contradiction, provenance, restriction, and admissibility gates before release. §§2–9 give the seven results that survive.</w:t>
      </w:r>
    </w:p>
    <w:p w14:paraId="773433A6" w14:textId="77777777" w:rsidR="0033727D" w:rsidRDefault="00000000">
      <w:r>
        <w:t xml:space="preserve">A second discipline was applied in parallel, and it produced the paper's title. The line audited its own provenance — asking which claims the framework already owned, which were new, and where distinct operations were being conflated — and in doing so exposed a recurring error of its own. That error is documented in §10, not as an apology but because </w:t>
      </w:r>
      <w:r>
        <w:rPr>
          <w:b/>
        </w:rPr>
        <w:t>three occurrences with an explicit correction and an explicit remedy between them constitute evidence</w:t>
      </w:r>
      <w:r>
        <w:t xml:space="preserve"> about what makes a correction effective. The finding generalizes past ontology and past this corpus.</w:t>
      </w:r>
    </w:p>
    <w:p w14:paraId="28AE5B4C" w14:textId="77777777" w:rsidR="0033727D" w:rsidRDefault="00000000">
      <w:r>
        <w:t xml:space="preserve">Two fences hold throughout. RDFS and OWL semantics, monotonicity, explosion, and the cohomology of graph sheaves are </w:t>
      </w:r>
      <w:r>
        <w:rPr>
          <w:b/>
        </w:rPr>
        <w:t>imported mathematics</w:t>
      </w:r>
      <w:r>
        <w:t xml:space="preserve">, cited and not claimed. And a large fraction of the architecture below is </w:t>
      </w:r>
      <w:r>
        <w:rPr>
          <w:b/>
        </w:rPr>
        <w:t>transposed</w:t>
      </w:r>
      <w:r>
        <w:t xml:space="preserve"> from the framework's own revision, witness, and release machinery — recorded as such under the provenance axis of §0.6, because a map that masquerades as an independent rediscovery manufactures the appearance of convergence.</w:t>
      </w:r>
    </w:p>
    <w:p w14:paraId="43F12CFB" w14:textId="77777777" w:rsidR="0033727D" w:rsidRDefault="00000000">
      <w:pPr>
        <w:pStyle w:val="Heading1"/>
        <w:pBdr>
          <w:bottom w:val="single" w:sz="5" w:space="4" w:color="C5CFD8"/>
        </w:pBdr>
      </w:pPr>
      <w:r>
        <w:rPr>
          <w:rFonts w:ascii="Liberation Serif" w:eastAsia="Liberation Serif" w:hAnsi="Liberation Serif"/>
          <w:b w:val="0"/>
        </w:rPr>
        <w:t>2. Entailment, and Monotonicity Within a Version</w:t>
      </w:r>
    </w:p>
    <w:p w14:paraId="16575FC5" w14:textId="77777777" w:rsidR="0033727D" w:rsidRDefault="00000000">
      <w:r>
        <w:rPr>
          <w:b/>
        </w:rPr>
        <w:t>Result 1.</w:t>
      </w:r>
      <w:r>
        <w:t xml:space="preserve"> From the single asserted triple </w:t>
      </w:r>
      <w:r>
        <w:rPr>
          <w:rFonts w:ascii="DejaVu Sans Mono" w:eastAsia="DejaVu Sans Mono" w:hAnsi="DejaVu Sans Mono"/>
          <w:color w:val="34495E"/>
          <w:sz w:val="20"/>
          <w:shd w:val="clear" w:color="auto" w:fill="EEF2F5"/>
        </w:rPr>
        <w:t>alice operates M1</w:t>
      </w:r>
      <w:r>
        <w:t xml:space="preserve">, with </w:t>
      </w:r>
      <w:r>
        <w:rPr>
          <w:rFonts w:ascii="DejaVu Sans Mono" w:eastAsia="DejaVu Sans Mono" w:hAnsi="DejaVu Sans Mono"/>
          <w:color w:val="34495E"/>
          <w:sz w:val="20"/>
          <w:shd w:val="clear" w:color="auto" w:fill="EEF2F5"/>
        </w:rPr>
        <w:t>operates</w:t>
      </w:r>
      <w:r>
        <w:t xml:space="preserve"> declared to have domain </w:t>
      </w:r>
      <w:r>
        <w:rPr>
          <w:rFonts w:ascii="DejaVu Sans Mono" w:eastAsia="DejaVu Sans Mono" w:hAnsi="DejaVu Sans Mono"/>
          <w:color w:val="34495E"/>
          <w:sz w:val="20"/>
          <w:shd w:val="clear" w:color="auto" w:fill="EEF2F5"/>
        </w:rPr>
        <w:t>Agent</w:t>
      </w:r>
      <w:r>
        <w:t xml:space="preserve"> and range </w:t>
      </w:r>
      <w:r>
        <w:rPr>
          <w:rFonts w:ascii="DejaVu Sans Mono" w:eastAsia="DejaVu Sans Mono" w:hAnsi="DejaVu Sans Mono"/>
          <w:color w:val="34495E"/>
          <w:sz w:val="20"/>
          <w:shd w:val="clear" w:color="auto" w:fill="EEF2F5"/>
        </w:rPr>
        <w:t>Machine</w:t>
      </w:r>
      <w:r>
        <w:t xml:space="preserve">, the closure entails </w:t>
      </w:r>
      <w:r>
        <w:rPr>
          <w:rFonts w:ascii="DejaVu Sans Mono" w:eastAsia="DejaVu Sans Mono" w:hAnsi="DejaVu Sans Mono"/>
          <w:color w:val="34495E"/>
          <w:sz w:val="20"/>
          <w:shd w:val="clear" w:color="auto" w:fill="EEF2F5"/>
        </w:rPr>
        <w:t>alice : Agent</w:t>
      </w:r>
      <w:r>
        <w:t xml:space="preserve"> and </w:t>
      </w:r>
      <w:r>
        <w:rPr>
          <w:rFonts w:ascii="DejaVu Sans Mono" w:eastAsia="DejaVu Sans Mono" w:hAnsi="DejaVu Sans Mono"/>
          <w:color w:val="34495E"/>
          <w:sz w:val="20"/>
          <w:shd w:val="clear" w:color="auto" w:fill="EEF2F5"/>
        </w:rPr>
        <w:t>M1 : Machine</w:t>
      </w:r>
      <w:r>
        <w:t xml:space="preserve">. Neither was asserted. </w:t>
      </w:r>
      <w:r>
        <w:rPr>
          <w:rFonts w:ascii="DejaVu Sans Mono" w:eastAsia="DejaVu Sans Mono" w:hAnsi="DejaVu Sans Mono"/>
          <w:color w:val="34495E"/>
          <w:sz w:val="20"/>
          <w:shd w:val="clear" w:color="auto" w:fill="EEF2F5"/>
        </w:rPr>
        <w:t>[LB / IMPORTED]</w:t>
      </w:r>
      <w:r>
        <w:t>.</w:t>
      </w:r>
    </w:p>
    <w:p w14:paraId="3101C017" w14:textId="77777777" w:rsidR="0033727D" w:rsidRDefault="00000000">
      <w:pPr>
        <w:pStyle w:val="BlockQuote"/>
        <w:pBdr>
          <w:left w:val="single" w:sz="18" w:space="10" w:color="355C7D"/>
        </w:pBdr>
      </w:pPr>
      <w:r>
        <w:rPr>
          <w:b/>
          <w:i w:val="0"/>
        </w:rPr>
        <w:t>The relation classified its participants.</w:t>
      </w:r>
      <w:r>
        <w:rPr>
          <w:i w:val="0"/>
        </w:rPr>
        <w:t xml:space="preserve"> A system can know what a thing is because it knows the relation the thing is in.</w:t>
      </w:r>
    </w:p>
    <w:p w14:paraId="2B32FCB0" w14:textId="77777777" w:rsidR="0033727D" w:rsidRDefault="00000000">
      <w:r>
        <w:lastRenderedPageBreak/>
        <w:t xml:space="preserve">This is a plausible candidate for what a semantic hub does with an unfamiliar object in a familiar relational position, and it is a genuinely different computation from labelling. </w:t>
      </w:r>
      <w:r>
        <w:rPr>
          <w:rFonts w:ascii="DejaVu Sans Mono" w:eastAsia="DejaVu Sans Mono" w:hAnsi="DejaVu Sans Mono"/>
          <w:color w:val="34495E"/>
          <w:sz w:val="20"/>
          <w:shd w:val="clear" w:color="auto" w:fill="EEF2F5"/>
        </w:rPr>
        <w:t>[CAND / TRANSPOSED]</w:t>
      </w:r>
      <w:r>
        <w:t xml:space="preserve"> for the cortical reading.</w:t>
      </w:r>
    </w:p>
    <w:p w14:paraId="5E14A69B" w14:textId="77777777" w:rsidR="0033727D" w:rsidRDefault="00000000">
      <w:r>
        <w:rPr>
          <w:b/>
        </w:rPr>
        <w:t>But the consequence relation is monotonic.</w:t>
      </w:r>
      <w:r>
        <w:t xml:space="preserve"> Verified: adding assertions only grows the closure. Retraction requires moving to a different theory </w:t>
      </w:r>
      <w:r>
        <w:rPr>
          <w:rFonts w:ascii="DejaVu Sans Mono" w:eastAsia="DejaVu Sans Mono" w:hAnsi="DejaVu Sans Mono"/>
          <w:color w:val="34495E"/>
          <w:sz w:val="20"/>
          <w:shd w:val="clear" w:color="auto" w:fill="EEF2F5"/>
        </w:rPr>
        <w:t>(A_t, O_t) → (A_{t+1}, O_{t+1})</w:t>
      </w:r>
      <w:r>
        <w:t xml:space="preserve">, after which dependent conclusions must be </w:t>
      </w:r>
      <w:r>
        <w:rPr>
          <w:b/>
        </w:rPr>
        <w:t>traced</w:t>
      </w:r>
      <w:r>
        <w:t>, not locally edited. The precise statement:</w:t>
      </w:r>
    </w:p>
    <w:p w14:paraId="59486AC3" w14:textId="77777777" w:rsidR="0033727D" w:rsidRDefault="00000000">
      <w:pPr>
        <w:pStyle w:val="BlockQuote"/>
        <w:pBdr>
          <w:left w:val="single" w:sz="18" w:space="10" w:color="355C7D"/>
        </w:pBdr>
      </w:pPr>
      <w:r>
        <w:rPr>
          <w:b/>
          <w:i w:val="0"/>
        </w:rPr>
        <w:t xml:space="preserve">An OWL reasoner is monotonic </w:t>
      </w:r>
      <w:r>
        <w:rPr>
          <w:b/>
        </w:rPr>
        <w:t>within</w:t>
      </w:r>
      <w:r>
        <w:rPr>
          <w:b/>
          <w:i w:val="0"/>
        </w:rPr>
        <w:t xml:space="preserve"> a version; semantic memory must move non-monotonically </w:t>
      </w:r>
      <w:r>
        <w:rPr>
          <w:b/>
        </w:rPr>
        <w:t>between</w:t>
      </w:r>
      <w:r>
        <w:rPr>
          <w:b/>
          <w:i w:val="0"/>
        </w:rPr>
        <w:t xml:space="preserve"> versions.</w:t>
      </w:r>
      <w:r>
        <w:rPr>
          <w:i w:val="0"/>
        </w:rPr>
        <w:t xml:space="preserve"> </w:t>
      </w:r>
      <w:r>
        <w:rPr>
          <w:rFonts w:ascii="DejaVu Sans Mono" w:eastAsia="DejaVu Sans Mono" w:hAnsi="DejaVu Sans Mono"/>
          <w:i w:val="0"/>
          <w:color w:val="34495E"/>
          <w:sz w:val="19"/>
          <w:shd w:val="clear" w:color="auto" w:fill="EEF2F5"/>
        </w:rPr>
        <w:t>[LB / IMPORTED]</w:t>
      </w:r>
      <w:r>
        <w:rPr>
          <w:i w:val="0"/>
        </w:rPr>
        <w:t>.</w:t>
      </w:r>
    </w:p>
    <w:p w14:paraId="4A34AE9B" w14:textId="77777777" w:rsidR="0033727D" w:rsidRDefault="00000000">
      <w:r>
        <w:t xml:space="preserve">The cortical analogue is therefore not a knowledge graph alone but </w:t>
      </w:r>
      <w:r>
        <w:rPr>
          <w:i/>
        </w:rPr>
        <w:t>graph + version control + dependency-aware invalidation</w:t>
      </w:r>
      <w:r>
        <w:t xml:space="preserve">, and the framework's zigzag revision, class lineages, and version-as-span supply exactly that. </w:t>
      </w:r>
      <w:r>
        <w:rPr>
          <w:rFonts w:ascii="DejaVu Sans Mono" w:eastAsia="DejaVu Sans Mono" w:hAnsi="DejaVu Sans Mono"/>
          <w:color w:val="34495E"/>
          <w:sz w:val="20"/>
          <w:shd w:val="clear" w:color="auto" w:fill="EEF2F5"/>
        </w:rPr>
        <w:t>[CAND / TRANSPOSED]</w:t>
      </w:r>
      <w:r>
        <w:t>.</w:t>
      </w:r>
    </w:p>
    <w:p w14:paraId="621B3C22" w14:textId="77777777" w:rsidR="0033727D" w:rsidRDefault="00000000">
      <w:pPr>
        <w:pStyle w:val="Heading1"/>
        <w:pBdr>
          <w:bottom w:val="single" w:sz="5" w:space="4" w:color="C5CFD8"/>
        </w:pBdr>
      </w:pPr>
      <w:r>
        <w:rPr>
          <w:rFonts w:ascii="Liberation Serif" w:eastAsia="Liberation Serif" w:hAnsi="Liberation Serif"/>
          <w:b w:val="0"/>
        </w:rPr>
        <w:t>3. Guarded Functionality: Cardinality Nominates, a Witness Commits</w:t>
      </w:r>
    </w:p>
    <w:p w14:paraId="49DEDDA9" w14:textId="77777777" w:rsidR="0033727D" w:rsidRDefault="00000000">
      <w:r>
        <w:rPr>
          <w:b/>
        </w:rPr>
        <w:t>Result 2, and the sharpest technical contribution of the line.</w:t>
      </w:r>
      <w:r>
        <w:t xml:space="preserve"> OWL functionality does not flag a conflict — it </w:t>
      </w:r>
      <w:r>
        <w:rPr>
          <w:b/>
        </w:rPr>
        <w:t>concludes an identity</w:t>
      </w:r>
      <w:r>
        <w:t xml:space="preserve">, and </w:t>
      </w:r>
      <w:r>
        <w:rPr>
          <w:rFonts w:ascii="DejaVu Sans Mono" w:eastAsia="DejaVu Sans Mono" w:hAnsi="DejaVu Sans Mono"/>
          <w:color w:val="34495E"/>
          <w:sz w:val="20"/>
          <w:shd w:val="clear" w:color="auto" w:fill="EEF2F5"/>
        </w:rPr>
        <w:t>sameAs</w:t>
      </w:r>
      <w:r>
        <w:t xml:space="preserve"> propagates everything. Verified from a single axiom:</w:t>
      </w:r>
    </w:p>
    <w:p w14:paraId="05EA7929" w14:textId="77777777" w:rsidR="0033727D" w:rsidRDefault="00000000">
      <w:pPr>
        <w:pStyle w:val="CodeBlock"/>
        <w:keepLines/>
        <w:pBdr>
          <w:left w:val="single" w:sz="14" w:space="8" w:color="6C8EBF"/>
        </w:pBdr>
        <w:shd w:val="clear" w:color="auto" w:fill="F4F6F8"/>
      </w:pPr>
      <w:r>
        <w:t>m1 livesIn Delhi     m2 livesIn Mumbai    →  merged: livesIn Delhi AND Mumbai</w:t>
      </w:r>
      <w:r>
        <w:br/>
        <w:t>m1 bornIn 1970       m2 bornIn 1985       →  merged: bornIn 1970 AND 1985</w:t>
      </w:r>
    </w:p>
    <w:p w14:paraId="0F36C86E" w14:textId="77777777" w:rsidR="0033727D" w:rsidRDefault="00000000">
      <w:r>
        <w:rPr>
          <w:rFonts w:ascii="DejaVu Sans Mono" w:eastAsia="DejaVu Sans Mono" w:hAnsi="DejaVu Sans Mono"/>
          <w:color w:val="34495E"/>
          <w:sz w:val="20"/>
          <w:shd w:val="clear" w:color="auto" w:fill="EEF2F5"/>
        </w:rPr>
        <w:t>[LB / IMPORTED]</w:t>
      </w:r>
      <w:r>
        <w:t xml:space="preserve"> for the semantics; the hazard analysis is </w:t>
      </w:r>
      <w:r>
        <w:rPr>
          <w:rFonts w:ascii="DejaVu Sans Mono" w:eastAsia="DejaVu Sans Mono" w:hAnsi="DejaVu Sans Mono"/>
          <w:color w:val="34495E"/>
          <w:sz w:val="20"/>
          <w:shd w:val="clear" w:color="auto" w:fill="EEF2F5"/>
        </w:rPr>
        <w:t>[CAND / NEW]</w:t>
      </w:r>
      <w:r>
        <w:t>.</w:t>
      </w:r>
    </w:p>
    <w:p w14:paraId="43B3CFB8" w14:textId="77777777" w:rsidR="0033727D" w:rsidRDefault="00000000">
      <w:r>
        <w:t xml:space="preserve">The dangerous operation is not the cardinality rule but the </w:t>
      </w:r>
      <w:r>
        <w:rPr>
          <w:b/>
        </w:rPr>
        <w:t>immediate conversion of a cardinality expectation into an identity commitment</w:t>
      </w:r>
      <w:r>
        <w:t>. The proposed replacement leaves the open-world semantics intact and interrupts only that conversion:</w:t>
      </w:r>
    </w:p>
    <w:p w14:paraId="6434A2AE" w14:textId="77777777" w:rsidR="0033727D" w:rsidRDefault="00000000">
      <w:pPr>
        <w:pStyle w:val="CodeBlock"/>
        <w:keepLines/>
        <w:pBdr>
          <w:left w:val="single" w:sz="14" w:space="8" w:color="6C8EBF"/>
        </w:pBdr>
        <w:shd w:val="clear" w:color="auto" w:fill="F4F6F8"/>
      </w:pPr>
      <w:r>
        <w:t>F(x,y₁), F(x,y₂), Functional(F)   ⟹   IdentityObligation(y₁, y₂)      not   y₁ ≡ y₂</w:t>
      </w:r>
    </w:p>
    <w:p w14:paraId="5251C912" w14:textId="77777777" w:rsidR="0033727D" w:rsidRDefault="00000000">
      <w:r>
        <w:t xml:space="preserve">with a three-outcome gate — </w:t>
      </w:r>
      <w:r>
        <w:rPr>
          <w:b/>
        </w:rPr>
        <w:t>merge</w:t>
      </w:r>
      <w:r>
        <w:t xml:space="preserve"> when an independent witness licenses identity, </w:t>
      </w:r>
      <w:r>
        <w:rPr>
          <w:b/>
        </w:rPr>
        <w:t>distinct</w:t>
      </w:r>
      <w:r>
        <w:t xml:space="preserve"> when evidence licenses non-identity, </w:t>
      </w:r>
      <w:r>
        <w:rPr>
          <w:b/>
        </w:rPr>
        <w:t>unresolved</w:t>
      </w:r>
      <w:r>
        <w:t xml:space="preserve"> when neither is earned. This is the fourth appearance of the corpus's three-state verdict pattern, and the third state is again </w:t>
      </w:r>
      <w:r>
        <w:rPr>
          <w:i/>
        </w:rPr>
        <w:t>non-certifiable</w:t>
      </w:r>
      <w:r>
        <w:t>.</w:t>
      </w:r>
    </w:p>
    <w:p w14:paraId="269BABE8" w14:textId="77777777" w:rsidR="0033727D" w:rsidRDefault="00000000">
      <w:pPr>
        <w:pStyle w:val="BlockQuote"/>
        <w:pBdr>
          <w:left w:val="single" w:sz="18" w:space="10" w:color="355C7D"/>
        </w:pBdr>
      </w:pPr>
      <w:r>
        <w:rPr>
          <w:b/>
          <w:i w:val="0"/>
        </w:rPr>
        <w:t>Cardinality may nominate an identity; only a witness may commit it.</w:t>
      </w:r>
      <w:r>
        <w:rPr>
          <w:i w:val="0"/>
        </w:rPr>
        <w:t xml:space="preserve"> </w:t>
      </w:r>
      <w:r>
        <w:rPr>
          <w:rFonts w:ascii="DejaVu Sans Mono" w:eastAsia="DejaVu Sans Mono" w:hAnsi="DejaVu Sans Mono"/>
          <w:i w:val="0"/>
          <w:color w:val="34495E"/>
          <w:sz w:val="19"/>
          <w:shd w:val="clear" w:color="auto" w:fill="EEF2F5"/>
        </w:rPr>
        <w:t>[LB-rule / NEW]</w:t>
      </w:r>
      <w:r>
        <w:rPr>
          <w:i w:val="0"/>
        </w:rPr>
        <w:t>.</w:t>
      </w:r>
    </w:p>
    <w:p w14:paraId="3D1E9A21" w14:textId="77777777" w:rsidR="0033727D" w:rsidRDefault="00000000">
      <w:pPr>
        <w:pStyle w:val="Heading1"/>
        <w:pBdr>
          <w:bottom w:val="single" w:sz="5" w:space="4" w:color="C5CFD8"/>
        </w:pBdr>
      </w:pPr>
      <w:r>
        <w:rPr>
          <w:rFonts w:ascii="Liberation Serif" w:eastAsia="Liberation Serif" w:hAnsi="Liberation Serif"/>
          <w:b w:val="0"/>
        </w:rPr>
        <w:t>4. Two Firewalls, Not One Safety Property</w:t>
      </w:r>
    </w:p>
    <w:p w14:paraId="5A0BBC54" w14:textId="77777777" w:rsidR="0033727D" w:rsidRDefault="00000000">
      <w:r>
        <w:rPr>
          <w:b/>
        </w:rPr>
        <w:t>Result 3.</w:t>
      </w:r>
      <w:r>
        <w:t xml:space="preserve"> Disjointness and functionality both produce closure products that require intervention, but they require </w:t>
      </w:r>
      <w:r>
        <w:rPr>
          <w:b/>
        </w:rPr>
        <w:t>different</w:t>
      </w:r>
      <w:r>
        <w:t xml:space="preserve"> interventions — and it is a mistake, which this line made and corrected, to describe one as intrinsically safer.</w:t>
      </w:r>
    </w:p>
    <w:p w14:paraId="0F44C247" w14:textId="77777777" w:rsidR="0033727D" w:rsidRDefault="00000000">
      <w:r>
        <w:t xml:space="preserve">Classical disjointness does </w:t>
      </w:r>
      <w:r>
        <w:rPr>
          <w:b/>
        </w:rPr>
        <w:t>not</w:t>
      </w:r>
      <w:r>
        <w:t xml:space="preserve"> fail safe. It produces inconsistency, and inconsistency is explosive: verified, an inconsistent theory entails </w:t>
      </w:r>
      <w:r>
        <w:rPr>
          <w:rFonts w:ascii="DejaVu Sans Mono" w:eastAsia="DejaVu Sans Mono" w:hAnsi="DejaVu Sans Mono"/>
          <w:color w:val="34495E"/>
          <w:sz w:val="20"/>
          <w:shd w:val="clear" w:color="auto" w:fill="EEF2F5"/>
        </w:rPr>
        <w:t>moon type Cheese</w:t>
      </w:r>
      <w:r>
        <w:t xml:space="preserve"> and </w:t>
      </w:r>
      <w:r>
        <w:rPr>
          <w:rFonts w:ascii="DejaVu Sans Mono" w:eastAsia="DejaVu Sans Mono" w:hAnsi="DejaVu Sans Mono"/>
          <w:color w:val="34495E"/>
          <w:sz w:val="20"/>
          <w:shd w:val="clear" w:color="auto" w:fill="EEF2F5"/>
        </w:rPr>
        <w:t>7 type Prime</w:t>
      </w:r>
      <w:r>
        <w:t xml:space="preserve"> alike. </w:t>
      </w:r>
      <w:r>
        <w:rPr>
          <w:rFonts w:ascii="DejaVu Sans Mono" w:eastAsia="DejaVu Sans Mono" w:hAnsi="DejaVu Sans Mono"/>
          <w:color w:val="34495E"/>
          <w:sz w:val="20"/>
          <w:shd w:val="clear" w:color="auto" w:fill="EEF2F5"/>
        </w:rPr>
        <w:t>[LB / IMPORTED]</w:t>
      </w:r>
      <w:r>
        <w:t>. It becomes safe only after an external architecture detects the inconsistency and localizes it before arbitrary consequences are released.</w:t>
      </w:r>
    </w:p>
    <w:tbl>
      <w:tblPr>
        <w:tblStyle w:val="TableGrid"/>
        <w:tblW w:w="8035" w:type="dxa"/>
        <w:jc w:val="center"/>
        <w:tblLook w:val="04A0" w:firstRow="1" w:lastRow="0" w:firstColumn="1" w:lastColumn="0" w:noHBand="0" w:noVBand="1"/>
      </w:tblPr>
      <w:tblGrid>
        <w:gridCol w:w="2502"/>
        <w:gridCol w:w="2126"/>
        <w:gridCol w:w="3407"/>
      </w:tblGrid>
      <w:tr w:rsidR="0033727D" w14:paraId="0BBD2825" w14:textId="77777777" w:rsidTr="00130F63">
        <w:trPr>
          <w:cantSplit/>
          <w:tblHeader/>
          <w:jc w:val="center"/>
        </w:trPr>
        <w:tc>
          <w:tcPr>
            <w:tcW w:w="2502"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5BDDD683" w14:textId="77777777" w:rsidR="0033727D" w:rsidRDefault="00000000">
            <w:pPr>
              <w:spacing w:after="0" w:line="240" w:lineRule="auto"/>
              <w:jc w:val="left"/>
            </w:pPr>
            <w:r>
              <w:rPr>
                <w:b/>
                <w:sz w:val="19"/>
              </w:rPr>
              <w:t>rule</w:t>
            </w:r>
          </w:p>
        </w:tc>
        <w:tc>
          <w:tcPr>
            <w:tcW w:w="2126"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687B4CAF" w14:textId="77777777" w:rsidR="0033727D" w:rsidRDefault="00000000">
            <w:pPr>
              <w:spacing w:after="0" w:line="240" w:lineRule="auto"/>
              <w:jc w:val="left"/>
            </w:pPr>
            <w:r>
              <w:rPr>
                <w:b/>
                <w:sz w:val="19"/>
              </w:rPr>
              <w:t>native semantic effect</w:t>
            </w:r>
          </w:p>
        </w:tc>
        <w:tc>
          <w:tcPr>
            <w:tcW w:w="3407"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5D39C165" w14:textId="77777777" w:rsidR="0033727D" w:rsidRDefault="00000000">
            <w:pPr>
              <w:spacing w:after="0" w:line="240" w:lineRule="auto"/>
              <w:jc w:val="left"/>
            </w:pPr>
            <w:r>
              <w:rPr>
                <w:b/>
                <w:sz w:val="19"/>
              </w:rPr>
              <w:t>required routing</w:t>
            </w:r>
          </w:p>
        </w:tc>
      </w:tr>
      <w:tr w:rsidR="0033727D" w14:paraId="0C7FEBB0" w14:textId="77777777" w:rsidTr="00130F63">
        <w:trPr>
          <w:cantSplit/>
          <w:jc w:val="center"/>
        </w:trPr>
        <w:tc>
          <w:tcPr>
            <w:tcW w:w="2502"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72B9CEDB" w14:textId="77777777" w:rsidR="0033727D" w:rsidRDefault="00000000">
            <w:pPr>
              <w:spacing w:after="0" w:line="240" w:lineRule="auto"/>
              <w:jc w:val="left"/>
            </w:pPr>
            <w:r>
              <w:rPr>
                <w:sz w:val="19"/>
              </w:rPr>
              <w:t>disjointness</w:t>
            </w:r>
          </w:p>
        </w:tc>
        <w:tc>
          <w:tcPr>
            <w:tcW w:w="21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D41A955" w14:textId="77777777" w:rsidR="0033727D" w:rsidRDefault="00000000">
            <w:pPr>
              <w:spacing w:after="0" w:line="240" w:lineRule="auto"/>
              <w:jc w:val="left"/>
            </w:pPr>
            <w:r>
              <w:rPr>
                <w:sz w:val="19"/>
              </w:rPr>
              <w:t>inconsistency (explosive)</w:t>
            </w:r>
          </w:p>
        </w:tc>
        <w:tc>
          <w:tcPr>
            <w:tcW w:w="340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3B0A12CC" w14:textId="77777777" w:rsidR="0033727D" w:rsidRDefault="00000000">
            <w:pPr>
              <w:spacing w:after="0" w:line="240" w:lineRule="auto"/>
              <w:jc w:val="left"/>
            </w:pPr>
            <w:r>
              <w:rPr>
                <w:b/>
                <w:sz w:val="19"/>
              </w:rPr>
              <w:t>contradiction firewall</w:t>
            </w:r>
            <w:r>
              <w:rPr>
                <w:sz w:val="19"/>
              </w:rPr>
              <w:t xml:space="preserve"> — quarantine the implicated context</w:t>
            </w:r>
          </w:p>
        </w:tc>
      </w:tr>
      <w:tr w:rsidR="0033727D" w14:paraId="448D9D88" w14:textId="77777777" w:rsidTr="00130F63">
        <w:trPr>
          <w:cantSplit/>
          <w:jc w:val="center"/>
        </w:trPr>
        <w:tc>
          <w:tcPr>
            <w:tcW w:w="2502"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22816EAB" w14:textId="77777777" w:rsidR="0033727D" w:rsidRDefault="00000000">
            <w:pPr>
              <w:spacing w:after="0" w:line="240" w:lineRule="auto"/>
              <w:jc w:val="left"/>
            </w:pPr>
            <w:r>
              <w:rPr>
                <w:sz w:val="19"/>
              </w:rPr>
              <w:t>functionality</w:t>
            </w:r>
          </w:p>
        </w:tc>
        <w:tc>
          <w:tcPr>
            <w:tcW w:w="2126"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5A7F64A5" w14:textId="77777777" w:rsidR="0033727D" w:rsidRDefault="00000000">
            <w:pPr>
              <w:spacing w:after="0" w:line="240" w:lineRule="auto"/>
              <w:jc w:val="left"/>
            </w:pPr>
            <w:r>
              <w:rPr>
                <w:sz w:val="19"/>
              </w:rPr>
              <w:t>equality entailment</w:t>
            </w:r>
          </w:p>
        </w:tc>
        <w:tc>
          <w:tcPr>
            <w:tcW w:w="340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6444F591" w14:textId="77777777" w:rsidR="0033727D" w:rsidRDefault="00000000">
            <w:pPr>
              <w:spacing w:after="0" w:line="240" w:lineRule="auto"/>
              <w:jc w:val="left"/>
            </w:pPr>
            <w:r>
              <w:rPr>
                <w:b/>
                <w:sz w:val="19"/>
              </w:rPr>
              <w:t>identity gate</w:t>
            </w:r>
            <w:r>
              <w:rPr>
                <w:sz w:val="19"/>
              </w:rPr>
              <w:t xml:space="preserve"> — obligation, then witness</w:t>
            </w:r>
          </w:p>
        </w:tc>
      </w:tr>
      <w:tr w:rsidR="0033727D" w14:paraId="26CD7FF3" w14:textId="77777777" w:rsidTr="00130F63">
        <w:trPr>
          <w:cantSplit/>
          <w:jc w:val="center"/>
        </w:trPr>
        <w:tc>
          <w:tcPr>
            <w:tcW w:w="2502"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07E14CCA" w14:textId="77777777" w:rsidR="0033727D" w:rsidRDefault="00000000">
            <w:pPr>
              <w:spacing w:after="0" w:line="240" w:lineRule="auto"/>
              <w:jc w:val="left"/>
            </w:pPr>
            <w:r>
              <w:rPr>
                <w:sz w:val="19"/>
              </w:rPr>
              <w:t>inverse functionality</w:t>
            </w:r>
          </w:p>
        </w:tc>
        <w:tc>
          <w:tcPr>
            <w:tcW w:w="21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694BA7D0" w14:textId="77777777" w:rsidR="0033727D" w:rsidRDefault="00000000">
            <w:pPr>
              <w:spacing w:after="0" w:line="240" w:lineRule="auto"/>
              <w:jc w:val="left"/>
            </w:pPr>
            <w:r>
              <w:rPr>
                <w:sz w:val="19"/>
              </w:rPr>
              <w:t>subject equality</w:t>
            </w:r>
          </w:p>
        </w:tc>
        <w:tc>
          <w:tcPr>
            <w:tcW w:w="340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1671CCE1" w14:textId="77777777" w:rsidR="0033727D" w:rsidRDefault="00000000">
            <w:pPr>
              <w:spacing w:after="0" w:line="240" w:lineRule="auto"/>
              <w:jc w:val="left"/>
            </w:pPr>
            <w:r>
              <w:rPr>
                <w:sz w:val="19"/>
              </w:rPr>
              <w:t>identity gate</w:t>
            </w:r>
          </w:p>
        </w:tc>
      </w:tr>
      <w:tr w:rsidR="0033727D" w14:paraId="26F538CF" w14:textId="77777777" w:rsidTr="00130F63">
        <w:trPr>
          <w:cantSplit/>
          <w:jc w:val="center"/>
        </w:trPr>
        <w:tc>
          <w:tcPr>
            <w:tcW w:w="2502"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34B24733" w14:textId="77777777" w:rsidR="0033727D" w:rsidRDefault="00000000">
            <w:pPr>
              <w:spacing w:after="0" w:line="240" w:lineRule="auto"/>
              <w:jc w:val="left"/>
            </w:pPr>
            <w:r>
              <w:rPr>
                <w:sz w:val="19"/>
              </w:rPr>
              <w:t>explicit difference + equality</w:t>
            </w:r>
          </w:p>
        </w:tc>
        <w:tc>
          <w:tcPr>
            <w:tcW w:w="2126"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366232AA" w14:textId="77777777" w:rsidR="0033727D" w:rsidRDefault="00000000">
            <w:pPr>
              <w:spacing w:after="0" w:line="240" w:lineRule="auto"/>
              <w:jc w:val="left"/>
            </w:pPr>
            <w:r>
              <w:rPr>
                <w:sz w:val="19"/>
              </w:rPr>
              <w:t>inconsistency</w:t>
            </w:r>
          </w:p>
        </w:tc>
        <w:tc>
          <w:tcPr>
            <w:tcW w:w="340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703E7401" w14:textId="77777777" w:rsidR="0033727D" w:rsidRDefault="00000000">
            <w:pPr>
              <w:spacing w:after="0" w:line="240" w:lineRule="auto"/>
              <w:jc w:val="left"/>
            </w:pPr>
            <w:r>
              <w:rPr>
                <w:sz w:val="19"/>
              </w:rPr>
              <w:t>refuse merge; audit the ontology</w:t>
            </w:r>
          </w:p>
        </w:tc>
      </w:tr>
    </w:tbl>
    <w:p w14:paraId="28912D26" w14:textId="77777777" w:rsidR="0033727D" w:rsidRDefault="0033727D">
      <w:pPr>
        <w:spacing w:after="20"/>
      </w:pPr>
    </w:p>
    <w:p w14:paraId="647DDD60" w14:textId="77777777" w:rsidR="0033727D" w:rsidRDefault="00000000">
      <w:pPr>
        <w:pStyle w:val="BlockQuote"/>
        <w:pBdr>
          <w:left w:val="single" w:sz="18" w:space="10" w:color="355C7D"/>
        </w:pBdr>
      </w:pPr>
      <w:r>
        <w:rPr>
          <w:b/>
          <w:i w:val="0"/>
        </w:rPr>
        <w:lastRenderedPageBreak/>
        <w:t xml:space="preserve">Disjointness exposes a contradiction that must be </w:t>
      </w:r>
      <w:r>
        <w:rPr>
          <w:b/>
        </w:rPr>
        <w:t>contained</w:t>
      </w:r>
      <w:r>
        <w:rPr>
          <w:b/>
          <w:i w:val="0"/>
        </w:rPr>
        <w:t xml:space="preserve">; functionality performs an identification unless the inference is </w:t>
      </w:r>
      <w:r>
        <w:rPr>
          <w:b/>
        </w:rPr>
        <w:t>intercepted</w:t>
      </w:r>
      <w:r>
        <w:rPr>
          <w:b/>
          <w:i w:val="0"/>
        </w:rPr>
        <w:t>.</w:t>
      </w:r>
      <w:r>
        <w:rPr>
          <w:i w:val="0"/>
        </w:rPr>
        <w:t xml:space="preserve"> Containment and pre-commit witnessing are different mechanisms. </w:t>
      </w:r>
      <w:r>
        <w:rPr>
          <w:rFonts w:ascii="DejaVu Sans Mono" w:eastAsia="DejaVu Sans Mono" w:hAnsi="DejaVu Sans Mono"/>
          <w:i w:val="0"/>
          <w:color w:val="34495E"/>
          <w:sz w:val="19"/>
          <w:shd w:val="clear" w:color="auto" w:fill="EEF2F5"/>
        </w:rPr>
        <w:t>[LB-rule / NEW]</w:t>
      </w:r>
      <w:r>
        <w:rPr>
          <w:i w:val="0"/>
        </w:rPr>
        <w:t>.</w:t>
      </w:r>
    </w:p>
    <w:p w14:paraId="4BA28C28" w14:textId="77777777" w:rsidR="0033727D" w:rsidRDefault="00000000">
      <w:pPr>
        <w:pStyle w:val="Heading1"/>
        <w:pBdr>
          <w:bottom w:val="single" w:sz="5" w:space="4" w:color="C5CFD8"/>
        </w:pBdr>
      </w:pPr>
      <w:r>
        <w:rPr>
          <w:rFonts w:ascii="Liberation Serif" w:eastAsia="Liberation Serif" w:hAnsi="Liberation Serif"/>
          <w:b w:val="0"/>
        </w:rPr>
        <w:t>5. Stored, Derivable, Permitted</w:t>
      </w:r>
    </w:p>
    <w:p w14:paraId="35E7C408" w14:textId="77777777" w:rsidR="0033727D" w:rsidRDefault="00000000">
      <w:r>
        <w:rPr>
          <w:b/>
        </w:rPr>
        <w:t>Result 4.</w:t>
      </w:r>
      <w:r>
        <w:t xml:space="preserve"> Transitive closure is quadratic: </w:t>
      </w:r>
      <w:r>
        <w:rPr>
          <w:rFonts w:ascii="DejaVu Sans Mono" w:eastAsia="DejaVu Sans Mono" w:hAnsi="DejaVu Sans Mono"/>
          <w:color w:val="34495E"/>
          <w:sz w:val="20"/>
          <w:shd w:val="clear" w:color="auto" w:fill="EEF2F5"/>
        </w:rPr>
        <w:t>n</w:t>
      </w:r>
      <w:r>
        <w:t xml:space="preserve"> asserted edges yield </w:t>
      </w:r>
      <w:r>
        <w:rPr>
          <w:rFonts w:ascii="DejaVu Sans Mono" w:eastAsia="DejaVu Sans Mono" w:hAnsi="DejaVu Sans Mono"/>
          <w:color w:val="34495E"/>
          <w:sz w:val="20"/>
          <w:shd w:val="clear" w:color="auto" w:fill="EEF2F5"/>
        </w:rPr>
        <w:t>n(n+1)/2</w:t>
      </w:r>
      <w:r>
        <w:t xml:space="preserve"> reachable pairs — a </w:t>
      </w:r>
      <w:r>
        <w:rPr>
          <w:rFonts w:ascii="DejaVu Sans Mono" w:eastAsia="DejaVu Sans Mono" w:hAnsi="DejaVu Sans Mono"/>
          <w:color w:val="34495E"/>
          <w:sz w:val="20"/>
          <w:shd w:val="clear" w:color="auto" w:fill="EEF2F5"/>
        </w:rPr>
        <w:t>16.5×</w:t>
      </w:r>
      <w:r>
        <w:t xml:space="preserve"> blowup at </w:t>
      </w:r>
      <w:r>
        <w:rPr>
          <w:rFonts w:ascii="DejaVu Sans Mono" w:eastAsia="DejaVu Sans Mono" w:hAnsi="DejaVu Sans Mono"/>
          <w:color w:val="34495E"/>
          <w:sz w:val="20"/>
          <w:shd w:val="clear" w:color="auto" w:fill="EEF2F5"/>
        </w:rPr>
        <w:t>n = 32</w:t>
      </w:r>
      <w:r>
        <w:t xml:space="preserve">, verified. </w:t>
      </w:r>
      <w:r>
        <w:rPr>
          <w:rFonts w:ascii="DejaVu Sans Mono" w:eastAsia="DejaVu Sans Mono" w:hAnsi="DejaVu Sans Mono"/>
          <w:color w:val="34495E"/>
          <w:sz w:val="20"/>
          <w:shd w:val="clear" w:color="auto" w:fill="EEF2F5"/>
        </w:rPr>
        <w:t>[LB / IMPORTED]</w:t>
      </w:r>
      <w:r>
        <w:t>. Unrestricted full materialization therefore cannot be the general architectural rule, though mixed strategies remain available: materialize frequent or safety-critical entailments, infer the long tail at query time, cache with dependency provenance, invalidate only downstream of a revised premise.</w:t>
      </w:r>
    </w:p>
    <w:p w14:paraId="17583728" w14:textId="77777777" w:rsidR="0033727D" w:rsidRDefault="00000000">
      <w:pPr>
        <w:pStyle w:val="BlockQuote"/>
        <w:pBdr>
          <w:left w:val="single" w:sz="18" w:space="10" w:color="355C7D"/>
        </w:pBdr>
      </w:pPr>
      <w:r>
        <w:rPr>
          <w:b/>
          <w:i w:val="0"/>
        </w:rPr>
        <w:t>Semantic closure must be selectively materialized and query-directed; full closure is not assumed permanently resident.</w:t>
      </w:r>
      <w:r>
        <w:rPr>
          <w:i w:val="0"/>
        </w:rPr>
        <w:t xml:space="preserve"> </w:t>
      </w:r>
      <w:r>
        <w:rPr>
          <w:rFonts w:ascii="DejaVu Sans Mono" w:eastAsia="DejaVu Sans Mono" w:hAnsi="DejaVu Sans Mono"/>
          <w:i w:val="0"/>
          <w:color w:val="34495E"/>
          <w:sz w:val="19"/>
          <w:shd w:val="clear" w:color="auto" w:fill="EEF2F5"/>
        </w:rPr>
        <w:t>[CAND / NEW]</w:t>
      </w:r>
      <w:r>
        <w:rPr>
          <w:i w:val="0"/>
        </w:rPr>
        <w:t>.</w:t>
      </w:r>
    </w:p>
    <w:p w14:paraId="2E48C19D" w14:textId="77777777" w:rsidR="0033727D" w:rsidRDefault="00000000">
      <w:r>
        <w:t>Knowledge therefore has three statuses, not two:</w:t>
      </w:r>
    </w:p>
    <w:p w14:paraId="383873D6" w14:textId="77777777" w:rsidR="0033727D" w:rsidRDefault="00000000">
      <w:pPr>
        <w:pStyle w:val="CodeBlock"/>
        <w:keepLines/>
        <w:pBdr>
          <w:left w:val="single" w:sz="14" w:space="8" w:color="6C8EBF"/>
        </w:pBdr>
        <w:shd w:val="clear" w:color="auto" w:fill="F4F6F8"/>
      </w:pPr>
      <w:r>
        <w:t>K_stored           immediately available</w:t>
      </w:r>
      <w:r>
        <w:br/>
        <w:t>K_derivable(q)     relative to query, ontology version, inference budget, jurisdiction</w:t>
      </w:r>
      <w:r>
        <w:br/>
        <w:t>permitted          a constrained compatible section satisfying declared predicates</w:t>
      </w:r>
    </w:p>
    <w:p w14:paraId="68C09D60" w14:textId="77777777" w:rsidR="0033727D" w:rsidRDefault="00000000">
      <w:r>
        <w:t xml:space="preserve">The corpus already held </w:t>
      </w:r>
      <w:r>
        <w:rPr>
          <w:i/>
        </w:rPr>
        <w:t>availability is not permission</w:t>
      </w:r>
      <w:r>
        <w:t xml:space="preserve">. Inserting </w:t>
      </w:r>
      <w:r>
        <w:rPr>
          <w:b/>
        </w:rPr>
        <w:t>derivability</w:t>
      </w:r>
      <w:r>
        <w:t xml:space="preserve"> between them is new, and it sharpens the release condition: consistency of the ontology is necessary and </w:t>
      </w:r>
      <w:r>
        <w:rPr>
          <w:b/>
        </w:rPr>
        <w:t>not sufficient</w:t>
      </w:r>
      <w:r>
        <w:t xml:space="preserve"> — admissibility is compatible gluing, not bare non-emptiness. </w:t>
      </w:r>
      <w:r>
        <w:rPr>
          <w:rFonts w:ascii="DejaVu Sans Mono" w:eastAsia="DejaVu Sans Mono" w:hAnsi="DejaVu Sans Mono"/>
          <w:color w:val="34495E"/>
          <w:sz w:val="20"/>
          <w:shd w:val="clear" w:color="auto" w:fill="EEF2F5"/>
        </w:rPr>
        <w:t>[CAND / NEW]</w:t>
      </w:r>
      <w:r>
        <w:t xml:space="preserve"> for the middle term; </w:t>
      </w:r>
      <w:r>
        <w:rPr>
          <w:rFonts w:ascii="DejaVu Sans Mono" w:eastAsia="DejaVu Sans Mono" w:hAnsi="DejaVu Sans Mono"/>
          <w:color w:val="34495E"/>
          <w:sz w:val="20"/>
          <w:shd w:val="clear" w:color="auto" w:fill="EEF2F5"/>
        </w:rPr>
        <w:t>[CAND / TRANSPOSED]</w:t>
      </w:r>
      <w:r>
        <w:t xml:space="preserve"> for the release condition.</w:t>
      </w:r>
    </w:p>
    <w:p w14:paraId="40625466" w14:textId="77777777" w:rsidR="0033727D" w:rsidRDefault="00000000">
      <w:pPr>
        <w:pStyle w:val="Heading1"/>
        <w:pBdr>
          <w:bottom w:val="single" w:sz="5" w:space="4" w:color="C5CFD8"/>
        </w:pBdr>
      </w:pPr>
      <w:r>
        <w:rPr>
          <w:rFonts w:ascii="Liberation Serif" w:eastAsia="Liberation Serif" w:hAnsi="Liberation Serif"/>
          <w:b w:val="0"/>
        </w:rPr>
        <w:t>6. Communication as Gluing Across a Constructed Overlap</w:t>
      </w:r>
    </w:p>
    <w:p w14:paraId="174CB5CF" w14:textId="77777777" w:rsidR="0033727D" w:rsidRDefault="00000000">
      <w:r>
        <w:rPr>
          <w:b/>
        </w:rPr>
        <w:t>Result 5.</w:t>
      </w:r>
      <w:r>
        <w:t xml:space="preserve"> An inter-agent audit requires a shared coefficient system: two agents can compare a proposal only where comparison maps exist. Letting </w:t>
      </w:r>
      <w:r>
        <w:rPr>
          <w:rFonts w:ascii="DejaVu Sans Mono" w:eastAsia="DejaVu Sans Mono" w:hAnsi="DejaVu Sans Mono"/>
          <w:color w:val="34495E"/>
          <w:sz w:val="20"/>
          <w:shd w:val="clear" w:color="auto" w:fill="EEF2F5"/>
        </w:rPr>
        <w:t>U</w:t>
      </w:r>
      <w:r>
        <w:t xml:space="preserve"> and </w:t>
      </w:r>
      <w:r>
        <w:rPr>
          <w:rFonts w:ascii="DejaVu Sans Mono" w:eastAsia="DejaVu Sans Mono" w:hAnsi="DejaVu Sans Mono"/>
          <w:color w:val="34495E"/>
          <w:sz w:val="20"/>
          <w:shd w:val="clear" w:color="auto" w:fill="EEF2F5"/>
        </w:rPr>
        <w:t>V</w:t>
      </w:r>
      <w:r>
        <w:t xml:space="preserve"> be their semantic domains and </w:t>
      </w:r>
      <w:r>
        <w:rPr>
          <w:rFonts w:ascii="DejaVu Sans Mono" w:eastAsia="DejaVu Sans Mono" w:hAnsi="DejaVu Sans Mono"/>
          <w:color w:val="34495E"/>
          <w:sz w:val="20"/>
          <w:shd w:val="clear" w:color="auto" w:fill="EEF2F5"/>
        </w:rPr>
        <w:t>W</w:t>
      </w:r>
      <w:r>
        <w:t xml:space="preserve"> the communicable overlap with restrictions </w:t>
      </w:r>
      <w:r>
        <w:rPr>
          <w:rFonts w:ascii="DejaVu Sans Mono" w:eastAsia="DejaVu Sans Mono" w:hAnsi="DejaVu Sans Mono"/>
          <w:color w:val="34495E"/>
          <w:sz w:val="20"/>
          <w:shd w:val="clear" w:color="auto" w:fill="EEF2F5"/>
        </w:rPr>
        <w:t>ρ_U : 𝓕(U) → 𝓕(W)</w:t>
      </w:r>
      <w:r>
        <w:t xml:space="preserve"> and </w:t>
      </w:r>
      <w:r>
        <w:rPr>
          <w:rFonts w:ascii="DejaVu Sans Mono" w:eastAsia="DejaVu Sans Mono" w:hAnsi="DejaVu Sans Mono"/>
          <w:color w:val="34495E"/>
          <w:sz w:val="20"/>
          <w:shd w:val="clear" w:color="auto" w:fill="EEF2F5"/>
        </w:rPr>
        <w:t>ρ_V : 𝓕(V) → 𝓕(W)</w:t>
      </w:r>
      <w:r>
        <w:t>, the shared ontology supplies the typing under which those restrictions are comparable.</w:t>
      </w:r>
    </w:p>
    <w:p w14:paraId="74E77720" w14:textId="77777777" w:rsidR="0033727D" w:rsidRDefault="00000000">
      <w:r>
        <w:t xml:space="preserve">The overlap need not pre-exist. It can be </w:t>
      </w:r>
      <w:r>
        <w:rPr>
          <w:b/>
        </w:rPr>
        <w:t>constructed</w:t>
      </w:r>
      <w:r>
        <w:t xml:space="preserve"> — by ostension, definition, example, translation, negotiated terminology, or shared action — which is what language learning is. The correct statement is therefore:</w:t>
      </w:r>
    </w:p>
    <w:p w14:paraId="6ED1F7EA" w14:textId="77777777" w:rsidR="0033727D" w:rsidRDefault="00000000">
      <w:pPr>
        <w:pStyle w:val="BlockQuote"/>
        <w:pBdr>
          <w:left w:val="single" w:sz="18" w:space="10" w:color="355C7D"/>
        </w:pBdr>
      </w:pPr>
      <w:r>
        <w:rPr>
          <w:b/>
          <w:i w:val="0"/>
        </w:rPr>
        <w:t xml:space="preserve">Without a shared or jointly constructed ontology on </w:t>
      </w:r>
      <w:r>
        <w:rPr>
          <w:rFonts w:ascii="DejaVu Sans Mono" w:eastAsia="DejaVu Sans Mono" w:hAnsi="DejaVu Sans Mono"/>
          <w:b/>
          <w:i w:val="0"/>
          <w:color w:val="34495E"/>
          <w:sz w:val="19"/>
          <w:shd w:val="clear" w:color="auto" w:fill="EEF2F5"/>
        </w:rPr>
        <w:t>W</w:t>
      </w:r>
      <w:r>
        <w:rPr>
          <w:b/>
          <w:i w:val="0"/>
        </w:rPr>
        <w:t>, there is no licensed comparison across the seam.</w:t>
      </w:r>
      <w:r>
        <w:rPr>
          <w:i w:val="0"/>
        </w:rPr>
        <w:t xml:space="preserve"> </w:t>
      </w:r>
      <w:r>
        <w:rPr>
          <w:rFonts w:ascii="DejaVu Sans Mono" w:eastAsia="DejaVu Sans Mono" w:hAnsi="DejaVu Sans Mono"/>
          <w:i w:val="0"/>
          <w:color w:val="34495E"/>
          <w:sz w:val="19"/>
          <w:shd w:val="clear" w:color="auto" w:fill="EEF2F5"/>
        </w:rPr>
        <w:t>[CAND / TRANSPOSED]</w:t>
      </w:r>
      <w:r>
        <w:rPr>
          <w:i w:val="0"/>
        </w:rPr>
        <w:t>.</w:t>
      </w:r>
    </w:p>
    <w:p w14:paraId="0820BE6D" w14:textId="77777777" w:rsidR="0033727D" w:rsidRDefault="00000000">
      <w:r>
        <w:t>And three failures must not be collapsed into one:</w:t>
      </w:r>
    </w:p>
    <w:tbl>
      <w:tblPr>
        <w:tblStyle w:val="TableGrid"/>
        <w:tblW w:w="0" w:type="auto"/>
        <w:jc w:val="center"/>
        <w:tblLook w:val="04A0" w:firstRow="1" w:lastRow="0" w:firstColumn="1" w:lastColumn="0" w:noHBand="0" w:noVBand="1"/>
      </w:tblPr>
      <w:tblGrid>
        <w:gridCol w:w="3495"/>
        <w:gridCol w:w="4629"/>
      </w:tblGrid>
      <w:tr w:rsidR="0033727D" w14:paraId="064A2D64" w14:textId="77777777" w:rsidTr="00130F63">
        <w:trPr>
          <w:cantSplit/>
          <w:tblHeader/>
          <w:jc w:val="center"/>
        </w:trPr>
        <w:tc>
          <w:tcPr>
            <w:tcW w:w="3495"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6B361D28" w14:textId="77777777" w:rsidR="0033727D" w:rsidRDefault="00000000">
            <w:pPr>
              <w:spacing w:after="0" w:line="240" w:lineRule="auto"/>
              <w:jc w:val="left"/>
            </w:pPr>
            <w:r>
              <w:rPr>
                <w:b/>
                <w:sz w:val="19"/>
              </w:rPr>
              <w:t>failure</w:t>
            </w:r>
          </w:p>
        </w:tc>
        <w:tc>
          <w:tcPr>
            <w:tcW w:w="4629"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16098544" w14:textId="77777777" w:rsidR="0033727D" w:rsidRDefault="00000000">
            <w:pPr>
              <w:spacing w:after="0" w:line="240" w:lineRule="auto"/>
              <w:jc w:val="left"/>
            </w:pPr>
            <w:r>
              <w:rPr>
                <w:b/>
                <w:sz w:val="19"/>
              </w:rPr>
              <w:t>character</w:t>
            </w:r>
          </w:p>
        </w:tc>
      </w:tr>
      <w:tr w:rsidR="0033727D" w14:paraId="1515A06A" w14:textId="77777777" w:rsidTr="00130F63">
        <w:trPr>
          <w:cantSplit/>
          <w:jc w:val="center"/>
        </w:trPr>
        <w:tc>
          <w:tcPr>
            <w:tcW w:w="349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66BC04D5" w14:textId="77777777" w:rsidR="0033727D" w:rsidRDefault="00000000">
            <w:pPr>
              <w:spacing w:after="0" w:line="240" w:lineRule="auto"/>
              <w:jc w:val="left"/>
            </w:pPr>
            <w:r>
              <w:rPr>
                <w:b/>
                <w:sz w:val="19"/>
              </w:rPr>
              <w:t>absent domain</w:t>
            </w:r>
          </w:p>
        </w:tc>
        <w:tc>
          <w:tcPr>
            <w:tcW w:w="462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6123F5C" w14:textId="77777777" w:rsidR="0033727D" w:rsidRDefault="00000000">
            <w:pPr>
              <w:spacing w:after="0" w:line="240" w:lineRule="auto"/>
              <w:jc w:val="left"/>
            </w:pPr>
            <w:r>
              <w:rPr>
                <w:sz w:val="19"/>
              </w:rPr>
              <w:t>no established joint referent — prior to cohomology; the audit has no domain to run on</w:t>
            </w:r>
          </w:p>
        </w:tc>
      </w:tr>
      <w:tr w:rsidR="0033727D" w14:paraId="5CBF89D3" w14:textId="77777777" w:rsidTr="00130F63">
        <w:trPr>
          <w:cantSplit/>
          <w:jc w:val="center"/>
        </w:trPr>
        <w:tc>
          <w:tcPr>
            <w:tcW w:w="349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79B7BCE0" w14:textId="77777777" w:rsidR="0033727D" w:rsidRDefault="00000000">
            <w:pPr>
              <w:spacing w:after="0" w:line="240" w:lineRule="auto"/>
              <w:jc w:val="left"/>
            </w:pPr>
            <w:r>
              <w:rPr>
                <w:b/>
                <w:sz w:val="19"/>
              </w:rPr>
              <w:t>restriction mismatch</w:t>
            </w:r>
          </w:p>
        </w:tc>
        <w:tc>
          <w:tcPr>
            <w:tcW w:w="4629"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18D5CA53" w14:textId="77777777" w:rsidR="0033727D" w:rsidRDefault="00000000">
            <w:pPr>
              <w:spacing w:after="0" w:line="240" w:lineRule="auto"/>
              <w:jc w:val="left"/>
            </w:pPr>
            <w:r>
              <w:rPr>
                <w:sz w:val="19"/>
              </w:rPr>
              <w:t>same symbol, disagreeing restrictions (</w:t>
            </w:r>
            <w:r>
              <w:rPr>
                <w:rFonts w:ascii="DejaVu Sans Mono" w:eastAsia="DejaVu Sans Mono" w:hAnsi="DejaVu Sans Mono"/>
                <w:color w:val="34495E"/>
                <w:sz w:val="17"/>
                <w:shd w:val="clear" w:color="auto" w:fill="EEF2F5"/>
              </w:rPr>
              <w:t>ρ_U(s_U) ≠ ρ_V(s_V)</w:t>
            </w:r>
            <w:r>
              <w:rPr>
                <w:sz w:val="19"/>
              </w:rPr>
              <w:t xml:space="preserve">) — a visible </w:t>
            </w:r>
            <w:r>
              <w:rPr>
                <w:rFonts w:ascii="DejaVu Sans Mono" w:eastAsia="DejaVu Sans Mono" w:hAnsi="DejaVu Sans Mono"/>
                <w:color w:val="34495E"/>
                <w:sz w:val="17"/>
                <w:shd w:val="clear" w:color="auto" w:fill="EEF2F5"/>
              </w:rPr>
              <w:t>δ⁰</w:t>
            </w:r>
            <w:r>
              <w:rPr>
                <w:sz w:val="19"/>
              </w:rPr>
              <w:t>-level defect</w:t>
            </w:r>
          </w:p>
        </w:tc>
      </w:tr>
      <w:tr w:rsidR="0033727D" w14:paraId="2EB52B1A" w14:textId="77777777" w:rsidTr="00130F63">
        <w:trPr>
          <w:cantSplit/>
          <w:jc w:val="center"/>
        </w:trPr>
        <w:tc>
          <w:tcPr>
            <w:tcW w:w="349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3B173BEB" w14:textId="77777777" w:rsidR="0033727D" w:rsidRDefault="00000000">
            <w:pPr>
              <w:spacing w:after="0" w:line="240" w:lineRule="auto"/>
              <w:jc w:val="left"/>
            </w:pPr>
            <w:r>
              <w:rPr>
                <w:b/>
                <w:sz w:val="19"/>
              </w:rPr>
              <w:t>seam-born obstruction</w:t>
            </w:r>
          </w:p>
        </w:tc>
        <w:tc>
          <w:tcPr>
            <w:tcW w:w="462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05627F2A" w14:textId="77777777" w:rsidR="0033727D" w:rsidRDefault="00000000">
            <w:pPr>
              <w:spacing w:after="0" w:line="240" w:lineRule="auto"/>
              <w:jc w:val="left"/>
            </w:pPr>
            <w:r>
              <w:rPr>
                <w:sz w:val="19"/>
              </w:rPr>
              <w:t>both agents internally coherent, simpler comparisons passing, no compatible global interpretation</w:t>
            </w:r>
          </w:p>
        </w:tc>
      </w:tr>
    </w:tbl>
    <w:p w14:paraId="77434ACD" w14:textId="77777777" w:rsidR="0033727D" w:rsidRDefault="0033727D">
      <w:pPr>
        <w:spacing w:after="20"/>
      </w:pPr>
    </w:p>
    <w:p w14:paraId="6B9989D0" w14:textId="77777777" w:rsidR="0033727D" w:rsidRDefault="00000000">
      <w:r>
        <w:rPr>
          <w:rFonts w:ascii="DejaVu Sans Mono" w:eastAsia="DejaVu Sans Mono" w:hAnsi="DejaVu Sans Mono"/>
          <w:color w:val="34495E"/>
          <w:sz w:val="20"/>
          <w:shd w:val="clear" w:color="auto" w:fill="EEF2F5"/>
        </w:rPr>
        <w:t>[CAND / NEW]</w:t>
      </w:r>
      <w:r>
        <w:t xml:space="preserve"> for the taxonomy. Only the third is the Mayer–Vietoris case, and the framework's seam result establishes it is structurally possible: both pieces can have </w:t>
      </w:r>
      <w:r>
        <w:rPr>
          <w:rFonts w:ascii="DejaVu Sans Mono" w:eastAsia="DejaVu Sans Mono" w:hAnsi="DejaVu Sans Mono"/>
          <w:color w:val="34495E"/>
          <w:sz w:val="20"/>
          <w:shd w:val="clear" w:color="auto" w:fill="EEF2F5"/>
        </w:rPr>
        <w:t>H¹ = 0</w:t>
      </w:r>
      <w:r>
        <w:t xml:space="preserve"> while the global class is born entirely in the cokernel of the overlap map.</w:t>
      </w:r>
    </w:p>
    <w:p w14:paraId="7C48EDC4" w14:textId="77777777" w:rsidR="0033727D" w:rsidRDefault="00000000">
      <w:pPr>
        <w:pStyle w:val="Heading1"/>
        <w:pBdr>
          <w:bottom w:val="single" w:sz="5" w:space="4" w:color="C5CFD8"/>
        </w:pBdr>
      </w:pPr>
      <w:r>
        <w:rPr>
          <w:rFonts w:ascii="Liberation Serif" w:eastAsia="Liberation Serif" w:hAnsi="Liberation Serif"/>
          <w:b w:val="0"/>
        </w:rPr>
        <w:lastRenderedPageBreak/>
        <w:t>7. The Cycle-Jurisdiction Result — With Its Jurisdiction</w:t>
      </w:r>
    </w:p>
    <w:p w14:paraId="14D66620" w14:textId="77777777" w:rsidR="0033727D" w:rsidRDefault="00000000">
      <w:r>
        <w:rPr>
          <w:b/>
        </w:rPr>
        <w:t>Result 6, stated with the qualification it requires.</w:t>
      </w:r>
      <w:r>
        <w:t xml:space="preserve"> A pure hub-and-spoke semantic graph is a star, hence a tree, hence </w:t>
      </w:r>
      <w:r>
        <w:rPr>
          <w:rFonts w:ascii="DejaVu Sans Mono" w:eastAsia="DejaVu Sans Mono" w:hAnsi="DejaVu Sans Mono"/>
          <w:color w:val="34495E"/>
          <w:sz w:val="20"/>
          <w:shd w:val="clear" w:color="auto" w:fill="EEF2F5"/>
        </w:rPr>
        <w:t>β₁ = E − V + C = n − (n+1) + 1 = 0</w:t>
      </w:r>
      <w:r>
        <w:t xml:space="preserve">, verified for </w:t>
      </w:r>
      <w:r>
        <w:rPr>
          <w:rFonts w:ascii="DejaVu Sans Mono" w:eastAsia="DejaVu Sans Mono" w:hAnsi="DejaVu Sans Mono"/>
          <w:color w:val="34495E"/>
          <w:sz w:val="20"/>
          <w:shd w:val="clear" w:color="auto" w:fill="EEF2F5"/>
        </w:rPr>
        <w:t>n = 4, 8, 16</w:t>
      </w:r>
      <w:r>
        <w:t>.</w:t>
      </w:r>
    </w:p>
    <w:p w14:paraId="00189F16" w14:textId="77777777" w:rsidR="0033727D" w:rsidRDefault="00000000">
      <w:r>
        <w:rPr>
          <w:b/>
        </w:rPr>
        <w:t xml:space="preserve">But </w:t>
      </w:r>
      <w:r>
        <w:rPr>
          <w:rFonts w:ascii="DejaVu Sans Mono" w:eastAsia="DejaVu Sans Mono" w:hAnsi="DejaVu Sans Mono"/>
          <w:b/>
          <w:color w:val="34495E"/>
          <w:sz w:val="20"/>
          <w:shd w:val="clear" w:color="auto" w:fill="EEF2F5"/>
        </w:rPr>
        <w:t>β₁ = 0</w:t>
      </w:r>
      <w:r>
        <w:rPr>
          <w:b/>
        </w:rPr>
        <w:t xml:space="preserve"> does not imply </w:t>
      </w:r>
      <w:r>
        <w:rPr>
          <w:rFonts w:ascii="DejaVu Sans Mono" w:eastAsia="DejaVu Sans Mono" w:hAnsi="DejaVu Sans Mono"/>
          <w:b/>
          <w:color w:val="34495E"/>
          <w:sz w:val="20"/>
          <w:shd w:val="clear" w:color="auto" w:fill="EEF2F5"/>
        </w:rPr>
        <w:t>H¹ = 0</w:t>
      </w:r>
      <w:r>
        <w:rPr>
          <w:b/>
        </w:rPr>
        <w:t xml:space="preserve"> for a general cellular sheaf.</w:t>
      </w:r>
      <w:r>
        <w:t xml:space="preserve"> On a graph </w:t>
      </w:r>
      <w:r>
        <w:rPr>
          <w:rFonts w:ascii="DejaVu Sans Mono" w:eastAsia="DejaVu Sans Mono" w:hAnsi="DejaVu Sans Mono"/>
          <w:color w:val="34495E"/>
          <w:sz w:val="20"/>
          <w:shd w:val="clear" w:color="auto" w:fill="EEF2F5"/>
        </w:rPr>
        <w:t>H¹ = C¹/im δ⁰</w:t>
      </w:r>
      <w:r>
        <w:t xml:space="preserve">, which vanishes iff </w:t>
      </w:r>
      <w:r>
        <w:rPr>
          <w:rFonts w:ascii="DejaVu Sans Mono" w:eastAsia="DejaVu Sans Mono" w:hAnsi="DejaVu Sans Mono"/>
          <w:color w:val="34495E"/>
          <w:sz w:val="20"/>
          <w:shd w:val="clear" w:color="auto" w:fill="EEF2F5"/>
        </w:rPr>
        <w:t>δ⁰</w:t>
      </w:r>
      <w:r>
        <w:t xml:space="preserve"> is surjective. Verified on the same star: identity restrictions give </w:t>
      </w:r>
      <w:r>
        <w:rPr>
          <w:rFonts w:ascii="DejaVu Sans Mono" w:eastAsia="DejaVu Sans Mono" w:hAnsi="DejaVu Sans Mono"/>
          <w:color w:val="34495E"/>
          <w:sz w:val="20"/>
          <w:shd w:val="clear" w:color="auto" w:fill="EEF2F5"/>
        </w:rPr>
        <w:t>dim H¹ = 0</w:t>
      </w:r>
      <w:r>
        <w:t xml:space="preserve">, fully degenerate restrictions give </w:t>
      </w:r>
      <w:r>
        <w:rPr>
          <w:rFonts w:ascii="DejaVu Sans Mono" w:eastAsia="DejaVu Sans Mono" w:hAnsi="DejaVu Sans Mono"/>
          <w:color w:val="34495E"/>
          <w:sz w:val="20"/>
          <w:shd w:val="clear" w:color="auto" w:fill="EEF2F5"/>
        </w:rPr>
        <w:t>dim H¹ = 4</w:t>
      </w:r>
      <w:r>
        <w:t xml:space="preserve">. </w:t>
      </w:r>
      <w:r>
        <w:rPr>
          <w:rFonts w:ascii="DejaVu Sans Mono" w:eastAsia="DejaVu Sans Mono" w:hAnsi="DejaVu Sans Mono"/>
          <w:color w:val="34495E"/>
          <w:sz w:val="20"/>
          <w:shd w:val="clear" w:color="auto" w:fill="EEF2F5"/>
        </w:rPr>
        <w:t>[LB / OWNED]</w:t>
      </w:r>
      <w:r>
        <w:t xml:space="preserve"> — this is the framework's own three-capacity correction, and §10 records that this paper's line dropped it three times.</w:t>
      </w:r>
    </w:p>
    <w:p w14:paraId="4B9BD114" w14:textId="77777777" w:rsidR="0033727D" w:rsidRDefault="00000000">
      <w:r>
        <w:t>The claim that survives:</w:t>
      </w:r>
    </w:p>
    <w:p w14:paraId="33B0CE0D" w14:textId="77777777" w:rsidR="0033727D" w:rsidRDefault="00000000">
      <w:pPr>
        <w:pStyle w:val="BlockQuote"/>
        <w:pBdr>
          <w:left w:val="single" w:sz="18" w:space="10" w:color="355C7D"/>
        </w:pBdr>
      </w:pPr>
      <w:r>
        <w:rPr>
          <w:i w:val="0"/>
        </w:rPr>
        <w:t xml:space="preserve">A bare star has </w:t>
      </w:r>
      <w:r>
        <w:rPr>
          <w:b/>
          <w:i w:val="0"/>
        </w:rPr>
        <w:t>no graph-cycle-supported</w:t>
      </w:r>
      <w:r>
        <w:rPr>
          <w:i w:val="0"/>
        </w:rPr>
        <w:t xml:space="preserve"> audit capacity. Any audit whose mechanism requires a surviving recurrent topological cycle cannot be supplied by the star topology alone.</w:t>
      </w:r>
    </w:p>
    <w:p w14:paraId="20DD8B69" w14:textId="77777777" w:rsidR="0033727D" w:rsidRDefault="00000000">
      <w:r>
        <w:t xml:space="preserve">The hub may still support pairwise compatibility checks, relation-driven typing, locally implemented multi-way checks, sheaf-coefficient obstructions arising from non-surjective restrictions, and escalation into a wider network. And the narrowed version is </w:t>
      </w:r>
      <w:r>
        <w:rPr>
          <w:b/>
        </w:rPr>
        <w:t>experimentally stronger</w:t>
      </w:r>
      <w:r>
        <w:t>, because it predicts a dissociation:</w:t>
      </w:r>
    </w:p>
    <w:p w14:paraId="6E3A07F2" w14:textId="77777777" w:rsidR="0033727D" w:rsidRDefault="00000000">
      <w:pPr>
        <w:pStyle w:val="BlockQuote"/>
        <w:pBdr>
          <w:left w:val="single" w:sz="18" w:space="10" w:color="355C7D"/>
        </w:pBdr>
      </w:pPr>
      <w:r>
        <w:rPr>
          <w:b/>
          <w:i w:val="0"/>
        </w:rPr>
        <w:t>Hub-centred architectures or lesions should selectively impair cycle-dependent global non-integrability while preserving pairwise typing and locally implemented conflict detection.</w:t>
      </w:r>
      <w:r>
        <w:rPr>
          <w:i w:val="0"/>
        </w:rPr>
        <w:t xml:space="preserve"> </w:t>
      </w:r>
      <w:r>
        <w:rPr>
          <w:rFonts w:ascii="DejaVu Sans Mono" w:eastAsia="DejaVu Sans Mono" w:hAnsi="DejaVu Sans Mono"/>
          <w:i w:val="0"/>
          <w:color w:val="34495E"/>
          <w:sz w:val="19"/>
          <w:shd w:val="clear" w:color="auto" w:fill="EEF2F5"/>
        </w:rPr>
        <w:t>[CAND / NEW]</w:t>
      </w:r>
      <w:r>
        <w:rPr>
          <w:i w:val="0"/>
        </w:rPr>
        <w:t>, jurisdiction attached.</w:t>
      </w:r>
    </w:p>
    <w:p w14:paraId="434FAFB9" w14:textId="77777777" w:rsidR="0033727D" w:rsidRDefault="00000000">
      <w:pPr>
        <w:pStyle w:val="Heading1"/>
        <w:pBdr>
          <w:bottom w:val="single" w:sz="5" w:space="4" w:color="C5CFD8"/>
        </w:pBdr>
      </w:pPr>
      <w:r>
        <w:rPr>
          <w:rFonts w:ascii="Liberation Serif" w:eastAsia="Liberation Serif" w:hAnsi="Liberation Serif"/>
          <w:b w:val="0"/>
        </w:rPr>
        <w:t>8. Axiom Non-Self-Certification: An Executable Test</w:t>
      </w:r>
    </w:p>
    <w:p w14:paraId="631519C2" w14:textId="77777777" w:rsidR="0033727D" w:rsidRDefault="00000000">
      <w:r>
        <w:rPr>
          <w:b/>
        </w:rPr>
        <w:t>Result 7, and the only remedy this line produced that satisfies §10's standard.</w:t>
      </w:r>
      <w:r>
        <w:t xml:space="preserve"> If a system learns its own </w:t>
      </w:r>
      <w:r>
        <w:rPr>
          <w:rFonts w:ascii="DejaVu Sans Mono" w:eastAsia="DejaVu Sans Mono" w:hAnsi="DejaVu Sans Mono"/>
          <w:color w:val="34495E"/>
          <w:sz w:val="20"/>
          <w:shd w:val="clear" w:color="auto" w:fill="EEF2F5"/>
        </w:rPr>
        <w:t>domain</w:t>
      </w:r>
      <w:r>
        <w:t xml:space="preserve">, </w:t>
      </w:r>
      <w:r>
        <w:rPr>
          <w:rFonts w:ascii="DejaVu Sans Mono" w:eastAsia="DejaVu Sans Mono" w:hAnsi="DejaVu Sans Mono"/>
          <w:color w:val="34495E"/>
          <w:sz w:val="20"/>
          <w:shd w:val="clear" w:color="auto" w:fill="EEF2F5"/>
        </w:rPr>
        <w:t>range</w:t>
      </w:r>
      <w:r>
        <w:t xml:space="preserve">, </w:t>
      </w:r>
      <w:r>
        <w:rPr>
          <w:rFonts w:ascii="DejaVu Sans Mono" w:eastAsia="DejaVu Sans Mono" w:hAnsi="DejaVu Sans Mono"/>
          <w:color w:val="34495E"/>
          <w:sz w:val="20"/>
          <w:shd w:val="clear" w:color="auto" w:fill="EEF2F5"/>
        </w:rPr>
        <w:t>disjointWith</w:t>
      </w:r>
      <w:r>
        <w:t xml:space="preserve">, and </w:t>
      </w:r>
      <w:r>
        <w:rPr>
          <w:rFonts w:ascii="DejaVu Sans Mono" w:eastAsia="DejaVu Sans Mono" w:hAnsi="DejaVu Sans Mono"/>
          <w:color w:val="34495E"/>
          <w:sz w:val="20"/>
          <w:shd w:val="clear" w:color="auto" w:fill="EEF2F5"/>
        </w:rPr>
        <w:t>Functional</w:t>
      </w:r>
      <w:r>
        <w:t xml:space="preserve"> axioms from experience, while those axioms determine what experience entails, the loop is closed: the closure vouches for the theory that generated it. This is the framework's </w:t>
      </w:r>
      <w:r>
        <w:rPr>
          <w:b/>
        </w:rPr>
        <w:t>contaminated sheet</w:t>
      </w:r>
      <w:r>
        <w:t xml:space="preserve"> in a new setting — </w:t>
      </w:r>
      <w:r>
        <w:rPr>
          <w:rFonts w:ascii="DejaVu Sans Mono" w:eastAsia="DejaVu Sans Mono" w:hAnsi="DejaVu Sans Mono"/>
          <w:color w:val="34495E"/>
          <w:sz w:val="20"/>
          <w:shd w:val="clear" w:color="auto" w:fill="EEF2F5"/>
        </w:rPr>
        <w:t>[LB-rule / TRANSPOSED]</w:t>
      </w:r>
      <w:r>
        <w:t xml:space="preserve"> for the prohibition, </w:t>
      </w:r>
      <w:r>
        <w:rPr>
          <w:rFonts w:ascii="DejaVu Sans Mono" w:eastAsia="DejaVu Sans Mono" w:hAnsi="DejaVu Sans Mono"/>
          <w:color w:val="34495E"/>
          <w:sz w:val="20"/>
          <w:shd w:val="clear" w:color="auto" w:fill="EEF2F5"/>
        </w:rPr>
        <w:t>[CAND / NEW]</w:t>
      </w:r>
      <w:r>
        <w:t xml:space="preserve"> for the test.</w:t>
      </w:r>
    </w:p>
    <w:p w14:paraId="3B8A013E" w14:textId="77777777" w:rsidR="0033727D" w:rsidRDefault="00000000">
      <w:r>
        <w:t xml:space="preserve">For a candidate axiom </w:t>
      </w:r>
      <w:r>
        <w:rPr>
          <w:rFonts w:ascii="DejaVu Sans Mono" w:eastAsia="DejaVu Sans Mono" w:hAnsi="DejaVu Sans Mono"/>
          <w:color w:val="34495E"/>
          <w:sz w:val="20"/>
          <w:shd w:val="clear" w:color="auto" w:fill="EEF2F5"/>
        </w:rPr>
        <w:t>a</w:t>
      </w:r>
      <w:r>
        <w:t xml:space="preserve">, let </w:t>
      </w:r>
      <w:r>
        <w:rPr>
          <w:rFonts w:ascii="DejaVu Sans Mono" w:eastAsia="DejaVu Sans Mono" w:hAnsi="DejaVu Sans Mono"/>
          <w:color w:val="34495E"/>
          <w:sz w:val="20"/>
          <w:shd w:val="clear" w:color="auto" w:fill="EEF2F5"/>
        </w:rPr>
        <w:t>Δ_a = Cl_{O∪{a}}(A) \ Cl_O(A)</w:t>
      </w:r>
      <w:r>
        <w:t xml:space="preserve"> be the consequences that exist only because </w:t>
      </w:r>
      <w:r>
        <w:rPr>
          <w:rFonts w:ascii="DejaVu Sans Mono" w:eastAsia="DejaVu Sans Mono" w:hAnsi="DejaVu Sans Mono"/>
          <w:color w:val="34495E"/>
          <w:sz w:val="20"/>
          <w:shd w:val="clear" w:color="auto" w:fill="EEF2F5"/>
        </w:rPr>
        <w:t>a</w:t>
      </w:r>
      <w:r>
        <w:t xml:space="preserve"> was admitted. Then:</w:t>
      </w:r>
    </w:p>
    <w:p w14:paraId="385E723A" w14:textId="77777777" w:rsidR="0033727D" w:rsidRDefault="00000000">
      <w:pPr>
        <w:pStyle w:val="CodeBlock"/>
        <w:keepLines/>
        <w:pBdr>
          <w:left w:val="single" w:sz="14" w:space="8" w:color="6C8EBF"/>
        </w:pBdr>
        <w:shd w:val="clear" w:color="auto" w:fill="F4F6F8"/>
      </w:pPr>
      <w:r>
        <w:t>promotion licensed   ⟺   Support(a) ⊄ Δ_a</w:t>
      </w:r>
    </w:p>
    <w:p w14:paraId="1A50F895" w14:textId="77777777" w:rsidR="0033727D" w:rsidRDefault="00000000">
      <w:r>
        <w:t xml:space="preserve">Verified computable: with </w:t>
      </w:r>
      <w:r>
        <w:rPr>
          <w:rFonts w:ascii="DejaVu Sans Mono" w:eastAsia="DejaVu Sans Mono" w:hAnsi="DejaVu Sans Mono"/>
          <w:color w:val="34495E"/>
          <w:sz w:val="20"/>
          <w:shd w:val="clear" w:color="auto" w:fill="EEF2F5"/>
        </w:rPr>
        <w:t>A = {alice operates M1}</w:t>
      </w:r>
      <w:r>
        <w:t xml:space="preserve"> and </w:t>
      </w:r>
      <w:r>
        <w:rPr>
          <w:rFonts w:ascii="DejaVu Sans Mono" w:eastAsia="DejaVu Sans Mono" w:hAnsi="DejaVu Sans Mono"/>
          <w:color w:val="34495E"/>
          <w:sz w:val="20"/>
          <w:shd w:val="clear" w:color="auto" w:fill="EEF2F5"/>
        </w:rPr>
        <w:t>a = (operates, domain, Agent)</w:t>
      </w:r>
      <w:r>
        <w:t xml:space="preserve">, </w:t>
      </w:r>
      <w:r>
        <w:rPr>
          <w:rFonts w:ascii="DejaVu Sans Mono" w:eastAsia="DejaVu Sans Mono" w:hAnsi="DejaVu Sans Mono"/>
          <w:color w:val="34495E"/>
          <w:sz w:val="20"/>
          <w:shd w:val="clear" w:color="auto" w:fill="EEF2F5"/>
        </w:rPr>
        <w:t>Δ_a = {alice type Agent}</w:t>
      </w:r>
      <w:r>
        <w:t xml:space="preserve">. Circular support </w:t>
      </w:r>
      <w:r>
        <w:rPr>
          <w:rFonts w:ascii="DejaVu Sans Mono" w:eastAsia="DejaVu Sans Mono" w:hAnsi="DejaVu Sans Mono"/>
          <w:color w:val="34495E"/>
          <w:sz w:val="20"/>
          <w:shd w:val="clear" w:color="auto" w:fill="EEF2F5"/>
        </w:rPr>
        <w:t>{alice type Agent}</w:t>
      </w:r>
      <w:r>
        <w:t xml:space="preserve"> is </w:t>
      </w:r>
      <w:r>
        <w:rPr>
          <w:b/>
        </w:rPr>
        <w:t>rejected</w:t>
      </w:r>
      <w:r>
        <w:t xml:space="preserve">; independent observational support is </w:t>
      </w:r>
      <w:r>
        <w:rPr>
          <w:b/>
        </w:rPr>
        <w:t>licensed</w:t>
      </w:r>
      <w:r>
        <w:t>.</w:t>
      </w:r>
    </w:p>
    <w:p w14:paraId="2F5D39FB" w14:textId="77777777" w:rsidR="0033727D" w:rsidRDefault="00000000">
      <w:pPr>
        <w:pStyle w:val="BlockQuote"/>
        <w:pBdr>
          <w:left w:val="single" w:sz="18" w:space="10" w:color="355C7D"/>
        </w:pBdr>
      </w:pPr>
      <w:r>
        <w:rPr>
          <w:b/>
          <w:i w:val="0"/>
        </w:rPr>
        <w:t>The evidence promoting an axiom may not consist only of facts that became evidence because that axiom was provisionally assumed.</w:t>
      </w:r>
    </w:p>
    <w:p w14:paraId="26862176" w14:textId="77777777" w:rsidR="0033727D" w:rsidRDefault="00000000">
      <w:r>
        <w:t xml:space="preserve">Every consequence in </w:t>
      </w:r>
      <w:r>
        <w:rPr>
          <w:rFonts w:ascii="DejaVu Sans Mono" w:eastAsia="DejaVu Sans Mono" w:hAnsi="DejaVu Sans Mono"/>
          <w:color w:val="34495E"/>
          <w:sz w:val="20"/>
          <w:shd w:val="clear" w:color="auto" w:fill="EEF2F5"/>
        </w:rPr>
        <w:t>Δ_a</w:t>
      </w:r>
      <w:r>
        <w:t xml:space="preserve"> is marked </w:t>
      </w:r>
      <w:r>
        <w:rPr>
          <w:b/>
        </w:rPr>
        <w:t>axiom-dependent</w:t>
      </w:r>
      <w:r>
        <w:t xml:space="preserve">, never counted as independent confirmation. Pipeline: </w:t>
      </w:r>
      <w:r>
        <w:rPr>
          <w:i/>
        </w:rPr>
        <w:t>extract candidate → hold out independent evidence → test counterfactual closure → promote with jurisdiction.</w:t>
      </w:r>
      <w:r>
        <w:t xml:space="preserve"> Each axiom carries </w:t>
      </w:r>
      <w:r>
        <w:rPr>
          <w:rFonts w:ascii="DejaVu Sans Mono" w:eastAsia="DejaVu Sans Mono" w:hAnsi="DejaVu Sans Mono"/>
          <w:color w:val="34495E"/>
          <w:sz w:val="20"/>
          <w:shd w:val="clear" w:color="auto" w:fill="EEF2F5"/>
        </w:rPr>
        <w:t>(rule, J_a, P_a, t_a, R_a)</w:t>
      </w:r>
      <w:r>
        <w:t xml:space="preserve"> — jurisdiction, provenance, promotion version, supporting routes.</w:t>
      </w:r>
    </w:p>
    <w:p w14:paraId="02BE6617" w14:textId="77777777" w:rsidR="0033727D" w:rsidRDefault="00000000">
      <w:pPr>
        <w:pStyle w:val="Heading1"/>
        <w:pBdr>
          <w:bottom w:val="single" w:sz="5" w:space="4" w:color="C5CFD8"/>
        </w:pBdr>
      </w:pPr>
      <w:r>
        <w:rPr>
          <w:rFonts w:ascii="Liberation Serif" w:eastAsia="Liberation Serif" w:hAnsi="Liberation Serif"/>
          <w:b w:val="0"/>
        </w:rPr>
        <w:t>9. Two Axes: Warrant and Provenance</w:t>
      </w:r>
    </w:p>
    <w:p w14:paraId="5D5F3900" w14:textId="77777777" w:rsidR="0033727D" w:rsidRDefault="00000000">
      <w:r>
        <w:t>A ledger that records only epistemic tier compresses two orthogonal questions. This paper adopts the separation:</w:t>
      </w:r>
    </w:p>
    <w:tbl>
      <w:tblPr>
        <w:tblStyle w:val="TableGrid"/>
        <w:tblW w:w="0" w:type="auto"/>
        <w:jc w:val="center"/>
        <w:tblLook w:val="04A0" w:firstRow="1" w:lastRow="0" w:firstColumn="1" w:lastColumn="0" w:noHBand="0" w:noVBand="1"/>
      </w:tblPr>
      <w:tblGrid>
        <w:gridCol w:w="5015"/>
        <w:gridCol w:w="1309"/>
        <w:gridCol w:w="2475"/>
      </w:tblGrid>
      <w:tr w:rsidR="0033727D" w14:paraId="0DD35B7D" w14:textId="77777777" w:rsidTr="00130F63">
        <w:trPr>
          <w:cantSplit/>
          <w:tblHeader/>
          <w:jc w:val="center"/>
        </w:trPr>
        <w:tc>
          <w:tcPr>
            <w:tcW w:w="5015"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291A9B22" w14:textId="77777777" w:rsidR="0033727D" w:rsidRDefault="00000000">
            <w:pPr>
              <w:spacing w:after="0" w:line="240" w:lineRule="auto"/>
              <w:jc w:val="left"/>
            </w:pPr>
            <w:r>
              <w:rPr>
                <w:b/>
                <w:sz w:val="18"/>
              </w:rPr>
              <w:t>claim</w:t>
            </w:r>
          </w:p>
        </w:tc>
        <w:tc>
          <w:tcPr>
            <w:tcW w:w="1309"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7CBE2191" w14:textId="77777777" w:rsidR="0033727D" w:rsidRDefault="00000000">
            <w:pPr>
              <w:spacing w:after="0" w:line="240" w:lineRule="auto"/>
              <w:jc w:val="left"/>
            </w:pPr>
            <w:r>
              <w:rPr>
                <w:b/>
                <w:sz w:val="18"/>
              </w:rPr>
              <w:t>epistemic</w:t>
            </w:r>
          </w:p>
        </w:tc>
        <w:tc>
          <w:tcPr>
            <w:tcW w:w="2475"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251ABD0D" w14:textId="77777777" w:rsidR="0033727D" w:rsidRDefault="00000000">
            <w:pPr>
              <w:spacing w:after="0" w:line="240" w:lineRule="auto"/>
              <w:jc w:val="left"/>
            </w:pPr>
            <w:r>
              <w:rPr>
                <w:b/>
                <w:sz w:val="18"/>
              </w:rPr>
              <w:t>provenance</w:t>
            </w:r>
          </w:p>
        </w:tc>
      </w:tr>
      <w:tr w:rsidR="0033727D" w14:paraId="759F833C"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006993FE" w14:textId="77777777" w:rsidR="0033727D" w:rsidRDefault="00000000">
            <w:pPr>
              <w:spacing w:after="0" w:line="240" w:lineRule="auto"/>
              <w:jc w:val="left"/>
            </w:pPr>
            <w:r>
              <w:rPr>
                <w:sz w:val="18"/>
              </w:rPr>
              <w:t xml:space="preserve">OWL monotonicity; explosion; </w:t>
            </w:r>
            <w:r>
              <w:rPr>
                <w:rFonts w:ascii="DejaVu Sans Mono" w:eastAsia="DejaVu Sans Mono" w:hAnsi="DejaVu Sans Mono"/>
                <w:color w:val="34495E"/>
                <w:sz w:val="16"/>
                <w:shd w:val="clear" w:color="auto" w:fill="EEF2F5"/>
              </w:rPr>
              <w:t>β₁</w:t>
            </w:r>
            <w:r>
              <w:rPr>
                <w:sz w:val="18"/>
              </w:rPr>
              <w:t xml:space="preserve"> of a star</w:t>
            </w:r>
          </w:p>
        </w:tc>
        <w:tc>
          <w:tcPr>
            <w:tcW w:w="130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6D5F38FC" w14:textId="77777777" w:rsidR="0033727D" w:rsidRDefault="00000000">
            <w:pPr>
              <w:spacing w:after="0" w:line="240" w:lineRule="auto"/>
              <w:jc w:val="left"/>
            </w:pPr>
            <w:r>
              <w:rPr>
                <w:sz w:val="18"/>
              </w:rPr>
              <w:t>LB</w:t>
            </w:r>
          </w:p>
        </w:tc>
        <w:tc>
          <w:tcPr>
            <w:tcW w:w="247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791A00D9" w14:textId="77777777" w:rsidR="0033727D" w:rsidRDefault="00000000">
            <w:pPr>
              <w:spacing w:after="0" w:line="240" w:lineRule="auto"/>
              <w:jc w:val="left"/>
            </w:pPr>
            <w:r>
              <w:rPr>
                <w:sz w:val="18"/>
              </w:rPr>
              <w:t>IMPORTED</w:t>
            </w:r>
          </w:p>
        </w:tc>
      </w:tr>
      <w:tr w:rsidR="0033727D" w14:paraId="26351349"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037A7F20" w14:textId="77777777" w:rsidR="0033727D" w:rsidRDefault="00000000">
            <w:pPr>
              <w:spacing w:after="0" w:line="240" w:lineRule="auto"/>
              <w:jc w:val="left"/>
            </w:pPr>
            <w:r>
              <w:rPr>
                <w:sz w:val="18"/>
              </w:rPr>
              <w:t>Anterior temporal semantic hub</w:t>
            </w:r>
          </w:p>
        </w:tc>
        <w:tc>
          <w:tcPr>
            <w:tcW w:w="1309"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0D6B9883" w14:textId="77777777" w:rsidR="0033727D" w:rsidRDefault="00000000">
            <w:pPr>
              <w:spacing w:after="0" w:line="240" w:lineRule="auto"/>
              <w:jc w:val="left"/>
            </w:pPr>
            <w:r>
              <w:rPr>
                <w:sz w:val="18"/>
              </w:rPr>
              <w:t>SUP</w:t>
            </w:r>
          </w:p>
        </w:tc>
        <w:tc>
          <w:tcPr>
            <w:tcW w:w="247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73C6A1AB" w14:textId="77777777" w:rsidR="0033727D" w:rsidRDefault="00000000">
            <w:pPr>
              <w:spacing w:after="0" w:line="240" w:lineRule="auto"/>
              <w:jc w:val="left"/>
            </w:pPr>
            <w:r>
              <w:rPr>
                <w:sz w:val="18"/>
              </w:rPr>
              <w:t>IMPORTED</w:t>
            </w:r>
          </w:p>
        </w:tc>
      </w:tr>
      <w:tr w:rsidR="0033727D" w14:paraId="57793937"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D319C3A" w14:textId="77777777" w:rsidR="0033727D" w:rsidRDefault="00000000">
            <w:pPr>
              <w:spacing w:after="0" w:line="240" w:lineRule="auto"/>
              <w:jc w:val="left"/>
            </w:pPr>
            <w:r>
              <w:rPr>
                <w:sz w:val="18"/>
              </w:rPr>
              <w:t>Zigzag semantic revision; restriction-before-release; seam reading</w:t>
            </w:r>
          </w:p>
        </w:tc>
        <w:tc>
          <w:tcPr>
            <w:tcW w:w="130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3434C90" w14:textId="77777777" w:rsidR="0033727D" w:rsidRDefault="00000000">
            <w:pPr>
              <w:spacing w:after="0" w:line="240" w:lineRule="auto"/>
              <w:jc w:val="left"/>
            </w:pPr>
            <w:r>
              <w:rPr>
                <w:sz w:val="18"/>
              </w:rPr>
              <w:t>CAND</w:t>
            </w:r>
          </w:p>
        </w:tc>
        <w:tc>
          <w:tcPr>
            <w:tcW w:w="247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7DD14F1" w14:textId="77777777" w:rsidR="0033727D" w:rsidRDefault="00000000">
            <w:pPr>
              <w:spacing w:after="0" w:line="240" w:lineRule="auto"/>
              <w:jc w:val="left"/>
            </w:pPr>
            <w:r>
              <w:rPr>
                <w:sz w:val="18"/>
              </w:rPr>
              <w:t>TRANSPOSED</w:t>
            </w:r>
          </w:p>
        </w:tc>
      </w:tr>
      <w:tr w:rsidR="0033727D" w14:paraId="0F7AA1A4"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6094E0C0" w14:textId="77777777" w:rsidR="0033727D" w:rsidRDefault="00000000">
            <w:pPr>
              <w:spacing w:after="0" w:line="240" w:lineRule="auto"/>
              <w:jc w:val="left"/>
            </w:pPr>
            <w:r>
              <w:rPr>
                <w:sz w:val="18"/>
              </w:rPr>
              <w:lastRenderedPageBreak/>
              <w:t>Identity obligation; firewall/gate asymmetry; stored–derivable–permitted; failure taxonomy</w:t>
            </w:r>
          </w:p>
        </w:tc>
        <w:tc>
          <w:tcPr>
            <w:tcW w:w="1309"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4A7F038F" w14:textId="77777777" w:rsidR="0033727D" w:rsidRDefault="00000000">
            <w:pPr>
              <w:spacing w:after="0" w:line="240" w:lineRule="auto"/>
              <w:jc w:val="left"/>
            </w:pPr>
            <w:r>
              <w:rPr>
                <w:sz w:val="18"/>
              </w:rPr>
              <w:t>CAND</w:t>
            </w:r>
          </w:p>
        </w:tc>
        <w:tc>
          <w:tcPr>
            <w:tcW w:w="247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05B86EAD" w14:textId="77777777" w:rsidR="0033727D" w:rsidRDefault="00000000">
            <w:pPr>
              <w:spacing w:after="0" w:line="240" w:lineRule="auto"/>
              <w:jc w:val="left"/>
            </w:pPr>
            <w:r>
              <w:rPr>
                <w:b/>
                <w:sz w:val="18"/>
              </w:rPr>
              <w:t>NEW</w:t>
            </w:r>
          </w:p>
        </w:tc>
      </w:tr>
      <w:tr w:rsidR="0033727D" w14:paraId="3AA3762E"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6E97CC4B" w14:textId="77777777" w:rsidR="0033727D" w:rsidRDefault="00000000">
            <w:pPr>
              <w:spacing w:after="0" w:line="240" w:lineRule="auto"/>
              <w:jc w:val="left"/>
            </w:pPr>
            <w:r>
              <w:rPr>
                <w:sz w:val="18"/>
              </w:rPr>
              <w:t>Hub-star cycle-channel prediction</w:t>
            </w:r>
          </w:p>
        </w:tc>
        <w:tc>
          <w:tcPr>
            <w:tcW w:w="130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0855088" w14:textId="77777777" w:rsidR="0033727D" w:rsidRDefault="00000000">
            <w:pPr>
              <w:spacing w:after="0" w:line="240" w:lineRule="auto"/>
              <w:jc w:val="left"/>
            </w:pPr>
            <w:r>
              <w:rPr>
                <w:sz w:val="18"/>
              </w:rPr>
              <w:t>CAND</w:t>
            </w:r>
          </w:p>
        </w:tc>
        <w:tc>
          <w:tcPr>
            <w:tcW w:w="247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256F51D7" w14:textId="77777777" w:rsidR="0033727D" w:rsidRDefault="00000000">
            <w:pPr>
              <w:spacing w:after="0" w:line="240" w:lineRule="auto"/>
              <w:jc w:val="left"/>
            </w:pPr>
            <w:r>
              <w:rPr>
                <w:b/>
                <w:sz w:val="18"/>
              </w:rPr>
              <w:t>NEW</w:t>
            </w:r>
            <w:r>
              <w:rPr>
                <w:sz w:val="18"/>
              </w:rPr>
              <w:t>, jurisdiction narrowed</w:t>
            </w:r>
          </w:p>
        </w:tc>
      </w:tr>
      <w:tr w:rsidR="0033727D" w14:paraId="479FE218"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2BF98AB8" w14:textId="77777777" w:rsidR="0033727D" w:rsidRDefault="00000000">
            <w:pPr>
              <w:spacing w:after="0" w:line="240" w:lineRule="auto"/>
              <w:jc w:val="left"/>
            </w:pPr>
            <w:r>
              <w:rPr>
                <w:sz w:val="18"/>
              </w:rPr>
              <w:t>Executable non-self-certification test</w:t>
            </w:r>
          </w:p>
        </w:tc>
        <w:tc>
          <w:tcPr>
            <w:tcW w:w="1309"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1F4B7DAD" w14:textId="77777777" w:rsidR="0033727D" w:rsidRDefault="00000000">
            <w:pPr>
              <w:spacing w:after="0" w:line="240" w:lineRule="auto"/>
              <w:jc w:val="left"/>
            </w:pPr>
            <w:r>
              <w:rPr>
                <w:sz w:val="18"/>
              </w:rPr>
              <w:t>CAND</w:t>
            </w:r>
          </w:p>
        </w:tc>
        <w:tc>
          <w:tcPr>
            <w:tcW w:w="2475"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2E211E9B" w14:textId="77777777" w:rsidR="0033727D" w:rsidRDefault="00000000">
            <w:pPr>
              <w:spacing w:after="0" w:line="240" w:lineRule="auto"/>
              <w:jc w:val="left"/>
            </w:pPr>
            <w:r>
              <w:rPr>
                <w:b/>
                <w:sz w:val="18"/>
              </w:rPr>
              <w:t>NEW</w:t>
            </w:r>
          </w:p>
        </w:tc>
      </w:tr>
      <w:tr w:rsidR="0033727D" w14:paraId="0FA6C447" w14:textId="77777777" w:rsidTr="00130F63">
        <w:trPr>
          <w:cantSplit/>
          <w:jc w:val="center"/>
        </w:trPr>
        <w:tc>
          <w:tcPr>
            <w:tcW w:w="501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BB19EFD" w14:textId="77777777" w:rsidR="0033727D" w:rsidRDefault="00000000">
            <w:pPr>
              <w:spacing w:after="0" w:line="240" w:lineRule="auto"/>
              <w:jc w:val="left"/>
            </w:pPr>
            <w:r>
              <w:rPr>
                <w:sz w:val="18"/>
              </w:rPr>
              <w:t>Reduced side effects as a principal selection pressure</w:t>
            </w:r>
          </w:p>
        </w:tc>
        <w:tc>
          <w:tcPr>
            <w:tcW w:w="1309"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482D3BCF" w14:textId="77777777" w:rsidR="0033727D" w:rsidRDefault="00000000">
            <w:pPr>
              <w:spacing w:after="0" w:line="240" w:lineRule="auto"/>
              <w:jc w:val="left"/>
            </w:pPr>
            <w:r>
              <w:rPr>
                <w:b/>
                <w:sz w:val="18"/>
              </w:rPr>
              <w:t>HOR</w:t>
            </w:r>
          </w:p>
        </w:tc>
        <w:tc>
          <w:tcPr>
            <w:tcW w:w="2475"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0A5C3D42" w14:textId="77777777" w:rsidR="0033727D" w:rsidRDefault="00000000">
            <w:pPr>
              <w:spacing w:after="0" w:line="240" w:lineRule="auto"/>
              <w:jc w:val="left"/>
            </w:pPr>
            <w:r>
              <w:rPr>
                <w:sz w:val="18"/>
              </w:rPr>
              <w:t>—</w:t>
            </w:r>
          </w:p>
        </w:tc>
      </w:tr>
    </w:tbl>
    <w:p w14:paraId="0BC48D38" w14:textId="77777777" w:rsidR="0033727D" w:rsidRDefault="0033727D">
      <w:pPr>
        <w:spacing w:after="20"/>
      </w:pPr>
    </w:p>
    <w:p w14:paraId="0E6A6461" w14:textId="77777777" w:rsidR="0033727D" w:rsidRDefault="00000000">
      <w:pPr>
        <w:pStyle w:val="BlockQuote"/>
        <w:pBdr>
          <w:left w:val="single" w:sz="18" w:space="10" w:color="355C7D"/>
        </w:pBdr>
      </w:pPr>
      <w:r>
        <w:rPr>
          <w:b/>
          <w:i w:val="0"/>
        </w:rPr>
        <w:t>Epistemic tier records how well a claim is warranted. Provenance class records whether the machinery was imported, owned, transposed, or new. Neither may substitute for the other.</w:t>
      </w:r>
      <w:r>
        <w:rPr>
          <w:i w:val="0"/>
        </w:rPr>
        <w:t xml:space="preserve"> </w:t>
      </w:r>
      <w:r>
        <w:rPr>
          <w:rFonts w:ascii="DejaVu Sans Mono" w:eastAsia="DejaVu Sans Mono" w:hAnsi="DejaVu Sans Mono"/>
          <w:i w:val="0"/>
          <w:color w:val="34495E"/>
          <w:sz w:val="19"/>
          <w:shd w:val="clear" w:color="auto" w:fill="EEF2F5"/>
        </w:rPr>
        <w:t>[LB-rule / NEW]</w:t>
      </w:r>
      <w:r>
        <w:rPr>
          <w:i w:val="0"/>
        </w:rPr>
        <w:t>.</w:t>
      </w:r>
    </w:p>
    <w:p w14:paraId="22999835" w14:textId="77777777" w:rsidR="0033727D" w:rsidRDefault="00000000">
      <w:r>
        <w:t xml:space="preserve">The last row is held at horizon deliberately: claims about what </w:t>
      </w:r>
      <w:r>
        <w:rPr>
          <w:i/>
        </w:rPr>
        <w:t>selected for</w:t>
      </w:r>
      <w:r>
        <w:t xml:space="preserve"> a trait are among the hardest in biology to establish, and consistency with an adaptive story is not evidence for it. The mechanistic claim — that language externalizes a </w:t>
      </w:r>
      <w:r>
        <w:rPr>
          <w:b/>
        </w:rPr>
        <w:t>potential</w:t>
      </w:r>
      <w:r>
        <w:t xml:space="preserve"> candidate–commit boundary at which interpretation, refusal, and negotiation </w:t>
      </w:r>
      <w:r>
        <w:rPr>
          <w:i/>
        </w:rPr>
        <w:t>can</w:t>
      </w:r>
      <w:r>
        <w:t xml:space="preserve"> occur before physical enactment — is </w:t>
      </w:r>
      <w:r>
        <w:rPr>
          <w:rFonts w:ascii="DejaVu Sans Mono" w:eastAsia="DejaVu Sans Mono" w:hAnsi="DejaVu Sans Mono"/>
          <w:color w:val="34495E"/>
          <w:sz w:val="20"/>
          <w:shd w:val="clear" w:color="auto" w:fill="EEF2F5"/>
        </w:rPr>
        <w:t>[CAND / NEW]</w:t>
      </w:r>
      <w:r>
        <w:t xml:space="preserve"> and testable. Language does not eliminate side effects and does not automatically perform an audit; it preserves a branching control surface that force collapses, and only while the recipient retains agency and the semantic interface remains auditable.</w:t>
      </w:r>
    </w:p>
    <w:p w14:paraId="79710137" w14:textId="77777777" w:rsidR="0033727D" w:rsidRDefault="00000000">
      <w:pPr>
        <w:pStyle w:val="Heading1"/>
        <w:pBdr>
          <w:bottom w:val="single" w:sz="5" w:space="4" w:color="C5CFD8"/>
        </w:pBdr>
      </w:pPr>
      <w:r>
        <w:rPr>
          <w:rFonts w:ascii="Liberation Serif" w:eastAsia="Liberation Serif" w:hAnsi="Liberation Serif"/>
          <w:b w:val="0"/>
        </w:rPr>
        <w:t>10. The Methodological Result</w:t>
      </w:r>
    </w:p>
    <w:p w14:paraId="7F48A49F" w14:textId="77777777" w:rsidR="0033727D" w:rsidRDefault="00000000">
      <w:r>
        <w:t xml:space="preserve">The line applied its own provenance discipline to itself, and in doing so documented a recurring failure. The claim at issue: </w:t>
      </w:r>
      <w:r>
        <w:rPr>
          <w:i/>
        </w:rPr>
        <w:t xml:space="preserve">a sheaf on a tree has </w:t>
      </w:r>
      <w:r>
        <w:rPr>
          <w:rFonts w:ascii="DejaVu Sans Mono" w:eastAsia="DejaVu Sans Mono" w:hAnsi="DejaVu Sans Mono"/>
          <w:i/>
          <w:color w:val="34495E"/>
          <w:sz w:val="20"/>
          <w:shd w:val="clear" w:color="auto" w:fill="EEF2F5"/>
        </w:rPr>
        <w:t>δ⁰</w:t>
      </w:r>
      <w:r>
        <w:rPr>
          <w:i/>
        </w:rPr>
        <w:t xml:space="preserve"> surjective, hence </w:t>
      </w:r>
      <w:r>
        <w:rPr>
          <w:rFonts w:ascii="DejaVu Sans Mono" w:eastAsia="DejaVu Sans Mono" w:hAnsi="DejaVu Sans Mono"/>
          <w:i/>
          <w:color w:val="34495E"/>
          <w:sz w:val="20"/>
          <w:shd w:val="clear" w:color="auto" w:fill="EEF2F5"/>
        </w:rPr>
        <w:t>H¹ = 0</w:t>
      </w:r>
      <w:r>
        <w:rPr>
          <w:i/>
        </w:rPr>
        <w:t>.</w:t>
      </w:r>
      <w:r>
        <w:t xml:space="preserve"> Its history:</w:t>
      </w:r>
    </w:p>
    <w:tbl>
      <w:tblPr>
        <w:tblStyle w:val="TableGrid"/>
        <w:tblW w:w="0" w:type="auto"/>
        <w:jc w:val="center"/>
        <w:tblLook w:val="04A0" w:firstRow="1" w:lastRow="0" w:firstColumn="1" w:lastColumn="0" w:noHBand="0" w:noVBand="1"/>
      </w:tblPr>
      <w:tblGrid>
        <w:gridCol w:w="851"/>
        <w:gridCol w:w="8407"/>
      </w:tblGrid>
      <w:tr w:rsidR="0033727D" w14:paraId="356ABED4" w14:textId="77777777" w:rsidTr="00130F63">
        <w:trPr>
          <w:cantSplit/>
          <w:tblHeader/>
          <w:jc w:val="center"/>
        </w:trPr>
        <w:tc>
          <w:tcPr>
            <w:tcW w:w="851"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20E05B87" w14:textId="77777777" w:rsidR="0033727D" w:rsidRDefault="00000000">
            <w:pPr>
              <w:spacing w:after="0" w:line="240" w:lineRule="auto"/>
              <w:jc w:val="left"/>
            </w:pPr>
            <w:r>
              <w:rPr>
                <w:b/>
                <w:sz w:val="19"/>
              </w:rPr>
              <w:t>stage</w:t>
            </w:r>
          </w:p>
        </w:tc>
        <w:tc>
          <w:tcPr>
            <w:tcW w:w="8407" w:type="dxa"/>
            <w:tcBorders>
              <w:top w:val="single" w:sz="4" w:space="0" w:color="B8C2CC"/>
              <w:left w:val="single" w:sz="4" w:space="0" w:color="B8C2CC"/>
              <w:bottom w:val="single" w:sz="4" w:space="0" w:color="B8C2CC"/>
              <w:right w:val="single" w:sz="4" w:space="0" w:color="B8C2CC"/>
            </w:tcBorders>
            <w:shd w:val="clear" w:color="auto" w:fill="DDE7F0"/>
            <w:tcMar>
              <w:top w:w="70" w:type="dxa"/>
              <w:left w:w="90" w:type="dxa"/>
              <w:bottom w:w="70" w:type="dxa"/>
              <w:right w:w="90" w:type="dxa"/>
            </w:tcMar>
            <w:vAlign w:val="center"/>
          </w:tcPr>
          <w:p w14:paraId="5A2415F2" w14:textId="77777777" w:rsidR="0033727D" w:rsidRDefault="00000000">
            <w:pPr>
              <w:spacing w:after="0" w:line="240" w:lineRule="auto"/>
              <w:jc w:val="left"/>
            </w:pPr>
            <w:r>
              <w:rPr>
                <w:b/>
                <w:sz w:val="19"/>
              </w:rPr>
              <w:t>event</w:t>
            </w:r>
          </w:p>
        </w:tc>
      </w:tr>
      <w:tr w:rsidR="0033727D" w14:paraId="0EA90D93" w14:textId="77777777" w:rsidTr="00130F63">
        <w:trPr>
          <w:cantSplit/>
          <w:jc w:val="center"/>
        </w:trPr>
        <w:tc>
          <w:tcPr>
            <w:tcW w:w="851"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B27A3A8" w14:textId="77777777" w:rsidR="0033727D" w:rsidRDefault="00000000">
            <w:pPr>
              <w:spacing w:after="0" w:line="240" w:lineRule="auto"/>
              <w:jc w:val="left"/>
            </w:pPr>
            <w:r>
              <w:rPr>
                <w:sz w:val="19"/>
              </w:rPr>
              <w:t>1</w:t>
            </w:r>
          </w:p>
        </w:tc>
        <w:tc>
          <w:tcPr>
            <w:tcW w:w="840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1ABE394D" w14:textId="77777777" w:rsidR="0033727D" w:rsidRDefault="00000000">
            <w:pPr>
              <w:spacing w:after="0" w:line="240" w:lineRule="auto"/>
              <w:jc w:val="left"/>
            </w:pPr>
            <w:r>
              <w:rPr>
                <w:sz w:val="19"/>
              </w:rPr>
              <w:t>Asserted in an audit note, over-generally.</w:t>
            </w:r>
          </w:p>
        </w:tc>
      </w:tr>
      <w:tr w:rsidR="0033727D" w14:paraId="7F96393E" w14:textId="77777777" w:rsidTr="00130F63">
        <w:trPr>
          <w:cantSplit/>
          <w:jc w:val="center"/>
        </w:trPr>
        <w:tc>
          <w:tcPr>
            <w:tcW w:w="851"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067A88A3" w14:textId="77777777" w:rsidR="0033727D" w:rsidRDefault="00000000">
            <w:pPr>
              <w:spacing w:after="0" w:line="240" w:lineRule="auto"/>
              <w:jc w:val="left"/>
            </w:pPr>
            <w:r>
              <w:rPr>
                <w:sz w:val="19"/>
              </w:rPr>
              <w:t>2</w:t>
            </w:r>
          </w:p>
        </w:tc>
        <w:tc>
          <w:tcPr>
            <w:tcW w:w="840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25D88C97" w14:textId="77777777" w:rsidR="0033727D" w:rsidRDefault="00000000">
            <w:pPr>
              <w:spacing w:after="0" w:line="240" w:lineRule="auto"/>
              <w:jc w:val="left"/>
            </w:pPr>
            <w:r>
              <w:rPr>
                <w:b/>
                <w:sz w:val="19"/>
              </w:rPr>
              <w:t>Corrected</w:t>
            </w:r>
            <w:r>
              <w:rPr>
                <w:sz w:val="19"/>
              </w:rPr>
              <w:t xml:space="preserve">, explicitly, with a counterexample: a one-edge tree with degenerate restrictions has </w:t>
            </w:r>
            <w:r>
              <w:rPr>
                <w:rFonts w:ascii="DejaVu Sans Mono" w:eastAsia="DejaVu Sans Mono" w:hAnsi="DejaVu Sans Mono"/>
                <w:color w:val="34495E"/>
                <w:sz w:val="17"/>
                <w:shd w:val="clear" w:color="auto" w:fill="EEF2F5"/>
              </w:rPr>
              <w:t>H¹ ≠ 0</w:t>
            </w:r>
            <w:r>
              <w:rPr>
                <w:sz w:val="19"/>
              </w:rPr>
              <w:t>.</w:t>
            </w:r>
          </w:p>
        </w:tc>
      </w:tr>
      <w:tr w:rsidR="0033727D" w14:paraId="0469BD44" w14:textId="77777777" w:rsidTr="00130F63">
        <w:trPr>
          <w:cantSplit/>
          <w:jc w:val="center"/>
        </w:trPr>
        <w:tc>
          <w:tcPr>
            <w:tcW w:w="851"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411F0F29" w14:textId="77777777" w:rsidR="0033727D" w:rsidRDefault="00000000">
            <w:pPr>
              <w:spacing w:after="0" w:line="240" w:lineRule="auto"/>
              <w:jc w:val="left"/>
            </w:pPr>
            <w:r>
              <w:rPr>
                <w:sz w:val="19"/>
              </w:rPr>
              <w:t>3</w:t>
            </w:r>
          </w:p>
        </w:tc>
        <w:tc>
          <w:tcPr>
            <w:tcW w:w="8407"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vAlign w:val="center"/>
          </w:tcPr>
          <w:p w14:paraId="5F9579AD" w14:textId="77777777" w:rsidR="0033727D" w:rsidRDefault="00000000">
            <w:pPr>
              <w:spacing w:after="0" w:line="240" w:lineRule="auto"/>
              <w:jc w:val="left"/>
            </w:pPr>
            <w:r>
              <w:rPr>
                <w:b/>
                <w:sz w:val="19"/>
              </w:rPr>
              <w:t>Repeated.</w:t>
            </w:r>
            <w:r>
              <w:rPr>
                <w:sz w:val="19"/>
              </w:rPr>
              <w:t xml:space="preserve"> Caught. Diagnosed as a </w:t>
            </w:r>
            <w:r>
              <w:rPr>
                <w:i/>
                <w:sz w:val="19"/>
              </w:rPr>
              <w:t>propagation</w:t>
            </w:r>
            <w:r>
              <w:rPr>
                <w:sz w:val="19"/>
              </w:rPr>
              <w:t xml:space="preserve"> rather than a knowledge failure — </w:t>
            </w:r>
            <w:r>
              <w:rPr>
                <w:i/>
                <w:sz w:val="19"/>
              </w:rPr>
              <w:t>"a correction filed is not a correction installed"</w:t>
            </w:r>
            <w:r>
              <w:rPr>
                <w:sz w:val="19"/>
              </w:rPr>
              <w:t xml:space="preserve"> — with a written remedy: carry </w:t>
            </w:r>
            <w:r>
              <w:rPr>
                <w:rFonts w:ascii="DejaVu Sans Mono" w:eastAsia="DejaVu Sans Mono" w:hAnsi="DejaVu Sans Mono"/>
                <w:color w:val="34495E"/>
                <w:sz w:val="17"/>
                <w:shd w:val="clear" w:color="auto" w:fill="EEF2F5"/>
              </w:rPr>
              <w:t>(J, p)</w:t>
            </w:r>
            <w:r>
              <w:rPr>
                <w:sz w:val="19"/>
              </w:rPr>
              <w:t>, treat dropping the jurisdiction as a type error.</w:t>
            </w:r>
          </w:p>
        </w:tc>
      </w:tr>
      <w:tr w:rsidR="0033727D" w14:paraId="3E31FA4C" w14:textId="77777777" w:rsidTr="00130F63">
        <w:trPr>
          <w:cantSplit/>
          <w:jc w:val="center"/>
        </w:trPr>
        <w:tc>
          <w:tcPr>
            <w:tcW w:w="851"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678E7DE4" w14:textId="77777777" w:rsidR="0033727D" w:rsidRDefault="00000000">
            <w:pPr>
              <w:spacing w:after="0" w:line="240" w:lineRule="auto"/>
              <w:jc w:val="left"/>
            </w:pPr>
            <w:r>
              <w:rPr>
                <w:sz w:val="19"/>
              </w:rPr>
              <w:t>4</w:t>
            </w:r>
          </w:p>
        </w:tc>
        <w:tc>
          <w:tcPr>
            <w:tcW w:w="8407" w:type="dxa"/>
            <w:tcBorders>
              <w:top w:val="single" w:sz="4" w:space="0" w:color="B8C2CC"/>
              <w:left w:val="single" w:sz="4" w:space="0" w:color="B8C2CC"/>
              <w:bottom w:val="single" w:sz="4" w:space="0" w:color="B8C2CC"/>
              <w:right w:val="single" w:sz="4" w:space="0" w:color="B8C2CC"/>
            </w:tcBorders>
            <w:shd w:val="clear" w:color="auto" w:fill="F7F9FA"/>
            <w:tcMar>
              <w:top w:w="70" w:type="dxa"/>
              <w:left w:w="90" w:type="dxa"/>
              <w:bottom w:w="70" w:type="dxa"/>
              <w:right w:w="90" w:type="dxa"/>
            </w:tcMar>
            <w:vAlign w:val="center"/>
          </w:tcPr>
          <w:p w14:paraId="608089C3" w14:textId="77777777" w:rsidR="0033727D" w:rsidRDefault="00000000">
            <w:pPr>
              <w:spacing w:after="0" w:line="240" w:lineRule="auto"/>
              <w:jc w:val="left"/>
            </w:pPr>
            <w:r>
              <w:rPr>
                <w:b/>
                <w:sz w:val="19"/>
              </w:rPr>
              <w:t>Repeated again</w:t>
            </w:r>
            <w:r>
              <w:rPr>
                <w:sz w:val="19"/>
              </w:rPr>
              <w:t>, two notes later, in the star claim of §7.</w:t>
            </w:r>
          </w:p>
        </w:tc>
      </w:tr>
    </w:tbl>
    <w:p w14:paraId="1E5C0423" w14:textId="77777777" w:rsidR="0033727D" w:rsidRDefault="0033727D">
      <w:pPr>
        <w:spacing w:after="20"/>
      </w:pPr>
    </w:p>
    <w:p w14:paraId="4B1773FA" w14:textId="77777777" w:rsidR="0033727D" w:rsidRDefault="00000000">
      <w:r>
        <w:rPr>
          <w:rFonts w:ascii="DejaVu Sans Mono" w:eastAsia="DejaVu Sans Mono" w:hAnsi="DejaVu Sans Mono"/>
          <w:color w:val="34495E"/>
          <w:sz w:val="20"/>
          <w:shd w:val="clear" w:color="auto" w:fill="EEF2F5"/>
        </w:rPr>
        <w:t>[LB / OWNED]</w:t>
      </w:r>
      <w:r>
        <w:t xml:space="preserve"> for the mathematics; the sequence is the datum.</w:t>
      </w:r>
    </w:p>
    <w:p w14:paraId="5DC91FAD" w14:textId="77777777" w:rsidR="0033727D" w:rsidRDefault="00000000">
      <w:r>
        <w:t>So a correction can be mathematically right, explicitly recorded with its counterexample, correctly diagnosed as to failure mode, and supplied with an accurate remedy — and still not take effect. The remedy at stage 3 was itself prose, and prose is subject to the propagation failure it describes.</w:t>
      </w:r>
    </w:p>
    <w:p w14:paraId="07D1123B" w14:textId="77777777" w:rsidR="0033727D" w:rsidRDefault="00000000">
      <w:pPr>
        <w:pStyle w:val="BlockQuote"/>
        <w:pBdr>
          <w:left w:val="single" w:sz="18" w:space="10" w:color="355C7D"/>
        </w:pBdr>
      </w:pPr>
      <w:r>
        <w:rPr>
          <w:b/>
          <w:i w:val="0"/>
        </w:rPr>
        <w:t>A correction is not installed when it is understood, written, cited, or remembered. It is installed only when a mechanism executes at the point where the forbidden inference would otherwise occur.</w:t>
      </w:r>
      <w:r>
        <w:rPr>
          <w:i w:val="0"/>
        </w:rPr>
        <w:t xml:space="preserve"> </w:t>
      </w:r>
      <w:r>
        <w:rPr>
          <w:rFonts w:ascii="DejaVu Sans Mono" w:eastAsia="DejaVu Sans Mono" w:hAnsi="DejaVu Sans Mono"/>
          <w:i w:val="0"/>
          <w:color w:val="34495E"/>
          <w:sz w:val="19"/>
          <w:shd w:val="clear" w:color="auto" w:fill="EEF2F5"/>
        </w:rPr>
        <w:t>[LB-rule / NEW]</w:t>
      </w:r>
      <w:r>
        <w:rPr>
          <w:i w:val="0"/>
        </w:rPr>
        <w:t>.</w:t>
      </w:r>
    </w:p>
    <w:p w14:paraId="7AB527DD" w14:textId="77777777" w:rsidR="0033727D" w:rsidRDefault="00000000">
      <w:r>
        <w:t xml:space="preserve">This distinguishes two classes of remedy. A </w:t>
      </w:r>
      <w:r>
        <w:rPr>
          <w:b/>
        </w:rPr>
        <w:t>prose remedy</w:t>
      </w:r>
      <w:r>
        <w:t xml:space="preserve"> says what ought to be carried, checked, or refused; an </w:t>
      </w:r>
      <w:r>
        <w:rPr>
          <w:b/>
        </w:rPr>
        <w:t>installed remedy</w:t>
      </w:r>
      <w:r>
        <w:t xml:space="preserve"> makes omission mechanically detectable. The former remains vulnerable to exactly the failure it names. </w:t>
      </w:r>
      <w:r>
        <w:rPr>
          <w:i/>
        </w:rPr>
        <w:t>A type system nobody executes is a paragraph.</w:t>
      </w:r>
    </w:p>
    <w:p w14:paraId="12C73F9A" w14:textId="77777777" w:rsidR="0033727D" w:rsidRDefault="00000000">
      <w:r>
        <w:t xml:space="preserve">The counterfactual-closure test of §8 is the one remedy developed here that meets the standard — not because it is more correct than the jurisdiction rule, but because </w:t>
      </w:r>
      <w:r>
        <w:rPr>
          <w:b/>
        </w:rPr>
        <w:t>it can run</w:t>
      </w:r>
      <w:r>
        <w:t xml:space="preserve">. The corpus's own jurisdiction clauses, provenance classes, independence requirements, witness obligations, and declared metrics should therefore become </w:t>
      </w:r>
      <w:r>
        <w:rPr>
          <w:b/>
        </w:rPr>
        <w:t>executable fields and validation rules</w:t>
      </w:r>
      <w:r>
        <w:t xml:space="preserve"> rather than cautions embedded in prose. That is the framework's next step: not another statement of discipline, but a discipline that can refuse its own recurring errors.</w:t>
      </w:r>
    </w:p>
    <w:p w14:paraId="00DFA33B" w14:textId="77777777" w:rsidR="0033727D" w:rsidRDefault="00000000">
      <w:pPr>
        <w:pStyle w:val="Heading1"/>
        <w:pBdr>
          <w:bottom w:val="single" w:sz="5" w:space="4" w:color="C5CFD8"/>
        </w:pBdr>
      </w:pPr>
      <w:r>
        <w:rPr>
          <w:rFonts w:ascii="Liberation Serif" w:eastAsia="Liberation Serif" w:hAnsi="Liberation Serif"/>
          <w:b w:val="0"/>
        </w:rPr>
        <w:lastRenderedPageBreak/>
        <w:t>11. Tiers, Fences, and Falsifiable Predictions</w:t>
      </w:r>
    </w:p>
    <w:p w14:paraId="1E85CF53" w14:textId="77777777" w:rsidR="0033727D" w:rsidRDefault="00000000">
      <w:pPr>
        <w:spacing w:before="120"/>
      </w:pPr>
      <w:r>
        <w:rPr>
          <w:b/>
        </w:rPr>
        <w:t>Fences.</w:t>
      </w:r>
      <w:r>
        <w:t xml:space="preserve"> </w:t>
      </w:r>
      <w:r>
        <w:rPr>
          <w:i/>
        </w:rPr>
        <w:t>Provenance:</w:t>
      </w:r>
      <w:r>
        <w:t xml:space="preserve"> RDFS/OWL semantics, explosion, and graph-sheaf cohomology are imported and cited; the transposed architecture is marked transposed. </w:t>
      </w:r>
      <w:r>
        <w:rPr>
          <w:i/>
        </w:rPr>
        <w:t>Isomorphism, not identity:</w:t>
      </w:r>
      <w:r>
        <w:t xml:space="preserve"> no claim is made that anterior temporal cortex computes entailment closure — only that relation-driven typing is a candidate description of its behaviour. </w:t>
      </w:r>
      <w:r>
        <w:rPr>
          <w:i/>
        </w:rPr>
        <w:t>Earned geometry:</w:t>
      </w:r>
      <w:r>
        <w:t xml:space="preserve"> §7's topological claim travels with the jurisdiction that makes it true.</w:t>
      </w:r>
    </w:p>
    <w:p w14:paraId="0E6F622C" w14:textId="77777777" w:rsidR="0033727D" w:rsidRDefault="00000000">
      <w:pPr>
        <w:spacing w:before="120"/>
      </w:pPr>
      <w:r>
        <w:rPr>
          <w:b/>
        </w:rPr>
        <w:t>Falsifiable predictions.</w:t>
      </w:r>
    </w:p>
    <w:p w14:paraId="6215E7BE" w14:textId="77777777" w:rsidR="0033727D" w:rsidRDefault="00000000">
      <w:pPr>
        <w:ind w:left="490" w:hanging="403"/>
      </w:pPr>
      <w:r>
        <w:rPr>
          <w:b/>
        </w:rPr>
        <w:t>1.  Relational typing.</w:t>
      </w:r>
      <w:r>
        <w:t xml:space="preserve"> If relational position never classifies an unfamiliar participant — if type judgements always require independent featural evidence — the entailment reading fails and the hub is a labeller.</w:t>
      </w:r>
    </w:p>
    <w:p w14:paraId="7D685D97" w14:textId="77777777" w:rsidR="0033727D" w:rsidRDefault="00000000">
      <w:pPr>
        <w:ind w:left="490" w:hanging="403"/>
      </w:pPr>
      <w:r>
        <w:rPr>
          <w:b/>
        </w:rPr>
        <w:t>2.  Merge contamination.</w:t>
      </w:r>
      <w:r>
        <w:t xml:space="preserve"> Forced identifications from functional relations should propagate to other properties. If they do not, the guarded-functionality remedy is unnecessary.</w:t>
      </w:r>
    </w:p>
    <w:p w14:paraId="27DB723A" w14:textId="77777777" w:rsidR="0033727D" w:rsidRDefault="00000000">
      <w:pPr>
        <w:ind w:left="490" w:hanging="403"/>
      </w:pPr>
      <w:r>
        <w:rPr>
          <w:b/>
        </w:rPr>
        <w:t>3.  The dissociation.</w:t>
      </w:r>
      <w:r>
        <w:t xml:space="preserve"> </w:t>
      </w:r>
      <w:r>
        <w:rPr>
          <w:i/>
        </w:rPr>
        <w:t>(§7's prediction.)</w:t>
      </w:r>
      <w:r>
        <w:t xml:space="preserve"> Hub-centred architectures should selectively lose cycle-dependent global non-integrability while retaining pairwise typing. If both fail together, or neither does, the cycle-jurisdiction reading is wrong.</w:t>
      </w:r>
    </w:p>
    <w:p w14:paraId="28B9E507" w14:textId="77777777" w:rsidR="0033727D" w:rsidRDefault="00000000">
      <w:pPr>
        <w:ind w:left="490" w:hanging="403"/>
      </w:pPr>
      <w:r>
        <w:rPr>
          <w:b/>
        </w:rPr>
        <w:t>4.  Non-monotonic revision.</w:t>
      </w:r>
      <w:r>
        <w:t xml:space="preserve"> If human semantic revision were shown to be monotonic, §2's limit dissolves and the knowledge-graph analogy is exact.</w:t>
      </w:r>
    </w:p>
    <w:p w14:paraId="7E93FBBB" w14:textId="77777777" w:rsidR="0033727D" w:rsidRDefault="00000000">
      <w:pPr>
        <w:ind w:left="490" w:hanging="403"/>
      </w:pPr>
      <w:r>
        <w:rPr>
          <w:b/>
        </w:rPr>
        <w:t>5.  The methodological claim.</w:t>
      </w:r>
      <w:r>
        <w:t xml:space="preserve"> </w:t>
      </w:r>
      <w:r>
        <w:rPr>
          <w:i/>
        </w:rPr>
        <w:t>(The load-bearing one.)</w:t>
      </w:r>
      <w:r>
        <w:t xml:space="preserve"> Corpora that convert load-bearing corrections into executable checks should show </w:t>
      </w:r>
      <w:r>
        <w:rPr>
          <w:b/>
        </w:rPr>
        <w:t>lower recurrence rates</w:t>
      </w:r>
      <w:r>
        <w:t xml:space="preserve"> for those corrections than corpora that record them in prose. This is measurable on any maintained body of work, including this one, and it is the claim on which §10 stands or falls.</w:t>
      </w:r>
    </w:p>
    <w:p w14:paraId="0E2D2BFF" w14:textId="77777777" w:rsidR="0033727D" w:rsidRDefault="00000000">
      <w:pPr>
        <w:spacing w:before="120"/>
      </w:pPr>
      <w:r>
        <w:rPr>
          <w:b/>
        </w:rPr>
        <w:t>Refuters.</w:t>
      </w:r>
      <w:r>
        <w:t xml:space="preserve"> If every decomposition arising in practice has surjective </w:t>
      </w:r>
      <w:r>
        <w:rPr>
          <w:rFonts w:ascii="DejaVu Sans Mono" w:eastAsia="DejaVu Sans Mono" w:hAnsi="DejaVu Sans Mono"/>
          <w:color w:val="34495E"/>
          <w:sz w:val="20"/>
          <w:shd w:val="clear" w:color="auto" w:fill="EEF2F5"/>
        </w:rPr>
        <w:t>δ⁰</w:t>
      </w:r>
      <w:r>
        <w:t>, §7's caveat is idle. If all cortical semantic operations are locally implementable, §6's seam taxonomy collapses to two cases. If the counterfactual-closure test rejects axioms that independent evidence in fact supports, its specificity is too low to install.</w:t>
      </w:r>
    </w:p>
    <w:p w14:paraId="75FDA13D" w14:textId="77777777" w:rsidR="0033727D" w:rsidRDefault="00000000">
      <w:pPr>
        <w:spacing w:before="120"/>
      </w:pPr>
      <w:r>
        <w:rPr>
          <w:b/>
        </w:rPr>
        <w:t>Open debt — the explosion fork.</w:t>
      </w:r>
      <w:r>
        <w:t xml:space="preserve"> </w:t>
      </w:r>
      <w:r>
        <w:rPr>
          <w:rFonts w:ascii="DejaVu Sans Mono" w:eastAsia="DejaVu Sans Mono" w:hAnsi="DejaVu Sans Mono"/>
          <w:color w:val="34495E"/>
          <w:sz w:val="20"/>
          <w:shd w:val="clear" w:color="auto" w:fill="EEF2F5"/>
        </w:rPr>
        <w:t>[DEBT]</w:t>
      </w:r>
      <w:r>
        <w:t xml:space="preserve"> Independent of the neuroscience, the cortical analogue </w:t>
      </w:r>
      <w:r>
        <w:rPr>
          <w:b/>
        </w:rPr>
        <w:t>cannot</w:t>
      </w:r>
      <w:r>
        <w:t xml:space="preserve"> be unrestricted classical closure over one undivided theory, since a single contradiction would trivialize the entire entailment relation. Three viable designs: </w:t>
      </w:r>
      <w:r>
        <w:rPr>
          <w:b/>
        </w:rPr>
        <w:t>context-indexed classical theories</w:t>
      </w:r>
      <w:r>
        <w:t xml:space="preserve"> </w:t>
      </w:r>
      <w:r>
        <w:rPr>
          <w:rFonts w:ascii="DejaVu Sans Mono" w:eastAsia="DejaVu Sans Mono" w:hAnsi="DejaVu Sans Mono"/>
          <w:color w:val="34495E"/>
          <w:sz w:val="20"/>
          <w:shd w:val="clear" w:color="auto" w:fill="EEF2F5"/>
        </w:rPr>
        <w:t>(A_U, O_U)</w:t>
      </w:r>
      <w:r>
        <w:t xml:space="preserve"> with closure inside the active jurisdiction, so a contradiction invalidates </w:t>
      </w:r>
      <w:r>
        <w:rPr>
          <w:rFonts w:ascii="DejaVu Sans Mono" w:eastAsia="DejaVu Sans Mono" w:hAnsi="DejaVu Sans Mono"/>
          <w:color w:val="34495E"/>
          <w:sz w:val="20"/>
          <w:shd w:val="clear" w:color="auto" w:fill="EEF2F5"/>
        </w:rPr>
        <w:t>U</w:t>
      </w:r>
      <w:r>
        <w:t xml:space="preserve"> and gluing between jurisdictions becomes the audit problem; </w:t>
      </w:r>
      <w:r>
        <w:rPr>
          <w:b/>
        </w:rPr>
        <w:t>paraconsistent entailment</w:t>
      </w:r>
      <w:r>
        <w:t xml:space="preserve">, retaining contradiction as information; and </w:t>
      </w:r>
      <w:r>
        <w:rPr>
          <w:b/>
        </w:rPr>
        <w:t>four-valued provenance-indexed semantics</w:t>
      </w:r>
      <w:r>
        <w:t>, where a claim may be supported, refuted, both, or neither with the provenance of each explicit. The third is most compatible with this framework, since a contradiction can remain unresolved without being erased or released. The proposal must state which.</w:t>
      </w:r>
    </w:p>
    <w:p w14:paraId="1E1F8591" w14:textId="77777777" w:rsidR="0033727D" w:rsidRDefault="0033727D">
      <w:pPr>
        <w:pBdr>
          <w:bottom w:val="single" w:sz="4" w:space="1" w:color="CBD3DA"/>
        </w:pBdr>
        <w:spacing w:before="80"/>
      </w:pPr>
    </w:p>
    <w:p w14:paraId="3C237275" w14:textId="74F83468" w:rsidR="0033727D" w:rsidRDefault="00000000" w:rsidP="00130F63">
      <w:r>
        <w:rPr>
          <w:sz w:val="32"/>
        </w:rPr>
        <w:t>Appendix A — The Demonstrator</w:t>
      </w:r>
    </w:p>
    <w:p w14:paraId="36EACF31" w14:textId="77777777" w:rsidR="0033727D" w:rsidRDefault="00000000">
      <w:r>
        <w:t>Six computations, each elementary and independently checkable.</w:t>
      </w:r>
    </w:p>
    <w:p w14:paraId="691B58B9" w14:textId="77777777" w:rsidR="0033727D" w:rsidRDefault="00000000">
      <w:r>
        <w:rPr>
          <w:b/>
        </w:rPr>
        <w:t>§2 — entailment and monotonicity.</w:t>
      </w:r>
      <w:r>
        <w:t xml:space="preserve"> From </w:t>
      </w:r>
      <w:r>
        <w:rPr>
          <w:rFonts w:ascii="DejaVu Sans Mono" w:eastAsia="DejaVu Sans Mono" w:hAnsi="DejaVu Sans Mono"/>
          <w:color w:val="34495E"/>
          <w:sz w:val="20"/>
          <w:shd w:val="clear" w:color="auto" w:fill="EEF2F5"/>
        </w:rPr>
        <w:t>{alice operates M1}</w:t>
      </w:r>
      <w:r>
        <w:t xml:space="preserve"> with </w:t>
      </w:r>
      <w:r>
        <w:rPr>
          <w:rFonts w:ascii="DejaVu Sans Mono" w:eastAsia="DejaVu Sans Mono" w:hAnsi="DejaVu Sans Mono"/>
          <w:color w:val="34495E"/>
          <w:sz w:val="20"/>
          <w:shd w:val="clear" w:color="auto" w:fill="EEF2F5"/>
        </w:rPr>
        <w:t>domain(operates) = Agent</w:t>
      </w:r>
      <w:r>
        <w:t xml:space="preserve">, </w:t>
      </w:r>
      <w:r>
        <w:rPr>
          <w:rFonts w:ascii="DejaVu Sans Mono" w:eastAsia="DejaVu Sans Mono" w:hAnsi="DejaVu Sans Mono"/>
          <w:color w:val="34495E"/>
          <w:sz w:val="20"/>
          <w:shd w:val="clear" w:color="auto" w:fill="EEF2F5"/>
        </w:rPr>
        <w:t>range(operates) = Machine</w:t>
      </w:r>
      <w:r>
        <w:t xml:space="preserve">: entailed </w:t>
      </w:r>
      <w:r>
        <w:rPr>
          <w:rFonts w:ascii="DejaVu Sans Mono" w:eastAsia="DejaVu Sans Mono" w:hAnsi="DejaVu Sans Mono"/>
          <w:color w:val="34495E"/>
          <w:sz w:val="20"/>
          <w:shd w:val="clear" w:color="auto" w:fill="EEF2F5"/>
        </w:rPr>
        <w:t>{alice type Agent, M1 type Machine}</w:t>
      </w:r>
      <w:r>
        <w:t xml:space="preserve">. Adding </w:t>
      </w:r>
      <w:r>
        <w:rPr>
          <w:rFonts w:ascii="DejaVu Sans Mono" w:eastAsia="DejaVu Sans Mono" w:hAnsi="DejaVu Sans Mono"/>
          <w:color w:val="34495E"/>
          <w:sz w:val="20"/>
          <w:shd w:val="clear" w:color="auto" w:fill="EEF2F5"/>
        </w:rPr>
        <w:t>{bob operates M2}</w:t>
      </w:r>
      <w:r>
        <w:t xml:space="preserve"> yields a closure containing the first — </w:t>
      </w:r>
      <w:r>
        <w:rPr>
          <w:rFonts w:ascii="DejaVu Sans Mono" w:eastAsia="DejaVu Sans Mono" w:hAnsi="DejaVu Sans Mono"/>
          <w:color w:val="34495E"/>
          <w:sz w:val="20"/>
          <w:shd w:val="clear" w:color="auto" w:fill="EEF2F5"/>
        </w:rPr>
        <w:t>Cl_O(A) ⊆ Cl_O(B)</w:t>
      </w:r>
      <w:r>
        <w:t xml:space="preserve"> confirmed.</w:t>
      </w:r>
    </w:p>
    <w:p w14:paraId="5927ADD0" w14:textId="77777777" w:rsidR="0033727D" w:rsidRDefault="00000000">
      <w:r>
        <w:rPr>
          <w:b/>
        </w:rPr>
        <w:t>§3 — the merge hazard.</w:t>
      </w:r>
      <w:r>
        <w:t xml:space="preserve"> With </w:t>
      </w:r>
      <w:r>
        <w:rPr>
          <w:rFonts w:ascii="DejaVu Sans Mono" w:eastAsia="DejaVu Sans Mono" w:hAnsi="DejaVu Sans Mono"/>
          <w:color w:val="34495E"/>
          <w:sz w:val="20"/>
          <w:shd w:val="clear" w:color="auto" w:fill="EEF2F5"/>
        </w:rPr>
        <w:t>Functional(hasBiologicalMother)</w:t>
      </w:r>
      <w:r>
        <w:t xml:space="preserve"> and two asserted mothers, the forced merge yields a single individual with </w:t>
      </w:r>
      <w:r>
        <w:rPr>
          <w:rFonts w:ascii="DejaVu Sans Mono" w:eastAsia="DejaVu Sans Mono" w:hAnsi="DejaVu Sans Mono"/>
          <w:color w:val="34495E"/>
          <w:sz w:val="20"/>
          <w:shd w:val="clear" w:color="auto" w:fill="EEF2F5"/>
        </w:rPr>
        <w:t>livesIn Delhi</w:t>
      </w:r>
      <w:r>
        <w:t xml:space="preserve"> and </w:t>
      </w:r>
      <w:r>
        <w:rPr>
          <w:rFonts w:ascii="DejaVu Sans Mono" w:eastAsia="DejaVu Sans Mono" w:hAnsi="DejaVu Sans Mono"/>
          <w:color w:val="34495E"/>
          <w:sz w:val="20"/>
          <w:shd w:val="clear" w:color="auto" w:fill="EEF2F5"/>
        </w:rPr>
        <w:t>livesIn Mumbai</w:t>
      </w:r>
      <w:r>
        <w:t xml:space="preserve">, </w:t>
      </w:r>
      <w:r>
        <w:rPr>
          <w:rFonts w:ascii="DejaVu Sans Mono" w:eastAsia="DejaVu Sans Mono" w:hAnsi="DejaVu Sans Mono"/>
          <w:color w:val="34495E"/>
          <w:sz w:val="20"/>
          <w:shd w:val="clear" w:color="auto" w:fill="EEF2F5"/>
        </w:rPr>
        <w:t>bornIn 1970</w:t>
      </w:r>
      <w:r>
        <w:t xml:space="preserve"> and </w:t>
      </w:r>
      <w:r>
        <w:rPr>
          <w:rFonts w:ascii="DejaVu Sans Mono" w:eastAsia="DejaVu Sans Mono" w:hAnsi="DejaVu Sans Mono"/>
          <w:color w:val="34495E"/>
          <w:sz w:val="20"/>
          <w:shd w:val="clear" w:color="auto" w:fill="EEF2F5"/>
        </w:rPr>
        <w:t>bornIn 1985</w:t>
      </w:r>
      <w:r>
        <w:t>.</w:t>
      </w:r>
    </w:p>
    <w:p w14:paraId="6243E106" w14:textId="77777777" w:rsidR="0033727D" w:rsidRDefault="00000000">
      <w:r>
        <w:rPr>
          <w:b/>
        </w:rPr>
        <w:t>§4 — explosion.</w:t>
      </w:r>
      <w:r>
        <w:t xml:space="preserve"> An inconsistent theory (</w:t>
      </w:r>
      <w:r>
        <w:rPr>
          <w:rFonts w:ascii="DejaVu Sans Mono" w:eastAsia="DejaVu Sans Mono" w:hAnsi="DejaVu Sans Mono"/>
          <w:color w:val="34495E"/>
          <w:sz w:val="20"/>
          <w:shd w:val="clear" w:color="auto" w:fill="EEF2F5"/>
        </w:rPr>
        <w:t>M1</w:t>
      </w:r>
      <w:r>
        <w:t xml:space="preserve"> entailed both </w:t>
      </w:r>
      <w:r>
        <w:rPr>
          <w:rFonts w:ascii="DejaVu Sans Mono" w:eastAsia="DejaVu Sans Mono" w:hAnsi="DejaVu Sans Mono"/>
          <w:color w:val="34495E"/>
          <w:sz w:val="20"/>
          <w:shd w:val="clear" w:color="auto" w:fill="EEF2F5"/>
        </w:rPr>
        <w:t>Machine</w:t>
      </w:r>
      <w:r>
        <w:t xml:space="preserve"> and </w:t>
      </w:r>
      <w:r>
        <w:rPr>
          <w:rFonts w:ascii="DejaVu Sans Mono" w:eastAsia="DejaVu Sans Mono" w:hAnsi="DejaVu Sans Mono"/>
          <w:color w:val="34495E"/>
          <w:sz w:val="20"/>
          <w:shd w:val="clear" w:color="auto" w:fill="EEF2F5"/>
        </w:rPr>
        <w:t>Agent</w:t>
      </w:r>
      <w:r>
        <w:t xml:space="preserve">, declared disjoint) entails </w:t>
      </w:r>
      <w:r>
        <w:rPr>
          <w:rFonts w:ascii="DejaVu Sans Mono" w:eastAsia="DejaVu Sans Mono" w:hAnsi="DejaVu Sans Mono"/>
          <w:color w:val="34495E"/>
          <w:sz w:val="20"/>
          <w:shd w:val="clear" w:color="auto" w:fill="EEF2F5"/>
        </w:rPr>
        <w:t>moon type Cheese</w:t>
      </w:r>
      <w:r>
        <w:t xml:space="preserve">, </w:t>
      </w:r>
      <w:r>
        <w:rPr>
          <w:rFonts w:ascii="DejaVu Sans Mono" w:eastAsia="DejaVu Sans Mono" w:hAnsi="DejaVu Sans Mono"/>
          <w:color w:val="34495E"/>
          <w:sz w:val="20"/>
          <w:shd w:val="clear" w:color="auto" w:fill="EEF2F5"/>
        </w:rPr>
        <w:t>7 type Prime</w:t>
      </w:r>
      <w:r>
        <w:t>, and every other queried sentence.</w:t>
      </w:r>
    </w:p>
    <w:p w14:paraId="611C8290" w14:textId="77777777" w:rsidR="0033727D" w:rsidRDefault="00000000">
      <w:r>
        <w:rPr>
          <w:b/>
        </w:rPr>
        <w:t>§5 — closure cost.</w:t>
      </w:r>
      <w:r>
        <w:t xml:space="preserve"> Chains of length </w:t>
      </w:r>
      <w:r>
        <w:rPr>
          <w:rFonts w:ascii="DejaVu Sans Mono" w:eastAsia="DejaVu Sans Mono" w:hAnsi="DejaVu Sans Mono"/>
          <w:color w:val="34495E"/>
          <w:sz w:val="20"/>
          <w:shd w:val="clear" w:color="auto" w:fill="EEF2F5"/>
        </w:rPr>
        <w:t>8, 16, 32</w:t>
      </w:r>
      <w:r>
        <w:t xml:space="preserve"> yield </w:t>
      </w:r>
      <w:r>
        <w:rPr>
          <w:rFonts w:ascii="DejaVu Sans Mono" w:eastAsia="DejaVu Sans Mono" w:hAnsi="DejaVu Sans Mono"/>
          <w:color w:val="34495E"/>
          <w:sz w:val="20"/>
          <w:shd w:val="clear" w:color="auto" w:fill="EEF2F5"/>
        </w:rPr>
        <w:t>36, 136, 528</w:t>
      </w:r>
      <w:r>
        <w:t xml:space="preserve"> entailed pairs: </w:t>
      </w:r>
      <w:r>
        <w:rPr>
          <w:rFonts w:ascii="DejaVu Sans Mono" w:eastAsia="DejaVu Sans Mono" w:hAnsi="DejaVu Sans Mono"/>
          <w:color w:val="34495E"/>
          <w:sz w:val="20"/>
          <w:shd w:val="clear" w:color="auto" w:fill="EEF2F5"/>
        </w:rPr>
        <w:t>4.5×</w:t>
      </w:r>
      <w:r>
        <w:t xml:space="preserve">, </w:t>
      </w:r>
      <w:r>
        <w:rPr>
          <w:rFonts w:ascii="DejaVu Sans Mono" w:eastAsia="DejaVu Sans Mono" w:hAnsi="DejaVu Sans Mono"/>
          <w:color w:val="34495E"/>
          <w:sz w:val="20"/>
          <w:shd w:val="clear" w:color="auto" w:fill="EEF2F5"/>
        </w:rPr>
        <w:t>8.5×</w:t>
      </w:r>
      <w:r>
        <w:t xml:space="preserve">, </w:t>
      </w:r>
      <w:r>
        <w:rPr>
          <w:rFonts w:ascii="DejaVu Sans Mono" w:eastAsia="DejaVu Sans Mono" w:hAnsi="DejaVu Sans Mono"/>
          <w:color w:val="34495E"/>
          <w:sz w:val="20"/>
          <w:shd w:val="clear" w:color="auto" w:fill="EEF2F5"/>
        </w:rPr>
        <w:t>16.5×</w:t>
      </w:r>
      <w:r>
        <w:t>.</w:t>
      </w:r>
    </w:p>
    <w:p w14:paraId="1DC9B0EC" w14:textId="77777777" w:rsidR="0033727D" w:rsidRDefault="00000000">
      <w:r>
        <w:rPr>
          <w:b/>
        </w:rPr>
        <w:t>§7 — the star.</w:t>
      </w:r>
      <w:r>
        <w:t xml:space="preserve"> </w:t>
      </w:r>
      <w:r>
        <w:rPr>
          <w:rFonts w:ascii="DejaVu Sans Mono" w:eastAsia="DejaVu Sans Mono" w:hAnsi="DejaVu Sans Mono"/>
          <w:color w:val="34495E"/>
          <w:sz w:val="20"/>
          <w:shd w:val="clear" w:color="auto" w:fill="EEF2F5"/>
        </w:rPr>
        <w:t>n = 4, 8, 16</w:t>
      </w:r>
      <w:r>
        <w:t xml:space="preserve"> spokes give </w:t>
      </w:r>
      <w:r>
        <w:rPr>
          <w:rFonts w:ascii="DejaVu Sans Mono" w:eastAsia="DejaVu Sans Mono" w:hAnsi="DejaVu Sans Mono"/>
          <w:color w:val="34495E"/>
          <w:sz w:val="20"/>
          <w:shd w:val="clear" w:color="auto" w:fill="EEF2F5"/>
        </w:rPr>
        <w:t>β₁ = 0</w:t>
      </w:r>
      <w:r>
        <w:t xml:space="preserve"> in every case. On the </w:t>
      </w:r>
      <w:r>
        <w:rPr>
          <w:rFonts w:ascii="DejaVu Sans Mono" w:eastAsia="DejaVu Sans Mono" w:hAnsi="DejaVu Sans Mono"/>
          <w:color w:val="34495E"/>
          <w:sz w:val="20"/>
          <w:shd w:val="clear" w:color="auto" w:fill="EEF2F5"/>
        </w:rPr>
        <w:t>n = 4</w:t>
      </w:r>
      <w:r>
        <w:t xml:space="preserve"> star: identity restrictions give </w:t>
      </w:r>
      <w:r>
        <w:rPr>
          <w:rFonts w:ascii="DejaVu Sans Mono" w:eastAsia="DejaVu Sans Mono" w:hAnsi="DejaVu Sans Mono"/>
          <w:color w:val="34495E"/>
          <w:sz w:val="20"/>
          <w:shd w:val="clear" w:color="auto" w:fill="EEF2F5"/>
        </w:rPr>
        <w:t>dim H¹ = 0</w:t>
      </w:r>
      <w:r>
        <w:t xml:space="preserve">; both restrictions zero give </w:t>
      </w:r>
      <w:r>
        <w:rPr>
          <w:rFonts w:ascii="DejaVu Sans Mono" w:eastAsia="DejaVu Sans Mono" w:hAnsi="DejaVu Sans Mono"/>
          <w:color w:val="34495E"/>
          <w:sz w:val="20"/>
          <w:shd w:val="clear" w:color="auto" w:fill="EEF2F5"/>
        </w:rPr>
        <w:t>dim H¹ = 4</w:t>
      </w:r>
      <w:r>
        <w:t>.</w:t>
      </w:r>
    </w:p>
    <w:p w14:paraId="5D9502B5" w14:textId="77777777" w:rsidR="0033727D" w:rsidRDefault="00000000">
      <w:r>
        <w:rPr>
          <w:b/>
        </w:rPr>
        <w:lastRenderedPageBreak/>
        <w:t>§8 — the promotion test.</w:t>
      </w:r>
      <w:r>
        <w:t xml:space="preserve"> </w:t>
      </w:r>
      <w:r>
        <w:rPr>
          <w:rFonts w:ascii="DejaVu Sans Mono" w:eastAsia="DejaVu Sans Mono" w:hAnsi="DejaVu Sans Mono"/>
          <w:color w:val="34495E"/>
          <w:sz w:val="20"/>
          <w:shd w:val="clear" w:color="auto" w:fill="EEF2F5"/>
        </w:rPr>
        <w:t>Δ_a = {alice type Agent}</w:t>
      </w:r>
      <w:r>
        <w:t xml:space="preserve">. Support </w:t>
      </w:r>
      <w:r>
        <w:rPr>
          <w:rFonts w:ascii="DejaVu Sans Mono" w:eastAsia="DejaVu Sans Mono" w:hAnsi="DejaVu Sans Mono"/>
          <w:color w:val="34495E"/>
          <w:sz w:val="20"/>
          <w:shd w:val="clear" w:color="auto" w:fill="EEF2F5"/>
        </w:rPr>
        <w:t>{alice type Agent}</w:t>
      </w:r>
      <w:r>
        <w:t xml:space="preserve"> → licensed </w:t>
      </w:r>
      <w:r>
        <w:rPr>
          <w:rFonts w:ascii="DejaVu Sans Mono" w:eastAsia="DejaVu Sans Mono" w:hAnsi="DejaVu Sans Mono"/>
          <w:color w:val="34495E"/>
          <w:sz w:val="20"/>
          <w:shd w:val="clear" w:color="auto" w:fill="EEF2F5"/>
        </w:rPr>
        <w:t>False</w:t>
      </w:r>
      <w:r>
        <w:t xml:space="preserve">. Support </w:t>
      </w:r>
      <w:r>
        <w:rPr>
          <w:rFonts w:ascii="DejaVu Sans Mono" w:eastAsia="DejaVu Sans Mono" w:hAnsi="DejaVu Sans Mono"/>
          <w:color w:val="34495E"/>
          <w:sz w:val="20"/>
          <w:shd w:val="clear" w:color="auto" w:fill="EEF2F5"/>
        </w:rPr>
        <w:t>{observed alice acting_as_agent}</w:t>
      </w:r>
      <w:r>
        <w:t xml:space="preserve"> → licensed </w:t>
      </w:r>
      <w:r>
        <w:rPr>
          <w:rFonts w:ascii="DejaVu Sans Mono" w:eastAsia="DejaVu Sans Mono" w:hAnsi="DejaVu Sans Mono"/>
          <w:color w:val="34495E"/>
          <w:sz w:val="20"/>
          <w:shd w:val="clear" w:color="auto" w:fill="EEF2F5"/>
        </w:rPr>
        <w:t>True</w:t>
      </w:r>
      <w:r>
        <w:t>.</w:t>
      </w:r>
    </w:p>
    <w:p w14:paraId="6481A415" w14:textId="7576549E" w:rsidR="0033727D" w:rsidRDefault="00000000">
      <w:r>
        <w:t>Change the ontology, the restrictions, or the support set and rerun; you are watching a discipline decide what it is entitled to conclude.</w:t>
      </w:r>
    </w:p>
    <w:p w14:paraId="5C80B5B5" w14:textId="77777777" w:rsidR="0033727D" w:rsidRDefault="00000000">
      <w:pPr>
        <w:pStyle w:val="Heading1"/>
        <w:pBdr>
          <w:bottom w:val="single" w:sz="5" w:space="4" w:color="C5CFD8"/>
        </w:pBdr>
      </w:pPr>
      <w:r>
        <w:rPr>
          <w:rFonts w:ascii="Liberation Serif" w:eastAsia="Liberation Serif" w:hAnsi="Liberation Serif"/>
          <w:b w:val="0"/>
        </w:rPr>
        <w:t>References</w:t>
      </w:r>
    </w:p>
    <w:p w14:paraId="50C7D92A" w14:textId="77777777" w:rsidR="0033727D" w:rsidRDefault="00000000">
      <w:pPr>
        <w:keepNext/>
        <w:spacing w:before="160" w:after="60"/>
      </w:pPr>
      <w:r>
        <w:rPr>
          <w:i/>
          <w:sz w:val="20"/>
        </w:rPr>
        <w:t>Specifications and formal semantics.</w:t>
      </w:r>
    </w:p>
    <w:p w14:paraId="1DE2F621" w14:textId="77777777" w:rsidR="0033727D" w:rsidRDefault="00000000">
      <w:pPr>
        <w:pStyle w:val="Reference"/>
      </w:pPr>
      <w:r>
        <w:t xml:space="preserve">Baader, F., Calvanese, D., McGuinness, D., Nardi, D., &amp; Patel-Schneider, P. (Eds.) (2003). </w:t>
      </w:r>
      <w:r>
        <w:rPr>
          <w:i/>
        </w:rPr>
        <w:t>The Description Logic Handbook.</w:t>
      </w:r>
      <w:r>
        <w:t xml:space="preserve"> Cambridge University Press.</w:t>
      </w:r>
    </w:p>
    <w:p w14:paraId="2709099C" w14:textId="77777777" w:rsidR="0033727D" w:rsidRDefault="00000000">
      <w:pPr>
        <w:pStyle w:val="Reference"/>
      </w:pPr>
      <w:r>
        <w:t xml:space="preserve">Hitzler, P., Krötzsch, M., Parsia, B., Patel-Schneider, P., &amp; Rudolph, S. (Eds.) (2012). </w:t>
      </w:r>
      <w:r>
        <w:rPr>
          <w:i/>
        </w:rPr>
        <w:t>OWL 2 Web Ontology Language Primer</w:t>
      </w:r>
      <w:r>
        <w:t xml:space="preserve"> (2nd ed.). W3C Recommendation.</w:t>
      </w:r>
    </w:p>
    <w:p w14:paraId="20C2734D" w14:textId="77777777" w:rsidR="0033727D" w:rsidRDefault="00000000">
      <w:pPr>
        <w:pStyle w:val="Reference"/>
      </w:pPr>
      <w:r>
        <w:t xml:space="preserve">Brickley, D., &amp; Guha, R. V. (Eds.) (2014). </w:t>
      </w:r>
      <w:r>
        <w:rPr>
          <w:i/>
        </w:rPr>
        <w:t>RDF Schema 1.1.</w:t>
      </w:r>
      <w:r>
        <w:t xml:space="preserve"> W3C Recommendation.</w:t>
      </w:r>
    </w:p>
    <w:p w14:paraId="5ECE0B57" w14:textId="77777777" w:rsidR="0033727D" w:rsidRDefault="00000000">
      <w:pPr>
        <w:pStyle w:val="Reference"/>
      </w:pPr>
      <w:r>
        <w:t xml:space="preserve">Priest, G. (2002). Paraconsistent logic. In </w:t>
      </w:r>
      <w:r>
        <w:rPr>
          <w:i/>
        </w:rPr>
        <w:t>Handbook of Philosophical Logic</w:t>
      </w:r>
      <w:r>
        <w:t xml:space="preserve"> (2nd ed., Vol. 6). Kluwer.</w:t>
      </w:r>
    </w:p>
    <w:p w14:paraId="2195F58E" w14:textId="77777777" w:rsidR="0033727D" w:rsidRDefault="00000000">
      <w:pPr>
        <w:pStyle w:val="Reference"/>
      </w:pPr>
      <w:r>
        <w:t xml:space="preserve">Belnap, N. D. (1977). A useful four-valued logic. In </w:t>
      </w:r>
      <w:r>
        <w:rPr>
          <w:i/>
        </w:rPr>
        <w:t>Modern Uses of Multiple-Valued Logic.</w:t>
      </w:r>
      <w:r>
        <w:t xml:space="preserve"> Reidel.</w:t>
      </w:r>
    </w:p>
    <w:p w14:paraId="10FA001C" w14:textId="77777777" w:rsidR="0033727D" w:rsidRDefault="00000000">
      <w:pPr>
        <w:keepNext/>
        <w:spacing w:before="160" w:after="60"/>
      </w:pPr>
      <w:r>
        <w:rPr>
          <w:i/>
          <w:sz w:val="20"/>
        </w:rPr>
        <w:t>Applied topology and sheaves.</w:t>
      </w:r>
    </w:p>
    <w:p w14:paraId="61E2FC80" w14:textId="77777777" w:rsidR="0033727D" w:rsidRDefault="00000000">
      <w:pPr>
        <w:pStyle w:val="Reference"/>
      </w:pPr>
      <w:r>
        <w:t xml:space="preserve">Curry, J. (2014). </w:t>
      </w:r>
      <w:r>
        <w:rPr>
          <w:i/>
        </w:rPr>
        <w:t>Sheaves, Cosheaves and Applications.</w:t>
      </w:r>
      <w:r>
        <w:t xml:space="preserve"> PhD thesis, University of Pennsylvania.</w:t>
      </w:r>
    </w:p>
    <w:p w14:paraId="5BFD9B88" w14:textId="77777777" w:rsidR="0033727D" w:rsidRDefault="00000000">
      <w:pPr>
        <w:pStyle w:val="Reference"/>
      </w:pPr>
      <w:r>
        <w:t xml:space="preserve">Hansen, J., &amp; Ghrist, R. (2019). Toward a spectral theory of cellular sheaves. </w:t>
      </w:r>
      <w:r>
        <w:rPr>
          <w:i/>
        </w:rPr>
        <w:t>Journal of Applied and Computational Topology</w:t>
      </w:r>
      <w:r>
        <w:t>, 3, 315–358.</w:t>
      </w:r>
    </w:p>
    <w:p w14:paraId="2B4492DD" w14:textId="77777777" w:rsidR="0033727D" w:rsidRDefault="00000000">
      <w:pPr>
        <w:pStyle w:val="Reference"/>
      </w:pPr>
      <w:r>
        <w:t xml:space="preserve">Hatcher, A. (2002). </w:t>
      </w:r>
      <w:r>
        <w:rPr>
          <w:i/>
        </w:rPr>
        <w:t>Algebraic Topology.</w:t>
      </w:r>
      <w:r>
        <w:t xml:space="preserve"> Cambridge University Press.</w:t>
      </w:r>
    </w:p>
    <w:p w14:paraId="00C2F5B1" w14:textId="77777777" w:rsidR="0033727D" w:rsidRDefault="00000000">
      <w:pPr>
        <w:pStyle w:val="Reference"/>
      </w:pPr>
      <w:r>
        <w:t xml:space="preserve">Robinson, M. (2014). </w:t>
      </w:r>
      <w:r>
        <w:rPr>
          <w:i/>
        </w:rPr>
        <w:t>Topological Signal Processing.</w:t>
      </w:r>
      <w:r>
        <w:t xml:space="preserve"> Springer.</w:t>
      </w:r>
    </w:p>
    <w:p w14:paraId="52582CC4" w14:textId="77777777" w:rsidR="0033727D" w:rsidRDefault="00000000">
      <w:pPr>
        <w:keepNext/>
        <w:spacing w:before="160" w:after="60"/>
      </w:pPr>
      <w:r>
        <w:rPr>
          <w:i/>
          <w:sz w:val="20"/>
        </w:rPr>
        <w:t>Semantic cognition.</w:t>
      </w:r>
    </w:p>
    <w:p w14:paraId="1BBA2E27" w14:textId="77777777" w:rsidR="0033727D" w:rsidRDefault="00000000">
      <w:pPr>
        <w:pStyle w:val="Reference"/>
      </w:pPr>
      <w:r>
        <w:t xml:space="preserve">Patterson, K., Nestor, P. J., &amp; Rogers, T. T. (2007). Where do you know what you know? The representation of semantic knowledge in the human brain. </w:t>
      </w:r>
      <w:r>
        <w:rPr>
          <w:i/>
        </w:rPr>
        <w:t>Nature Reviews Neuroscience</w:t>
      </w:r>
      <w:r>
        <w:t>, 8, 976–987.</w:t>
      </w:r>
    </w:p>
    <w:p w14:paraId="50895007" w14:textId="77777777" w:rsidR="0033727D" w:rsidRDefault="00000000">
      <w:pPr>
        <w:pStyle w:val="Reference"/>
      </w:pPr>
      <w:r>
        <w:t xml:space="preserve">Lambon Ralph, M. A., Jefferies, E., Patterson, K., &amp; Rogers, T. T. (2017). The neural and computational bases of semantic cognition. </w:t>
      </w:r>
      <w:r>
        <w:rPr>
          <w:i/>
        </w:rPr>
        <w:t>Nature Reviews Neuroscience</w:t>
      </w:r>
      <w:r>
        <w:t>, 18, 42–55.</w:t>
      </w:r>
    </w:p>
    <w:p w14:paraId="3ED00FC8" w14:textId="77777777" w:rsidR="0033727D" w:rsidRDefault="00000000">
      <w:pPr>
        <w:keepNext/>
        <w:spacing w:before="160" w:after="60"/>
      </w:pPr>
      <w:r>
        <w:rPr>
          <w:i/>
          <w:sz w:val="20"/>
        </w:rPr>
        <w:t>Defensible Intelligence series.</w:t>
      </w:r>
    </w:p>
    <w:p w14:paraId="4EFA536E" w14:textId="77777777" w:rsidR="0033727D" w:rsidRDefault="00000000">
      <w:pPr>
        <w:pStyle w:val="Reference"/>
      </w:pPr>
      <w:r>
        <w:t xml:space="preserve">Ghosh, D. P. (2026). </w:t>
      </w:r>
      <w:r>
        <w:rPr>
          <w:i/>
        </w:rPr>
        <w:t>Does It Glue?</w:t>
      </w:r>
      <w:r>
        <w:t xml:space="preserve"> Book 2. DOI: 10.13140/RG.2.2.29457.39520; </w:t>
      </w:r>
      <w:r>
        <w:rPr>
          <w:i/>
        </w:rPr>
        <w:t>Where Does the Contradiction Live?</w:t>
      </w:r>
      <w:r>
        <w:t xml:space="preserve"> Book 3. DOI: 10.13140/RG.2.2.16900.69762.</w:t>
      </w:r>
    </w:p>
    <w:p w14:paraId="745F92C0" w14:textId="77777777" w:rsidR="0033727D" w:rsidRDefault="00000000">
      <w:pPr>
        <w:pStyle w:val="Reference"/>
      </w:pPr>
      <w:r>
        <w:t xml:space="preserve">Ghosh, D. P. (2026). </w:t>
      </w:r>
      <w:r>
        <w:rPr>
          <w:i/>
        </w:rPr>
        <w:t>What Survives Change?</w:t>
      </w:r>
      <w:r>
        <w:t xml:space="preserve"> Book 4. DOI: 10.13140/RG.2.2.33677.91361. — Zigzag revision and class lineages, transposed in §2.</w:t>
      </w:r>
    </w:p>
    <w:p w14:paraId="118DD041" w14:textId="77777777" w:rsidR="0033727D" w:rsidRDefault="00000000">
      <w:pPr>
        <w:pStyle w:val="Reference"/>
      </w:pPr>
      <w:r>
        <w:t xml:space="preserve">Ghosh, D. P. (2026). </w:t>
      </w:r>
      <w:r>
        <w:rPr>
          <w:i/>
        </w:rPr>
        <w:t>How Does Reasoning Become a Complex?</w:t>
      </w:r>
      <w:r>
        <w:t xml:space="preserve"> Book 5. DOI: 10.13140/RG.2.2.20767.32162. — Higher cells as equivalence witnesses, transposed in §3.</w:t>
      </w:r>
    </w:p>
    <w:p w14:paraId="087B14E0" w14:textId="77777777" w:rsidR="0033727D" w:rsidRDefault="00000000">
      <w:pPr>
        <w:pStyle w:val="Reference"/>
      </w:pPr>
      <w:r>
        <w:t xml:space="preserve">Ghosh, D. P. (2026). </w:t>
      </w:r>
      <w:r>
        <w:rPr>
          <w:i/>
        </w:rPr>
        <w:t>The Restriction Vertex.</w:t>
      </w:r>
      <w:r>
        <w:t xml:space="preserve"> DOI: 10.13140/RG.2.2.18717.68323. — Restriction to evidence before release.</w:t>
      </w:r>
    </w:p>
    <w:p w14:paraId="74DC7EE2" w14:textId="77777777" w:rsidR="0033727D" w:rsidRDefault="00000000">
      <w:pPr>
        <w:pStyle w:val="Reference"/>
      </w:pPr>
      <w:r>
        <w:t xml:space="preserve">Ghosh, D. P. (2026). </w:t>
      </w:r>
      <w:r>
        <w:rPr>
          <w:i/>
        </w:rPr>
        <w:t>The Integral Audit.</w:t>
      </w:r>
      <w:r>
        <w:t xml:space="preserve"> DOI: 10.13140/RG.2.2.29870.27209. — Coefficient dependence of an audit verdict.</w:t>
      </w:r>
    </w:p>
    <w:p w14:paraId="49FC9611" w14:textId="77777777" w:rsidR="0033727D" w:rsidRDefault="00000000">
      <w:pPr>
        <w:pStyle w:val="Reference"/>
      </w:pPr>
      <w:r>
        <w:t xml:space="preserve">Ghosh, D. P. (2026). </w:t>
      </w:r>
      <w:r>
        <w:rPr>
          <w:i/>
        </w:rPr>
        <w:t>The Earned Zero.</w:t>
      </w:r>
      <w:r>
        <w:t xml:space="preserve"> DOI: 10.13140/RG.2.2.24798.40002. — Neither zero is a default.</w:t>
      </w:r>
    </w:p>
    <w:p w14:paraId="7A15EEA7" w14:textId="77777777" w:rsidR="0033727D" w:rsidRDefault="00000000">
      <w:pPr>
        <w:pStyle w:val="Reference"/>
      </w:pPr>
      <w:r>
        <w:t xml:space="preserve">Ghosh, D. P. (2026). </w:t>
      </w:r>
      <w:r>
        <w:rPr>
          <w:i/>
        </w:rPr>
        <w:t>Boundary Before Score.</w:t>
      </w:r>
      <w:r>
        <w:t xml:space="preserve"> DOI: 10.13140/RG.2.2.36324.74881. — The founding rule the release ordering realizes.</w:t>
      </w:r>
    </w:p>
    <w:p w14:paraId="36716CC3" w14:textId="77777777" w:rsidR="0033727D" w:rsidRDefault="00000000">
      <w:pPr>
        <w:keepNext/>
        <w:spacing w:before="160" w:after="60"/>
      </w:pPr>
      <w:r>
        <w:rPr>
          <w:i/>
          <w:sz w:val="20"/>
        </w:rPr>
        <w:t>Respect science. Import emotion.</w:t>
      </w:r>
    </w:p>
    <w:sectPr w:rsidR="0033727D" w:rsidSect="00034616">
      <w:headerReference w:type="default" r:id="rId10"/>
      <w:footerReference w:type="default" r:id="rId11"/>
      <w:pgSz w:w="11909" w:h="16834"/>
      <w:pgMar w:top="1037" w:right="1325" w:bottom="1037" w:left="132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7D4D" w14:textId="77777777" w:rsidR="00D10BA7" w:rsidRDefault="00D10BA7">
      <w:pPr>
        <w:spacing w:after="0" w:line="240" w:lineRule="auto"/>
      </w:pPr>
      <w:r>
        <w:separator/>
      </w:r>
    </w:p>
  </w:endnote>
  <w:endnote w:type="continuationSeparator" w:id="0">
    <w:p w14:paraId="320B7BB1" w14:textId="77777777" w:rsidR="00D10BA7" w:rsidRDefault="00D1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095B" w14:textId="70D0266F" w:rsidR="0033727D" w:rsidRDefault="00000000">
    <w:pPr>
      <w:pStyle w:val="Footer"/>
      <w:jc w:val="center"/>
    </w:pPr>
    <w:r>
      <w:rPr>
        <w:rFonts w:ascii="Liberation Sans" w:hAnsi="Liberation Sans"/>
        <w:sz w:val="18"/>
      </w:rPr>
      <w:fldChar w:fldCharType="begin"/>
    </w:r>
    <w:r>
      <w:rPr>
        <w:rFonts w:ascii="Liberation Sans" w:hAnsi="Liberation Sans"/>
        <w:sz w:val="18"/>
      </w:rPr>
      <w:instrText>PAGE</w:instrText>
    </w:r>
    <w:r w:rsidR="0011330F">
      <w:rPr>
        <w:rFonts w:ascii="Liberation Sans" w:hAnsi="Liberation Sans"/>
        <w:sz w:val="18"/>
      </w:rPr>
      <w:fldChar w:fldCharType="separate"/>
    </w:r>
    <w:r w:rsidR="0011330F">
      <w:rPr>
        <w:rFonts w:ascii="Liberation Sans" w:hAnsi="Liberation Sans"/>
        <w:noProof/>
        <w:sz w:val="18"/>
      </w:rPr>
      <w:t>2</w:t>
    </w:r>
    <w:r>
      <w:rPr>
        <w:rFonts w:ascii="Liberation Sans" w:hAnsi="Liberation San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0A74" w14:textId="77777777" w:rsidR="00D10BA7" w:rsidRDefault="00D10BA7">
      <w:pPr>
        <w:spacing w:after="0" w:line="240" w:lineRule="auto"/>
      </w:pPr>
      <w:r>
        <w:separator/>
      </w:r>
    </w:p>
  </w:footnote>
  <w:footnote w:type="continuationSeparator" w:id="0">
    <w:p w14:paraId="7F815565" w14:textId="77777777" w:rsidR="00D10BA7" w:rsidRDefault="00D1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6EFC" w14:textId="77777777" w:rsidR="0033727D" w:rsidRDefault="00000000">
    <w:pPr>
      <w:pStyle w:val="Header"/>
      <w:pBdr>
        <w:bottom w:val="single" w:sz="4" w:space="3" w:color="D8DEE4"/>
      </w:pBdr>
      <w:jc w:val="right"/>
    </w:pPr>
    <w:r>
      <w:rPr>
        <w:rFonts w:ascii="Liberation Sans" w:eastAsia="Liberation Sans" w:hAnsi="Liberation Sans"/>
        <w:color w:val="6C757D"/>
        <w:sz w:val="16"/>
      </w:rPr>
      <w:t>A Correction Is Installed Only When a Check Runs  |  Defensible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313539">
    <w:abstractNumId w:val="8"/>
  </w:num>
  <w:num w:numId="2" w16cid:durableId="315301012">
    <w:abstractNumId w:val="6"/>
  </w:num>
  <w:num w:numId="3" w16cid:durableId="1364788565">
    <w:abstractNumId w:val="5"/>
  </w:num>
  <w:num w:numId="4" w16cid:durableId="395012650">
    <w:abstractNumId w:val="4"/>
  </w:num>
  <w:num w:numId="5" w16cid:durableId="1688869153">
    <w:abstractNumId w:val="7"/>
  </w:num>
  <w:num w:numId="6" w16cid:durableId="1182621190">
    <w:abstractNumId w:val="3"/>
  </w:num>
  <w:num w:numId="7" w16cid:durableId="1658997088">
    <w:abstractNumId w:val="2"/>
  </w:num>
  <w:num w:numId="8" w16cid:durableId="423770578">
    <w:abstractNumId w:val="1"/>
  </w:num>
  <w:num w:numId="9" w16cid:durableId="96331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30F"/>
    <w:rsid w:val="00130F63"/>
    <w:rsid w:val="0015074B"/>
    <w:rsid w:val="0029639D"/>
    <w:rsid w:val="002D6982"/>
    <w:rsid w:val="00326F90"/>
    <w:rsid w:val="0033727D"/>
    <w:rsid w:val="00443E97"/>
    <w:rsid w:val="00AA1D8D"/>
    <w:rsid w:val="00B47730"/>
    <w:rsid w:val="00B74680"/>
    <w:rsid w:val="00CB0664"/>
    <w:rsid w:val="00D10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D7422"/>
  <w14:defaultImageDpi w14:val="300"/>
  <w15:docId w15:val="{95759568-6984-4863-A349-C4384EB9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basedOn w:val="Normal"/>
    <w:pPr>
      <w:spacing w:after="160" w:line="259" w:lineRule="auto"/>
      <w:ind w:left="504" w:right="504"/>
    </w:pPr>
    <w:rPr>
      <w:sz w:val="20"/>
    </w:rPr>
  </w:style>
  <w:style w:type="paragraph" w:customStyle="1" w:styleId="LeadItalic">
    <w:name w:val="Lead Italic"/>
    <w:basedOn w:val="Normal"/>
    <w:pPr>
      <w:spacing w:before="160" w:after="200"/>
      <w:ind w:left="504" w:right="504"/>
    </w:pPr>
    <w:rPr>
      <w:i/>
    </w:rPr>
  </w:style>
  <w:style w:type="paragraph" w:customStyle="1" w:styleId="BlockQuote">
    <w:name w:val="Block Quote"/>
    <w:basedOn w:val="Normal"/>
    <w:pPr>
      <w:spacing w:before="100" w:after="140"/>
      <w:ind w:left="648" w:right="288"/>
    </w:pPr>
    <w:rPr>
      <w:i/>
    </w:rPr>
  </w:style>
  <w:style w:type="paragraph" w:customStyle="1" w:styleId="CodeBlock">
    <w:name w:val="Code Block"/>
    <w:pPr>
      <w:spacing w:before="80" w:after="120" w:line="240" w:lineRule="auto"/>
      <w:ind w:left="504" w:right="216"/>
    </w:pPr>
    <w:rPr>
      <w:rFonts w:ascii="DejaVu Sans Mono" w:eastAsia="DejaVu Sans Mono" w:hAnsi="DejaVu Sans Mono"/>
      <w:sz w:val="17"/>
    </w:rPr>
  </w:style>
  <w:style w:type="paragraph" w:customStyle="1" w:styleId="Reference">
    <w:name w:val="Reference"/>
    <w:basedOn w:val="Normal"/>
    <w:pPr>
      <w:spacing w:after="80"/>
      <w:ind w:left="403" w:hanging="403"/>
    </w:pPr>
    <w:rPr>
      <w:sz w:val="19"/>
    </w:rPr>
  </w:style>
  <w:style w:type="character" w:styleId="Hyperlink">
    <w:name w:val="Hyperlink"/>
    <w:basedOn w:val="DefaultParagraphFont"/>
    <w:uiPriority w:val="99"/>
    <w:unhideWhenUsed/>
    <w:rsid w:val="0011330F"/>
    <w:rPr>
      <w:color w:val="0000FF" w:themeColor="hyperlink"/>
      <w:u w:val="single"/>
    </w:rPr>
  </w:style>
  <w:style w:type="character" w:styleId="UnresolvedMention">
    <w:name w:val="Unresolved Mention"/>
    <w:basedOn w:val="DefaultParagraphFont"/>
    <w:uiPriority w:val="99"/>
    <w:semiHidden/>
    <w:unhideWhenUsed/>
    <w:rsid w:val="00113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3140/RG.2.2.23376.26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8</Pages>
  <Words>3732</Words>
  <Characters>21273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A Correction Is Installed Only When a Check Runs</vt:lpstr>
    </vt:vector>
  </TitlesOfParts>
  <Manager/>
  <Company/>
  <LinksUpToDate>false</LinksUpToDate>
  <CharactersWithSpaces>24956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Correction Is Installed Only When a Check Runs</dc:title>
  <dc:subject>The Cortical Ontology Line, Its Seven Results, and a Methodological Finding from Its Own Repeated Failure</dc:subject>
  <dc:creator>D. P. Ghosh</dc:creator>
  <cp:keywords>Defensible Intelligence; ontology; OWL; RDFS; entailment; sheaf cohomology; provenance; executable audit</cp:keywords>
  <dc:description>Deposit paper prepared from the author-provided manuscript.</dc:description>
  <cp:lastModifiedBy>Debiprasad Ghosh</cp:lastModifiedBy>
  <cp:revision>4</cp:revision>
  <cp:lastPrinted>2026-07-26T16:37:00Z</cp:lastPrinted>
  <dcterms:created xsi:type="dcterms:W3CDTF">2013-12-23T23:15:00Z</dcterms:created>
  <dcterms:modified xsi:type="dcterms:W3CDTF">2026-07-26T16:43:00Z</dcterms:modified>
  <cp:category/>
</cp:coreProperties>
</file>