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4648" w14:textId="77777777" w:rsidR="00247F07" w:rsidRPr="000A73F8" w:rsidRDefault="00000000">
      <w:pPr>
        <w:spacing w:before="440"/>
        <w:jc w:val="center"/>
        <w:rPr>
          <w:rFonts w:hint="eastAsia"/>
          <w:sz w:val="44"/>
          <w:szCs w:val="96"/>
        </w:rPr>
      </w:pPr>
      <w:r w:rsidRPr="000A73F8">
        <w:rPr>
          <w:rFonts w:ascii="Liberation Sans" w:eastAsia="Liberation Sans" w:hAnsi="Liberation Sans"/>
          <w:b/>
          <w:color w:val="1F4E79"/>
          <w:sz w:val="66"/>
          <w:szCs w:val="96"/>
        </w:rPr>
        <w:t>Boundary-Visible Cohomology</w:t>
      </w:r>
    </w:p>
    <w:p w14:paraId="4CC91E5C" w14:textId="77777777" w:rsidR="00247F07" w:rsidRDefault="00000000">
      <w:pPr>
        <w:spacing w:after="360"/>
        <w:jc w:val="center"/>
        <w:rPr>
          <w:rFonts w:hint="eastAsia"/>
        </w:rPr>
      </w:pPr>
      <w:r>
        <w:rPr>
          <w:rFonts w:ascii="Liberation Sans" w:eastAsia="Liberation Sans" w:hAnsi="Liberation Sans"/>
          <w:i/>
          <w:color w:val="464646"/>
          <w:sz w:val="28"/>
        </w:rPr>
        <w:t>An Abelian Criterion for Memory Export and Its Poincaré-Lefschetz Realization</w:t>
      </w:r>
    </w:p>
    <w:p w14:paraId="5A9E7FF8" w14:textId="77777777" w:rsidR="00247F07" w:rsidRDefault="00000000">
      <w:pPr>
        <w:jc w:val="center"/>
        <w:rPr>
          <w:rFonts w:eastAsia="Liberation Serif"/>
          <w:b/>
          <w:sz w:val="24"/>
        </w:rPr>
      </w:pPr>
      <w:r>
        <w:rPr>
          <w:rFonts w:eastAsia="Liberation Serif"/>
          <w:b/>
          <w:sz w:val="24"/>
        </w:rPr>
        <w:t>Debi Prasad Ghosh</w:t>
      </w:r>
    </w:p>
    <w:p w14:paraId="0A1469E2" w14:textId="2C994604" w:rsidR="000A73F8" w:rsidRDefault="008D6FD0">
      <w:pPr>
        <w:jc w:val="center"/>
        <w:rPr>
          <w:rFonts w:hint="eastAsia"/>
        </w:rPr>
      </w:pPr>
      <w:hyperlink r:id="rId8" w:history="1">
        <w:r w:rsidRPr="00103C7A">
          <w:rPr>
            <w:rStyle w:val="Hyperlink"/>
          </w:rPr>
          <w:t>https://doi.org/10.13140/RG.2.2.34248.69127</w:t>
        </w:r>
      </w:hyperlink>
      <w:r>
        <w:t xml:space="preserve"> </w:t>
      </w:r>
    </w:p>
    <w:p w14:paraId="6956BDE5" w14:textId="536D5886" w:rsidR="009350F6" w:rsidRPr="009350F6" w:rsidRDefault="00000000" w:rsidP="009350F6">
      <w:pPr>
        <w:jc w:val="center"/>
        <w:rPr>
          <w:rFonts w:eastAsia="Liberation Serif" w:hint="eastAsia"/>
          <w:color w:val="595959"/>
          <w:sz w:val="21"/>
        </w:rPr>
      </w:pPr>
      <w:r>
        <w:rPr>
          <w:rFonts w:eastAsia="Liberation Serif"/>
          <w:i/>
        </w:rPr>
        <w:t>Defensible Intelligence Program</w:t>
      </w:r>
      <w:r w:rsidR="009350F6">
        <w:rPr>
          <w:rFonts w:eastAsia="Liberation Serif"/>
          <w:i/>
        </w:rPr>
        <w:t xml:space="preserve">: </w:t>
      </w:r>
      <w:r>
        <w:rPr>
          <w:rFonts w:eastAsia="Liberation Serif"/>
          <w:color w:val="595959"/>
          <w:sz w:val="21"/>
        </w:rPr>
        <w:t>Conceptual manuscript | July 2026</w:t>
      </w:r>
      <w:r w:rsidR="009350F6">
        <w:rPr>
          <w:rFonts w:eastAsia="Liberation Serif"/>
          <w:color w:val="595959"/>
          <w:sz w:val="21"/>
        </w:rPr>
        <w:tab/>
      </w:r>
    </w:p>
    <w:p w14:paraId="3FBFD78D" w14:textId="77777777" w:rsidR="009350F6" w:rsidRDefault="009350F6" w:rsidP="009350F6">
      <w:pPr>
        <w:pStyle w:val="Heading1"/>
        <w:spacing w:before="200" w:after="80"/>
      </w:pPr>
      <w:r>
        <w:rPr>
          <w:rFonts w:ascii="Liberation Sans" w:eastAsia="Liberation Sans" w:hAnsi="Liberation Sans"/>
        </w:rPr>
        <w:t>Abstract</w:t>
      </w:r>
    </w:p>
    <w:p w14:paraId="3DBD2280" w14:textId="77777777" w:rsidR="009350F6" w:rsidRDefault="009350F6" w:rsidP="009350F6">
      <w:pPr>
        <w:spacing w:after="100" w:line="259" w:lineRule="auto"/>
        <w:jc w:val="both"/>
        <w:rPr>
          <w:rFonts w:hint="eastAsia"/>
        </w:rPr>
      </w:pPr>
      <w:r>
        <w:rPr>
          <w:rFonts w:eastAsia="Liberation Serif"/>
        </w:rPr>
        <w:t>Memory consolidation is usually framed as transfer from a fast episodic system to a slower durable store. That architecture is well established in Complementary Learning Systems and in the author's working-memory-correct program, but it leaves a sharper licensing question unanswered: when may a lesson detach from the conditions under which it was learned and become a reusable rule? This paper proposes boundary-visible cohomology as an exact abelian answer on an audited topological domain. For an episode pair (M, B), where B represents the contextual boundary and i: B -&gt; M is inclusion, the induced map i*: Hᵏ(M; A) -&gt; Hᵏ(B; A) separates the constraint space into exportable classes ker i* and boundary-visible classes im i*. Exactness of the long cohomology sequence of the pair yields the central criterion: a class is exportable if and only if its restriction to the boundary vanishes, equivalently if and only if it admits a relative lift in Hᵏ(M, B; A). When (M, B) additionally earns the structure of an n-dimensional Poincaré pair, Poincaré-Lefschetz duality converts a chosen relative lift into an absolute complementary-dimensional homology carrier by capping with the relative fundamental class. The cap product is therefore not the general export principle; it is the carrier-construction theorem available after boundary vanishing and Poincaré structure have both been certified. The paper introduces the graded boundary-visible profile im i* as a context-dependence invariant, states the constitutive abelian ceiling of the method, and shows why nonabelian route and ownership histories cannot inherit the same kernel-and-quotient certificate. It then distinguishes mathematical verification on designed manifolds from empirical validation on learned, non-planted representations, and separates the literal-topology thesis from a broader boundary-invariance heuristic that can be tested without a fundamental class. The result is a deliberately narrow framework: exact where its hypotheses hold, explicit about what learning has not yet supplied, and falsifiable at the boundary between a theorem about pairs and a claim about memory.</w:t>
      </w:r>
    </w:p>
    <w:p w14:paraId="1BE16005" w14:textId="77777777" w:rsidR="009350F6" w:rsidRDefault="009350F6" w:rsidP="009350F6">
      <w:pPr>
        <w:spacing w:after="160"/>
        <w:rPr>
          <w:rFonts w:hint="eastAsia"/>
        </w:rPr>
      </w:pPr>
      <w:r>
        <w:rPr>
          <w:rFonts w:eastAsia="Liberation Serif"/>
          <w:b/>
        </w:rPr>
        <w:t xml:space="preserve">Keywords: </w:t>
      </w:r>
      <w:r>
        <w:rPr>
          <w:rFonts w:eastAsia="Liberation Serif"/>
          <w:i/>
        </w:rPr>
        <w:t>memory consolidation; boundary restriction; relative cohomology; Poincaré-Lefschetz duality; context dependence; Complementary Learning Systems; working-memory-correct architecture; provenance; torsion; learned topology</w:t>
      </w:r>
    </w:p>
    <w:p w14:paraId="630B5C71" w14:textId="3B40595F" w:rsidR="009350F6" w:rsidRDefault="009350F6" w:rsidP="009350F6">
      <w:pPr>
        <w:rPr>
          <w:rFonts w:hint="eastAsia"/>
        </w:rPr>
      </w:pPr>
    </w:p>
    <w:tbl>
      <w:tblPr>
        <w:tblW w:w="9792" w:type="dxa"/>
        <w:jc w:val="center"/>
        <w:tblLook w:val="04A0" w:firstRow="1" w:lastRow="0" w:firstColumn="1" w:lastColumn="0" w:noHBand="0" w:noVBand="1"/>
      </w:tblPr>
      <w:tblGrid>
        <w:gridCol w:w="9792"/>
      </w:tblGrid>
      <w:tr w:rsidR="00247F07" w14:paraId="6BEFD3A2" w14:textId="77777777" w:rsidTr="009350F6">
        <w:trPr>
          <w:jc w:val="center"/>
        </w:trPr>
        <w:tc>
          <w:tcPr>
            <w:tcW w:w="9792" w:type="dxa"/>
            <w:shd w:val="clear" w:color="auto" w:fill="F2F2F2"/>
            <w:tcMar>
              <w:top w:w="140" w:type="dxa"/>
              <w:left w:w="180" w:type="dxa"/>
              <w:bottom w:w="140" w:type="dxa"/>
              <w:right w:w="180" w:type="dxa"/>
            </w:tcMar>
            <w:vAlign w:val="center"/>
          </w:tcPr>
          <w:p w14:paraId="23C468C5" w14:textId="77777777" w:rsidR="00247F07" w:rsidRDefault="00000000" w:rsidP="009350F6">
            <w:pPr>
              <w:spacing w:after="60"/>
              <w:jc w:val="both"/>
              <w:rPr>
                <w:rFonts w:hint="eastAsia"/>
              </w:rPr>
            </w:pPr>
            <w:r>
              <w:rPr>
                <w:rFonts w:ascii="Liberation Sans" w:eastAsia="Liberation Sans" w:hAnsi="Liberation Sans"/>
                <w:b/>
                <w:color w:val="1F4E79"/>
                <w:sz w:val="21"/>
              </w:rPr>
              <w:t>Status and scope</w:t>
            </w:r>
          </w:p>
          <w:p w14:paraId="40F401A4" w14:textId="77777777" w:rsidR="00247F07" w:rsidRDefault="00000000" w:rsidP="009350F6">
            <w:pPr>
              <w:spacing w:after="0"/>
              <w:jc w:val="both"/>
              <w:rPr>
                <w:rFonts w:hint="eastAsia"/>
              </w:rPr>
            </w:pPr>
            <w:r>
              <w:rPr>
                <w:rFonts w:eastAsia="Liberation Serif"/>
                <w:sz w:val="21"/>
              </w:rPr>
              <w:t>This is a conceptual theorem-and-scope paper. It proves no claim about the topology of learned memory representations and reports no experiment. The exact mathematics is separated from the engineering specification and from the empirical hypotheses required to connect the theorem to memory.</w:t>
            </w:r>
          </w:p>
        </w:tc>
      </w:tr>
    </w:tbl>
    <w:p w14:paraId="21E4E710" w14:textId="77777777" w:rsidR="00247F07" w:rsidRDefault="00000000">
      <w:pPr>
        <w:pStyle w:val="Heading1"/>
        <w:spacing w:before="200" w:after="80"/>
      </w:pPr>
      <w:r>
        <w:rPr>
          <w:rFonts w:ascii="Liberation Sans" w:eastAsia="Liberation Sans" w:hAnsi="Liberation Sans"/>
        </w:rPr>
        <w:lastRenderedPageBreak/>
        <w:t>1. Introduction</w:t>
      </w:r>
    </w:p>
    <w:p w14:paraId="658125B4" w14:textId="77777777" w:rsidR="00247F07" w:rsidRDefault="00000000">
      <w:pPr>
        <w:spacing w:after="100" w:line="259" w:lineRule="auto"/>
        <w:ind w:firstLine="360"/>
        <w:jc w:val="both"/>
        <w:rPr>
          <w:rFonts w:hint="eastAsia"/>
        </w:rPr>
      </w:pPr>
      <w:r>
        <w:rPr>
          <w:rFonts w:eastAsia="Liberation Serif"/>
        </w:rPr>
        <w:t>An intelligent system does not merely remember. It decides which parts of an episode may become general knowledge and which parts must remain attached to the circumstances that made them true. A strategy learned on one mechanism may transfer to another; a safe action under one friction regime may become unsafe when exported; a route may remain valid only for one obstacle layout; and an apparent rule may be no more than a compressed record of its training context. The central problem of consolidation is therefore not simply persistence. It is licensing.</w:t>
      </w:r>
    </w:p>
    <w:p w14:paraId="269062E1" w14:textId="77777777" w:rsidR="00247F07" w:rsidRDefault="00000000">
      <w:pPr>
        <w:spacing w:after="100" w:line="259" w:lineRule="auto"/>
        <w:ind w:firstLine="360"/>
        <w:jc w:val="both"/>
        <w:rPr>
          <w:rFonts w:hint="eastAsia"/>
        </w:rPr>
      </w:pPr>
      <w:r>
        <w:rPr>
          <w:rFonts w:eastAsia="Liberation Serif"/>
        </w:rPr>
        <w:t>Contemporary accounts already motivate two memory regimes. Complementary Learning Systems separates fast acquisition from slow integration in order to reduce catastrophic interference (McClelland, McNaughton, &amp; O'Reilly, 1995; Kumaran, Hassabis, &amp; McClelland, 2016). Sleep and replay are widely studied as mechanisms by which transient experience is reorganized into more durable cortical structure (Diekelmann &amp; Born, 2010; Rasch &amp; Born, 2013). In artificial systems, retrieval, parameter-efficient updates, bounded deliberation, and replay similarly divide active working memory from long-term storage. The author's working-memory-correct series develops this division through a bounded System-1 window, chunk-bounded System-2 deliberation, expert retrieval, path-sparse planning, procedural seeds, low-rank writes, and an artificial sleep cycle (Ghosh, 2025a, 2025b, 2025c, 2026a, 2026b, 2026c).</w:t>
      </w:r>
    </w:p>
    <w:p w14:paraId="0C2E0837" w14:textId="77777777" w:rsidR="00247F07" w:rsidRDefault="00000000">
      <w:pPr>
        <w:spacing w:after="100" w:line="259" w:lineRule="auto"/>
        <w:ind w:firstLine="360"/>
        <w:jc w:val="both"/>
        <w:rPr>
          <w:rFonts w:hint="eastAsia"/>
        </w:rPr>
      </w:pPr>
      <w:r>
        <w:rPr>
          <w:rFonts w:eastAsia="Liberation Serif"/>
        </w:rPr>
        <w:t>None of those mechanisms, by itself, specifies when a successful adaptation is safe to detach from its episode. Loss reduction is not enough: an update may succeed because it exploits a transient correlation. Low uncertainty is not enough: a system can be confidently context-bound. Replay frequency is not enough: repetition may stabilize a mistake. The missing object is a test of dependence on the conditions of acquisition.</w:t>
      </w:r>
    </w:p>
    <w:p w14:paraId="5CFDDB7A" w14:textId="77777777" w:rsidR="00247F07" w:rsidRDefault="00000000">
      <w:pPr>
        <w:spacing w:after="100" w:line="259" w:lineRule="auto"/>
        <w:ind w:firstLine="360"/>
        <w:jc w:val="both"/>
        <w:rPr>
          <w:rFonts w:hint="eastAsia"/>
        </w:rPr>
      </w:pPr>
      <w:r>
        <w:rPr>
          <w:rFonts w:eastAsia="Liberation Serif"/>
        </w:rPr>
        <w:t>This paper proposes a clean mathematical formulation of that test. Model one episode as a pair (M, B), where M is the domain on which the episode's constraints are represented and B is the contextual boundary: initial conditions, environmental assumptions, provenance qualifications, omitted evidence interfaces, safety conditions, or other features under which the lesson was learned. A cohomology class [α] in Hᵏ(M; A) represents a constraint, rule, incompatibility, or evaluative structure. Its restriction i*[α] to B asks whether the class still makes a nontrivial claim on those acquisition conditions. If the restriction vanishes, the class lifts to relative cohomology and is eligible for export. If the restriction remains nonzero, the memory must remain provenance-bound.</w:t>
      </w:r>
    </w:p>
    <w:tbl>
      <w:tblPr>
        <w:tblW w:w="0" w:type="auto"/>
        <w:jc w:val="center"/>
        <w:tblLook w:val="04A0" w:firstRow="1" w:lastRow="0" w:firstColumn="1" w:lastColumn="0" w:noHBand="0" w:noVBand="1"/>
      </w:tblPr>
      <w:tblGrid>
        <w:gridCol w:w="9792"/>
      </w:tblGrid>
      <w:tr w:rsidR="00247F07" w14:paraId="0981585D" w14:textId="77777777">
        <w:trPr>
          <w:jc w:val="center"/>
        </w:trPr>
        <w:tc>
          <w:tcPr>
            <w:tcW w:w="9792" w:type="dxa"/>
            <w:shd w:val="clear" w:color="auto" w:fill="EAF2F8"/>
            <w:tcMar>
              <w:top w:w="140" w:type="dxa"/>
              <w:left w:w="180" w:type="dxa"/>
              <w:bottom w:w="140" w:type="dxa"/>
              <w:right w:w="180" w:type="dxa"/>
            </w:tcMar>
            <w:vAlign w:val="center"/>
          </w:tcPr>
          <w:p w14:paraId="11D9CBB0" w14:textId="77777777" w:rsidR="00247F07" w:rsidRDefault="00000000">
            <w:pPr>
              <w:spacing w:after="60"/>
              <w:rPr>
                <w:rFonts w:hint="eastAsia"/>
              </w:rPr>
            </w:pPr>
            <w:r>
              <w:rPr>
                <w:rFonts w:ascii="Liberation Sans" w:eastAsia="Liberation Sans" w:hAnsi="Liberation Sans"/>
                <w:b/>
                <w:color w:val="1F4E79"/>
                <w:sz w:val="21"/>
              </w:rPr>
              <w:t>Central claim</w:t>
            </w:r>
          </w:p>
          <w:p w14:paraId="6B67D5C8" w14:textId="77777777" w:rsidR="00247F07" w:rsidRDefault="00000000">
            <w:pPr>
              <w:spacing w:after="0"/>
              <w:rPr>
                <w:rFonts w:hint="eastAsia"/>
              </w:rPr>
            </w:pPr>
            <w:r>
              <w:rPr>
                <w:rFonts w:eastAsia="Liberation Serif"/>
                <w:sz w:val="21"/>
              </w:rPr>
              <w:t>A lesson is topologically exportable exactly when its cohomological content becomes trivial on the audited boundary of its acquisition episode. Poincaré-Lefschetz duality is a stronger carrier-construction theorem available only after this boundary criterion and a Poincaré-pair audit have both passed.</w:t>
            </w:r>
          </w:p>
        </w:tc>
      </w:tr>
    </w:tbl>
    <w:p w14:paraId="4227A141" w14:textId="77777777" w:rsidR="00247F07" w:rsidRDefault="00247F07">
      <w:pPr>
        <w:spacing w:after="0"/>
        <w:rPr>
          <w:rFonts w:hint="eastAsia"/>
        </w:rPr>
      </w:pPr>
    </w:p>
    <w:p w14:paraId="056220AB" w14:textId="77777777" w:rsidR="00247F07" w:rsidRDefault="00000000">
      <w:pPr>
        <w:spacing w:after="100" w:line="259" w:lineRule="auto"/>
        <w:ind w:firstLine="360"/>
        <w:jc w:val="both"/>
        <w:rPr>
          <w:rFonts w:hint="eastAsia"/>
        </w:rPr>
      </w:pPr>
      <w:r>
        <w:rPr>
          <w:rFonts w:eastAsia="Liberation Serif"/>
        </w:rPr>
        <w:t>The paper is intentionally conservative in three ways. First, it treats the method as abelian and does not promise that nonabelian route or ownership history can be certified by the same mechanism. Second, it labels the statistical three-way gate as an engineering specification rather than a completed estimator. Third, it separates verification on hand-built topological spaces from validation on representations learned without planted manifold structure. These fences are not secondary caveats. They define what the paper actually contributes.</w:t>
      </w:r>
    </w:p>
    <w:p w14:paraId="208C02BC" w14:textId="77777777" w:rsidR="00247F07" w:rsidRDefault="00000000">
      <w:pPr>
        <w:pStyle w:val="Heading2"/>
        <w:spacing w:before="140" w:after="80"/>
      </w:pPr>
      <w:r>
        <w:rPr>
          <w:rFonts w:ascii="Liberation Sans" w:eastAsia="Liberation Sans" w:hAnsi="Liberation Sans"/>
        </w:rPr>
        <w:t>1.1 Relationship to the earlier framework</w:t>
      </w:r>
    </w:p>
    <w:p w14:paraId="3651AC22" w14:textId="77777777" w:rsidR="00247F07" w:rsidRDefault="00000000">
      <w:pPr>
        <w:spacing w:after="100" w:line="259" w:lineRule="auto"/>
        <w:ind w:firstLine="360"/>
        <w:jc w:val="both"/>
        <w:rPr>
          <w:rFonts w:hint="eastAsia"/>
        </w:rPr>
      </w:pPr>
      <w:r>
        <w:rPr>
          <w:rFonts w:eastAsia="Liberation Serif"/>
        </w:rPr>
        <w:t xml:space="preserve">The proposal grows from two lines of prior work. The working-memory-correct line separates bounded online computation from extensible long-term memory. Bounded Attention, Unbounded Memory introduces a fixed-window System-1 with hysteretic long-term experts and low-rank test-time adaptation; Working-Memory-Correct Transformers sharpens the bounded-workspace invariant; the long-horizon expert-retrieval paper separates active chunks from sparse long-term access; Found-Path Learning limits credit assignment to a </w:t>
      </w:r>
      <w:r>
        <w:rPr>
          <w:rFonts w:eastAsia="Liberation Serif"/>
        </w:rPr>
        <w:lastRenderedPageBreak/>
        <w:t>selected trajectory; the Antahkarana paper adds an artificial sleep cycle; and PRNGed Pre-trained Titans separates a procedurally regenerated substrate from low-rank writable memory (Ghosh, 2025a-c, 2026a-c).</w:t>
      </w:r>
    </w:p>
    <w:p w14:paraId="764552EA" w14:textId="77777777" w:rsidR="00247F07" w:rsidRDefault="00000000">
      <w:pPr>
        <w:spacing w:after="100" w:line="259" w:lineRule="auto"/>
        <w:ind w:firstLine="360"/>
        <w:jc w:val="both"/>
        <w:rPr>
          <w:rFonts w:hint="eastAsia"/>
        </w:rPr>
      </w:pPr>
      <w:r>
        <w:rPr>
          <w:rFonts w:eastAsia="Liberation Serif"/>
        </w:rPr>
        <w:t>The Defensible Intelligence line contributes a second distinction: waking audit versus offline repair. Dynamic Predictive Gluing describes waking as a local presheaf auditor and sleep as an expensive re-coordination regime; The Consolidation Engine and the Two Ascents identifies consolidation as an orthogonal temporal operator; Nerve-Attention, Hypercovering and Descent, and The Restriction Vertex insist that an audit is meaningful only when its domain, resolution, and downward restriction are themselves legitimate (Ghosh, 2026d-h). The present paper adds a fourth question upstream of export: what part of the learned constraint space remains visible on the episode boundary?</w:t>
      </w:r>
    </w:p>
    <w:p w14:paraId="5C8ACE8C" w14:textId="77777777" w:rsidR="00247F07" w:rsidRDefault="00000000">
      <w:pPr>
        <w:pStyle w:val="Heading2"/>
        <w:spacing w:before="140" w:after="80"/>
      </w:pPr>
      <w:r>
        <w:rPr>
          <w:rFonts w:ascii="Liberation Sans" w:eastAsia="Liberation Sans" w:hAnsi="Liberation Sans"/>
        </w:rPr>
        <w:t>1.2 Contribution and non-contribution</w:t>
      </w:r>
    </w:p>
    <w:p w14:paraId="5422AE4B" w14:textId="77777777" w:rsidR="00247F07" w:rsidRDefault="00000000">
      <w:pPr>
        <w:spacing w:after="100" w:line="259" w:lineRule="auto"/>
        <w:ind w:firstLine="360"/>
        <w:jc w:val="both"/>
        <w:rPr>
          <w:rFonts w:hint="eastAsia"/>
        </w:rPr>
      </w:pPr>
      <w:r>
        <w:rPr>
          <w:rFonts w:eastAsia="Liberation Serif"/>
        </w:rPr>
        <w:t>The paper contributes an exact abelian criterion, an episode-level context-dependence invariant, a restricted Poincaré carrier construction, and a claim hierarchy that separates theorem, engineering specification, and empirical hypothesis. It does not contribute a new general memory architecture. The fast/slow division, replay, gradual integration, retrieval, and protection against catastrophic forgetting are substantially continuous with Complementary Learning Systems and modern continual-learning practice. The novelty lies narrowly in the licensing criterion: which constraint may detach from its conditions of acquisition?</w:t>
      </w:r>
    </w:p>
    <w:p w14:paraId="5185607E" w14:textId="77777777" w:rsidR="00247F07" w:rsidRDefault="00000000">
      <w:pPr>
        <w:spacing w:after="100" w:line="259" w:lineRule="auto"/>
        <w:ind w:firstLine="360"/>
        <w:jc w:val="both"/>
        <w:rPr>
          <w:rFonts w:hint="eastAsia"/>
        </w:rPr>
      </w:pPr>
      <w:r>
        <w:rPr>
          <w:rFonts w:eastAsia="Liberation Serif"/>
        </w:rPr>
        <w:t>Nor does the paper show that learned neural representations are manifolds, Poincaré pairs, or even stable cell complexes. That is an empirical question assigned to a separate non-planted validation program. Finally, the paper does not claim that Sanskrit categories are required by the mathematics. The earlier Manas-Smriti-Buddhi-Ahankara mapping remains a useful interpretive vocabulary, but only signed provenance at the orientation-local-system level plausibly adds a distinct constraint; the rest is organizational rather than load-bearing.</w:t>
      </w:r>
    </w:p>
    <w:p w14:paraId="04D3952C" w14:textId="77777777" w:rsidR="00247F07" w:rsidRDefault="00000000">
      <w:pPr>
        <w:pStyle w:val="Heading1"/>
        <w:spacing w:before="200" w:after="80"/>
      </w:pPr>
      <w:r>
        <w:rPr>
          <w:rFonts w:ascii="Liberation Sans" w:eastAsia="Liberation Sans" w:hAnsi="Liberation Sans"/>
        </w:rPr>
        <w:t>2. Conceptual Setting: Memory Export, Not Memory Storage</w:t>
      </w:r>
    </w:p>
    <w:p w14:paraId="440E72D4" w14:textId="77777777" w:rsidR="00247F07" w:rsidRDefault="00000000">
      <w:pPr>
        <w:pStyle w:val="Heading2"/>
        <w:spacing w:before="140" w:after="80"/>
      </w:pPr>
      <w:r>
        <w:rPr>
          <w:rFonts w:ascii="Liberation Sans" w:eastAsia="Liberation Sans" w:hAnsi="Liberation Sans"/>
        </w:rPr>
        <w:t>2.1 Bounded working memory and extensible long-term memory</w:t>
      </w:r>
    </w:p>
    <w:p w14:paraId="7958118B" w14:textId="77777777" w:rsidR="00247F07" w:rsidRDefault="00000000">
      <w:pPr>
        <w:spacing w:after="100" w:line="259" w:lineRule="auto"/>
        <w:ind w:firstLine="360"/>
        <w:jc w:val="both"/>
        <w:rPr>
          <w:rFonts w:hint="eastAsia"/>
        </w:rPr>
      </w:pPr>
      <w:r>
        <w:rPr>
          <w:rFonts w:eastAsia="Liberation Serif"/>
        </w:rPr>
        <w:t>A working-memory-correct system keeps online computation bounded even when interaction history is long. The active workspace contains only a finite window, a bounded number of retrieved chunks, or a bounded search episode. Earlier information can influence the present only through explicit interfaces: expert retrieval, reconstructed procedural memory, low-rank writes, or compact carriers. This makes the consolidation question unavoidable. Every durable write consumes capacity, changes future behavior, and risks importing an episode-specific dependency into general operation.</w:t>
      </w:r>
    </w:p>
    <w:p w14:paraId="42A5FC3B" w14:textId="77777777" w:rsidR="00247F07" w:rsidRDefault="00000000">
      <w:pPr>
        <w:spacing w:after="100" w:line="259" w:lineRule="auto"/>
        <w:ind w:firstLine="360"/>
        <w:jc w:val="both"/>
        <w:rPr>
          <w:rFonts w:hint="eastAsia"/>
        </w:rPr>
      </w:pPr>
      <w:r>
        <w:rPr>
          <w:rFonts w:eastAsia="Liberation Serif"/>
        </w:rPr>
        <w:t>The distinction between active constraints and durable carriers provides the first conceptual bridge. Online reasoning produces candidate rules, incompatibilities, route evaluations, and action conditions. Long-term memory stores paths, routines, structural components, expert states, or parameter updates on which future queries may act. Cohomology and homology provide a mathematically disciplined form of this distinction: cohomology classes act as tests or constraints, while homology classes are persistent carriers. The paper does not identify these with literal neural objects; it uses their algebraic relation as a specification for an export decision.</w:t>
      </w:r>
    </w:p>
    <w:p w14:paraId="74CA2B49" w14:textId="77777777" w:rsidR="00247F07" w:rsidRDefault="00000000">
      <w:pPr>
        <w:pStyle w:val="Heading2"/>
        <w:spacing w:before="140" w:after="80"/>
      </w:pPr>
      <w:r>
        <w:rPr>
          <w:rFonts w:ascii="Liberation Sans" w:eastAsia="Liberation Sans" w:hAnsi="Liberation Sans"/>
        </w:rPr>
        <w:t>2.2 Complementary Learning Systems as the architectural baseline</w:t>
      </w:r>
    </w:p>
    <w:p w14:paraId="0AEB9725" w14:textId="77777777" w:rsidR="00247F07" w:rsidRDefault="00000000">
      <w:pPr>
        <w:spacing w:after="100" w:line="259" w:lineRule="auto"/>
        <w:ind w:firstLine="360"/>
        <w:jc w:val="both"/>
        <w:rPr>
          <w:rFonts w:hint="eastAsia"/>
        </w:rPr>
      </w:pPr>
      <w:r>
        <w:rPr>
          <w:rFonts w:eastAsia="Liberation Serif"/>
        </w:rPr>
        <w:t>The two-system architecture should be credited to its established conceptual home. Complementary Learning Systems explains why fast episodic learning and slow integrative learning coexist: rapid changes in a shared distributed representation can cause catastrophic interference, whereas a separate fast store can capture episodes and replay them gradually to a slower system. The present proposal does not replace this mechanism. It places a topological license inside it. Replay supplies candidate material for consolidation; boundary-visible cohomology asks whether the content has become independent of the episode conditions; and Poincaré-Lefschetz duality, in the rare certified case, supplies a complementary-dimensional carrier.</w:t>
      </w:r>
    </w:p>
    <w:p w14:paraId="0B12113B" w14:textId="77777777" w:rsidR="00247F07" w:rsidRDefault="00000000">
      <w:pPr>
        <w:spacing w:after="100" w:line="259" w:lineRule="auto"/>
        <w:ind w:firstLine="360"/>
        <w:jc w:val="both"/>
        <w:rPr>
          <w:rFonts w:hint="eastAsia"/>
        </w:rPr>
      </w:pPr>
      <w:r>
        <w:rPr>
          <w:rFonts w:eastAsia="Liberation Serif"/>
        </w:rPr>
        <w:lastRenderedPageBreak/>
        <w:t>This changes the novelty claim. The new proposal is not that sleep consolidates, that two timescales are needed, or that long-term memory should be protected from online gradients. It is that context-free and context-bound consolidation can be distinguished by the induced restriction map to an audited boundary.</w:t>
      </w:r>
    </w:p>
    <w:p w14:paraId="4F2BAD0B" w14:textId="77777777" w:rsidR="00247F07" w:rsidRDefault="00000000">
      <w:pPr>
        <w:pStyle w:val="Heading2"/>
        <w:spacing w:before="140" w:after="80"/>
      </w:pPr>
      <w:r>
        <w:rPr>
          <w:rFonts w:ascii="Liberation Sans" w:eastAsia="Liberation Sans" w:hAnsi="Liberation Sans"/>
        </w:rPr>
        <w:t>2.3 Three vocabularies and the anti-theater test</w:t>
      </w:r>
    </w:p>
    <w:p w14:paraId="599A6A11" w14:textId="77777777" w:rsidR="00247F07" w:rsidRDefault="00000000">
      <w:pPr>
        <w:spacing w:after="100" w:line="259" w:lineRule="auto"/>
        <w:ind w:firstLine="360"/>
        <w:jc w:val="both"/>
        <w:rPr>
          <w:rFonts w:hint="eastAsia"/>
        </w:rPr>
      </w:pPr>
      <w:r>
        <w:rPr>
          <w:rFonts w:eastAsia="Liberation Serif"/>
        </w:rPr>
        <w:t>The wider program uses three vocabularies: topology, machine learning, and the Antahkarana vocabulary of Manas, Smriti, Buddhi, and Ahankara. Such stacking risks isomorphism theater: correspondences may sound elegant without constraining the architecture. The correct test is whether the added vocabulary forbids an operation that the engineering description alone would permit.</w:t>
      </w:r>
    </w:p>
    <w:p w14:paraId="13E3FDAC" w14:textId="77777777" w:rsidR="00247F07" w:rsidRDefault="00000000">
      <w:pPr>
        <w:spacing w:after="100" w:line="259" w:lineRule="auto"/>
        <w:ind w:firstLine="360"/>
        <w:jc w:val="both"/>
        <w:rPr>
          <w:rFonts w:hint="eastAsia"/>
        </w:rPr>
      </w:pPr>
      <w:r>
        <w:rPr>
          <w:rFonts w:eastAsia="Liberation Serif"/>
        </w:rPr>
        <w:t>On that test, Manas as option generation, Smriti as memory, and Buddhi as selection are mostly relabelings. Ahankara becomes technically interesting only when interpreted as signed provenance: local writes may be individually valid but fail to admit a globally consistent orientation or ownership sign. Even this interpretation has a hard ceiling. An orientation character takes values only in {+1, -1}; it cannot encode joint authorship, ordered delegation, or noncommutative responsibility. Section 6 makes that ceiling explicit.</w:t>
      </w:r>
    </w:p>
    <w:p w14:paraId="2C876DC0" w14:textId="77777777" w:rsidR="00247F07" w:rsidRDefault="00000000">
      <w:pPr>
        <w:pStyle w:val="Heading1"/>
        <w:spacing w:before="200" w:after="80"/>
      </w:pPr>
      <w:r>
        <w:rPr>
          <w:rFonts w:ascii="Liberation Sans" w:eastAsia="Liberation Sans" w:hAnsi="Liberation Sans"/>
        </w:rPr>
        <w:t>3. The Mathematical Core: Boundary-Visible Cohomology</w:t>
      </w:r>
    </w:p>
    <w:p w14:paraId="628A366A" w14:textId="77777777" w:rsidR="00247F07" w:rsidRDefault="00000000">
      <w:pPr>
        <w:pStyle w:val="Heading2"/>
        <w:spacing w:before="140" w:after="80"/>
      </w:pPr>
      <w:r>
        <w:rPr>
          <w:rFonts w:ascii="Liberation Sans" w:eastAsia="Liberation Sans" w:hAnsi="Liberation Sans"/>
        </w:rPr>
        <w:t>3.1 The episode pair</w:t>
      </w:r>
    </w:p>
    <w:p w14:paraId="6B566E47" w14:textId="77777777" w:rsidR="00247F07" w:rsidRDefault="00000000">
      <w:pPr>
        <w:spacing w:after="100" w:line="259" w:lineRule="auto"/>
        <w:ind w:firstLine="360"/>
        <w:jc w:val="both"/>
        <w:rPr>
          <w:rFonts w:hint="eastAsia"/>
        </w:rPr>
      </w:pPr>
      <w:r>
        <w:rPr>
          <w:rFonts w:eastAsia="Liberation Serif"/>
        </w:rPr>
        <w:t>Let M be a finite topological, simplicial, cellular, or sheaf-theoretic domain representing one bounded learning episode. Let B be the audited contextual boundary, and let i: B -&gt; M denote inclusion. The word boundary is used operationally: B contains the conditions under which the episode was acquired, not necessarily only the geometric boundary of a smooth manifold. In the strongest Poincaré-Lefschetz realization, B will be the boundary subcomplex of a Poincaré pair. In the more general export criterion, it is a selected subspace or subobject representing context.</w:t>
      </w:r>
    </w:p>
    <w:p w14:paraId="6DD1779A" w14:textId="77777777" w:rsidR="00247F07" w:rsidRDefault="00000000">
      <w:pPr>
        <w:spacing w:after="100" w:line="259" w:lineRule="auto"/>
        <w:ind w:firstLine="360"/>
        <w:jc w:val="both"/>
        <w:rPr>
          <w:rFonts w:hint="eastAsia"/>
        </w:rPr>
      </w:pPr>
      <w:r>
        <w:rPr>
          <w:rFonts w:eastAsia="Liberation Serif"/>
        </w:rPr>
        <w:t>Fix a degree k and an abelian coefficient system A. A class [α] in Hᵏ(M; A) represents a learned constraint. Restriction induces the homomorphism</w:t>
      </w:r>
    </w:p>
    <w:p w14:paraId="17E638AC" w14:textId="77777777" w:rsidR="00247F07" w:rsidRDefault="00000000">
      <w:pPr>
        <w:spacing w:before="100" w:after="100"/>
        <w:jc w:val="center"/>
        <w:rPr>
          <w:rFonts w:hint="eastAsia"/>
        </w:rPr>
      </w:pPr>
      <w:r>
        <w:rPr>
          <w:rFonts w:eastAsia="Liberation Serif"/>
          <w:i/>
        </w:rPr>
        <w:t>i*: Hᵏ(M; A) → Hᵏ(B; A).</w:t>
      </w:r>
    </w:p>
    <w:p w14:paraId="7618DD59" w14:textId="77777777" w:rsidR="00247F07" w:rsidRDefault="00000000">
      <w:pPr>
        <w:spacing w:after="100" w:line="259" w:lineRule="auto"/>
        <w:ind w:firstLine="360"/>
        <w:jc w:val="both"/>
        <w:rPr>
          <w:rFonts w:hint="eastAsia"/>
        </w:rPr>
      </w:pPr>
      <w:r>
        <w:rPr>
          <w:rFonts w:eastAsia="Liberation Serif"/>
        </w:rPr>
        <w:t>The image i*[α] is the part of the class visible on the episode conditions. Its vanishing is not interpreted as small prediction loss. It is a structural statement: the class becomes cohomologically trivial when restricted to the context boundary.</w:t>
      </w:r>
    </w:p>
    <w:p w14:paraId="32F08862" w14:textId="77777777" w:rsidR="00247F07" w:rsidRDefault="00000000">
      <w:pPr>
        <w:pStyle w:val="Heading2"/>
        <w:spacing w:before="140" w:after="80"/>
      </w:pPr>
      <w:r>
        <w:rPr>
          <w:rFonts w:ascii="Liberation Sans" w:eastAsia="Liberation Sans" w:hAnsi="Liberation Sans"/>
        </w:rPr>
        <w:t>3.2 Exportable and boundary-visible constraint spaces</w:t>
      </w:r>
    </w:p>
    <w:p w14:paraId="50ACE48D" w14:textId="77777777" w:rsidR="00247F07" w:rsidRDefault="00000000">
      <w:pPr>
        <w:spacing w:before="100" w:after="100"/>
        <w:jc w:val="center"/>
        <w:rPr>
          <w:rFonts w:hint="eastAsia"/>
        </w:rPr>
      </w:pPr>
      <w:r>
        <w:rPr>
          <w:rFonts w:eastAsia="Liberation Serif"/>
          <w:i/>
        </w:rPr>
        <w:t>Eᴬᵏ(M, B) = ker i*.</w:t>
      </w:r>
    </w:p>
    <w:p w14:paraId="13C8E3F8" w14:textId="77777777" w:rsidR="00247F07" w:rsidRDefault="00000000">
      <w:pPr>
        <w:spacing w:after="100" w:line="259" w:lineRule="auto"/>
        <w:ind w:firstLine="360"/>
        <w:jc w:val="both"/>
        <w:rPr>
          <w:rFonts w:hint="eastAsia"/>
        </w:rPr>
      </w:pPr>
      <w:r>
        <w:rPr>
          <w:rFonts w:eastAsia="Liberation Serif"/>
        </w:rPr>
        <w:t>The exportable constraint space consists of classes whose restriction to B vanishes. These classes are eligible to detach from the episode, subject to the remaining domain and statistical audits.</w:t>
      </w:r>
    </w:p>
    <w:p w14:paraId="1CDE6668" w14:textId="77777777" w:rsidR="00247F07" w:rsidRDefault="00000000">
      <w:pPr>
        <w:spacing w:before="100" w:after="100"/>
        <w:jc w:val="center"/>
        <w:rPr>
          <w:rFonts w:hint="eastAsia"/>
        </w:rPr>
      </w:pPr>
      <w:r>
        <w:rPr>
          <w:rFonts w:eastAsia="Liberation Serif"/>
          <w:i/>
        </w:rPr>
        <w:t>Cᴬᵏ(M, B) = im i* ⊆ Hᵏ(B; A).</w:t>
      </w:r>
    </w:p>
    <w:p w14:paraId="1B0B57EF" w14:textId="77777777" w:rsidR="00247F07" w:rsidRDefault="00000000">
      <w:pPr>
        <w:spacing w:after="100" w:line="259" w:lineRule="auto"/>
        <w:ind w:firstLine="360"/>
        <w:jc w:val="both"/>
        <w:rPr>
          <w:rFonts w:hint="eastAsia"/>
        </w:rPr>
      </w:pPr>
      <w:r>
        <w:rPr>
          <w:rFonts w:eastAsia="Liberation Serif"/>
        </w:rPr>
        <w:t>The boundary-visible space records the contextual content that remains detectable on B. It is the episode-level object measuring how much of the constraint space is entangled with the conditions of acquisition.</w:t>
      </w:r>
    </w:p>
    <w:p w14:paraId="1D392F7D" w14:textId="77777777" w:rsidR="00247F07" w:rsidRDefault="00000000">
      <w:pPr>
        <w:spacing w:before="100" w:after="100"/>
        <w:jc w:val="center"/>
        <w:rPr>
          <w:rFonts w:hint="eastAsia"/>
        </w:rPr>
      </w:pPr>
      <w:r>
        <w:rPr>
          <w:rFonts w:eastAsia="Liberation Serif"/>
          <w:i/>
        </w:rPr>
        <w:t>Hᵏ(M; A) / Eᴬᵏ(M, B) ≅ Cᴬᵏ(M, B).</w:t>
      </w:r>
    </w:p>
    <w:p w14:paraId="35DF82B6" w14:textId="77777777" w:rsidR="00247F07" w:rsidRDefault="00000000">
      <w:pPr>
        <w:spacing w:after="100" w:line="259" w:lineRule="auto"/>
        <w:ind w:firstLine="360"/>
        <w:jc w:val="both"/>
        <w:rPr>
          <w:rFonts w:hint="eastAsia"/>
        </w:rPr>
      </w:pPr>
      <w:r>
        <w:rPr>
          <w:rFonts w:eastAsia="Liberation Serif"/>
        </w:rPr>
        <w:t>This quotient isomorphism follows from the first isomorphism theorem. It makes the framework simpler than per-class bookkeeping alone. The episode possesses a graded boundary-visible profile Cᴬ•(M, B), not merely a list of individual export decisions.</w:t>
      </w:r>
    </w:p>
    <w:p w14:paraId="5AA651B6" w14:textId="77777777" w:rsidR="00247F07" w:rsidRDefault="00000000">
      <w:pPr>
        <w:pStyle w:val="Heading2"/>
        <w:spacing w:before="140" w:after="80"/>
      </w:pPr>
      <w:r>
        <w:rPr>
          <w:rFonts w:ascii="Liberation Sans" w:eastAsia="Liberation Sans" w:hAnsi="Liberation Sans"/>
        </w:rPr>
        <w:t>3.3 Context-dependence dimension and module profile</w:t>
      </w:r>
    </w:p>
    <w:p w14:paraId="3999ABE7" w14:textId="77777777" w:rsidR="00247F07" w:rsidRDefault="00000000">
      <w:pPr>
        <w:spacing w:after="100" w:line="259" w:lineRule="auto"/>
        <w:ind w:firstLine="360"/>
        <w:jc w:val="both"/>
        <w:rPr>
          <w:rFonts w:hint="eastAsia"/>
        </w:rPr>
      </w:pPr>
      <w:r>
        <w:rPr>
          <w:rFonts w:eastAsia="Liberation Serif"/>
        </w:rPr>
        <w:t>Over a field F, define the degree-k context-dependence dimension</w:t>
      </w:r>
    </w:p>
    <w:p w14:paraId="57648F43" w14:textId="77777777" w:rsidR="00247F07" w:rsidRDefault="00000000">
      <w:pPr>
        <w:spacing w:before="100" w:after="100"/>
        <w:jc w:val="center"/>
        <w:rPr>
          <w:rFonts w:hint="eastAsia"/>
        </w:rPr>
      </w:pPr>
      <w:r>
        <w:rPr>
          <w:rFonts w:eastAsia="Liberation Serif"/>
          <w:i/>
        </w:rPr>
        <w:t>cₖ(M, B; F) = dim_F im i*.</w:t>
      </w:r>
    </w:p>
    <w:p w14:paraId="47D8EF15" w14:textId="77777777" w:rsidR="00247F07" w:rsidRDefault="00000000">
      <w:pPr>
        <w:spacing w:after="100" w:line="259" w:lineRule="auto"/>
        <w:ind w:firstLine="360"/>
        <w:jc w:val="both"/>
        <w:rPr>
          <w:rFonts w:hint="eastAsia"/>
        </w:rPr>
      </w:pPr>
      <w:r>
        <w:rPr>
          <w:rFonts w:eastAsia="Liberation Serif"/>
        </w:rPr>
        <w:lastRenderedPageBreak/>
        <w:t>A large cₖ means that many independent degree-k constraints remain visible on the acquisition boundary. A small value means that most of the degree-k constraint space is eligible, at least algebraically, to lift away from that boundary. The full graded vector (c₀, c₁, ..., cₙ) is more informative than a scalar. A weighted sum may be useful operationally, but it should not replace the profile.</w:t>
      </w:r>
    </w:p>
    <w:p w14:paraId="6858C820" w14:textId="77777777" w:rsidR="00247F07" w:rsidRDefault="00000000">
      <w:pPr>
        <w:spacing w:after="100" w:line="259" w:lineRule="auto"/>
        <w:ind w:firstLine="360"/>
        <w:jc w:val="both"/>
        <w:rPr>
          <w:rFonts w:hint="eastAsia"/>
        </w:rPr>
      </w:pPr>
      <w:r>
        <w:rPr>
          <w:rFonts w:eastAsia="Liberation Serif"/>
        </w:rPr>
        <w:t>Over the integers, rank alone is insufficient. The boundary-visible module may contain torsion:</w:t>
      </w:r>
    </w:p>
    <w:p w14:paraId="3102691D" w14:textId="77777777" w:rsidR="00247F07" w:rsidRDefault="00000000">
      <w:pPr>
        <w:spacing w:before="100" w:after="100"/>
        <w:jc w:val="center"/>
        <w:rPr>
          <w:rFonts w:hint="eastAsia"/>
        </w:rPr>
      </w:pPr>
      <w:r>
        <w:rPr>
          <w:rFonts w:eastAsia="Liberation Serif"/>
          <w:i/>
        </w:rPr>
        <w:t>im i* ≅ Zʳ ⊕ (⊕ⱼ Z / nⱼZ).</w:t>
      </w:r>
    </w:p>
    <w:p w14:paraId="4487502E" w14:textId="77777777" w:rsidR="00247F07" w:rsidRDefault="00000000">
      <w:pPr>
        <w:spacing w:after="100" w:line="259" w:lineRule="auto"/>
        <w:ind w:firstLine="360"/>
        <w:jc w:val="both"/>
        <w:rPr>
          <w:rFonts w:hint="eastAsia"/>
        </w:rPr>
      </w:pPr>
      <w:r>
        <w:rPr>
          <w:rFonts w:eastAsia="Liberation Serif"/>
        </w:rPr>
        <w:t>The invariant is therefore the isomorphism type of im i*, not only its free rank. This distinction is crucial in spaces such as SO(3), whose nontrivial first homology is finite and disappears over real coefficients.</w:t>
      </w:r>
    </w:p>
    <w:p w14:paraId="161BDBF7" w14:textId="77777777" w:rsidR="00247F07" w:rsidRDefault="00000000">
      <w:pPr>
        <w:pStyle w:val="Heading2"/>
        <w:spacing w:before="140" w:after="80"/>
      </w:pPr>
      <w:r>
        <w:rPr>
          <w:rFonts w:ascii="Liberation Sans" w:eastAsia="Liberation Sans" w:hAnsi="Liberation Sans"/>
        </w:rPr>
        <w:t>3.4 The exact export theorem</w:t>
      </w:r>
    </w:p>
    <w:p w14:paraId="45D251BF" w14:textId="77777777" w:rsidR="00247F07" w:rsidRDefault="00000000">
      <w:pPr>
        <w:spacing w:after="100" w:line="259" w:lineRule="auto"/>
        <w:ind w:firstLine="360"/>
        <w:jc w:val="both"/>
        <w:rPr>
          <w:rFonts w:hint="eastAsia"/>
        </w:rPr>
      </w:pPr>
      <w:r>
        <w:rPr>
          <w:rFonts w:eastAsia="Liberation Serif"/>
        </w:rPr>
        <w:t>The long exact cohomology sequence of the pair (M, B) contains</w:t>
      </w:r>
    </w:p>
    <w:p w14:paraId="3096DD03" w14:textId="77777777" w:rsidR="00247F07" w:rsidRDefault="00000000">
      <w:pPr>
        <w:spacing w:before="100" w:after="100"/>
        <w:jc w:val="center"/>
        <w:rPr>
          <w:rFonts w:hint="eastAsia"/>
        </w:rPr>
      </w:pPr>
      <w:r>
        <w:rPr>
          <w:rFonts w:eastAsia="Liberation Serif"/>
          <w:i/>
        </w:rPr>
        <w:t>… → Hᵏ(M, B; A) —j*→ Hᵏ(M; A) —i*→ Hᵏ(B; A) → …</w:t>
      </w:r>
    </w:p>
    <w:p w14:paraId="26A980A7" w14:textId="77777777" w:rsidR="00247F07" w:rsidRDefault="00000000">
      <w:pPr>
        <w:spacing w:after="100" w:line="259" w:lineRule="auto"/>
        <w:ind w:firstLine="360"/>
        <w:jc w:val="both"/>
        <w:rPr>
          <w:rFonts w:hint="eastAsia"/>
        </w:rPr>
      </w:pPr>
      <w:r>
        <w:rPr>
          <w:rFonts w:eastAsia="Liberation Serif"/>
        </w:rPr>
        <w:t>Exactness at Hᵏ(M; A) gives</w:t>
      </w:r>
    </w:p>
    <w:p w14:paraId="4FB941DC" w14:textId="77777777" w:rsidR="00247F07" w:rsidRDefault="00000000">
      <w:pPr>
        <w:spacing w:before="100" w:after="100"/>
        <w:jc w:val="center"/>
        <w:rPr>
          <w:rFonts w:hint="eastAsia"/>
        </w:rPr>
      </w:pPr>
      <w:r>
        <w:rPr>
          <w:rFonts w:eastAsia="Liberation Serif"/>
          <w:i/>
        </w:rPr>
        <w:t>im j* = ker i*.</w:t>
      </w:r>
    </w:p>
    <w:tbl>
      <w:tblPr>
        <w:tblW w:w="0" w:type="auto"/>
        <w:jc w:val="center"/>
        <w:tblLook w:val="04A0" w:firstRow="1" w:lastRow="0" w:firstColumn="1" w:lastColumn="0" w:noHBand="0" w:noVBand="1"/>
      </w:tblPr>
      <w:tblGrid>
        <w:gridCol w:w="9792"/>
      </w:tblGrid>
      <w:tr w:rsidR="00247F07" w14:paraId="166B8B36" w14:textId="77777777">
        <w:trPr>
          <w:jc w:val="center"/>
        </w:trPr>
        <w:tc>
          <w:tcPr>
            <w:tcW w:w="9792" w:type="dxa"/>
            <w:shd w:val="clear" w:color="auto" w:fill="E2F0D9"/>
            <w:tcMar>
              <w:top w:w="140" w:type="dxa"/>
              <w:left w:w="180" w:type="dxa"/>
              <w:bottom w:w="140" w:type="dxa"/>
              <w:right w:w="180" w:type="dxa"/>
            </w:tcMar>
            <w:vAlign w:val="center"/>
          </w:tcPr>
          <w:p w14:paraId="112081CC" w14:textId="77777777" w:rsidR="00247F07" w:rsidRDefault="00000000">
            <w:pPr>
              <w:spacing w:after="60"/>
              <w:rPr>
                <w:rFonts w:hint="eastAsia"/>
              </w:rPr>
            </w:pPr>
            <w:r>
              <w:rPr>
                <w:rFonts w:ascii="Liberation Sans" w:eastAsia="Liberation Sans" w:hAnsi="Liberation Sans"/>
                <w:b/>
                <w:color w:val="1F4E79"/>
                <w:sz w:val="21"/>
              </w:rPr>
              <w:t>Theorem 1 - Abelian memory-export criterion [LB]</w:t>
            </w:r>
          </w:p>
          <w:p w14:paraId="27201FAA" w14:textId="77777777" w:rsidR="00247F07" w:rsidRDefault="00000000">
            <w:pPr>
              <w:spacing w:after="0"/>
              <w:rPr>
                <w:rFonts w:hint="eastAsia"/>
              </w:rPr>
            </w:pPr>
            <w:r>
              <w:rPr>
                <w:rFonts w:eastAsia="Liberation Serif"/>
                <w:sz w:val="21"/>
              </w:rPr>
              <w:t>For [α] in Hᵏ(M; A), the following are equivalent: (i) i*[α] = 0; (ii) [α] belongs to ker i*; (iii) [α] lies in im j*; and (iv) [α] admits a relative lift [α̃] in Hᵏ(M, B; A). Thus a constraint is algebraically exportable if and only if its restriction to the audited boundary vanishes.</w:t>
            </w:r>
          </w:p>
        </w:tc>
      </w:tr>
    </w:tbl>
    <w:p w14:paraId="36C850EA" w14:textId="77777777" w:rsidR="00247F07" w:rsidRDefault="00247F07">
      <w:pPr>
        <w:spacing w:after="0"/>
        <w:rPr>
          <w:rFonts w:hint="eastAsia"/>
        </w:rPr>
      </w:pPr>
    </w:p>
    <w:p w14:paraId="3DD4E09F" w14:textId="77777777" w:rsidR="00247F07" w:rsidRDefault="00000000">
      <w:pPr>
        <w:spacing w:after="100" w:line="259" w:lineRule="auto"/>
        <w:ind w:firstLine="360"/>
        <w:jc w:val="both"/>
        <w:rPr>
          <w:rFonts w:hint="eastAsia"/>
        </w:rPr>
      </w:pPr>
      <w:r>
        <w:rPr>
          <w:rFonts w:eastAsia="Liberation Serif"/>
        </w:rPr>
        <w:t>The theorem is the load-bearing result. It does not require Poincaré duality. It requires an abelian cohomology theory with the long exact sequence of a pair. The meaning assigned to export is conceptual, but the biconditional itself is exact.</w:t>
      </w:r>
    </w:p>
    <w:p w14:paraId="2ABA15C5" w14:textId="77777777" w:rsidR="00247F07" w:rsidRDefault="00000000">
      <w:pPr>
        <w:spacing w:after="100" w:line="259" w:lineRule="auto"/>
        <w:ind w:firstLine="360"/>
        <w:jc w:val="both"/>
        <w:rPr>
          <w:rFonts w:hint="eastAsia"/>
        </w:rPr>
      </w:pPr>
      <w:r>
        <w:rPr>
          <w:rFonts w:eastAsia="Liberation Serif"/>
        </w:rPr>
        <w:t>The relative lift need not be unique. The ambiguity is controlled by the preceding part of the long exact sequence: two lifts may differ by a class arising from Hᵏ⁻¹(B; A). This matters architecturally. The same apparently exportable rule may admit several provenance-respecting relative explanations. A system must either retain the lift choice, use an analytic selection convention, or report the ambiguity.</w:t>
      </w:r>
    </w:p>
    <w:p w14:paraId="3FE1F085" w14:textId="77777777" w:rsidR="00247F07" w:rsidRDefault="00000000">
      <w:pPr>
        <w:pStyle w:val="Heading1"/>
        <w:spacing w:before="200" w:after="80"/>
      </w:pPr>
      <w:r>
        <w:rPr>
          <w:rFonts w:ascii="Liberation Sans" w:eastAsia="Liberation Sans" w:hAnsi="Liberation Sans"/>
        </w:rPr>
        <w:t>4. Poincaré-Lefschetz Realization: From Lifted Constraint to Absolute Carrier</w:t>
      </w:r>
    </w:p>
    <w:p w14:paraId="59D502DE" w14:textId="77777777" w:rsidR="00247F07" w:rsidRDefault="00000000">
      <w:pPr>
        <w:pStyle w:val="Heading2"/>
        <w:spacing w:before="140" w:after="80"/>
      </w:pPr>
      <w:r>
        <w:rPr>
          <w:rFonts w:ascii="Liberation Sans" w:eastAsia="Liberation Sans" w:hAnsi="Liberation Sans"/>
        </w:rPr>
        <w:t>4.1 Why the appropriate theorem has a boundary</w:t>
      </w:r>
    </w:p>
    <w:p w14:paraId="5BDBF5B5" w14:textId="77777777" w:rsidR="00247F07" w:rsidRDefault="00000000">
      <w:pPr>
        <w:spacing w:after="100" w:line="259" w:lineRule="auto"/>
        <w:ind w:firstLine="360"/>
        <w:jc w:val="both"/>
        <w:rPr>
          <w:rFonts w:hint="eastAsia"/>
        </w:rPr>
      </w:pPr>
      <w:r>
        <w:rPr>
          <w:rFonts w:eastAsia="Liberation Serif"/>
        </w:rPr>
        <w:t>A learning episode is not naturally a closed manifold. It interfaces with prior context, future observations, omitted evidence, environmental assumptions, and a boundary of validity. The relevant clean-case theorem is therefore Poincaré-Lefschetz duality for a compact oriented n-dimensional manifold with boundary, or more generally a finite Poincaré pair (M, B) carrying an appropriate fundamental class.</w:t>
      </w:r>
    </w:p>
    <w:p w14:paraId="206E12A6" w14:textId="77777777" w:rsidR="00247F07" w:rsidRDefault="00000000">
      <w:pPr>
        <w:spacing w:before="100" w:after="100"/>
        <w:jc w:val="center"/>
        <w:rPr>
          <w:rFonts w:hint="eastAsia"/>
        </w:rPr>
      </w:pPr>
      <w:r>
        <w:rPr>
          <w:rFonts w:eastAsia="Liberation Serif"/>
          <w:i/>
        </w:rPr>
        <w:t>Hᵏ(M, B; A) ≅ Hₙ₋ₖ(M; A ⊗ O_M),</w:t>
      </w:r>
    </w:p>
    <w:p w14:paraId="39CE2161" w14:textId="77777777" w:rsidR="00247F07" w:rsidRDefault="00000000">
      <w:pPr>
        <w:spacing w:before="100" w:after="100"/>
        <w:jc w:val="center"/>
        <w:rPr>
          <w:rFonts w:hint="eastAsia"/>
        </w:rPr>
      </w:pPr>
      <w:r>
        <w:rPr>
          <w:rFonts w:eastAsia="Liberation Serif"/>
          <w:i/>
        </w:rPr>
        <w:t>Hᵏ(M; A) ≅ Hₙ₋ₖ(M, B; A ⊗ O_M),</w:t>
      </w:r>
    </w:p>
    <w:p w14:paraId="33E34D1F" w14:textId="77777777" w:rsidR="00247F07" w:rsidRDefault="00000000">
      <w:pPr>
        <w:spacing w:after="100" w:line="259" w:lineRule="auto"/>
        <w:ind w:firstLine="360"/>
        <w:jc w:val="both"/>
        <w:rPr>
          <w:rFonts w:hint="eastAsia"/>
        </w:rPr>
      </w:pPr>
      <w:r>
        <w:rPr>
          <w:rFonts w:eastAsia="Liberation Serif"/>
        </w:rPr>
        <w:t>where O_M is the orientation local system. These two forms correspond to two memory types. A relative cohomology class, already trivialized on the boundary, becomes an absolute carrier. An absolute cohomology class becomes a relative carrier whose boundary remains attached to the episode.</w:t>
      </w:r>
    </w:p>
    <w:p w14:paraId="321271A8" w14:textId="77777777" w:rsidR="00247F07" w:rsidRDefault="00000000">
      <w:pPr>
        <w:pStyle w:val="Heading2"/>
        <w:spacing w:before="140" w:after="80"/>
      </w:pPr>
      <w:r>
        <w:rPr>
          <w:rFonts w:ascii="Liberation Sans" w:eastAsia="Liberation Sans" w:hAnsi="Liberation Sans"/>
        </w:rPr>
        <w:t>4.2 Carrier construction after the export test</w:t>
      </w:r>
    </w:p>
    <w:p w14:paraId="089F1A3E" w14:textId="77777777" w:rsidR="00247F07" w:rsidRDefault="00000000">
      <w:pPr>
        <w:spacing w:after="100" w:line="259" w:lineRule="auto"/>
        <w:ind w:firstLine="360"/>
        <w:jc w:val="both"/>
        <w:rPr>
          <w:rFonts w:hint="eastAsia"/>
        </w:rPr>
      </w:pPr>
      <w:r>
        <w:rPr>
          <w:rFonts w:eastAsia="Liberation Serif"/>
        </w:rPr>
        <w:t>Suppose [α] passes the boundary criterion and a relative lift [α̃] has been chosen. If (M, B) is a certified n-dimensional Poincaré pair with relative fundamental class [M, B], define</w:t>
      </w:r>
    </w:p>
    <w:p w14:paraId="5ABE78B1" w14:textId="77777777" w:rsidR="00247F07" w:rsidRDefault="00000000">
      <w:pPr>
        <w:spacing w:before="100" w:after="100"/>
        <w:jc w:val="center"/>
        <w:rPr>
          <w:rFonts w:hint="eastAsia"/>
        </w:rPr>
      </w:pPr>
      <w:r>
        <w:rPr>
          <w:rFonts w:eastAsia="Liberation Serif"/>
          <w:i/>
        </w:rPr>
        <w:lastRenderedPageBreak/>
        <w:t>PD₍M,B₎([α̃]) = [α̃] ∩ [M, B], an element of Hₙ₋ₖ(M; A ⊗ O_M).</w:t>
      </w:r>
    </w:p>
    <w:p w14:paraId="5828F2AB" w14:textId="77777777" w:rsidR="00247F07" w:rsidRDefault="00000000">
      <w:pPr>
        <w:spacing w:after="100" w:line="259" w:lineRule="auto"/>
        <w:ind w:firstLine="360"/>
        <w:jc w:val="both"/>
        <w:rPr>
          <w:rFonts w:hint="eastAsia"/>
        </w:rPr>
      </w:pPr>
      <w:r>
        <w:rPr>
          <w:rFonts w:eastAsia="Liberation Serif"/>
        </w:rPr>
        <w:t>This absolute homology class is the durable carrier. The conceptual interpretation is that a constraint which no longer depends on the episode boundary may be materialized as a reusable complementary-dimensional structure. A route, routine, structural cycle, or expert carrier can be stored without preserving the whole trajectory that produced it.</w:t>
      </w:r>
    </w:p>
    <w:tbl>
      <w:tblPr>
        <w:tblW w:w="0" w:type="auto"/>
        <w:jc w:val="center"/>
        <w:tblLook w:val="04A0" w:firstRow="1" w:lastRow="0" w:firstColumn="1" w:lastColumn="0" w:noHBand="0" w:noVBand="1"/>
      </w:tblPr>
      <w:tblGrid>
        <w:gridCol w:w="9792"/>
      </w:tblGrid>
      <w:tr w:rsidR="00247F07" w14:paraId="55BF5580" w14:textId="77777777">
        <w:trPr>
          <w:jc w:val="center"/>
        </w:trPr>
        <w:tc>
          <w:tcPr>
            <w:tcW w:w="9792" w:type="dxa"/>
            <w:shd w:val="clear" w:color="auto" w:fill="EAF2F8"/>
            <w:tcMar>
              <w:top w:w="140" w:type="dxa"/>
              <w:left w:w="180" w:type="dxa"/>
              <w:bottom w:w="140" w:type="dxa"/>
              <w:right w:w="180" w:type="dxa"/>
            </w:tcMar>
            <w:vAlign w:val="center"/>
          </w:tcPr>
          <w:p w14:paraId="35F27831" w14:textId="77777777" w:rsidR="00247F07" w:rsidRDefault="00000000">
            <w:pPr>
              <w:spacing w:after="60"/>
              <w:rPr>
                <w:rFonts w:hint="eastAsia"/>
              </w:rPr>
            </w:pPr>
            <w:r>
              <w:rPr>
                <w:rFonts w:ascii="Liberation Sans" w:eastAsia="Liberation Sans" w:hAnsi="Liberation Sans"/>
                <w:b/>
                <w:color w:val="1F4E79"/>
                <w:sz w:val="21"/>
              </w:rPr>
              <w:t>Ordering discipline</w:t>
            </w:r>
          </w:p>
          <w:p w14:paraId="31F9C31F" w14:textId="77777777" w:rsidR="00247F07" w:rsidRDefault="00000000">
            <w:pPr>
              <w:spacing w:after="0"/>
              <w:rPr>
                <w:rFonts w:hint="eastAsia"/>
              </w:rPr>
            </w:pPr>
            <w:r>
              <w:rPr>
                <w:rFonts w:eastAsia="Liberation Serif"/>
                <w:sz w:val="21"/>
              </w:rPr>
              <w:t>Boundary vanishing is the export principle. Relative lifting is the exact algebraic license. Poincaré-Lefschetz duality is the optional carrier-construction theorem. Reversing this order overstates the role of duality.</w:t>
            </w:r>
          </w:p>
        </w:tc>
      </w:tr>
    </w:tbl>
    <w:p w14:paraId="283FF627" w14:textId="77777777" w:rsidR="00247F07" w:rsidRDefault="00247F07">
      <w:pPr>
        <w:spacing w:after="0"/>
        <w:rPr>
          <w:rFonts w:hint="eastAsia"/>
        </w:rPr>
      </w:pPr>
    </w:p>
    <w:p w14:paraId="38D30A2A" w14:textId="77777777" w:rsidR="00247F07" w:rsidRDefault="00000000">
      <w:pPr>
        <w:pStyle w:val="Heading2"/>
        <w:spacing w:before="140" w:after="80"/>
      </w:pPr>
      <w:r>
        <w:rPr>
          <w:rFonts w:ascii="Liberation Sans" w:eastAsia="Liberation Sans" w:hAnsi="Liberation Sans"/>
        </w:rPr>
        <w:t>4.3 Context-independent and provenance-bound memory</w:t>
      </w:r>
    </w:p>
    <w:p w14:paraId="1339B87D" w14:textId="77777777" w:rsidR="00247F07" w:rsidRDefault="00000000">
      <w:pPr>
        <w:spacing w:after="100" w:line="259" w:lineRule="auto"/>
        <w:ind w:firstLine="360"/>
        <w:jc w:val="both"/>
        <w:rPr>
          <w:rFonts w:hint="eastAsia"/>
        </w:rPr>
      </w:pPr>
      <w:r>
        <w:rPr>
          <w:rFonts w:eastAsia="Liberation Serif"/>
        </w:rPr>
        <w:t>The two duality forms make an epistemically meaningful distinction. If a class lifts to Hᵏ(M, B; A) and dualizes into Hₙ₋ₖ(M; A ⊗ O_M), the resulting carrier is absolute: it can travel without keeping the old boundary present. If instead the relevant class remains absolute in cohomology and dualizes into Hₙ₋ₖ(M, B; A ⊗ O_M), its carrier remains relative: its boundary is pinned to the acquisition episode. The first is a candidate general rule or reusable habit; the second is an episode-dependent memory whose provenance is structurally part of the object.</w:t>
      </w:r>
    </w:p>
    <w:p w14:paraId="286754F9" w14:textId="77777777" w:rsidR="00247F07" w:rsidRDefault="00000000">
      <w:pPr>
        <w:spacing w:after="100" w:line="259" w:lineRule="auto"/>
        <w:ind w:firstLine="360"/>
        <w:jc w:val="both"/>
        <w:rPr>
          <w:rFonts w:hint="eastAsia"/>
        </w:rPr>
      </w:pPr>
      <w:r>
        <w:rPr>
          <w:rFonts w:eastAsia="Liberation Serif"/>
        </w:rPr>
        <w:t>This distinction is the strongest conceptual result in the proposal. It is not a metaphor imported after the theorem. It follows directly from the two relative/absolute forms of Poincaré-Lefschetz duality. The framework should nonetheless avoid claiming that every neural or artificial memory admits such a representation. The distinction becomes exact only on an earned Poincaré pair.</w:t>
      </w:r>
    </w:p>
    <w:p w14:paraId="1F33ABD3" w14:textId="77777777" w:rsidR="00247F07" w:rsidRDefault="00000000">
      <w:pPr>
        <w:pStyle w:val="Heading2"/>
        <w:spacing w:before="140" w:after="80"/>
      </w:pPr>
      <w:r>
        <w:rPr>
          <w:rFonts w:ascii="Liberation Sans" w:eastAsia="Liberation Sans" w:hAnsi="Liberation Sans"/>
        </w:rPr>
        <w:t>4.4 Coefficients are architectural</w:t>
      </w:r>
    </w:p>
    <w:p w14:paraId="1C538F8D" w14:textId="77777777" w:rsidR="00247F07" w:rsidRDefault="00000000">
      <w:pPr>
        <w:spacing w:after="100" w:line="259" w:lineRule="auto"/>
        <w:ind w:firstLine="360"/>
        <w:jc w:val="both"/>
        <w:rPr>
          <w:rFonts w:hint="eastAsia"/>
        </w:rPr>
      </w:pPr>
      <w:r>
        <w:rPr>
          <w:rFonts w:eastAsia="Liberation Serif"/>
        </w:rPr>
        <w:t>The coefficient system determines which memory structures are visible. Over a field, cohomology is closely related to the linear dual of homology under standard finiteness assumptions. This simplifies computation but can erase torsion. Over Z/2, orientability is not required for a mod-2 fundamental class, so a system can perform orientation-blind structural duality while remaining unable to certify signed provenance. Over the integers, torsion and signed orientation survive, but computation becomes harder.</w:t>
      </w:r>
    </w:p>
    <w:p w14:paraId="4CB6DC27" w14:textId="77777777" w:rsidR="00247F07" w:rsidRDefault="00000000">
      <w:pPr>
        <w:spacing w:after="100" w:line="259" w:lineRule="auto"/>
        <w:ind w:firstLine="360"/>
        <w:jc w:val="both"/>
        <w:rPr>
          <w:rFonts w:hint="eastAsia"/>
        </w:rPr>
      </w:pPr>
      <w:r>
        <w:rPr>
          <w:rFonts w:eastAsia="Liberation Serif"/>
        </w:rPr>
        <w:t>The headline verification case is SO(3):</w:t>
      </w:r>
    </w:p>
    <w:p w14:paraId="1E28AC65" w14:textId="77777777" w:rsidR="00247F07" w:rsidRDefault="00000000">
      <w:pPr>
        <w:spacing w:before="100" w:after="100"/>
        <w:jc w:val="center"/>
        <w:rPr>
          <w:rFonts w:hint="eastAsia"/>
        </w:rPr>
      </w:pPr>
      <w:r>
        <w:rPr>
          <w:rFonts w:eastAsia="Liberation Serif"/>
          <w:i/>
        </w:rPr>
        <w:t>H₁(SO(3); Z) ≅ Z/2,    but    H₁(SO(3); R) = 0.</w:t>
      </w:r>
    </w:p>
    <w:p w14:paraId="196A6B92" w14:textId="77777777" w:rsidR="00247F07" w:rsidRDefault="00000000">
      <w:pPr>
        <w:spacing w:after="100" w:line="259" w:lineRule="auto"/>
        <w:ind w:firstLine="360"/>
        <w:jc w:val="both"/>
        <w:rPr>
          <w:rFonts w:hint="eastAsia"/>
        </w:rPr>
      </w:pPr>
      <w:r>
        <w:rPr>
          <w:rFonts w:eastAsia="Liberation Serif"/>
        </w:rPr>
        <w:t>A real-only implementation reports that the finite-order route has vanished. An integral or mod-2 implementation detects it. The correct statement is therefore never simply "the obstruction vanished." It is: the class vanished over these coefficients, at this resolution, under this boundary model.</w:t>
      </w:r>
    </w:p>
    <w:p w14:paraId="22AD8174" w14:textId="77777777" w:rsidR="00247F07" w:rsidRDefault="00000000">
      <w:pPr>
        <w:pStyle w:val="Heading1"/>
        <w:spacing w:before="200" w:after="80"/>
      </w:pPr>
      <w:r>
        <w:rPr>
          <w:rFonts w:ascii="Liberation Sans" w:eastAsia="Liberation Sans" w:hAnsi="Liberation Sans"/>
        </w:rPr>
        <w:t>5. The Boundary Is an Audited Model</w:t>
      </w:r>
    </w:p>
    <w:p w14:paraId="754C0891" w14:textId="77777777" w:rsidR="00247F07" w:rsidRDefault="00000000">
      <w:pPr>
        <w:pStyle w:val="Heading2"/>
        <w:spacing w:before="140" w:after="80"/>
      </w:pPr>
      <w:r>
        <w:rPr>
          <w:rFonts w:ascii="Liberation Sans" w:eastAsia="Liberation Sans" w:hAnsi="Liberation Sans"/>
        </w:rPr>
        <w:t>5.1 Boundary choice precedes the theorem</w:t>
      </w:r>
    </w:p>
    <w:p w14:paraId="00F1A32F" w14:textId="77777777" w:rsidR="00247F07" w:rsidRDefault="00000000">
      <w:pPr>
        <w:spacing w:after="100" w:line="259" w:lineRule="auto"/>
        <w:ind w:firstLine="360"/>
        <w:jc w:val="both"/>
        <w:rPr>
          <w:rFonts w:hint="eastAsia"/>
        </w:rPr>
      </w:pPr>
      <w:r>
        <w:rPr>
          <w:rFonts w:eastAsia="Liberation Serif"/>
        </w:rPr>
        <w:t>All preceding results are exact given (M, B), but the choice of B is not supplied by the theorem. In the memory interpretation, B is the model of acquisition conditions. Moving a contextual qualifier from boundary to interior, or omitting a relevant condition altogether, can change i*, ker i*, im i*, and therefore the export verdict. The provenance guarantee is only as principled as the boundary decomposition.</w:t>
      </w:r>
    </w:p>
    <w:p w14:paraId="510DE2F8" w14:textId="77777777" w:rsidR="00247F07" w:rsidRDefault="00000000">
      <w:pPr>
        <w:spacing w:after="100" w:line="259" w:lineRule="auto"/>
        <w:ind w:firstLine="360"/>
        <w:jc w:val="both"/>
        <w:rPr>
          <w:rFonts w:hint="eastAsia"/>
        </w:rPr>
      </w:pPr>
      <w:r>
        <w:rPr>
          <w:rFonts w:eastAsia="Liberation Serif"/>
        </w:rPr>
        <w:t>This is a distinct problem from cover adequacy. Nerve-Attention asks whether the domain contains genuine higher simplices rather than clique-completed inventions. Hypercovering asks whether a genuine overlap has been resolved finely enough to expose its obstruction. Boundary audit asks which part of the domain is being treated as condition rather than content. A system may pass the first two audits and still export incorrectly because the wrong boundary was chosen.</w:t>
      </w:r>
    </w:p>
    <w:p w14:paraId="1CC913F9" w14:textId="77777777" w:rsidR="00247F07" w:rsidRDefault="00000000">
      <w:pPr>
        <w:pStyle w:val="Heading2"/>
        <w:spacing w:before="140" w:after="80"/>
      </w:pPr>
      <w:r>
        <w:rPr>
          <w:rFonts w:ascii="Liberation Sans" w:eastAsia="Liberation Sans" w:hAnsi="Liberation Sans"/>
        </w:rPr>
        <w:lastRenderedPageBreak/>
        <w:t>5.2 A family of plausible boundaries</w:t>
      </w:r>
    </w:p>
    <w:p w14:paraId="690FE829" w14:textId="77777777" w:rsidR="00247F07" w:rsidRDefault="00000000">
      <w:pPr>
        <w:spacing w:after="100" w:line="259" w:lineRule="auto"/>
        <w:ind w:firstLine="360"/>
        <w:jc w:val="both"/>
        <w:rPr>
          <w:rFonts w:hint="eastAsia"/>
        </w:rPr>
      </w:pPr>
      <w:r>
        <w:rPr>
          <w:rFonts w:eastAsia="Liberation Serif"/>
        </w:rPr>
        <w:t>Let Bθ, theta in Theta, be an admissible family of episode boundaries generated by plausible segmentation, provenance, or context models. For each theta, compute</w:t>
      </w:r>
    </w:p>
    <w:p w14:paraId="224A4949" w14:textId="77777777" w:rsidR="00247F07" w:rsidRDefault="00000000">
      <w:pPr>
        <w:spacing w:before="100" w:after="100"/>
        <w:jc w:val="center"/>
        <w:rPr>
          <w:rFonts w:hint="eastAsia"/>
        </w:rPr>
      </w:pPr>
      <w:r>
        <w:rPr>
          <w:rFonts w:eastAsia="Liberation Serif"/>
          <w:i/>
        </w:rPr>
        <w:t>iθ*: Hᵏ(M; A) → Hᵏ(Bθ; A).</w:t>
      </w:r>
    </w:p>
    <w:p w14:paraId="16EA2793" w14:textId="77777777" w:rsidR="00247F07" w:rsidRDefault="00000000">
      <w:pPr>
        <w:spacing w:after="100" w:line="259" w:lineRule="auto"/>
        <w:ind w:firstLine="360"/>
        <w:jc w:val="both"/>
        <w:rPr>
          <w:rFonts w:hint="eastAsia"/>
        </w:rPr>
      </w:pPr>
      <w:r>
        <w:rPr>
          <w:rFonts w:eastAsia="Liberation Serif"/>
        </w:rPr>
        <w:t>The resulting verdicts define three classes of memory.</w:t>
      </w:r>
    </w:p>
    <w:p w14:paraId="2FFCF2C4" w14:textId="77777777" w:rsidR="00247F07" w:rsidRDefault="00000000">
      <w:pPr>
        <w:pStyle w:val="ListBullet"/>
        <w:spacing w:after="40"/>
        <w:ind w:hanging="259"/>
        <w:rPr>
          <w:rFonts w:hint="eastAsia"/>
        </w:rPr>
      </w:pPr>
      <w:r>
        <w:rPr>
          <w:rFonts w:eastAsia="Liberation Serif"/>
        </w:rPr>
        <w:t>Robustly exportable: iθ*[α] = 0 for every admissible theta, and the resulting carriers agree under available comparison maps.</w:t>
      </w:r>
    </w:p>
    <w:p w14:paraId="15FA242B" w14:textId="77777777" w:rsidR="00247F07" w:rsidRDefault="00000000">
      <w:pPr>
        <w:pStyle w:val="ListBullet"/>
        <w:spacing w:after="40"/>
        <w:ind w:hanging="259"/>
        <w:rPr>
          <w:rFonts w:hint="eastAsia"/>
        </w:rPr>
      </w:pPr>
      <w:r>
        <w:rPr>
          <w:rFonts w:eastAsia="Liberation Serif"/>
        </w:rPr>
        <w:t>Robustly provenance-bound: iθ*[α] != 0 for every admissible theta.</w:t>
      </w:r>
    </w:p>
    <w:p w14:paraId="384A4CBB" w14:textId="77777777" w:rsidR="00247F07" w:rsidRDefault="00000000">
      <w:pPr>
        <w:pStyle w:val="ListBullet"/>
        <w:spacing w:after="40"/>
        <w:ind w:hanging="259"/>
        <w:rPr>
          <w:rFonts w:hint="eastAsia"/>
        </w:rPr>
      </w:pPr>
      <w:r>
        <w:rPr>
          <w:rFonts w:eastAsia="Liberation Serif"/>
        </w:rPr>
        <w:t>Boundary-sensitive: the verdict changes across plausible boundaries. The apparent generality of the lesson depends on how the episode is delimited.</w:t>
      </w:r>
    </w:p>
    <w:p w14:paraId="156E63E0" w14:textId="77777777" w:rsidR="00247F07" w:rsidRDefault="00000000">
      <w:pPr>
        <w:spacing w:after="100" w:line="259" w:lineRule="auto"/>
        <w:ind w:firstLine="360"/>
        <w:jc w:val="both"/>
        <w:rPr>
          <w:rFonts w:hint="eastAsia"/>
        </w:rPr>
      </w:pPr>
      <w:r>
        <w:rPr>
          <w:rFonts w:eastAsia="Liberation Serif"/>
        </w:rPr>
        <w:t>Boundary sensitivity is a finding, not merely an error. It says that context-independence is itself ambiguous. Such a memory should remain relative and retain the family of boundary models under which export would or would not have been licensed.</w:t>
      </w:r>
    </w:p>
    <w:p w14:paraId="46FA35DB" w14:textId="77777777" w:rsidR="00247F07" w:rsidRDefault="00000000">
      <w:pPr>
        <w:pStyle w:val="Heading2"/>
        <w:spacing w:before="140" w:after="80"/>
      </w:pPr>
      <w:r>
        <w:rPr>
          <w:rFonts w:ascii="Liberation Sans" w:eastAsia="Liberation Sans" w:hAnsi="Liberation Sans"/>
        </w:rPr>
        <w:t>5.3 Zigzag comparison and profile stability</w:t>
      </w:r>
    </w:p>
    <w:p w14:paraId="07F0F638" w14:textId="77777777" w:rsidR="00247F07" w:rsidRDefault="00000000">
      <w:pPr>
        <w:spacing w:after="100" w:line="259" w:lineRule="auto"/>
        <w:ind w:firstLine="360"/>
        <w:jc w:val="both"/>
        <w:rPr>
          <w:rFonts w:hint="eastAsia"/>
        </w:rPr>
      </w:pPr>
      <w:r>
        <w:rPr>
          <w:rFonts w:eastAsia="Liberation Serif"/>
        </w:rPr>
        <w:t>When boundaries are nested, added, removed, or otherwise non-monotone, the sequence of relative cohomology groups can be organized through zigzag persistence or a diagram of induced maps. The central observable is then not only whether one class exports, but how the context-dependence profile changes:</w:t>
      </w:r>
    </w:p>
    <w:p w14:paraId="422265C9" w14:textId="77777777" w:rsidR="00247F07" w:rsidRDefault="00000000">
      <w:pPr>
        <w:spacing w:before="100" w:after="100"/>
        <w:jc w:val="center"/>
        <w:rPr>
          <w:rFonts w:hint="eastAsia"/>
        </w:rPr>
      </w:pPr>
      <w:r>
        <w:rPr>
          <w:rFonts w:eastAsia="Liberation Serif"/>
          <w:i/>
        </w:rPr>
        <w:t>θ ↦ Cᴬᵏ(M, Bθ) = im iθ*.</w:t>
      </w:r>
    </w:p>
    <w:p w14:paraId="3CA7A6A3" w14:textId="77777777" w:rsidR="00247F07" w:rsidRDefault="00000000">
      <w:pPr>
        <w:spacing w:after="100" w:line="259" w:lineRule="auto"/>
        <w:ind w:firstLine="360"/>
        <w:jc w:val="both"/>
        <w:rPr>
          <w:rFonts w:hint="eastAsia"/>
        </w:rPr>
      </w:pPr>
      <w:r>
        <w:rPr>
          <w:rFonts w:eastAsia="Liberation Serif"/>
        </w:rPr>
        <w:t>A stable low-rank profile across reasonable boundary models supports context-independent export. A rapidly changing profile indicates that the lesson is structurally entangled with episode delimitation. This is one place where the proposed framework simplifies: instead of auditing every class independently, the system can first inspect the movement of rank(im iθ*) or, integrally, the changing module structure.</w:t>
      </w:r>
    </w:p>
    <w:p w14:paraId="06B09429" w14:textId="77777777" w:rsidR="00247F07" w:rsidRDefault="00000000">
      <w:pPr>
        <w:pStyle w:val="Heading1"/>
        <w:spacing w:before="200" w:after="80"/>
      </w:pPr>
      <w:r>
        <w:rPr>
          <w:rFonts w:ascii="Liberation Sans" w:eastAsia="Liberation Sans" w:hAnsi="Liberation Sans"/>
        </w:rPr>
        <w:t>6. The Abelian Ceiling</w:t>
      </w:r>
    </w:p>
    <w:p w14:paraId="3F308D4F" w14:textId="77777777" w:rsidR="00247F07" w:rsidRDefault="00000000">
      <w:pPr>
        <w:pStyle w:val="Heading2"/>
        <w:spacing w:before="140" w:after="80"/>
      </w:pPr>
      <w:r>
        <w:rPr>
          <w:rFonts w:ascii="Liberation Sans" w:eastAsia="Liberation Sans" w:hAnsi="Liberation Sans"/>
        </w:rPr>
        <w:t>6.1 Route identity is abelianized</w:t>
      </w:r>
    </w:p>
    <w:p w14:paraId="44A9F42E" w14:textId="77777777" w:rsidR="00247F07" w:rsidRDefault="00000000">
      <w:pPr>
        <w:spacing w:after="100" w:line="259" w:lineRule="auto"/>
        <w:ind w:firstLine="360"/>
        <w:jc w:val="both"/>
        <w:rPr>
          <w:rFonts w:hint="eastAsia"/>
        </w:rPr>
      </w:pPr>
      <w:r>
        <w:rPr>
          <w:rFonts w:eastAsia="Liberation Serif"/>
        </w:rPr>
        <w:t>The method is abelian from beginning to end. In degree one, homology is the abelianization of the fundamental group:</w:t>
      </w:r>
    </w:p>
    <w:p w14:paraId="47095271" w14:textId="77777777" w:rsidR="00247F07" w:rsidRDefault="00000000">
      <w:pPr>
        <w:spacing w:before="100" w:after="100"/>
        <w:jc w:val="center"/>
        <w:rPr>
          <w:rFonts w:hint="eastAsia"/>
        </w:rPr>
      </w:pPr>
      <w:r>
        <w:rPr>
          <w:rFonts w:eastAsia="Liberation Serif"/>
          <w:i/>
        </w:rPr>
        <w:t>H₁(M; Z) ≅ π₁(M)ab.</w:t>
      </w:r>
    </w:p>
    <w:p w14:paraId="4BAC88B3" w14:textId="77777777" w:rsidR="00247F07" w:rsidRDefault="00000000">
      <w:pPr>
        <w:spacing w:after="100" w:line="259" w:lineRule="auto"/>
        <w:ind w:firstLine="360"/>
        <w:jc w:val="both"/>
        <w:rPr>
          <w:rFonts w:hint="eastAsia"/>
        </w:rPr>
      </w:pPr>
      <w:r>
        <w:rPr>
          <w:rFonts w:eastAsia="Liberation Serif"/>
        </w:rPr>
        <w:t>Any commutator loop aba⁻¹b⁻¹ is therefore invisible in H₁, even when it is nontrivial as a route. Two paths may have the same endpoints and the same homology class while remaining non-homotopic. Poincaré-Lefschetz export can preserve homological route memory; it cannot preserve full route identity.</w:t>
      </w:r>
    </w:p>
    <w:p w14:paraId="35051817" w14:textId="77777777" w:rsidR="00247F07" w:rsidRDefault="00000000">
      <w:pPr>
        <w:spacing w:after="100" w:line="259" w:lineRule="auto"/>
        <w:ind w:firstLine="360"/>
        <w:jc w:val="both"/>
        <w:rPr>
          <w:rFonts w:hint="eastAsia"/>
        </w:rPr>
      </w:pPr>
      <w:r>
        <w:rPr>
          <w:rFonts w:eastAsia="Liberation Serif"/>
        </w:rPr>
        <w:t>The braid-space verification case makes this limitation concrete. Configuration spaces of multiple planar agents have nonabelian braid groups. A commutator braid can be nontrivial in π₁ while mapping to zero in H₁. The abelian certificate must alias such histories. This is not a computational shortcoming. It is a constitutive information loss.</w:t>
      </w:r>
    </w:p>
    <w:p w14:paraId="1F79F4C3" w14:textId="77777777" w:rsidR="00247F07" w:rsidRDefault="00000000">
      <w:pPr>
        <w:pStyle w:val="Heading2"/>
        <w:spacing w:before="140" w:after="80"/>
      </w:pPr>
      <w:r>
        <w:rPr>
          <w:rFonts w:ascii="Liberation Sans" w:eastAsia="Liberation Sans" w:hAnsi="Liberation Sans"/>
        </w:rPr>
        <w:t>6.2 Signed provenance is the ceiling of the same certificate form</w:t>
      </w:r>
    </w:p>
    <w:p w14:paraId="24AF9E7B" w14:textId="77777777" w:rsidR="00247F07" w:rsidRDefault="00000000">
      <w:pPr>
        <w:spacing w:after="100" w:line="259" w:lineRule="auto"/>
        <w:ind w:firstLine="360"/>
        <w:jc w:val="both"/>
        <w:rPr>
          <w:rFonts w:hint="eastAsia"/>
        </w:rPr>
      </w:pPr>
      <w:r>
        <w:rPr>
          <w:rFonts w:eastAsia="Liberation Serif"/>
        </w:rPr>
        <w:t>The orientation local system records a sign representation of π₁. It can detect whether transport around a loop reverses a local orientation. This supports a narrow Ahankara interpretation: a permanent write requires globally consistent signed provenance. A Möbius-type twist provides the canonical negative case: local assignments exist, but no global integral orientation can be chosen.</w:t>
      </w:r>
    </w:p>
    <w:p w14:paraId="005F8CA9" w14:textId="77777777" w:rsidR="00247F07" w:rsidRDefault="00000000">
      <w:pPr>
        <w:spacing w:after="100" w:line="259" w:lineRule="auto"/>
        <w:ind w:firstLine="360"/>
        <w:jc w:val="both"/>
        <w:rPr>
          <w:rFonts w:hint="eastAsia"/>
        </w:rPr>
      </w:pPr>
      <w:r>
        <w:rPr>
          <w:rFonts w:eastAsia="Liberation Serif"/>
        </w:rPr>
        <w:t xml:space="preserve">Richer ownership does not fit this certificate. Joint authorship, ordered delegation, permission transfer, and "same net effect, different history" take values in nonabelian groups or groupoids. Nonabelian H¹ is generally a </w:t>
      </w:r>
      <w:r>
        <w:rPr>
          <w:rFonts w:eastAsia="Liberation Serif"/>
        </w:rPr>
        <w:lastRenderedPageBreak/>
        <w:t>pointed set, not an abelian group. Appropriate pointed-set exact sequences and torsor-trivialization questions may exist, but the linear shape of Tier I does not survive: there is no additive kernel subspace of exportable transports, no quotient vector space of boundary-visible ownership, no rank profile, and no cap-product construction of a complementary-dimensional carrier.</w:t>
      </w:r>
    </w:p>
    <w:tbl>
      <w:tblPr>
        <w:tblW w:w="0" w:type="auto"/>
        <w:jc w:val="center"/>
        <w:tblLook w:val="04A0" w:firstRow="1" w:lastRow="0" w:firstColumn="1" w:lastColumn="0" w:noHBand="0" w:noVBand="1"/>
      </w:tblPr>
      <w:tblGrid>
        <w:gridCol w:w="9792"/>
      </w:tblGrid>
      <w:tr w:rsidR="00247F07" w14:paraId="6618C707" w14:textId="77777777">
        <w:trPr>
          <w:jc w:val="center"/>
        </w:trPr>
        <w:tc>
          <w:tcPr>
            <w:tcW w:w="9792" w:type="dxa"/>
            <w:shd w:val="clear" w:color="auto" w:fill="FCE4D6"/>
            <w:tcMar>
              <w:top w:w="140" w:type="dxa"/>
              <w:left w:w="180" w:type="dxa"/>
              <w:bottom w:w="140" w:type="dxa"/>
              <w:right w:w="180" w:type="dxa"/>
            </w:tcMar>
            <w:vAlign w:val="center"/>
          </w:tcPr>
          <w:p w14:paraId="6CA3D6CE" w14:textId="77777777" w:rsidR="00247F07" w:rsidRDefault="00000000">
            <w:pPr>
              <w:spacing w:after="60"/>
              <w:rPr>
                <w:rFonts w:hint="eastAsia"/>
              </w:rPr>
            </w:pPr>
            <w:r>
              <w:rPr>
                <w:rFonts w:ascii="Liberation Sans" w:eastAsia="Liberation Sans" w:hAnsi="Liberation Sans"/>
                <w:b/>
                <w:color w:val="1F4E79"/>
                <w:sz w:val="21"/>
              </w:rPr>
              <w:t>Scope fence [LB/CAND]</w:t>
            </w:r>
          </w:p>
          <w:p w14:paraId="64748B81" w14:textId="77777777" w:rsidR="00247F07" w:rsidRDefault="00000000" w:rsidP="000A73F8">
            <w:pPr>
              <w:spacing w:after="0"/>
              <w:jc w:val="both"/>
              <w:rPr>
                <w:rFonts w:hint="eastAsia"/>
              </w:rPr>
            </w:pPr>
            <w:r>
              <w:rPr>
                <w:rFonts w:eastAsia="Liberation Serif"/>
                <w:sz w:val="21"/>
              </w:rPr>
              <w:t>The present license-granting certificate expresses abelian constraint and signed provenance. Structured nonabelian ownership is not a harder instance of the same certificate; it requires a different mathematical object and should not be promised as a higher tier of Poincaré export.</w:t>
            </w:r>
          </w:p>
        </w:tc>
      </w:tr>
    </w:tbl>
    <w:p w14:paraId="5F983859" w14:textId="77777777" w:rsidR="00247F07" w:rsidRDefault="00247F07">
      <w:pPr>
        <w:spacing w:after="0"/>
        <w:rPr>
          <w:rFonts w:hint="eastAsia"/>
        </w:rPr>
      </w:pPr>
    </w:p>
    <w:p w14:paraId="6DB6A23E" w14:textId="77777777" w:rsidR="00247F07" w:rsidRDefault="00000000">
      <w:pPr>
        <w:pStyle w:val="Heading1"/>
        <w:spacing w:before="200" w:after="80"/>
      </w:pPr>
      <w:r>
        <w:rPr>
          <w:rFonts w:ascii="Liberation Sans" w:eastAsia="Liberation Sans" w:hAnsi="Liberation Sans"/>
        </w:rPr>
        <w:t>7. Architectural Reading</w:t>
      </w:r>
    </w:p>
    <w:p w14:paraId="127B24A7" w14:textId="77777777" w:rsidR="00247F07" w:rsidRDefault="00000000">
      <w:pPr>
        <w:pStyle w:val="Heading2"/>
        <w:spacing w:before="140" w:after="80"/>
      </w:pPr>
      <w:r>
        <w:rPr>
          <w:rFonts w:ascii="Liberation Sans" w:eastAsia="Liberation Sans" w:hAnsi="Liberation Sans"/>
        </w:rPr>
        <w:t>7.1 Online episode formation</w:t>
      </w:r>
    </w:p>
    <w:p w14:paraId="1939E586" w14:textId="77777777" w:rsidR="00247F07" w:rsidRDefault="00000000">
      <w:pPr>
        <w:spacing w:after="100" w:line="259" w:lineRule="auto"/>
        <w:ind w:firstLine="360"/>
        <w:jc w:val="both"/>
        <w:rPr>
          <w:rFonts w:hint="eastAsia"/>
        </w:rPr>
      </w:pPr>
      <w:r>
        <w:rPr>
          <w:rFonts w:eastAsia="Liberation Serif"/>
        </w:rPr>
        <w:t>During online operation, a bounded System-1 processes the current stream while a chunk-bounded System-2 is invoked at breakpoints. Search may generate several paths, but Found-Path Learning commits credit to one selected trajectory. Expert retrieval and procedural memory reintroduce relevant long-term information through explicit bounded interfaces. The result is an episode object containing a domain proposal, a boundary proposal, candidate constraint classes, provenance metadata, and an empirical outcome.</w:t>
      </w:r>
    </w:p>
    <w:p w14:paraId="5D270AC3" w14:textId="77777777" w:rsidR="00247F07" w:rsidRDefault="00000000">
      <w:pPr>
        <w:spacing w:after="100" w:line="259" w:lineRule="auto"/>
        <w:ind w:firstLine="360"/>
        <w:jc w:val="both"/>
        <w:rPr>
          <w:rFonts w:hint="eastAsia"/>
        </w:rPr>
      </w:pPr>
      <w:r>
        <w:rPr>
          <w:rFonts w:eastAsia="Liberation Serif"/>
        </w:rPr>
        <w:t>Nothing in this phase warrants Poincaré language. Attention supplies pairwise affinities, not necessarily genuine cells. A learned latent may have changing dimension, singularities, disconnected pieces, or no stable topology. Online operation should therefore default to the general audit mode: restriction tests, persistent summaries, Hodge-like decompositions where justified, provenance retention, and refusal when domain or boundary adequacy is unresolved.</w:t>
      </w:r>
    </w:p>
    <w:p w14:paraId="3DD4C6D0" w14:textId="77777777" w:rsidR="00247F07" w:rsidRDefault="00000000">
      <w:pPr>
        <w:pStyle w:val="Heading2"/>
        <w:spacing w:before="140" w:after="80"/>
      </w:pPr>
      <w:r>
        <w:rPr>
          <w:rFonts w:ascii="Liberation Sans" w:eastAsia="Liberation Sans" w:hAnsi="Liberation Sans"/>
        </w:rPr>
        <w:t>7.2 Offline replay and export audit</w:t>
      </w:r>
    </w:p>
    <w:p w14:paraId="26DBE996" w14:textId="77777777" w:rsidR="00247F07" w:rsidRDefault="00000000">
      <w:pPr>
        <w:spacing w:after="100" w:line="259" w:lineRule="auto"/>
        <w:ind w:firstLine="360"/>
        <w:jc w:val="both"/>
        <w:rPr>
          <w:rFonts w:hint="eastAsia"/>
        </w:rPr>
      </w:pPr>
      <w:r>
        <w:rPr>
          <w:rFonts w:eastAsia="Liberation Serif"/>
        </w:rPr>
        <w:t>Offline consolidation replays selected episodes and performs the expensive audits that real-time operation deferred. The conceptual sequence is:</w:t>
      </w:r>
    </w:p>
    <w:p w14:paraId="5D9CF908" w14:textId="77777777" w:rsidR="00247F07" w:rsidRDefault="00000000">
      <w:pPr>
        <w:pStyle w:val="ListNumber"/>
        <w:spacing w:after="40"/>
        <w:ind w:left="403" w:hanging="259"/>
        <w:rPr>
          <w:rFonts w:hint="eastAsia"/>
        </w:rPr>
      </w:pPr>
      <w:r>
        <w:rPr>
          <w:rFonts w:eastAsia="Liberation Serif"/>
        </w:rPr>
        <w:t>Reconstruct the episode domain from stored activity and evidence without using task-specific topology labels.</w:t>
      </w:r>
    </w:p>
    <w:p w14:paraId="6A0A8411" w14:textId="77777777" w:rsidR="00247F07" w:rsidRDefault="00000000">
      <w:pPr>
        <w:pStyle w:val="ListNumber"/>
        <w:spacing w:after="40"/>
        <w:ind w:left="403" w:hanging="259"/>
        <w:rPr>
          <w:rFonts w:hint="eastAsia"/>
        </w:rPr>
      </w:pPr>
      <w:r>
        <w:rPr>
          <w:rFonts w:eastAsia="Liberation Serif"/>
        </w:rPr>
        <w:t>Audit genuine cells or simplices, dimension, links, boundary candidates, and coefficient regime.</w:t>
      </w:r>
    </w:p>
    <w:p w14:paraId="30796A0D" w14:textId="77777777" w:rsidR="00247F07" w:rsidRDefault="00000000">
      <w:pPr>
        <w:pStyle w:val="ListNumber"/>
        <w:spacing w:after="40"/>
        <w:ind w:left="403" w:hanging="259"/>
        <w:rPr>
          <w:rFonts w:hint="eastAsia"/>
        </w:rPr>
      </w:pPr>
      <w:r>
        <w:rPr>
          <w:rFonts w:eastAsia="Liberation Serif"/>
        </w:rPr>
        <w:t>Estimate the induced boundary restriction map and the boundary-visible profile.</w:t>
      </w:r>
    </w:p>
    <w:p w14:paraId="3CE64173" w14:textId="77777777" w:rsidR="00247F07" w:rsidRDefault="00000000">
      <w:pPr>
        <w:pStyle w:val="ListNumber"/>
        <w:spacing w:after="40"/>
        <w:ind w:left="403" w:hanging="259"/>
        <w:rPr>
          <w:rFonts w:hint="eastAsia"/>
        </w:rPr>
      </w:pPr>
      <w:r>
        <w:rPr>
          <w:rFonts w:eastAsia="Liberation Serif"/>
        </w:rPr>
        <w:t>Classify candidate constraints as exportable, provenance-bound, or unresolved.</w:t>
      </w:r>
    </w:p>
    <w:p w14:paraId="6869B29D" w14:textId="77777777" w:rsidR="00247F07" w:rsidRDefault="00000000">
      <w:pPr>
        <w:pStyle w:val="ListNumber"/>
        <w:spacing w:after="40"/>
        <w:ind w:left="403" w:hanging="259"/>
        <w:rPr>
          <w:rFonts w:hint="eastAsia"/>
        </w:rPr>
      </w:pPr>
      <w:r>
        <w:rPr>
          <w:rFonts w:eastAsia="Liberation Serif"/>
        </w:rPr>
        <w:t>If and only if the episode earns a Poincaré-pair certificate, materialize eligible relative lifts as absolute carriers.</w:t>
      </w:r>
    </w:p>
    <w:p w14:paraId="39F62912" w14:textId="77777777" w:rsidR="00247F07" w:rsidRDefault="00000000">
      <w:pPr>
        <w:pStyle w:val="ListNumber"/>
        <w:spacing w:after="40"/>
        <w:ind w:left="403" w:hanging="259"/>
        <w:rPr>
          <w:rFonts w:hint="eastAsia"/>
        </w:rPr>
      </w:pPr>
      <w:r>
        <w:rPr>
          <w:rFonts w:eastAsia="Liberation Serif"/>
        </w:rPr>
        <w:t>Distill the certified carrier into a durable expert, procedural seed, low-rank update, or System-1 habit while preserving the certificate and provenance record.</w:t>
      </w:r>
    </w:p>
    <w:p w14:paraId="339270EE" w14:textId="77777777" w:rsidR="00247F07" w:rsidRDefault="00000000">
      <w:pPr>
        <w:spacing w:after="100" w:line="259" w:lineRule="auto"/>
        <w:ind w:firstLine="360"/>
        <w:jc w:val="both"/>
        <w:rPr>
          <w:rFonts w:hint="eastAsia"/>
        </w:rPr>
      </w:pPr>
      <w:r>
        <w:rPr>
          <w:rFonts w:eastAsia="Liberation Serif"/>
        </w:rPr>
        <w:t>This is continuous with the earlier artificial sleep proposal but narrows what consolidation means. NREM-like replay can search for stable and boundary-independent structure; REM-like reset can remove transient deltas and recalibrate the adaptive system after the durable base changes. The topological export license is one possible gate inside that lifecycle, not the lifecycle itself.</w:t>
      </w:r>
    </w:p>
    <w:p w14:paraId="140328B0" w14:textId="77777777" w:rsidR="00247F07" w:rsidRDefault="00000000">
      <w:pPr>
        <w:pStyle w:val="Heading2"/>
        <w:spacing w:before="140" w:after="80"/>
      </w:pPr>
      <w:r>
        <w:rPr>
          <w:rFonts w:ascii="Liberation Sans" w:eastAsia="Liberation Sans" w:hAnsi="Liberation Sans"/>
        </w:rPr>
        <w:t>7.3 Relation to procedural seeds and low-rank writes</w:t>
      </w:r>
    </w:p>
    <w:p w14:paraId="583CB3B0" w14:textId="77777777" w:rsidR="00247F07" w:rsidRDefault="00000000">
      <w:pPr>
        <w:spacing w:after="100" w:line="259" w:lineRule="auto"/>
        <w:ind w:firstLine="360"/>
        <w:jc w:val="both"/>
        <w:rPr>
          <w:rFonts w:hint="eastAsia"/>
        </w:rPr>
      </w:pPr>
      <w:r>
        <w:rPr>
          <w:rFonts w:eastAsia="Liberation Serif"/>
        </w:rPr>
        <w:t xml:space="preserve">PRNGed Pre-trained Titans represents long-term memory through a procedurally regenerated substrate plus a low-rank writable component. Boundary-visible cohomology supplies a possible licensing record for such a write. The seed reconstructs the carrier scaffold; the low-rank delta records acquired content; the boundary certificate states whether the content may be reused independently of the episode. Poincaré duality </w:t>
      </w:r>
      <w:r>
        <w:rPr>
          <w:rFonts w:eastAsia="Liberation Serif"/>
        </w:rPr>
        <w:lastRenderedPageBreak/>
        <w:t>does not itself compress memory. Compression comes from the seed, low-rank representation, or other storage scheme. Duality supplies structural correspondence and, in the certified case, a compact carrier class.</w:t>
      </w:r>
    </w:p>
    <w:p w14:paraId="2BC65948" w14:textId="77777777" w:rsidR="00247F07" w:rsidRDefault="00000000">
      <w:pPr>
        <w:pStyle w:val="Heading2"/>
        <w:spacing w:before="140" w:after="80"/>
      </w:pPr>
      <w:r>
        <w:rPr>
          <w:rFonts w:ascii="Liberation Sans" w:eastAsia="Liberation Sans" w:hAnsi="Liberation Sans"/>
        </w:rPr>
        <w:t>7.4 Claim tiers</w:t>
      </w:r>
    </w:p>
    <w:tbl>
      <w:tblPr>
        <w:tblStyle w:val="TableGrid"/>
        <w:tblW w:w="0" w:type="auto"/>
        <w:jc w:val="center"/>
        <w:tblLook w:val="04A0" w:firstRow="1" w:lastRow="0" w:firstColumn="1" w:lastColumn="0" w:noHBand="0" w:noVBand="1"/>
      </w:tblPr>
      <w:tblGrid>
        <w:gridCol w:w="3264"/>
        <w:gridCol w:w="3264"/>
        <w:gridCol w:w="3264"/>
      </w:tblGrid>
      <w:tr w:rsidR="00247F07" w14:paraId="3D125BD3" w14:textId="77777777">
        <w:trPr>
          <w:jc w:val="center"/>
        </w:trPr>
        <w:tc>
          <w:tcPr>
            <w:tcW w:w="3264" w:type="dxa"/>
            <w:shd w:val="clear" w:color="auto" w:fill="D9EAF7"/>
            <w:vAlign w:val="center"/>
          </w:tcPr>
          <w:p w14:paraId="735BD9AC" w14:textId="77777777" w:rsidR="00247F07" w:rsidRDefault="00000000">
            <w:pPr>
              <w:jc w:val="center"/>
              <w:rPr>
                <w:rFonts w:hint="eastAsia"/>
              </w:rPr>
            </w:pPr>
            <w:r>
              <w:rPr>
                <w:rFonts w:ascii="Liberation Sans" w:eastAsia="Liberation Sans" w:hAnsi="Liberation Sans"/>
                <w:b/>
                <w:color w:val="1F4E79"/>
                <w:sz w:val="19"/>
              </w:rPr>
              <w:t>Tier</w:t>
            </w:r>
          </w:p>
        </w:tc>
        <w:tc>
          <w:tcPr>
            <w:tcW w:w="3264" w:type="dxa"/>
            <w:shd w:val="clear" w:color="auto" w:fill="D9EAF7"/>
            <w:vAlign w:val="center"/>
          </w:tcPr>
          <w:p w14:paraId="25BA965E" w14:textId="77777777" w:rsidR="00247F07" w:rsidRDefault="00000000">
            <w:pPr>
              <w:jc w:val="center"/>
              <w:rPr>
                <w:rFonts w:hint="eastAsia"/>
              </w:rPr>
            </w:pPr>
            <w:r>
              <w:rPr>
                <w:rFonts w:ascii="Liberation Sans" w:eastAsia="Liberation Sans" w:hAnsi="Liberation Sans"/>
                <w:b/>
                <w:color w:val="1F4E79"/>
                <w:sz w:val="19"/>
              </w:rPr>
              <w:t>Content</w:t>
            </w:r>
          </w:p>
        </w:tc>
        <w:tc>
          <w:tcPr>
            <w:tcW w:w="3264" w:type="dxa"/>
            <w:shd w:val="clear" w:color="auto" w:fill="D9EAF7"/>
            <w:vAlign w:val="center"/>
          </w:tcPr>
          <w:p w14:paraId="022769CC" w14:textId="77777777" w:rsidR="00247F07" w:rsidRDefault="00000000">
            <w:pPr>
              <w:jc w:val="center"/>
              <w:rPr>
                <w:rFonts w:hint="eastAsia"/>
              </w:rPr>
            </w:pPr>
            <w:r>
              <w:rPr>
                <w:rFonts w:ascii="Liberation Sans" w:eastAsia="Liberation Sans" w:hAnsi="Liberation Sans"/>
                <w:b/>
                <w:color w:val="1F4E79"/>
                <w:sz w:val="19"/>
              </w:rPr>
              <w:t>Status</w:t>
            </w:r>
          </w:p>
        </w:tc>
      </w:tr>
      <w:tr w:rsidR="00247F07" w14:paraId="37AAEE0D" w14:textId="77777777">
        <w:trPr>
          <w:jc w:val="center"/>
        </w:trPr>
        <w:tc>
          <w:tcPr>
            <w:tcW w:w="3264" w:type="dxa"/>
            <w:tcMar>
              <w:top w:w="90" w:type="dxa"/>
              <w:left w:w="100" w:type="dxa"/>
              <w:bottom w:w="90" w:type="dxa"/>
              <w:right w:w="100" w:type="dxa"/>
            </w:tcMar>
            <w:vAlign w:val="center"/>
          </w:tcPr>
          <w:p w14:paraId="045987A6" w14:textId="77777777" w:rsidR="00247F07" w:rsidRDefault="00000000">
            <w:pPr>
              <w:rPr>
                <w:rFonts w:hint="eastAsia"/>
              </w:rPr>
            </w:pPr>
            <w:r>
              <w:rPr>
                <w:rFonts w:eastAsia="Liberation Serif"/>
                <w:b/>
                <w:sz w:val="18"/>
              </w:rPr>
              <w:t>[LB]</w:t>
            </w:r>
          </w:p>
        </w:tc>
        <w:tc>
          <w:tcPr>
            <w:tcW w:w="3264" w:type="dxa"/>
            <w:tcMar>
              <w:top w:w="90" w:type="dxa"/>
              <w:left w:w="100" w:type="dxa"/>
              <w:bottom w:w="90" w:type="dxa"/>
              <w:right w:w="100" w:type="dxa"/>
            </w:tcMar>
            <w:vAlign w:val="center"/>
          </w:tcPr>
          <w:p w14:paraId="79B59530" w14:textId="77777777" w:rsidR="00247F07" w:rsidRDefault="00000000">
            <w:pPr>
              <w:rPr>
                <w:rFonts w:hint="eastAsia"/>
              </w:rPr>
            </w:pPr>
            <w:r>
              <w:rPr>
                <w:rFonts w:eastAsia="Liberation Serif"/>
                <w:sz w:val="18"/>
              </w:rPr>
              <w:t>Long exact sequence, ker/im criterion, quotient isomorphism, Poincaré-Lefschetz duality under its hypotheses, abelianization limit.</w:t>
            </w:r>
          </w:p>
        </w:tc>
        <w:tc>
          <w:tcPr>
            <w:tcW w:w="3264" w:type="dxa"/>
            <w:tcMar>
              <w:top w:w="90" w:type="dxa"/>
              <w:left w:w="100" w:type="dxa"/>
              <w:bottom w:w="90" w:type="dxa"/>
              <w:right w:w="100" w:type="dxa"/>
            </w:tcMar>
            <w:vAlign w:val="center"/>
          </w:tcPr>
          <w:p w14:paraId="462940E2" w14:textId="77777777" w:rsidR="00247F07" w:rsidRDefault="00000000">
            <w:pPr>
              <w:rPr>
                <w:rFonts w:hint="eastAsia"/>
              </w:rPr>
            </w:pPr>
            <w:r>
              <w:rPr>
                <w:rFonts w:eastAsia="Liberation Serif"/>
                <w:sz w:val="18"/>
              </w:rPr>
              <w:t>Established mathematics</w:t>
            </w:r>
          </w:p>
        </w:tc>
      </w:tr>
      <w:tr w:rsidR="00247F07" w14:paraId="005BA4C0" w14:textId="77777777">
        <w:trPr>
          <w:jc w:val="center"/>
        </w:trPr>
        <w:tc>
          <w:tcPr>
            <w:tcW w:w="3264" w:type="dxa"/>
            <w:tcMar>
              <w:top w:w="90" w:type="dxa"/>
              <w:left w:w="100" w:type="dxa"/>
              <w:bottom w:w="90" w:type="dxa"/>
              <w:right w:w="100" w:type="dxa"/>
            </w:tcMar>
            <w:vAlign w:val="center"/>
          </w:tcPr>
          <w:p w14:paraId="337B3B4B" w14:textId="77777777" w:rsidR="00247F07" w:rsidRDefault="00000000">
            <w:pPr>
              <w:rPr>
                <w:rFonts w:hint="eastAsia"/>
              </w:rPr>
            </w:pPr>
            <w:r>
              <w:rPr>
                <w:rFonts w:eastAsia="Liberation Serif"/>
                <w:b/>
                <w:sz w:val="18"/>
              </w:rPr>
              <w:t>[SPEC]</w:t>
            </w:r>
          </w:p>
        </w:tc>
        <w:tc>
          <w:tcPr>
            <w:tcW w:w="3264" w:type="dxa"/>
            <w:tcMar>
              <w:top w:w="90" w:type="dxa"/>
              <w:left w:w="100" w:type="dxa"/>
              <w:bottom w:w="90" w:type="dxa"/>
              <w:right w:w="100" w:type="dxa"/>
            </w:tcMar>
            <w:vAlign w:val="center"/>
          </w:tcPr>
          <w:p w14:paraId="199E8C88" w14:textId="77777777" w:rsidR="00247F07" w:rsidRDefault="00000000">
            <w:pPr>
              <w:rPr>
                <w:rFonts w:hint="eastAsia"/>
              </w:rPr>
            </w:pPr>
            <w:r>
              <w:rPr>
                <w:rFonts w:eastAsia="Liberation Serif"/>
                <w:sz w:val="18"/>
              </w:rPr>
              <w:t>Three-way gate, coefficient-indexed certificate, boundary-family audit, fallback to general mode.</w:t>
            </w:r>
          </w:p>
        </w:tc>
        <w:tc>
          <w:tcPr>
            <w:tcW w:w="3264" w:type="dxa"/>
            <w:tcMar>
              <w:top w:w="90" w:type="dxa"/>
              <w:left w:w="100" w:type="dxa"/>
              <w:bottom w:w="90" w:type="dxa"/>
              <w:right w:w="100" w:type="dxa"/>
            </w:tcMar>
            <w:vAlign w:val="center"/>
          </w:tcPr>
          <w:p w14:paraId="7282008A" w14:textId="77777777" w:rsidR="00247F07" w:rsidRDefault="00000000">
            <w:pPr>
              <w:rPr>
                <w:rFonts w:hint="eastAsia"/>
              </w:rPr>
            </w:pPr>
            <w:r>
              <w:rPr>
                <w:rFonts w:eastAsia="Liberation Serif"/>
                <w:sz w:val="18"/>
              </w:rPr>
              <w:t>Architectural specification</w:t>
            </w:r>
          </w:p>
        </w:tc>
      </w:tr>
      <w:tr w:rsidR="00247F07" w14:paraId="091AC50E" w14:textId="77777777">
        <w:trPr>
          <w:jc w:val="center"/>
        </w:trPr>
        <w:tc>
          <w:tcPr>
            <w:tcW w:w="3264" w:type="dxa"/>
            <w:tcMar>
              <w:top w:w="90" w:type="dxa"/>
              <w:left w:w="100" w:type="dxa"/>
              <w:bottom w:w="90" w:type="dxa"/>
              <w:right w:w="100" w:type="dxa"/>
            </w:tcMar>
            <w:vAlign w:val="center"/>
          </w:tcPr>
          <w:p w14:paraId="56CBFB8B" w14:textId="77777777" w:rsidR="00247F07" w:rsidRDefault="00000000">
            <w:pPr>
              <w:rPr>
                <w:rFonts w:hint="eastAsia"/>
              </w:rPr>
            </w:pPr>
            <w:r>
              <w:rPr>
                <w:rFonts w:eastAsia="Liberation Serif"/>
                <w:b/>
                <w:sz w:val="18"/>
              </w:rPr>
              <w:t>[DEBT]</w:t>
            </w:r>
          </w:p>
        </w:tc>
        <w:tc>
          <w:tcPr>
            <w:tcW w:w="3264" w:type="dxa"/>
            <w:tcMar>
              <w:top w:w="90" w:type="dxa"/>
              <w:left w:w="100" w:type="dxa"/>
              <w:bottom w:w="90" w:type="dxa"/>
              <w:right w:w="100" w:type="dxa"/>
            </w:tcMar>
            <w:vAlign w:val="center"/>
          </w:tcPr>
          <w:p w14:paraId="6A7DDA43" w14:textId="77777777" w:rsidR="00247F07" w:rsidRDefault="00000000">
            <w:pPr>
              <w:rPr>
                <w:rFonts w:hint="eastAsia"/>
              </w:rPr>
            </w:pPr>
            <w:r>
              <w:rPr>
                <w:rFonts w:eastAsia="Liberation Serif"/>
                <w:sz w:val="18"/>
              </w:rPr>
              <w:t>Learning M and B, estimating i*, calibrated confidence regions, integral/torsion-aware persistence.</w:t>
            </w:r>
          </w:p>
        </w:tc>
        <w:tc>
          <w:tcPr>
            <w:tcW w:w="3264" w:type="dxa"/>
            <w:tcMar>
              <w:top w:w="90" w:type="dxa"/>
              <w:left w:w="100" w:type="dxa"/>
              <w:bottom w:w="90" w:type="dxa"/>
              <w:right w:w="100" w:type="dxa"/>
            </w:tcMar>
            <w:vAlign w:val="center"/>
          </w:tcPr>
          <w:p w14:paraId="792B3199" w14:textId="77777777" w:rsidR="00247F07" w:rsidRDefault="00000000">
            <w:pPr>
              <w:rPr>
                <w:rFonts w:hint="eastAsia"/>
              </w:rPr>
            </w:pPr>
            <w:r>
              <w:rPr>
                <w:rFonts w:eastAsia="Liberation Serif"/>
                <w:sz w:val="18"/>
              </w:rPr>
              <w:t>Open engineering problem</w:t>
            </w:r>
          </w:p>
        </w:tc>
      </w:tr>
      <w:tr w:rsidR="00247F07" w14:paraId="7200ED58" w14:textId="77777777">
        <w:trPr>
          <w:jc w:val="center"/>
        </w:trPr>
        <w:tc>
          <w:tcPr>
            <w:tcW w:w="3264" w:type="dxa"/>
            <w:tcMar>
              <w:top w:w="90" w:type="dxa"/>
              <w:left w:w="100" w:type="dxa"/>
              <w:bottom w:w="90" w:type="dxa"/>
              <w:right w:w="100" w:type="dxa"/>
            </w:tcMar>
            <w:vAlign w:val="center"/>
          </w:tcPr>
          <w:p w14:paraId="630650F9" w14:textId="77777777" w:rsidR="00247F07" w:rsidRDefault="00000000">
            <w:pPr>
              <w:rPr>
                <w:rFonts w:hint="eastAsia"/>
              </w:rPr>
            </w:pPr>
            <w:r>
              <w:rPr>
                <w:rFonts w:eastAsia="Liberation Serif"/>
                <w:b/>
                <w:sz w:val="18"/>
              </w:rPr>
              <w:t>[CAND]</w:t>
            </w:r>
          </w:p>
        </w:tc>
        <w:tc>
          <w:tcPr>
            <w:tcW w:w="3264" w:type="dxa"/>
            <w:tcMar>
              <w:top w:w="90" w:type="dxa"/>
              <w:left w:w="100" w:type="dxa"/>
              <w:bottom w:w="90" w:type="dxa"/>
              <w:right w:w="100" w:type="dxa"/>
            </w:tcMar>
            <w:vAlign w:val="center"/>
          </w:tcPr>
          <w:p w14:paraId="045D44B7" w14:textId="77777777" w:rsidR="00247F07" w:rsidRDefault="00000000">
            <w:pPr>
              <w:rPr>
                <w:rFonts w:hint="eastAsia"/>
              </w:rPr>
            </w:pPr>
            <w:r>
              <w:rPr>
                <w:rFonts w:eastAsia="Liberation Serif"/>
                <w:sz w:val="18"/>
              </w:rPr>
              <w:t>Learned representations sometimes earn non-planted Poincaré structure; the certificate predicts safe memory export.</w:t>
            </w:r>
          </w:p>
        </w:tc>
        <w:tc>
          <w:tcPr>
            <w:tcW w:w="3264" w:type="dxa"/>
            <w:tcMar>
              <w:top w:w="90" w:type="dxa"/>
              <w:left w:w="100" w:type="dxa"/>
              <w:bottom w:w="90" w:type="dxa"/>
              <w:right w:w="100" w:type="dxa"/>
            </w:tcMar>
            <w:vAlign w:val="center"/>
          </w:tcPr>
          <w:p w14:paraId="0921D54F" w14:textId="77777777" w:rsidR="00247F07" w:rsidRDefault="00000000">
            <w:pPr>
              <w:rPr>
                <w:rFonts w:hint="eastAsia"/>
              </w:rPr>
            </w:pPr>
            <w:r>
              <w:rPr>
                <w:rFonts w:eastAsia="Liberation Serif"/>
                <w:sz w:val="18"/>
              </w:rPr>
              <w:t>Empirical hypothesis</w:t>
            </w:r>
          </w:p>
        </w:tc>
      </w:tr>
      <w:tr w:rsidR="00247F07" w14:paraId="74523906" w14:textId="77777777">
        <w:trPr>
          <w:jc w:val="center"/>
        </w:trPr>
        <w:tc>
          <w:tcPr>
            <w:tcW w:w="3264" w:type="dxa"/>
            <w:tcMar>
              <w:top w:w="90" w:type="dxa"/>
              <w:left w:w="100" w:type="dxa"/>
              <w:bottom w:w="90" w:type="dxa"/>
              <w:right w:w="100" w:type="dxa"/>
            </w:tcMar>
            <w:vAlign w:val="center"/>
          </w:tcPr>
          <w:p w14:paraId="289E4B45" w14:textId="77777777" w:rsidR="00247F07" w:rsidRDefault="00000000">
            <w:pPr>
              <w:rPr>
                <w:rFonts w:hint="eastAsia"/>
              </w:rPr>
            </w:pPr>
            <w:r>
              <w:rPr>
                <w:rFonts w:eastAsia="Liberation Serif"/>
                <w:b/>
                <w:sz w:val="18"/>
              </w:rPr>
              <w:t>[HOR]</w:t>
            </w:r>
          </w:p>
        </w:tc>
        <w:tc>
          <w:tcPr>
            <w:tcW w:w="3264" w:type="dxa"/>
            <w:tcMar>
              <w:top w:w="90" w:type="dxa"/>
              <w:left w:w="100" w:type="dxa"/>
              <w:bottom w:w="90" w:type="dxa"/>
              <w:right w:w="100" w:type="dxa"/>
            </w:tcMar>
            <w:vAlign w:val="center"/>
          </w:tcPr>
          <w:p w14:paraId="5BBA6B1C" w14:textId="77777777" w:rsidR="00247F07" w:rsidRDefault="00000000">
            <w:pPr>
              <w:rPr>
                <w:rFonts w:hint="eastAsia"/>
              </w:rPr>
            </w:pPr>
            <w:r>
              <w:rPr>
                <w:rFonts w:eastAsia="Liberation Serif"/>
                <w:sz w:val="18"/>
              </w:rPr>
              <w:t>Rich nonabelian ownership certification with a comparable license-granting form.</w:t>
            </w:r>
          </w:p>
        </w:tc>
        <w:tc>
          <w:tcPr>
            <w:tcW w:w="3264" w:type="dxa"/>
            <w:tcMar>
              <w:top w:w="90" w:type="dxa"/>
              <w:left w:w="100" w:type="dxa"/>
              <w:bottom w:w="90" w:type="dxa"/>
              <w:right w:w="100" w:type="dxa"/>
            </w:tcMar>
            <w:vAlign w:val="center"/>
          </w:tcPr>
          <w:p w14:paraId="19ABF13C" w14:textId="77777777" w:rsidR="00247F07" w:rsidRDefault="00000000">
            <w:pPr>
              <w:rPr>
                <w:rFonts w:hint="eastAsia"/>
              </w:rPr>
            </w:pPr>
            <w:r>
              <w:rPr>
                <w:rFonts w:eastAsia="Liberation Serif"/>
                <w:sz w:val="18"/>
              </w:rPr>
              <w:t>Not claimed by this paper</w:t>
            </w:r>
          </w:p>
        </w:tc>
      </w:tr>
    </w:tbl>
    <w:p w14:paraId="11629E28" w14:textId="77777777" w:rsidR="00247F07" w:rsidRDefault="00247F07">
      <w:pPr>
        <w:rPr>
          <w:rFonts w:hint="eastAsia"/>
        </w:rPr>
      </w:pPr>
    </w:p>
    <w:p w14:paraId="0F5A2B7E" w14:textId="77777777" w:rsidR="00247F07" w:rsidRDefault="00000000">
      <w:pPr>
        <w:pStyle w:val="Heading1"/>
        <w:spacing w:before="200" w:after="80"/>
      </w:pPr>
      <w:r>
        <w:rPr>
          <w:rFonts w:ascii="Liberation Sans" w:eastAsia="Liberation Sans" w:hAnsi="Liberation Sans"/>
        </w:rPr>
        <w:t>8. Operational Gate: Specification, Not Yet a Solved Estimator</w:t>
      </w:r>
    </w:p>
    <w:p w14:paraId="114334C7" w14:textId="77777777" w:rsidR="00247F07" w:rsidRDefault="00000000">
      <w:pPr>
        <w:pStyle w:val="Heading2"/>
        <w:spacing w:before="140" w:after="80"/>
      </w:pPr>
      <w:r>
        <w:rPr>
          <w:rFonts w:ascii="Liberation Sans" w:eastAsia="Liberation Sans" w:hAnsi="Liberation Sans"/>
        </w:rPr>
        <w:t>8.1 Why exact zero becomes a three-way decision</w:t>
      </w:r>
    </w:p>
    <w:p w14:paraId="5A4C6C04" w14:textId="77777777" w:rsidR="00247F07" w:rsidRDefault="00000000">
      <w:pPr>
        <w:spacing w:after="100" w:line="259" w:lineRule="auto"/>
        <w:ind w:firstLine="360"/>
        <w:jc w:val="both"/>
        <w:rPr>
          <w:rFonts w:hint="eastAsia"/>
        </w:rPr>
      </w:pPr>
      <w:r>
        <w:rPr>
          <w:rFonts w:eastAsia="Liberation Serif"/>
        </w:rPr>
        <w:t>The theorem uses the binary condition i*[α] = 0. A learned system observes noisy trajectories, estimated covers, approximate restriction maps, uncertain boundaries, and finite samples. It therefore does not possess the exact class. Replacing zero by an arbitrary norm threshold would collapse the proposal back into ordinary loss gating. The operational verdict must instead express epistemic uncertainty about whether the boundary-visible class is distinguishable from zero.</w:t>
      </w:r>
    </w:p>
    <w:p w14:paraId="40D8B85C" w14:textId="77777777" w:rsidR="00247F07" w:rsidRDefault="00000000">
      <w:pPr>
        <w:pStyle w:val="ListBullet"/>
        <w:spacing w:after="40"/>
        <w:ind w:hanging="259"/>
        <w:rPr>
          <w:rFonts w:hint="eastAsia"/>
        </w:rPr>
      </w:pPr>
      <w:r>
        <w:rPr>
          <w:rFonts w:eastAsia="Liberation Serif"/>
        </w:rPr>
        <w:t>Export: evidence supports practical equivalence to zero at the declared coefficient, resolution, boundary model, and confidence level.</w:t>
      </w:r>
    </w:p>
    <w:p w14:paraId="55257245" w14:textId="77777777" w:rsidR="00247F07" w:rsidRDefault="00000000">
      <w:pPr>
        <w:pStyle w:val="ListBullet"/>
        <w:spacing w:after="40"/>
        <w:ind w:hanging="259"/>
        <w:rPr>
          <w:rFonts w:hint="eastAsia"/>
        </w:rPr>
      </w:pPr>
      <w:r>
        <w:rPr>
          <w:rFonts w:eastAsia="Liberation Serif"/>
        </w:rPr>
        <w:t>Provenance-bound: evidence excludes zero and supports a nontrivial boundary-visible component.</w:t>
      </w:r>
    </w:p>
    <w:p w14:paraId="189D9A89" w14:textId="77777777" w:rsidR="00247F07" w:rsidRDefault="00000000">
      <w:pPr>
        <w:pStyle w:val="ListBullet"/>
        <w:spacing w:after="40"/>
        <w:ind w:hanging="259"/>
        <w:rPr>
          <w:rFonts w:hint="eastAsia"/>
        </w:rPr>
      </w:pPr>
      <w:r>
        <w:rPr>
          <w:rFonts w:eastAsia="Liberation Serif"/>
        </w:rPr>
        <w:t>Unresolved: neither decision is supported; consolidation is deferred or remains relative.</w:t>
      </w:r>
    </w:p>
    <w:p w14:paraId="713E2899" w14:textId="77777777" w:rsidR="00247F07" w:rsidRDefault="00000000">
      <w:pPr>
        <w:pStyle w:val="Heading2"/>
        <w:spacing w:before="140" w:after="80"/>
      </w:pPr>
      <w:r>
        <w:rPr>
          <w:rFonts w:ascii="Liberation Sans" w:eastAsia="Liberation Sans" w:hAnsi="Liberation Sans"/>
        </w:rPr>
        <w:t>8.2 Harmonic representatives as an analytic gauge</w:t>
      </w:r>
    </w:p>
    <w:p w14:paraId="78A86393" w14:textId="77777777" w:rsidR="00247F07" w:rsidRDefault="00000000">
      <w:pPr>
        <w:spacing w:after="100" w:line="259" w:lineRule="auto"/>
        <w:ind w:firstLine="360"/>
        <w:jc w:val="both"/>
        <w:rPr>
          <w:rFonts w:hint="eastAsia"/>
        </w:rPr>
      </w:pPr>
      <w:r>
        <w:rPr>
          <w:rFonts w:eastAsia="Liberation Serif"/>
        </w:rPr>
        <w:t>Over real coefficients, a discrete or continuous Hodge structure can select harmonic representatives after a metric, inner product, discretization, and boundary-condition convention have been fixed. One possible diagnostic is the norm of the harmonic projection of the restricted class:</w:t>
      </w:r>
    </w:p>
    <w:p w14:paraId="6F00F11D" w14:textId="77777777" w:rsidR="00247F07" w:rsidRDefault="00000000">
      <w:pPr>
        <w:spacing w:before="100" w:after="100"/>
        <w:jc w:val="center"/>
        <w:rPr>
          <w:rFonts w:hint="eastAsia"/>
        </w:rPr>
      </w:pPr>
      <w:r>
        <w:rPr>
          <w:rFonts w:eastAsia="Liberation Serif"/>
          <w:i/>
        </w:rPr>
        <w:t>T_B = ‖P_harm,B(i* α̂_harm)‖.</w:t>
      </w:r>
    </w:p>
    <w:p w14:paraId="122EE956" w14:textId="77777777" w:rsidR="00247F07" w:rsidRDefault="00000000">
      <w:pPr>
        <w:spacing w:after="100" w:line="259" w:lineRule="auto"/>
        <w:ind w:firstLine="360"/>
        <w:jc w:val="both"/>
        <w:rPr>
          <w:rFonts w:hint="eastAsia"/>
        </w:rPr>
      </w:pPr>
      <w:r>
        <w:rPr>
          <w:rFonts w:eastAsia="Liberation Serif"/>
        </w:rPr>
        <w:t>This joins the binary topology to an operational statistic and can also select a minimum-norm relative lift. But the representative is canonical only relative to the chosen analytic structure. It does not eliminate modeling assumptions. More importantly, a sampling distribution for T_B is not automatically supplied by Hodge theory.</w:t>
      </w:r>
    </w:p>
    <w:p w14:paraId="2CBA4F33" w14:textId="77777777" w:rsidR="00247F07" w:rsidRDefault="00000000">
      <w:pPr>
        <w:pStyle w:val="Heading2"/>
        <w:spacing w:before="140" w:after="80"/>
      </w:pPr>
      <w:r>
        <w:rPr>
          <w:rFonts w:ascii="Liberation Sans" w:eastAsia="Liberation Sans" w:hAnsi="Liberation Sans"/>
        </w:rPr>
        <w:t>8.3 The estimator debt</w:t>
      </w:r>
    </w:p>
    <w:p w14:paraId="027D31E5" w14:textId="77777777" w:rsidR="00247F07" w:rsidRDefault="00000000">
      <w:pPr>
        <w:spacing w:after="100" w:line="259" w:lineRule="auto"/>
        <w:ind w:firstLine="360"/>
        <w:jc w:val="both"/>
        <w:rPr>
          <w:rFonts w:hint="eastAsia"/>
        </w:rPr>
      </w:pPr>
      <w:r>
        <w:rPr>
          <w:rFonts w:eastAsia="Liberation Serif"/>
        </w:rPr>
        <w:t xml:space="preserve">Constructing a confidence region on a cohomology class is a genuine inverse problem. The system must estimate the domain, boundary, cells, restriction maps, cochain, induced boundary map, and uncertainty of the resulting coordinates. Near-degenerate Laplacians, sparse sampling, changing covers, and boundary </w:t>
      </w:r>
      <w:r>
        <w:rPr>
          <w:rFonts w:eastAsia="Liberation Serif"/>
        </w:rPr>
        <w:lastRenderedPageBreak/>
        <w:t>misclassification may make the problem ill-conditioned. The paper therefore treats the statistical gate as a specification and requires any future estimator to demonstrate consistency, calibration, resolution stability, boundary stability, coefficient transparency, and abstention.</w:t>
      </w:r>
    </w:p>
    <w:p w14:paraId="17EFD3EB" w14:textId="77777777" w:rsidR="00247F07" w:rsidRDefault="00000000">
      <w:pPr>
        <w:spacing w:after="100" w:line="259" w:lineRule="auto"/>
        <w:ind w:firstLine="360"/>
        <w:jc w:val="both"/>
        <w:rPr>
          <w:rFonts w:hint="eastAsia"/>
        </w:rPr>
      </w:pPr>
      <w:r>
        <w:rPr>
          <w:rFonts w:eastAsia="Liberation Serif"/>
        </w:rPr>
        <w:t>The coefficient profile carries a related debt. Differences across finite fields can reveal torsion signatures, but finite-field Betti numbers do not automatically reconstruct the full integral module, and an untested prime can hide torsion. Integer persistence and torsion-aware inference are materially harder than repeating a field computation. A certificate must report what was tested rather than implying coefficient-independent truth.</w:t>
      </w:r>
    </w:p>
    <w:p w14:paraId="66A19AEA" w14:textId="77777777" w:rsidR="00247F07" w:rsidRDefault="00000000">
      <w:pPr>
        <w:pStyle w:val="Heading1"/>
        <w:spacing w:before="200" w:after="80"/>
      </w:pPr>
      <w:r>
        <w:rPr>
          <w:rFonts w:ascii="Liberation Sans" w:eastAsia="Liberation Sans" w:hAnsi="Liberation Sans"/>
        </w:rPr>
        <w:t>9. Verification Is Not Validation</w:t>
      </w:r>
    </w:p>
    <w:p w14:paraId="60C0EADB" w14:textId="77777777" w:rsidR="00247F07" w:rsidRDefault="00000000">
      <w:pPr>
        <w:pStyle w:val="Heading2"/>
        <w:spacing w:before="140" w:after="80"/>
      </w:pPr>
      <w:r>
        <w:rPr>
          <w:rFonts w:ascii="Liberation Sans" w:eastAsia="Liberation Sans" w:hAnsi="Liberation Sans"/>
        </w:rPr>
        <w:t>9.1 Designed-space verification suite</w:t>
      </w:r>
    </w:p>
    <w:p w14:paraId="63FECA51" w14:textId="77777777" w:rsidR="00247F07" w:rsidRDefault="00000000">
      <w:pPr>
        <w:spacing w:after="100" w:line="259" w:lineRule="auto"/>
        <w:ind w:firstLine="360"/>
        <w:jc w:val="both"/>
        <w:rPr>
          <w:rFonts w:hint="eastAsia"/>
        </w:rPr>
      </w:pPr>
      <w:r>
        <w:rPr>
          <w:rFonts w:eastAsia="Liberation Serif"/>
        </w:rPr>
        <w:t>The torus, SO(3), Möbius band, braid configuration space, and boundary-perturbation tasks are indispensable implementation tests. They verify that the software respects free homology, torsion, orientation twisting, abelian blindness, and boundary sensitivity. But each space is selected because it exhibits the target structure. Passing these tests does not validate a theory of memory. It confirms that the implementation computes what the designer planted.</w:t>
      </w:r>
    </w:p>
    <w:tbl>
      <w:tblPr>
        <w:tblStyle w:val="TableGrid"/>
        <w:tblW w:w="0" w:type="auto"/>
        <w:jc w:val="center"/>
        <w:tblLook w:val="04A0" w:firstRow="1" w:lastRow="0" w:firstColumn="1" w:lastColumn="0" w:noHBand="0" w:noVBand="1"/>
      </w:tblPr>
      <w:tblGrid>
        <w:gridCol w:w="3264"/>
        <w:gridCol w:w="3264"/>
        <w:gridCol w:w="3264"/>
      </w:tblGrid>
      <w:tr w:rsidR="00247F07" w14:paraId="2948A568" w14:textId="77777777">
        <w:trPr>
          <w:jc w:val="center"/>
        </w:trPr>
        <w:tc>
          <w:tcPr>
            <w:tcW w:w="3264" w:type="dxa"/>
            <w:shd w:val="clear" w:color="auto" w:fill="D9EAF7"/>
            <w:vAlign w:val="center"/>
          </w:tcPr>
          <w:p w14:paraId="40A481CF" w14:textId="77777777" w:rsidR="00247F07" w:rsidRDefault="00000000">
            <w:pPr>
              <w:jc w:val="center"/>
              <w:rPr>
                <w:rFonts w:hint="eastAsia"/>
              </w:rPr>
            </w:pPr>
            <w:r>
              <w:rPr>
                <w:rFonts w:ascii="Liberation Sans" w:eastAsia="Liberation Sans" w:hAnsi="Liberation Sans"/>
                <w:b/>
                <w:color w:val="1F4E79"/>
                <w:sz w:val="18"/>
              </w:rPr>
              <w:t>Designed domain</w:t>
            </w:r>
          </w:p>
        </w:tc>
        <w:tc>
          <w:tcPr>
            <w:tcW w:w="3264" w:type="dxa"/>
            <w:shd w:val="clear" w:color="auto" w:fill="D9EAF7"/>
            <w:vAlign w:val="center"/>
          </w:tcPr>
          <w:p w14:paraId="0214A9C3" w14:textId="77777777" w:rsidR="00247F07" w:rsidRDefault="00000000">
            <w:pPr>
              <w:jc w:val="center"/>
              <w:rPr>
                <w:rFonts w:hint="eastAsia"/>
              </w:rPr>
            </w:pPr>
            <w:r>
              <w:rPr>
                <w:rFonts w:ascii="Liberation Sans" w:eastAsia="Liberation Sans" w:hAnsi="Liberation Sans"/>
                <w:b/>
                <w:color w:val="1F4E79"/>
                <w:sz w:val="18"/>
              </w:rPr>
              <w:t>What it verifies</w:t>
            </w:r>
          </w:p>
        </w:tc>
        <w:tc>
          <w:tcPr>
            <w:tcW w:w="3264" w:type="dxa"/>
            <w:shd w:val="clear" w:color="auto" w:fill="D9EAF7"/>
            <w:vAlign w:val="center"/>
          </w:tcPr>
          <w:p w14:paraId="6DC13CDC" w14:textId="77777777" w:rsidR="00247F07" w:rsidRDefault="00000000">
            <w:pPr>
              <w:jc w:val="center"/>
              <w:rPr>
                <w:rFonts w:hint="eastAsia"/>
              </w:rPr>
            </w:pPr>
            <w:r>
              <w:rPr>
                <w:rFonts w:ascii="Liberation Sans" w:eastAsia="Liberation Sans" w:hAnsi="Liberation Sans"/>
                <w:b/>
                <w:color w:val="1F4E79"/>
                <w:sz w:val="18"/>
              </w:rPr>
              <w:t>What it does not establish</w:t>
            </w:r>
          </w:p>
        </w:tc>
      </w:tr>
      <w:tr w:rsidR="00247F07" w14:paraId="06908DCA" w14:textId="77777777">
        <w:trPr>
          <w:jc w:val="center"/>
        </w:trPr>
        <w:tc>
          <w:tcPr>
            <w:tcW w:w="3264" w:type="dxa"/>
            <w:tcMar>
              <w:top w:w="90" w:type="dxa"/>
              <w:left w:w="100" w:type="dxa"/>
              <w:bottom w:w="90" w:type="dxa"/>
              <w:right w:w="100" w:type="dxa"/>
            </w:tcMar>
            <w:vAlign w:val="center"/>
          </w:tcPr>
          <w:p w14:paraId="62FE5D52" w14:textId="77777777" w:rsidR="00247F07" w:rsidRDefault="00000000">
            <w:pPr>
              <w:rPr>
                <w:rFonts w:hint="eastAsia"/>
              </w:rPr>
            </w:pPr>
            <w:r>
              <w:rPr>
                <w:rFonts w:eastAsia="Liberation Serif"/>
                <w:b/>
                <w:sz w:val="18"/>
              </w:rPr>
              <w:t>Torus T^2</w:t>
            </w:r>
          </w:p>
        </w:tc>
        <w:tc>
          <w:tcPr>
            <w:tcW w:w="3264" w:type="dxa"/>
            <w:tcMar>
              <w:top w:w="90" w:type="dxa"/>
              <w:left w:w="100" w:type="dxa"/>
              <w:bottom w:w="90" w:type="dxa"/>
              <w:right w:w="100" w:type="dxa"/>
            </w:tcMar>
            <w:vAlign w:val="center"/>
          </w:tcPr>
          <w:p w14:paraId="534F0B1F" w14:textId="77777777" w:rsidR="00247F07" w:rsidRDefault="00000000">
            <w:pPr>
              <w:rPr>
                <w:rFonts w:hint="eastAsia"/>
              </w:rPr>
            </w:pPr>
            <w:r>
              <w:rPr>
                <w:rFonts w:eastAsia="Liberation Serif"/>
                <w:sz w:val="18"/>
              </w:rPr>
              <w:t>Free winding classes and compact route carriers.</w:t>
            </w:r>
          </w:p>
        </w:tc>
        <w:tc>
          <w:tcPr>
            <w:tcW w:w="3264" w:type="dxa"/>
            <w:tcMar>
              <w:top w:w="90" w:type="dxa"/>
              <w:left w:w="100" w:type="dxa"/>
              <w:bottom w:w="90" w:type="dxa"/>
              <w:right w:w="100" w:type="dxa"/>
            </w:tcMar>
            <w:vAlign w:val="center"/>
          </w:tcPr>
          <w:p w14:paraId="1A6A9987" w14:textId="77777777" w:rsidR="00247F07" w:rsidRDefault="00000000">
            <w:pPr>
              <w:rPr>
                <w:rFonts w:hint="eastAsia"/>
              </w:rPr>
            </w:pPr>
            <w:r>
              <w:rPr>
                <w:rFonts w:eastAsia="Liberation Serif"/>
                <w:sz w:val="18"/>
              </w:rPr>
              <w:t>That learned memory naturally forms a torus.</w:t>
            </w:r>
          </w:p>
        </w:tc>
      </w:tr>
      <w:tr w:rsidR="00247F07" w14:paraId="587332A6" w14:textId="77777777">
        <w:trPr>
          <w:jc w:val="center"/>
        </w:trPr>
        <w:tc>
          <w:tcPr>
            <w:tcW w:w="3264" w:type="dxa"/>
            <w:tcMar>
              <w:top w:w="90" w:type="dxa"/>
              <w:left w:w="100" w:type="dxa"/>
              <w:bottom w:w="90" w:type="dxa"/>
              <w:right w:w="100" w:type="dxa"/>
            </w:tcMar>
            <w:vAlign w:val="center"/>
          </w:tcPr>
          <w:p w14:paraId="729C2545" w14:textId="77777777" w:rsidR="00247F07" w:rsidRDefault="00000000">
            <w:pPr>
              <w:rPr>
                <w:rFonts w:hint="eastAsia"/>
              </w:rPr>
            </w:pPr>
            <w:r>
              <w:rPr>
                <w:rFonts w:eastAsia="Liberation Serif"/>
                <w:b/>
                <w:sz w:val="18"/>
              </w:rPr>
              <w:t>SO(3)</w:t>
            </w:r>
          </w:p>
        </w:tc>
        <w:tc>
          <w:tcPr>
            <w:tcW w:w="3264" w:type="dxa"/>
            <w:tcMar>
              <w:top w:w="90" w:type="dxa"/>
              <w:left w:w="100" w:type="dxa"/>
              <w:bottom w:w="90" w:type="dxa"/>
              <w:right w:w="100" w:type="dxa"/>
            </w:tcMar>
            <w:vAlign w:val="center"/>
          </w:tcPr>
          <w:p w14:paraId="6B4EAC51" w14:textId="77777777" w:rsidR="00247F07" w:rsidRDefault="00000000">
            <w:pPr>
              <w:rPr>
                <w:rFonts w:hint="eastAsia"/>
              </w:rPr>
            </w:pPr>
            <w:r>
              <w:rPr>
                <w:rFonts w:eastAsia="Liberation Serif"/>
                <w:sz w:val="18"/>
              </w:rPr>
              <w:t>Coefficient dependence and Z/2 torsion invisible over R.</w:t>
            </w:r>
          </w:p>
        </w:tc>
        <w:tc>
          <w:tcPr>
            <w:tcW w:w="3264" w:type="dxa"/>
            <w:tcMar>
              <w:top w:w="90" w:type="dxa"/>
              <w:left w:w="100" w:type="dxa"/>
              <w:bottom w:w="90" w:type="dxa"/>
              <w:right w:w="100" w:type="dxa"/>
            </w:tcMar>
            <w:vAlign w:val="center"/>
          </w:tcPr>
          <w:p w14:paraId="4435A120" w14:textId="77777777" w:rsidR="00247F07" w:rsidRDefault="00000000">
            <w:pPr>
              <w:rPr>
                <w:rFonts w:hint="eastAsia"/>
              </w:rPr>
            </w:pPr>
            <w:r>
              <w:rPr>
                <w:rFonts w:eastAsia="Liberation Serif"/>
                <w:sz w:val="18"/>
              </w:rPr>
              <w:t>That torsion is used by a learned memory system.</w:t>
            </w:r>
          </w:p>
        </w:tc>
      </w:tr>
      <w:tr w:rsidR="00247F07" w14:paraId="73470A8D" w14:textId="77777777">
        <w:trPr>
          <w:jc w:val="center"/>
        </w:trPr>
        <w:tc>
          <w:tcPr>
            <w:tcW w:w="3264" w:type="dxa"/>
            <w:tcMar>
              <w:top w:w="90" w:type="dxa"/>
              <w:left w:w="100" w:type="dxa"/>
              <w:bottom w:w="90" w:type="dxa"/>
              <w:right w:w="100" w:type="dxa"/>
            </w:tcMar>
            <w:vAlign w:val="center"/>
          </w:tcPr>
          <w:p w14:paraId="566AE4F8" w14:textId="77777777" w:rsidR="00247F07" w:rsidRDefault="00000000">
            <w:pPr>
              <w:rPr>
                <w:rFonts w:hint="eastAsia"/>
              </w:rPr>
            </w:pPr>
            <w:r>
              <w:rPr>
                <w:rFonts w:eastAsia="Liberation Serif"/>
                <w:b/>
                <w:sz w:val="18"/>
              </w:rPr>
              <w:t>Möbius/twisted domain</w:t>
            </w:r>
          </w:p>
        </w:tc>
        <w:tc>
          <w:tcPr>
            <w:tcW w:w="3264" w:type="dxa"/>
            <w:tcMar>
              <w:top w:w="90" w:type="dxa"/>
              <w:left w:w="100" w:type="dxa"/>
              <w:bottom w:w="90" w:type="dxa"/>
              <w:right w:w="100" w:type="dxa"/>
            </w:tcMar>
            <w:vAlign w:val="center"/>
          </w:tcPr>
          <w:p w14:paraId="5DDECFB0" w14:textId="77777777" w:rsidR="00247F07" w:rsidRDefault="00000000">
            <w:pPr>
              <w:rPr>
                <w:rFonts w:hint="eastAsia"/>
              </w:rPr>
            </w:pPr>
            <w:r>
              <w:rPr>
                <w:rFonts w:eastAsia="Liberation Serif"/>
                <w:sz w:val="18"/>
              </w:rPr>
              <w:t>Orientation local systems and signed-provenance refusal.</w:t>
            </w:r>
          </w:p>
        </w:tc>
        <w:tc>
          <w:tcPr>
            <w:tcW w:w="3264" w:type="dxa"/>
            <w:tcMar>
              <w:top w:w="90" w:type="dxa"/>
              <w:left w:w="100" w:type="dxa"/>
              <w:bottom w:w="90" w:type="dxa"/>
              <w:right w:w="100" w:type="dxa"/>
            </w:tcMar>
            <w:vAlign w:val="center"/>
          </w:tcPr>
          <w:p w14:paraId="47D28BB9" w14:textId="77777777" w:rsidR="00247F07" w:rsidRDefault="00000000">
            <w:pPr>
              <w:rPr>
                <w:rFonts w:hint="eastAsia"/>
              </w:rPr>
            </w:pPr>
            <w:r>
              <w:rPr>
                <w:rFonts w:eastAsia="Liberation Serif"/>
                <w:sz w:val="18"/>
              </w:rPr>
              <w:t>That agency or ownership is literally orientation.</w:t>
            </w:r>
          </w:p>
        </w:tc>
      </w:tr>
      <w:tr w:rsidR="00247F07" w14:paraId="02D59188" w14:textId="77777777">
        <w:trPr>
          <w:jc w:val="center"/>
        </w:trPr>
        <w:tc>
          <w:tcPr>
            <w:tcW w:w="3264" w:type="dxa"/>
            <w:tcMar>
              <w:top w:w="90" w:type="dxa"/>
              <w:left w:w="100" w:type="dxa"/>
              <w:bottom w:w="90" w:type="dxa"/>
              <w:right w:w="100" w:type="dxa"/>
            </w:tcMar>
            <w:vAlign w:val="center"/>
          </w:tcPr>
          <w:p w14:paraId="076CB4F8" w14:textId="77777777" w:rsidR="00247F07" w:rsidRDefault="00000000">
            <w:pPr>
              <w:rPr>
                <w:rFonts w:hint="eastAsia"/>
              </w:rPr>
            </w:pPr>
            <w:r>
              <w:rPr>
                <w:rFonts w:eastAsia="Liberation Serif"/>
                <w:b/>
                <w:sz w:val="18"/>
              </w:rPr>
              <w:t>Braid configuration</w:t>
            </w:r>
          </w:p>
        </w:tc>
        <w:tc>
          <w:tcPr>
            <w:tcW w:w="3264" w:type="dxa"/>
            <w:tcMar>
              <w:top w:w="90" w:type="dxa"/>
              <w:left w:w="100" w:type="dxa"/>
              <w:bottom w:w="90" w:type="dxa"/>
              <w:right w:w="100" w:type="dxa"/>
            </w:tcMar>
            <w:vAlign w:val="center"/>
          </w:tcPr>
          <w:p w14:paraId="70673760" w14:textId="77777777" w:rsidR="00247F07" w:rsidRDefault="00000000">
            <w:pPr>
              <w:rPr>
                <w:rFonts w:hint="eastAsia"/>
              </w:rPr>
            </w:pPr>
            <w:r>
              <w:rPr>
                <w:rFonts w:eastAsia="Liberation Serif"/>
                <w:sz w:val="18"/>
              </w:rPr>
              <w:t>Necessary failure of abelian route memory.</w:t>
            </w:r>
          </w:p>
        </w:tc>
        <w:tc>
          <w:tcPr>
            <w:tcW w:w="3264" w:type="dxa"/>
            <w:tcMar>
              <w:top w:w="90" w:type="dxa"/>
              <w:left w:w="100" w:type="dxa"/>
              <w:bottom w:w="90" w:type="dxa"/>
              <w:right w:w="100" w:type="dxa"/>
            </w:tcMar>
            <w:vAlign w:val="center"/>
          </w:tcPr>
          <w:p w14:paraId="42C4614D" w14:textId="77777777" w:rsidR="00247F07" w:rsidRDefault="00000000">
            <w:pPr>
              <w:rPr>
                <w:rFonts w:hint="eastAsia"/>
              </w:rPr>
            </w:pPr>
            <w:r>
              <w:rPr>
                <w:rFonts w:eastAsia="Liberation Serif"/>
                <w:sz w:val="18"/>
              </w:rPr>
              <w:t>A solution to nonabelian history.</w:t>
            </w:r>
          </w:p>
        </w:tc>
      </w:tr>
      <w:tr w:rsidR="00247F07" w14:paraId="21B7219C" w14:textId="77777777">
        <w:trPr>
          <w:jc w:val="center"/>
        </w:trPr>
        <w:tc>
          <w:tcPr>
            <w:tcW w:w="3264" w:type="dxa"/>
            <w:tcMar>
              <w:top w:w="90" w:type="dxa"/>
              <w:left w:w="100" w:type="dxa"/>
              <w:bottom w:w="90" w:type="dxa"/>
              <w:right w:w="100" w:type="dxa"/>
            </w:tcMar>
            <w:vAlign w:val="center"/>
          </w:tcPr>
          <w:p w14:paraId="563CB79E" w14:textId="77777777" w:rsidR="00247F07" w:rsidRDefault="00000000">
            <w:pPr>
              <w:rPr>
                <w:rFonts w:hint="eastAsia"/>
              </w:rPr>
            </w:pPr>
            <w:r>
              <w:rPr>
                <w:rFonts w:eastAsia="Liberation Serif"/>
                <w:b/>
                <w:sz w:val="18"/>
              </w:rPr>
              <w:t>Boundary perturbation</w:t>
            </w:r>
          </w:p>
        </w:tc>
        <w:tc>
          <w:tcPr>
            <w:tcW w:w="3264" w:type="dxa"/>
            <w:tcMar>
              <w:top w:w="90" w:type="dxa"/>
              <w:left w:w="100" w:type="dxa"/>
              <w:bottom w:w="90" w:type="dxa"/>
              <w:right w:w="100" w:type="dxa"/>
            </w:tcMar>
            <w:vAlign w:val="center"/>
          </w:tcPr>
          <w:p w14:paraId="725CFE7E" w14:textId="77777777" w:rsidR="00247F07" w:rsidRDefault="00000000">
            <w:pPr>
              <w:rPr>
                <w:rFonts w:hint="eastAsia"/>
              </w:rPr>
            </w:pPr>
            <w:r>
              <w:rPr>
                <w:rFonts w:eastAsia="Liberation Serif"/>
                <w:sz w:val="18"/>
              </w:rPr>
              <w:t>Sensitivity of ker i* and im i* to B.</w:t>
            </w:r>
          </w:p>
        </w:tc>
        <w:tc>
          <w:tcPr>
            <w:tcW w:w="3264" w:type="dxa"/>
            <w:tcMar>
              <w:top w:w="90" w:type="dxa"/>
              <w:left w:w="100" w:type="dxa"/>
              <w:bottom w:w="90" w:type="dxa"/>
              <w:right w:w="100" w:type="dxa"/>
            </w:tcMar>
            <w:vAlign w:val="center"/>
          </w:tcPr>
          <w:p w14:paraId="749C0D4C" w14:textId="77777777" w:rsidR="00247F07" w:rsidRDefault="00000000">
            <w:pPr>
              <w:rPr>
                <w:rFonts w:hint="eastAsia"/>
              </w:rPr>
            </w:pPr>
            <w:r>
              <w:rPr>
                <w:rFonts w:eastAsia="Liberation Serif"/>
                <w:sz w:val="18"/>
              </w:rPr>
              <w:t>A principled method for discovering the correct boundary.</w:t>
            </w:r>
          </w:p>
        </w:tc>
      </w:tr>
    </w:tbl>
    <w:p w14:paraId="09912109" w14:textId="77777777" w:rsidR="00247F07" w:rsidRDefault="00247F07">
      <w:pPr>
        <w:rPr>
          <w:rFonts w:hint="eastAsia"/>
        </w:rPr>
      </w:pPr>
    </w:p>
    <w:p w14:paraId="1FAD1510" w14:textId="77777777" w:rsidR="00247F07" w:rsidRDefault="00000000">
      <w:pPr>
        <w:pStyle w:val="Heading2"/>
        <w:spacing w:before="140" w:after="80"/>
      </w:pPr>
      <w:r>
        <w:rPr>
          <w:rFonts w:ascii="Liberation Sans" w:eastAsia="Liberation Sans" w:hAnsi="Liberation Sans"/>
        </w:rPr>
        <w:t>9.2 Non-planted validation of the literal-topology thesis</w:t>
      </w:r>
    </w:p>
    <w:p w14:paraId="4E0DC288" w14:textId="77777777" w:rsidR="00247F07" w:rsidRDefault="00000000">
      <w:pPr>
        <w:spacing w:after="100" w:line="259" w:lineRule="auto"/>
        <w:ind w:firstLine="360"/>
        <w:jc w:val="both"/>
        <w:rPr>
          <w:rFonts w:hint="eastAsia"/>
        </w:rPr>
      </w:pPr>
      <w:r>
        <w:rPr>
          <w:rFonts w:eastAsia="Liberation Serif"/>
        </w:rPr>
        <w:t>The decisive validation question is upstream: does learning ever hand the system an M that earns a nontrivial Poincaré-pair certificate when the designer did not supply the topology? A suitable task may contain latent geometric structure, but the audit must operate on the learned representation rather than on simulator coordinates or known configuration manifolds.</w:t>
      </w:r>
    </w:p>
    <w:p w14:paraId="00ECAC55" w14:textId="77777777" w:rsidR="00247F07" w:rsidRDefault="00000000">
      <w:pPr>
        <w:spacing w:after="100" w:line="259" w:lineRule="auto"/>
        <w:ind w:firstLine="360"/>
        <w:jc w:val="both"/>
        <w:rPr>
          <w:rFonts w:hint="eastAsia"/>
        </w:rPr>
      </w:pPr>
      <w:r>
        <w:rPr>
          <w:rFonts w:eastAsia="Liberation Serif"/>
        </w:rPr>
        <w:t>A result should be disqualified as planted if the model receives SO(3) coordinates, toroidal parameters, task-specific complexes, supplied dimension or boundary, or a loss that rewards expected Betti numbers. A candidate emergent result requires a topology-agnostic representation extractor fixed in advance; unsupervised construction of cells; inference of dimension, links, boundary, and orientation from activity alone; replication across seeds; survival on held-out trajectories; failure under representation-shuffling controls; and predictive value for later export decisions.</w:t>
      </w:r>
    </w:p>
    <w:p w14:paraId="129BF2F4" w14:textId="77777777" w:rsidR="00247F07" w:rsidRDefault="00000000">
      <w:pPr>
        <w:spacing w:after="100" w:line="259" w:lineRule="auto"/>
        <w:ind w:firstLine="360"/>
        <w:jc w:val="both"/>
        <w:rPr>
          <w:rFonts w:hint="eastAsia"/>
        </w:rPr>
      </w:pPr>
      <w:r>
        <w:rPr>
          <w:rFonts w:eastAsia="Liberation Serif"/>
        </w:rPr>
        <w:t>The possible outcomes determine the status of the enterprise. If the certificate never fires, Poincaré export remains a theory for designed geometric memories. If it fires but predicts nothing, the topology is representational decoration. If it fires only when topology is planted, the method remains an engineering tool. Only if independently earned certificates predict safe transfer, compression, or route retention does the literal topological memory thesis receive support.</w:t>
      </w:r>
    </w:p>
    <w:p w14:paraId="03C4255B" w14:textId="77777777" w:rsidR="00247F07" w:rsidRDefault="00000000">
      <w:pPr>
        <w:pStyle w:val="Heading2"/>
        <w:spacing w:before="140" w:after="80"/>
      </w:pPr>
      <w:r>
        <w:rPr>
          <w:rFonts w:ascii="Liberation Sans" w:eastAsia="Liberation Sans" w:hAnsi="Liberation Sans"/>
        </w:rPr>
        <w:lastRenderedPageBreak/>
        <w:t>9.3 Testing the boundary principle without literal topology</w:t>
      </w:r>
    </w:p>
    <w:p w14:paraId="16D9C135" w14:textId="77777777" w:rsidR="00247F07" w:rsidRDefault="00000000">
      <w:pPr>
        <w:spacing w:after="100" w:line="259" w:lineRule="auto"/>
        <w:ind w:firstLine="360"/>
        <w:jc w:val="both"/>
        <w:rPr>
          <w:rFonts w:hint="eastAsia"/>
        </w:rPr>
      </w:pPr>
      <w:r>
        <w:rPr>
          <w:rFonts w:eastAsia="Liberation Serif"/>
        </w:rPr>
        <w:t>The broader idea may remain valuable even if learned representations never form Poincaré pairs. Strip away the cap product and retain the principle: a lesson may detach from its conditions of acquisition when its predictive content is invariant to the variables designated as context. This can be tested in ordinary learned systems through conditional-independence tests, interventions on contextual features, invariance across environments, counterfactual boundary perturbations, and held-out transfer.</w:t>
      </w:r>
    </w:p>
    <w:p w14:paraId="3AD5BF5F" w14:textId="77777777" w:rsidR="00247F07" w:rsidRDefault="00000000">
      <w:pPr>
        <w:spacing w:after="100" w:line="259" w:lineRule="auto"/>
        <w:ind w:firstLine="360"/>
        <w:jc w:val="both"/>
        <w:rPr>
          <w:rFonts w:hint="eastAsia"/>
        </w:rPr>
      </w:pPr>
      <w:r>
        <w:rPr>
          <w:rFonts w:eastAsia="Liberation Serif"/>
        </w:rPr>
        <w:t>The appropriate baselines are uncertainty gating, empirical-risk improvement, domain randomization, invariant risk minimization, causal or environment-invariance methods, and ordinary replay consolidation. The target is not to mimic cohomology symbolically. It is to improve the decision among export, retain as episode-specific, and abstain. A positive result would validate the boundary-restriction principle as a consolidation heuristic even if the literal Poincaré thesis fails.</w:t>
      </w:r>
    </w:p>
    <w:p w14:paraId="351B68AE" w14:textId="77777777" w:rsidR="00247F07" w:rsidRDefault="00000000">
      <w:pPr>
        <w:pStyle w:val="Heading1"/>
        <w:spacing w:before="200" w:after="80"/>
      </w:pPr>
      <w:r>
        <w:rPr>
          <w:rFonts w:ascii="Liberation Sans" w:eastAsia="Liberation Sans" w:hAnsi="Liberation Sans"/>
        </w:rPr>
        <w:t>10. Proposed Research Program</w:t>
      </w:r>
    </w:p>
    <w:p w14:paraId="778BB02D" w14:textId="77777777" w:rsidR="00247F07" w:rsidRDefault="00000000">
      <w:pPr>
        <w:pStyle w:val="Heading2"/>
        <w:spacing w:before="140" w:after="80"/>
      </w:pPr>
      <w:r>
        <w:rPr>
          <w:rFonts w:ascii="Liberation Sans" w:eastAsia="Liberation Sans" w:hAnsi="Liberation Sans"/>
        </w:rPr>
        <w:t>10.1 Paper I: theorem and scope</w:t>
      </w:r>
    </w:p>
    <w:p w14:paraId="44F2ADCD" w14:textId="77777777" w:rsidR="00247F07" w:rsidRDefault="00000000">
      <w:pPr>
        <w:spacing w:after="100" w:line="259" w:lineRule="auto"/>
        <w:ind w:firstLine="360"/>
        <w:jc w:val="both"/>
        <w:rPr>
          <w:rFonts w:hint="eastAsia"/>
        </w:rPr>
      </w:pPr>
      <w:r>
        <w:rPr>
          <w:rFonts w:eastAsia="Liberation Serif"/>
        </w:rPr>
        <w:t>The present conceptual paper should remain the theorem-and-scope statement. Its principal deliverable is the abelian boundary-visible criterion, not an experimental claim. The designed benchmark suite belongs as a verification plan and source of falsifiable implementation requirements.</w:t>
      </w:r>
    </w:p>
    <w:p w14:paraId="2D026A44" w14:textId="77777777" w:rsidR="00247F07" w:rsidRDefault="00000000">
      <w:pPr>
        <w:pStyle w:val="Heading2"/>
        <w:spacing w:before="140" w:after="80"/>
      </w:pPr>
      <w:r>
        <w:rPr>
          <w:rFonts w:ascii="Liberation Sans" w:eastAsia="Liberation Sans" w:hAnsi="Liberation Sans"/>
        </w:rPr>
        <w:t>10.2 Paper II: learned-domain validation</w:t>
      </w:r>
    </w:p>
    <w:p w14:paraId="50B36F8B" w14:textId="77777777" w:rsidR="00247F07" w:rsidRDefault="00000000">
      <w:pPr>
        <w:spacing w:after="100" w:line="259" w:lineRule="auto"/>
        <w:jc w:val="both"/>
        <w:rPr>
          <w:rFonts w:hint="eastAsia"/>
        </w:rPr>
      </w:pPr>
      <w:r>
        <w:rPr>
          <w:rFonts w:eastAsia="Liberation Serif"/>
          <w:b/>
        </w:rPr>
        <w:t xml:space="preserve">Proposed title: </w:t>
      </w:r>
      <w:r>
        <w:rPr>
          <w:rFonts w:eastAsia="Liberation Serif"/>
          <w:i/>
        </w:rPr>
        <w:t>Do Learned Memories Earn Poincaré Structure? A Non-Planted Domain-Audit Test</w:t>
      </w:r>
      <w:r>
        <w:rPr>
          <w:rFonts w:eastAsia="Liberation Serif"/>
        </w:rPr>
        <w:t>. This paper should pre-register what counts as planted, define a topology-agnostic domain-audit pipeline, and test whether earned certificates predict safe compression or transfer.</w:t>
      </w:r>
    </w:p>
    <w:p w14:paraId="0ECB1438" w14:textId="77777777" w:rsidR="00247F07" w:rsidRDefault="00000000">
      <w:pPr>
        <w:pStyle w:val="Heading2"/>
        <w:spacing w:before="140" w:after="80"/>
      </w:pPr>
      <w:r>
        <w:rPr>
          <w:rFonts w:ascii="Liberation Sans" w:eastAsia="Liberation Sans" w:hAnsi="Liberation Sans"/>
        </w:rPr>
        <w:t>10.3 Paper III: boundary-invariance consolidation</w:t>
      </w:r>
    </w:p>
    <w:p w14:paraId="1FD37154" w14:textId="77777777" w:rsidR="00247F07" w:rsidRDefault="00000000">
      <w:pPr>
        <w:spacing w:after="100" w:line="259" w:lineRule="auto"/>
        <w:jc w:val="both"/>
        <w:rPr>
          <w:rFonts w:hint="eastAsia"/>
        </w:rPr>
      </w:pPr>
      <w:r>
        <w:rPr>
          <w:rFonts w:eastAsia="Liberation Serif"/>
          <w:b/>
        </w:rPr>
        <w:t xml:space="preserve">Proposed title: </w:t>
      </w:r>
      <w:r>
        <w:rPr>
          <w:rFonts w:eastAsia="Liberation Serif"/>
          <w:i/>
        </w:rPr>
        <w:t>When May a Lesson Leave Its Context? Boundary-Invariance Gating for Memory Consolidation</w:t>
      </w:r>
      <w:r>
        <w:rPr>
          <w:rFonts w:eastAsia="Liberation Serif"/>
        </w:rPr>
        <w:t>. This paper should operate without literal topology and compare boundary-invariance decisions against uncertainty and domain-generalization baselines.</w:t>
      </w:r>
    </w:p>
    <w:p w14:paraId="0DAF53D9" w14:textId="77777777" w:rsidR="00247F07" w:rsidRDefault="00000000">
      <w:pPr>
        <w:pStyle w:val="Heading2"/>
        <w:spacing w:before="140" w:after="80"/>
      </w:pPr>
      <w:r>
        <w:rPr>
          <w:rFonts w:ascii="Liberation Sans" w:eastAsia="Liberation Sans" w:hAnsi="Liberation Sans"/>
        </w:rPr>
        <w:t>10.4 Minimal implementation milestones</w:t>
      </w:r>
    </w:p>
    <w:p w14:paraId="1A306561" w14:textId="77777777" w:rsidR="00247F07" w:rsidRDefault="00000000">
      <w:pPr>
        <w:pStyle w:val="ListBullet"/>
        <w:spacing w:after="40"/>
        <w:ind w:hanging="259"/>
        <w:rPr>
          <w:rFonts w:hint="eastAsia"/>
        </w:rPr>
      </w:pPr>
      <w:r>
        <w:rPr>
          <w:rFonts w:eastAsia="Liberation Serif"/>
        </w:rPr>
        <w:t>Implement exact cohomology, relative cohomology, induced boundary maps, and cap products on finite designed complexes.</w:t>
      </w:r>
    </w:p>
    <w:p w14:paraId="4DAE00E5" w14:textId="77777777" w:rsidR="00247F07" w:rsidRDefault="00000000">
      <w:pPr>
        <w:pStyle w:val="ListBullet"/>
        <w:spacing w:after="40"/>
        <w:ind w:hanging="259"/>
        <w:rPr>
          <w:rFonts w:hint="eastAsia"/>
        </w:rPr>
      </w:pPr>
      <w:r>
        <w:rPr>
          <w:rFonts w:eastAsia="Liberation Serif"/>
        </w:rPr>
        <w:t>Verify coefficient-sensitive behavior on SO(3)-like complexes and signed-orientation behavior on twisted examples.</w:t>
      </w:r>
    </w:p>
    <w:p w14:paraId="2765360C" w14:textId="77777777" w:rsidR="00247F07" w:rsidRDefault="00000000">
      <w:pPr>
        <w:pStyle w:val="ListBullet"/>
        <w:spacing w:after="40"/>
        <w:ind w:hanging="259"/>
        <w:rPr>
          <w:rFonts w:hint="eastAsia"/>
        </w:rPr>
      </w:pPr>
      <w:r>
        <w:rPr>
          <w:rFonts w:eastAsia="Liberation Serif"/>
        </w:rPr>
        <w:t>Implement the boundary-visible module/profile and boundary-family comparison before building a per-class learning gate.</w:t>
      </w:r>
    </w:p>
    <w:p w14:paraId="70D73091" w14:textId="77777777" w:rsidR="00247F07" w:rsidRDefault="00000000">
      <w:pPr>
        <w:pStyle w:val="ListBullet"/>
        <w:spacing w:after="40"/>
        <w:ind w:hanging="259"/>
        <w:rPr>
          <w:rFonts w:hint="eastAsia"/>
        </w:rPr>
      </w:pPr>
      <w:r>
        <w:rPr>
          <w:rFonts w:eastAsia="Liberation Serif"/>
        </w:rPr>
        <w:t>Develop a topology-agnostic domain-audit pipeline with explicit refusal when the Poincaré hypotheses are not earned.</w:t>
      </w:r>
    </w:p>
    <w:p w14:paraId="0A6F0C16" w14:textId="77777777" w:rsidR="00247F07" w:rsidRDefault="00000000">
      <w:pPr>
        <w:pStyle w:val="ListBullet"/>
        <w:spacing w:after="40"/>
        <w:ind w:hanging="259"/>
        <w:rPr>
          <w:rFonts w:hint="eastAsia"/>
        </w:rPr>
      </w:pPr>
      <w:r>
        <w:rPr>
          <w:rFonts w:eastAsia="Liberation Serif"/>
        </w:rPr>
        <w:t>Only then attempt a statistically calibrated estimator from noisy learned trajectories.</w:t>
      </w:r>
    </w:p>
    <w:p w14:paraId="612F6090" w14:textId="77777777" w:rsidR="00247F07" w:rsidRDefault="00000000">
      <w:pPr>
        <w:pStyle w:val="Heading1"/>
        <w:spacing w:before="200" w:after="80"/>
      </w:pPr>
      <w:r>
        <w:rPr>
          <w:rFonts w:ascii="Liberation Sans" w:eastAsia="Liberation Sans" w:hAnsi="Liberation Sans"/>
        </w:rPr>
        <w:t>11. Discussion</w:t>
      </w:r>
    </w:p>
    <w:p w14:paraId="71985378" w14:textId="77777777" w:rsidR="00247F07" w:rsidRDefault="00000000">
      <w:pPr>
        <w:pStyle w:val="Heading2"/>
        <w:spacing w:before="140" w:after="80"/>
      </w:pPr>
      <w:r>
        <w:rPr>
          <w:rFonts w:ascii="Liberation Sans" w:eastAsia="Liberation Sans" w:hAnsi="Liberation Sans"/>
        </w:rPr>
        <w:t>11.1 What the theorem changes</w:t>
      </w:r>
    </w:p>
    <w:p w14:paraId="7BC716A8" w14:textId="77777777" w:rsidR="00247F07" w:rsidRDefault="00000000">
      <w:pPr>
        <w:spacing w:after="100" w:line="259" w:lineRule="auto"/>
        <w:ind w:firstLine="360"/>
        <w:jc w:val="both"/>
        <w:rPr>
          <w:rFonts w:hint="eastAsia"/>
        </w:rPr>
      </w:pPr>
      <w:r>
        <w:rPr>
          <w:rFonts w:eastAsia="Liberation Serif"/>
        </w:rPr>
        <w:t>The theorem changes the grammar of consolidation. A memory is not general because it was useful, frequently replayed, confidently predicted, or efficiently compressed. It is exportable, in the clean abelian model, because the learned class lies in ker i*: it becomes trivial on the audited acquisition boundary and therefore admits a relative lift. The quotient Hᵏ(M; A)/ker i* is not discarded noise; it is the boundary-visible content that must remain tied to provenance.</w:t>
      </w:r>
    </w:p>
    <w:p w14:paraId="1FBD12CF" w14:textId="77777777" w:rsidR="00247F07" w:rsidRDefault="00000000">
      <w:pPr>
        <w:spacing w:after="100" w:line="259" w:lineRule="auto"/>
        <w:ind w:firstLine="360"/>
        <w:jc w:val="both"/>
        <w:rPr>
          <w:rFonts w:hint="eastAsia"/>
        </w:rPr>
      </w:pPr>
      <w:r>
        <w:rPr>
          <w:rFonts w:eastAsia="Liberation Serif"/>
        </w:rPr>
        <w:lastRenderedPageBreak/>
        <w:t>This formulation provides a principled distinction between reusable knowledge and episode-bound knowledge. It also makes ambiguity visible. If the verdict changes under reasonable boundary models, the system has discovered that the generality of the lesson is itself unsettled. A defensible architecture should store that uncertainty rather than force a global rule.</w:t>
      </w:r>
    </w:p>
    <w:p w14:paraId="338758B4" w14:textId="77777777" w:rsidR="00247F07" w:rsidRDefault="00000000">
      <w:pPr>
        <w:pStyle w:val="Heading2"/>
        <w:spacing w:before="140" w:after="80"/>
      </w:pPr>
      <w:r>
        <w:rPr>
          <w:rFonts w:ascii="Liberation Sans" w:eastAsia="Liberation Sans" w:hAnsi="Liberation Sans"/>
        </w:rPr>
        <w:t>11.2 Why Poincaré duality remains useful after demotion</w:t>
      </w:r>
    </w:p>
    <w:p w14:paraId="6A62D27F" w14:textId="77777777" w:rsidR="00247F07" w:rsidRDefault="00000000">
      <w:pPr>
        <w:spacing w:after="100" w:line="259" w:lineRule="auto"/>
        <w:ind w:firstLine="360"/>
        <w:jc w:val="both"/>
        <w:rPr>
          <w:rFonts w:hint="eastAsia"/>
        </w:rPr>
      </w:pPr>
      <w:r>
        <w:rPr>
          <w:rFonts w:eastAsia="Liberation Serif"/>
        </w:rPr>
        <w:t>Demoting Poincaré-Lefschetz duality from universal core operator to certified specialization does not make it decorative. On an earned Poincaré pair, it provides something the general boundary criterion does not: an exact degree-reversing construction of an absolute carrier from a relative constraint. That can be valuable in configuration spaces, mechanism planning, and other designed geometric domains where the state space is genuinely manifold-like and route classes matter.</w:t>
      </w:r>
    </w:p>
    <w:p w14:paraId="6C323B8F" w14:textId="77777777" w:rsidR="00247F07" w:rsidRDefault="00000000">
      <w:pPr>
        <w:spacing w:after="100" w:line="259" w:lineRule="auto"/>
        <w:ind w:firstLine="360"/>
        <w:jc w:val="both"/>
        <w:rPr>
          <w:rFonts w:hint="eastAsia"/>
        </w:rPr>
      </w:pPr>
      <w:r>
        <w:rPr>
          <w:rFonts w:eastAsia="Liberation Serif"/>
        </w:rPr>
        <w:t>But the paper should not claim that the general machinery approximates Poincaré duality in all learned settings. The more accurate relation is conditional: the boundary principle applies in a broader abelian cohomological setting; the dual carrier construction activates only in the narrower Poincaré setting; and many learned systems may remain permanently in general mode.</w:t>
      </w:r>
    </w:p>
    <w:p w14:paraId="5E23CC97" w14:textId="77777777" w:rsidR="00247F07" w:rsidRDefault="00000000">
      <w:pPr>
        <w:pStyle w:val="Heading2"/>
        <w:spacing w:before="140" w:after="80"/>
      </w:pPr>
      <w:r>
        <w:rPr>
          <w:rFonts w:ascii="Liberation Sans" w:eastAsia="Liberation Sans" w:hAnsi="Liberation Sans"/>
        </w:rPr>
        <w:t>11.3 Where the memory motivation could fail</w:t>
      </w:r>
    </w:p>
    <w:p w14:paraId="1E6CAF93" w14:textId="77777777" w:rsidR="00247F07" w:rsidRDefault="00000000">
      <w:pPr>
        <w:spacing w:after="100" w:line="259" w:lineRule="auto"/>
        <w:ind w:firstLine="360"/>
        <w:jc w:val="both"/>
        <w:rPr>
          <w:rFonts w:hint="eastAsia"/>
        </w:rPr>
      </w:pPr>
      <w:r>
        <w:rPr>
          <w:rFonts w:eastAsia="Liberation Serif"/>
        </w:rPr>
        <w:t>The framework fails as a general theory of memory if learned representations do not produce stable domains, meaningful boundaries, or non-planted Poincaré pairs. It may still succeed as an engineering method for robot configuration spaces or mechanism planning, where topology is supplied by the physical domain. The paper should welcome this separation. A useful geometric memory tool does not become a neuroscience result merely because the mathematics is elegant.</w:t>
      </w:r>
    </w:p>
    <w:p w14:paraId="4A985166" w14:textId="77777777" w:rsidR="00247F07" w:rsidRDefault="00000000">
      <w:pPr>
        <w:spacing w:after="100" w:line="259" w:lineRule="auto"/>
        <w:ind w:firstLine="360"/>
        <w:jc w:val="both"/>
        <w:rPr>
          <w:rFonts w:hint="eastAsia"/>
        </w:rPr>
      </w:pPr>
      <w:r>
        <w:rPr>
          <w:rFonts w:eastAsia="Liberation Serif"/>
        </w:rPr>
        <w:t>The boundary-invariance heuristic provides the independent escape route. It may improve consolidation decisions without literal cohomology. In that case, topology has served as a theorem-generating clean case: it clarified the distinction between content and acquisition conditions and exposed coefficient, boundary, and nonabelian limitations. That would still be a substantive contribution, but a different one from discovering Poincaré structure in memory.</w:t>
      </w:r>
    </w:p>
    <w:p w14:paraId="50779C55" w14:textId="77777777" w:rsidR="00247F07" w:rsidRDefault="00000000">
      <w:pPr>
        <w:pStyle w:val="Heading2"/>
        <w:spacing w:before="140" w:after="80"/>
      </w:pPr>
      <w:r>
        <w:rPr>
          <w:rFonts w:ascii="Liberation Sans" w:eastAsia="Liberation Sans" w:hAnsi="Liberation Sans"/>
        </w:rPr>
        <w:t>11.4 Falsification conditions</w:t>
      </w:r>
    </w:p>
    <w:p w14:paraId="17B54066" w14:textId="77777777" w:rsidR="00247F07" w:rsidRDefault="00000000">
      <w:pPr>
        <w:pStyle w:val="ListBullet"/>
        <w:spacing w:after="40"/>
        <w:ind w:hanging="259"/>
        <w:rPr>
          <w:rFonts w:hint="eastAsia"/>
        </w:rPr>
      </w:pPr>
      <w:r>
        <w:rPr>
          <w:rFonts w:eastAsia="Liberation Serif"/>
        </w:rPr>
        <w:t>If non-planted learned representations never earn a Poincaré-pair certificate, the literal-memory claim must be withdrawn or restricted to designed geometric domains.</w:t>
      </w:r>
    </w:p>
    <w:p w14:paraId="1F744287" w14:textId="77777777" w:rsidR="00247F07" w:rsidRDefault="00000000">
      <w:pPr>
        <w:pStyle w:val="ListBullet"/>
        <w:spacing w:after="40"/>
        <w:ind w:hanging="259"/>
        <w:rPr>
          <w:rFonts w:hint="eastAsia"/>
        </w:rPr>
      </w:pPr>
      <w:r>
        <w:rPr>
          <w:rFonts w:eastAsia="Liberation Serif"/>
        </w:rPr>
        <w:t>If earned certificates do not predict safe export, compression, retrieval, or refusal better than simpler baselines, the Poincaré layer is not load-bearing.</w:t>
      </w:r>
    </w:p>
    <w:p w14:paraId="4A28F4BB" w14:textId="77777777" w:rsidR="00247F07" w:rsidRDefault="00000000">
      <w:pPr>
        <w:pStyle w:val="ListBullet"/>
        <w:spacing w:after="40"/>
        <w:ind w:hanging="259"/>
        <w:rPr>
          <w:rFonts w:hint="eastAsia"/>
        </w:rPr>
      </w:pPr>
      <w:r>
        <w:rPr>
          <w:rFonts w:eastAsia="Liberation Serif"/>
        </w:rPr>
        <w:t>If the boundary-invariance heuristic does not improve export decisions beyond uncertainty and domain-generalization methods, the broader conceptual contribution is empirically unsupported.</w:t>
      </w:r>
    </w:p>
    <w:p w14:paraId="204192E9" w14:textId="77777777" w:rsidR="00247F07" w:rsidRDefault="00000000">
      <w:pPr>
        <w:pStyle w:val="ListBullet"/>
        <w:spacing w:after="40"/>
        <w:ind w:hanging="259"/>
        <w:rPr>
          <w:rFonts w:hint="eastAsia"/>
        </w:rPr>
      </w:pPr>
      <w:r>
        <w:rPr>
          <w:rFonts w:eastAsia="Liberation Serif"/>
        </w:rPr>
        <w:t>If boundary choice dominates the verdict and no stable admissible family can be defined, the export license is too model-dependent for defensible deployment.</w:t>
      </w:r>
    </w:p>
    <w:p w14:paraId="0EADBA7B" w14:textId="77777777" w:rsidR="00247F07" w:rsidRDefault="00000000">
      <w:pPr>
        <w:pStyle w:val="ListBullet"/>
        <w:spacing w:after="40"/>
        <w:ind w:hanging="259"/>
        <w:rPr>
          <w:rFonts w:hint="eastAsia"/>
        </w:rPr>
      </w:pPr>
      <w:r>
        <w:rPr>
          <w:rFonts w:eastAsia="Liberation Serif"/>
        </w:rPr>
        <w:t>If the statistical estimator cannot be calibrated under realistic sampling and cover uncertainty, the exact theorem remains non-operational.</w:t>
      </w:r>
    </w:p>
    <w:p w14:paraId="39D7BF40" w14:textId="77777777" w:rsidR="00247F07" w:rsidRDefault="00000000">
      <w:pPr>
        <w:pStyle w:val="Heading1"/>
        <w:spacing w:before="200" w:after="80"/>
      </w:pPr>
      <w:r>
        <w:rPr>
          <w:rFonts w:ascii="Liberation Sans" w:eastAsia="Liberation Sans" w:hAnsi="Liberation Sans"/>
        </w:rPr>
        <w:t>12. Conclusion</w:t>
      </w:r>
    </w:p>
    <w:p w14:paraId="24D0C76E" w14:textId="77777777" w:rsidR="00247F07" w:rsidRDefault="00000000">
      <w:pPr>
        <w:spacing w:after="100" w:line="259" w:lineRule="auto"/>
        <w:ind w:firstLine="360"/>
        <w:jc w:val="both"/>
        <w:rPr>
          <w:rFonts w:hint="eastAsia"/>
        </w:rPr>
      </w:pPr>
      <w:r>
        <w:rPr>
          <w:rFonts w:eastAsia="Liberation Serif"/>
        </w:rPr>
        <w:t xml:space="preserve">This paper began with a question that ordinary consolidation theory leaves implicit: when may a lesson leave its context? The mathematical answer is exact on an audited abelian domain. For an episode pair (M, B), exportable classes are ker i*, boundary-visible classes are im i*, and exactness of the long cohomology sequence gives the licensing biconditional: boundary restriction vanishes if and only if the class admits a relative lift. When the pair additionally carries Poincaré structure, the lifted class can be capped with the fundamental class to produce an absolute complementary-dimensional carrier. The two Poincaré-Lefschetz </w:t>
      </w:r>
      <w:r>
        <w:rPr>
          <w:rFonts w:eastAsia="Liberation Serif"/>
        </w:rPr>
        <w:lastRenderedPageBreak/>
        <w:t>forms then distinguish context-independent carriers from memories whose boundaries remain pinned to their episodes.</w:t>
      </w:r>
    </w:p>
    <w:p w14:paraId="787F7DE1" w14:textId="77777777" w:rsidR="00247F07" w:rsidRDefault="00000000">
      <w:pPr>
        <w:spacing w:after="100" w:line="259" w:lineRule="auto"/>
        <w:ind w:firstLine="360"/>
        <w:jc w:val="both"/>
        <w:rPr>
          <w:rFonts w:hint="eastAsia"/>
        </w:rPr>
      </w:pPr>
      <w:r>
        <w:rPr>
          <w:rFonts w:eastAsia="Liberation Serif"/>
        </w:rPr>
        <w:t>The result is deliberately bounded. It is sensitive to coefficients; it sees torsion only when the coefficient regime permits; it expresses signed provenance but not rich nonabelian ownership; it assumes an audited boundary; and it does not show that learned memory representations supply Poincaré pairs. The proposed three-way operational gate remains an engineering specification until a calibrated estimator exists.</w:t>
      </w:r>
    </w:p>
    <w:p w14:paraId="4E0D2669" w14:textId="77777777" w:rsidR="00247F07" w:rsidRDefault="00000000">
      <w:pPr>
        <w:spacing w:after="100" w:line="259" w:lineRule="auto"/>
        <w:ind w:firstLine="360"/>
        <w:jc w:val="both"/>
        <w:rPr>
          <w:rFonts w:hint="eastAsia"/>
        </w:rPr>
      </w:pPr>
      <w:r>
        <w:rPr>
          <w:rFonts w:eastAsia="Liberation Serif"/>
        </w:rPr>
        <w:t>These limitations reveal the proper research program rather than diminish it. Designed manifolds verify the mathematics. Non-planted learned domains validate or falsify the literal-topology thesis. Boundary-invariance experiments test the portable principle without requiring a fundamental class. The theorem is complete; the claim about memory is not. That separation is the paper's main discipline and its strongest reason to proceed.</w:t>
      </w:r>
    </w:p>
    <w:p w14:paraId="698765C8" w14:textId="77777777" w:rsidR="00247F07" w:rsidRDefault="00000000">
      <w:pPr>
        <w:pStyle w:val="Heading1"/>
        <w:spacing w:before="200" w:after="80"/>
      </w:pPr>
      <w:r>
        <w:rPr>
          <w:rFonts w:ascii="Liberation Sans" w:eastAsia="Liberation Sans" w:hAnsi="Liberation Sans"/>
        </w:rPr>
        <w:t>References</w:t>
      </w:r>
    </w:p>
    <w:p w14:paraId="0A58891E" w14:textId="77777777" w:rsidR="00247F07" w:rsidRPr="000A73F8" w:rsidRDefault="00000000" w:rsidP="000A73F8">
      <w:pPr>
        <w:spacing w:after="60" w:line="240" w:lineRule="auto"/>
        <w:ind w:left="403" w:hanging="403"/>
        <w:jc w:val="both"/>
        <w:rPr>
          <w:rFonts w:hint="eastAsia"/>
        </w:rPr>
      </w:pPr>
      <w:r w:rsidRPr="000A73F8">
        <w:rPr>
          <w:rFonts w:eastAsia="Liberation Serif"/>
        </w:rPr>
        <w:t>Arjovsky, M., Bottou, L., Gulrajani, I., &amp; Lopez-Paz, D. (2019). Invariant risk minimization. arXiv:1907.02893.</w:t>
      </w:r>
      <w:r w:rsidRPr="000A73F8">
        <w:t xml:space="preserve"> </w:t>
      </w:r>
      <w:hyperlink r:id="rId9">
        <w:r w:rsidRPr="000A73F8">
          <w:rPr>
            <w:color w:val="1F4E79"/>
            <w:u w:val="single"/>
          </w:rPr>
          <w:t>https://arxiv.org/abs/1907.02893</w:t>
        </w:r>
      </w:hyperlink>
    </w:p>
    <w:p w14:paraId="0191071D" w14:textId="77777777" w:rsidR="00247F07" w:rsidRPr="000A73F8" w:rsidRDefault="00000000" w:rsidP="000A73F8">
      <w:pPr>
        <w:spacing w:after="60" w:line="240" w:lineRule="auto"/>
        <w:ind w:left="403" w:hanging="403"/>
        <w:jc w:val="both"/>
        <w:rPr>
          <w:rFonts w:hint="eastAsia"/>
        </w:rPr>
      </w:pPr>
      <w:r w:rsidRPr="000A73F8">
        <w:rPr>
          <w:rFonts w:eastAsia="Liberation Serif"/>
        </w:rPr>
        <w:t>Birman, J. S. (1974). Braids, links, and mapping class groups. Princeton University Press.</w:t>
      </w:r>
    </w:p>
    <w:p w14:paraId="33CA9464" w14:textId="77777777" w:rsidR="00247F07" w:rsidRPr="000A73F8" w:rsidRDefault="00000000" w:rsidP="000A73F8">
      <w:pPr>
        <w:spacing w:after="60" w:line="240" w:lineRule="auto"/>
        <w:ind w:left="403" w:hanging="403"/>
        <w:jc w:val="both"/>
        <w:rPr>
          <w:rFonts w:hint="eastAsia"/>
        </w:rPr>
      </w:pPr>
      <w:r w:rsidRPr="000A73F8">
        <w:rPr>
          <w:rFonts w:eastAsia="Liberation Serif"/>
        </w:rPr>
        <w:t>Bredon, G. E. (1993). Topology and geometry. Springer.</w:t>
      </w:r>
      <w:r w:rsidRPr="000A73F8">
        <w:t xml:space="preserve"> </w:t>
      </w:r>
      <w:hyperlink r:id="rId10">
        <w:r w:rsidRPr="000A73F8">
          <w:rPr>
            <w:color w:val="1F4E79"/>
            <w:u w:val="single"/>
          </w:rPr>
          <w:t>https://doi.org/10.1007/978-1-4757-6848-0</w:t>
        </w:r>
      </w:hyperlink>
    </w:p>
    <w:p w14:paraId="7DAB8449" w14:textId="77777777" w:rsidR="00247F07" w:rsidRPr="000A73F8" w:rsidRDefault="00000000" w:rsidP="000A73F8">
      <w:pPr>
        <w:spacing w:after="60" w:line="240" w:lineRule="auto"/>
        <w:ind w:left="403" w:hanging="403"/>
        <w:jc w:val="both"/>
        <w:rPr>
          <w:rFonts w:hint="eastAsia"/>
        </w:rPr>
      </w:pPr>
      <w:r w:rsidRPr="000A73F8">
        <w:rPr>
          <w:rFonts w:eastAsia="Liberation Serif"/>
        </w:rPr>
        <w:t>Brown, K. S. (1982). Cohomology of groups. Springer.</w:t>
      </w:r>
      <w:r w:rsidRPr="000A73F8">
        <w:t xml:space="preserve"> </w:t>
      </w:r>
      <w:hyperlink r:id="rId11">
        <w:r w:rsidRPr="000A73F8">
          <w:rPr>
            <w:color w:val="1F4E79"/>
            <w:u w:val="single"/>
          </w:rPr>
          <w:t>https://doi.org/10.1007/978-1-4684-9327-6</w:t>
        </w:r>
      </w:hyperlink>
    </w:p>
    <w:p w14:paraId="37FEE68F" w14:textId="77777777" w:rsidR="00247F07" w:rsidRPr="000A73F8" w:rsidRDefault="00000000" w:rsidP="000A73F8">
      <w:pPr>
        <w:spacing w:after="60" w:line="240" w:lineRule="auto"/>
        <w:ind w:left="403" w:hanging="403"/>
        <w:jc w:val="both"/>
        <w:rPr>
          <w:rFonts w:hint="eastAsia"/>
        </w:rPr>
      </w:pPr>
      <w:r w:rsidRPr="000A73F8">
        <w:rPr>
          <w:rFonts w:eastAsia="Liberation Serif"/>
        </w:rPr>
        <w:t>Carlsson, G. (2009). Topology and data. Bulletin of the American Mathematical Society, 46(2), 255-308.</w:t>
      </w:r>
      <w:r w:rsidRPr="000A73F8">
        <w:t xml:space="preserve"> </w:t>
      </w:r>
      <w:hyperlink r:id="rId12">
        <w:r w:rsidRPr="000A73F8">
          <w:rPr>
            <w:color w:val="1F4E79"/>
            <w:u w:val="single"/>
          </w:rPr>
          <w:t>https://doi.org/10.1090/S0273-0979-09-01249-X</w:t>
        </w:r>
      </w:hyperlink>
    </w:p>
    <w:p w14:paraId="48DFCBBF" w14:textId="77777777" w:rsidR="00247F07" w:rsidRPr="000A73F8" w:rsidRDefault="00000000" w:rsidP="000A73F8">
      <w:pPr>
        <w:spacing w:after="60" w:line="240" w:lineRule="auto"/>
        <w:ind w:left="403" w:hanging="403"/>
        <w:jc w:val="both"/>
        <w:rPr>
          <w:rFonts w:hint="eastAsia"/>
        </w:rPr>
      </w:pPr>
      <w:r w:rsidRPr="000A73F8">
        <w:rPr>
          <w:rFonts w:eastAsia="Liberation Serif"/>
        </w:rPr>
        <w:t>Chazal, F., de Silva, V., Glisse, M., &amp; Oudot, S. (2016). The structure and stability of persistence modules. Springer.</w:t>
      </w:r>
      <w:r w:rsidRPr="000A73F8">
        <w:t xml:space="preserve"> </w:t>
      </w:r>
      <w:hyperlink r:id="rId13">
        <w:r w:rsidRPr="000A73F8">
          <w:rPr>
            <w:color w:val="1F4E79"/>
            <w:u w:val="single"/>
          </w:rPr>
          <w:t>https://doi.org/10.1007/978-3-319-42545-0</w:t>
        </w:r>
      </w:hyperlink>
    </w:p>
    <w:p w14:paraId="4C984962" w14:textId="77777777" w:rsidR="00247F07" w:rsidRPr="000A73F8" w:rsidRDefault="00000000" w:rsidP="000A73F8">
      <w:pPr>
        <w:spacing w:after="60" w:line="240" w:lineRule="auto"/>
        <w:ind w:left="403" w:hanging="403"/>
        <w:jc w:val="both"/>
        <w:rPr>
          <w:rFonts w:hint="eastAsia"/>
        </w:rPr>
      </w:pPr>
      <w:r w:rsidRPr="000A73F8">
        <w:rPr>
          <w:rFonts w:eastAsia="Liberation Serif"/>
        </w:rPr>
        <w:t>Diekelmann, S., &amp; Born, J. (2010). The memory function of sleep. Nature Reviews Neuroscience, 11, 114-126.</w:t>
      </w:r>
      <w:r w:rsidRPr="000A73F8">
        <w:t xml:space="preserve"> </w:t>
      </w:r>
      <w:hyperlink r:id="rId14">
        <w:r w:rsidRPr="000A73F8">
          <w:rPr>
            <w:color w:val="1F4E79"/>
            <w:u w:val="single"/>
          </w:rPr>
          <w:t>https://doi.org/10.1038/nrn2762</w:t>
        </w:r>
      </w:hyperlink>
    </w:p>
    <w:p w14:paraId="09441D21" w14:textId="77777777" w:rsidR="00247F07" w:rsidRPr="000A73F8" w:rsidRDefault="00000000" w:rsidP="000A73F8">
      <w:pPr>
        <w:spacing w:after="60" w:line="240" w:lineRule="auto"/>
        <w:ind w:left="403" w:hanging="403"/>
        <w:jc w:val="both"/>
        <w:rPr>
          <w:rFonts w:hint="eastAsia"/>
        </w:rPr>
      </w:pPr>
      <w:r w:rsidRPr="000A73F8">
        <w:rPr>
          <w:rFonts w:eastAsia="Liberation Serif"/>
        </w:rPr>
        <w:t>Edelsbrunner, H., &amp; Harer, J. (2010). Computational topology: An introduction. American Mathematical Society.</w:t>
      </w:r>
    </w:p>
    <w:p w14:paraId="151E3D61" w14:textId="77777777" w:rsidR="00247F07" w:rsidRPr="000A73F8" w:rsidRDefault="00000000" w:rsidP="000A73F8">
      <w:pPr>
        <w:spacing w:after="60" w:line="240" w:lineRule="auto"/>
        <w:ind w:left="403" w:hanging="403"/>
        <w:jc w:val="both"/>
        <w:rPr>
          <w:rFonts w:hint="eastAsia"/>
        </w:rPr>
      </w:pPr>
      <w:r w:rsidRPr="000A73F8">
        <w:rPr>
          <w:rFonts w:eastAsia="Liberation Serif"/>
        </w:rPr>
        <w:t>Fadell, E., &amp; Neuwirth, L. (1962). Configuration spaces. Mathematica Scandinavica, 10, 111-118.</w:t>
      </w:r>
      <w:r w:rsidRPr="000A73F8">
        <w:t xml:space="preserve"> </w:t>
      </w:r>
      <w:hyperlink r:id="rId15">
        <w:r w:rsidRPr="000A73F8">
          <w:rPr>
            <w:color w:val="1F4E79"/>
            <w:u w:val="single"/>
          </w:rPr>
          <w:t>https://doi.org/10.7146/math.scand.a-10517</w:t>
        </w:r>
      </w:hyperlink>
    </w:p>
    <w:p w14:paraId="4425632B"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(2025a). Bounded attention, unbounded memory: A fixed-window System-1 with hysteretic long-term experts and LoRA-only test-time learning for System-2 reasoning. ResearchGate.</w:t>
      </w:r>
      <w:r w:rsidRPr="000A73F8">
        <w:t xml:space="preserve"> </w:t>
      </w:r>
      <w:hyperlink r:id="rId16">
        <w:r w:rsidRPr="000A73F8">
          <w:rPr>
            <w:color w:val="1F4E79"/>
            <w:u w:val="single"/>
          </w:rPr>
          <w:t>https://doi.org/10.13140/RG.2.2.11754.17604</w:t>
        </w:r>
      </w:hyperlink>
    </w:p>
    <w:p w14:paraId="695A338C"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(2025b). Working-memory-correct transformers for long conversations: Sliding-window System-1, chunk-bounded System-2, expert memory, and epistemic self-consistency. ResearchGate.</w:t>
      </w:r>
      <w:r w:rsidRPr="000A73F8">
        <w:t xml:space="preserve"> </w:t>
      </w:r>
      <w:hyperlink r:id="rId17">
        <w:r w:rsidRPr="000A73F8">
          <w:rPr>
            <w:color w:val="1F4E79"/>
            <w:u w:val="single"/>
          </w:rPr>
          <w:t>https://doi.org/10.13140/RG.2.2.22947.72481</w:t>
        </w:r>
      </w:hyperlink>
    </w:p>
    <w:p w14:paraId="44787446"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(2025c). PRNGed Pre-trained Titans (PPT): Procedural long-term memory for test-time memorization via mixture-of-seeds and low-rank writing. ResearchGate.</w:t>
      </w:r>
      <w:r w:rsidRPr="000A73F8">
        <w:t xml:space="preserve"> </w:t>
      </w:r>
      <w:hyperlink r:id="rId18">
        <w:r w:rsidRPr="000A73F8">
          <w:rPr>
            <w:color w:val="1F4E79"/>
            <w:u w:val="single"/>
          </w:rPr>
          <w:t>https://doi.org/10.13140/RG.2.2.13828.39048</w:t>
        </w:r>
      </w:hyperlink>
    </w:p>
    <w:p w14:paraId="5C118947"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(2026a). Working-memory-correct long-horizon expert-retrieval TTT dialogue. ResearchGate.</w:t>
      </w:r>
      <w:r w:rsidRPr="000A73F8">
        <w:t xml:space="preserve"> </w:t>
      </w:r>
      <w:hyperlink r:id="rId19">
        <w:r w:rsidRPr="000A73F8">
          <w:rPr>
            <w:color w:val="1F4E79"/>
            <w:u w:val="single"/>
          </w:rPr>
          <w:t>https://doi.org/10.13140/RG.2.2.36631.64160</w:t>
        </w:r>
      </w:hyperlink>
    </w:p>
    <w:p w14:paraId="27CC5F8E"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(2026b). Found-path learning for working-memory-correct planning: Path-sparse backpropagation with mixture-of-recursions and JEPA. ResearchGate.</w:t>
      </w:r>
      <w:r w:rsidRPr="000A73F8">
        <w:t xml:space="preserve"> </w:t>
      </w:r>
      <w:hyperlink r:id="rId20">
        <w:r w:rsidRPr="000A73F8">
          <w:rPr>
            <w:color w:val="1F4E79"/>
            <w:u w:val="single"/>
          </w:rPr>
          <w:t>https://doi.org/10.13140/RG.2.2.27828.51841</w:t>
        </w:r>
      </w:hyperlink>
    </w:p>
    <w:p w14:paraId="667AA09A"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(2026c). Manas-Smriti-Buddhi-Ahankara in System-2: A working-memory-correct Antahkarana with sleep-phase consolidation and reset. ResearchGate.</w:t>
      </w:r>
      <w:r w:rsidRPr="000A73F8">
        <w:t xml:space="preserve"> </w:t>
      </w:r>
      <w:hyperlink r:id="rId21">
        <w:r w:rsidRPr="000A73F8">
          <w:rPr>
            <w:color w:val="1F4E79"/>
            <w:u w:val="single"/>
          </w:rPr>
          <w:t>https://doi.org/10.13140/RG.2.2.30371.31521</w:t>
        </w:r>
      </w:hyperlink>
    </w:p>
    <w:p w14:paraId="097021DE"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(2026d). Dynamic predictive gluing: A sheaf-theoretic theory of consciousness and the necessity of sleep, as the online and offline regimes of coherence maintenance. ResearchGate.</w:t>
      </w:r>
      <w:r w:rsidRPr="000A73F8">
        <w:t xml:space="preserve"> </w:t>
      </w:r>
      <w:hyperlink r:id="rId22">
        <w:r w:rsidRPr="000A73F8">
          <w:rPr>
            <w:color w:val="1F4E79"/>
            <w:u w:val="single"/>
          </w:rPr>
          <w:t>https://doi.org/10.13140/RG.2.2.19848.99846</w:t>
        </w:r>
      </w:hyperlink>
    </w:p>
    <w:p w14:paraId="2DD00709" w14:textId="77777777" w:rsidR="00247F07" w:rsidRPr="000A73F8" w:rsidRDefault="00000000" w:rsidP="000A73F8">
      <w:pPr>
        <w:spacing w:after="60" w:line="240" w:lineRule="auto"/>
        <w:ind w:left="403" w:hanging="403"/>
        <w:jc w:val="both"/>
        <w:rPr>
          <w:rFonts w:hint="eastAsia"/>
        </w:rPr>
      </w:pPr>
      <w:r w:rsidRPr="000A73F8">
        <w:rPr>
          <w:rFonts w:eastAsia="Liberation Serif"/>
        </w:rPr>
        <w:lastRenderedPageBreak/>
        <w:t>Ghosh, D. P. (2026e). The consolidation engine and the two ascents. ResearchGate.</w:t>
      </w:r>
      <w:r w:rsidRPr="000A73F8">
        <w:t xml:space="preserve"> </w:t>
      </w:r>
      <w:hyperlink r:id="rId23">
        <w:r w:rsidRPr="000A73F8">
          <w:rPr>
            <w:color w:val="1F4E79"/>
            <w:u w:val="single"/>
          </w:rPr>
          <w:t>https://doi.org/10.13140/RG.2.2.23446.92484</w:t>
        </w:r>
      </w:hyperlink>
    </w:p>
    <w:p w14:paraId="20AA9F64"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(2026f). Nerve-Attention: The simplicial domain of audit. ResearchGate.</w:t>
      </w:r>
      <w:r w:rsidRPr="000A73F8">
        <w:t xml:space="preserve"> </w:t>
      </w:r>
      <w:hyperlink r:id="rId24">
        <w:r w:rsidRPr="000A73F8">
          <w:rPr>
            <w:color w:val="1F4E79"/>
            <w:u w:val="single"/>
          </w:rPr>
          <w:t>https://doi.org/10.13140/RG.2.2.27630.57925</w:t>
        </w:r>
      </w:hyperlink>
    </w:p>
    <w:p w14:paraId="4CB17EDE"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(2026g). Hypercovering and descent: A thalamo-cortical algorithm for defensible multimodal gluing. ResearchGate.</w:t>
      </w:r>
      <w:r w:rsidRPr="000A73F8">
        <w:t xml:space="preserve"> </w:t>
      </w:r>
      <w:hyperlink r:id="rId25">
        <w:r w:rsidRPr="000A73F8">
          <w:rPr>
            <w:color w:val="1F4E79"/>
            <w:u w:val="single"/>
          </w:rPr>
          <w:t>https://doi.org/10.13140/RG.2.2.31337.45929</w:t>
        </w:r>
      </w:hyperlink>
    </w:p>
    <w:p w14:paraId="505CE5B0" w14:textId="77777777" w:rsidR="00247F07" w:rsidRPr="000A73F8" w:rsidRDefault="00000000" w:rsidP="000A73F8">
      <w:pPr>
        <w:spacing w:after="60" w:line="240" w:lineRule="auto"/>
        <w:ind w:left="403" w:hanging="403"/>
        <w:jc w:val="both"/>
        <w:rPr>
          <w:rFonts w:hint="eastAsia"/>
        </w:rPr>
      </w:pPr>
      <w:r w:rsidRPr="000A73F8">
        <w:rPr>
          <w:rFonts w:eastAsia="Liberation Serif"/>
        </w:rPr>
        <w:t>Ghosh, D. P. (2026h). The restriction vertex: The algebra of restriction, its realization as cortical feedback, and the executive veto. ResearchGate.</w:t>
      </w:r>
      <w:r w:rsidRPr="000A73F8">
        <w:t xml:space="preserve"> </w:t>
      </w:r>
      <w:hyperlink r:id="rId26">
        <w:r w:rsidRPr="000A73F8">
          <w:rPr>
            <w:color w:val="1F4E79"/>
            <w:u w:val="single"/>
          </w:rPr>
          <w:t>https://doi.org/10.13140/RG.2.2.18717.68323</w:t>
        </w:r>
      </w:hyperlink>
    </w:p>
    <w:p w14:paraId="16E45F04" w14:textId="77777777" w:rsidR="00247F07" w:rsidRPr="000A73F8" w:rsidRDefault="00000000" w:rsidP="000A73F8">
      <w:pPr>
        <w:spacing w:after="60" w:line="240" w:lineRule="auto"/>
        <w:ind w:left="403" w:hanging="403"/>
        <w:jc w:val="both"/>
        <w:rPr>
          <w:rFonts w:hint="eastAsia"/>
        </w:rPr>
      </w:pPr>
      <w:r w:rsidRPr="000A73F8">
        <w:rPr>
          <w:rFonts w:eastAsia="Liberation Serif"/>
        </w:rPr>
        <w:t>Ghrist, R. (2008). Barcodes: The persistent topology of data. Bulletin of the American Mathematical Society, 45(1), 61-75.</w:t>
      </w:r>
      <w:r w:rsidRPr="000A73F8">
        <w:t xml:space="preserve"> </w:t>
      </w:r>
      <w:hyperlink r:id="rId27">
        <w:r w:rsidRPr="000A73F8">
          <w:rPr>
            <w:color w:val="1F4E79"/>
            <w:u w:val="single"/>
          </w:rPr>
          <w:t>https://doi.org/10.1090/S0273-0979-07-01191-3</w:t>
        </w:r>
      </w:hyperlink>
    </w:p>
    <w:p w14:paraId="521DDA45" w14:textId="77777777" w:rsidR="00247F07" w:rsidRPr="000A73F8" w:rsidRDefault="00000000" w:rsidP="000A73F8">
      <w:pPr>
        <w:spacing w:after="60" w:line="240" w:lineRule="auto"/>
        <w:ind w:left="403" w:hanging="403"/>
        <w:jc w:val="both"/>
        <w:rPr>
          <w:rFonts w:hint="eastAsia"/>
        </w:rPr>
      </w:pPr>
      <w:r w:rsidRPr="000A73F8">
        <w:rPr>
          <w:rFonts w:eastAsia="Liberation Serif"/>
        </w:rPr>
        <w:t>Giraud, J. (1971). Cohomologie non abelienne. Springer.</w:t>
      </w:r>
      <w:r w:rsidRPr="000A73F8">
        <w:t xml:space="preserve"> </w:t>
      </w:r>
      <w:hyperlink r:id="rId28">
        <w:r w:rsidRPr="000A73F8">
          <w:rPr>
            <w:color w:val="1F4E79"/>
            <w:u w:val="single"/>
          </w:rPr>
          <w:t>https://doi.org/10.1007/BFb0062017</w:t>
        </w:r>
      </w:hyperlink>
    </w:p>
    <w:p w14:paraId="5E4B5D49" w14:textId="77777777" w:rsidR="00247F07" w:rsidRPr="000A73F8" w:rsidRDefault="00000000" w:rsidP="000A73F8">
      <w:pPr>
        <w:spacing w:after="60" w:line="240" w:lineRule="auto"/>
        <w:ind w:left="403" w:hanging="403"/>
        <w:jc w:val="both"/>
        <w:rPr>
          <w:rFonts w:hint="eastAsia"/>
        </w:rPr>
      </w:pPr>
      <w:r w:rsidRPr="000A73F8">
        <w:rPr>
          <w:rFonts w:eastAsia="Liberation Serif"/>
        </w:rPr>
        <w:t>Hatcher, A. (2002). Algebraic topology. Cambridge University Press.</w:t>
      </w:r>
      <w:r w:rsidRPr="000A73F8">
        <w:t xml:space="preserve"> </w:t>
      </w:r>
      <w:hyperlink r:id="rId29">
        <w:r w:rsidRPr="000A73F8">
          <w:rPr>
            <w:color w:val="1F4E79"/>
            <w:u w:val="single"/>
          </w:rPr>
          <w:t>https://pi.math.cornell.edu/~hatcher/AT/AT.pdf</w:t>
        </w:r>
      </w:hyperlink>
    </w:p>
    <w:p w14:paraId="0C4699A8" w14:textId="77777777" w:rsidR="00247F07" w:rsidRPr="000A73F8" w:rsidRDefault="00000000" w:rsidP="000A73F8">
      <w:pPr>
        <w:spacing w:after="60" w:line="240" w:lineRule="auto"/>
        <w:ind w:left="403" w:hanging="403"/>
        <w:jc w:val="both"/>
        <w:rPr>
          <w:rFonts w:hint="eastAsia"/>
        </w:rPr>
      </w:pPr>
      <w:r w:rsidRPr="000A73F8">
        <w:rPr>
          <w:rFonts w:eastAsia="Liberation Serif"/>
        </w:rPr>
        <w:t>Hu, E. J., Shen, Y., Wallis, P., Allen-Zhu, Z., Li, Y., Wang, S., Wang, L., &amp; Chen, W. (2022). LoRA: Low-rank adaptation of large language models. International Conference on Learning Representations.</w:t>
      </w:r>
      <w:r w:rsidRPr="000A73F8">
        <w:t xml:space="preserve"> </w:t>
      </w:r>
      <w:hyperlink r:id="rId30">
        <w:r w:rsidRPr="000A73F8">
          <w:rPr>
            <w:color w:val="1F4E79"/>
            <w:u w:val="single"/>
          </w:rPr>
          <w:t>https://arxiv.org/abs/2106.09685</w:t>
        </w:r>
      </w:hyperlink>
    </w:p>
    <w:p w14:paraId="0B81773C" w14:textId="77777777" w:rsidR="00247F07" w:rsidRPr="000A73F8" w:rsidRDefault="00000000" w:rsidP="000A73F8">
      <w:pPr>
        <w:spacing w:after="60" w:line="240" w:lineRule="auto"/>
        <w:ind w:left="403" w:hanging="403"/>
        <w:jc w:val="both"/>
        <w:rPr>
          <w:rFonts w:hint="eastAsia"/>
        </w:rPr>
      </w:pPr>
      <w:r w:rsidRPr="000A73F8">
        <w:rPr>
          <w:rFonts w:eastAsia="Liberation Serif"/>
        </w:rPr>
        <w:t>Kumaran, D., Hassabis, D., &amp; McClelland, J. L. (2016). What learning systems do intelligent agents need? Complementary learning systems theory updated. Trends in Cognitive Sciences, 20(7), 512-534.</w:t>
      </w:r>
      <w:r w:rsidRPr="000A73F8">
        <w:t xml:space="preserve"> </w:t>
      </w:r>
      <w:hyperlink r:id="rId31">
        <w:r w:rsidRPr="000A73F8">
          <w:rPr>
            <w:color w:val="1F4E79"/>
            <w:u w:val="single"/>
          </w:rPr>
          <w:t>https://doi.org/10.1016/j.tics.2016.05.004</w:t>
        </w:r>
      </w:hyperlink>
    </w:p>
    <w:p w14:paraId="00C7EAEE" w14:textId="77777777" w:rsidR="00247F07" w:rsidRPr="000A73F8" w:rsidRDefault="00000000" w:rsidP="000A73F8">
      <w:pPr>
        <w:spacing w:after="60" w:line="240" w:lineRule="auto"/>
        <w:ind w:left="403" w:hanging="403"/>
        <w:jc w:val="both"/>
        <w:rPr>
          <w:rFonts w:hint="eastAsia"/>
        </w:rPr>
      </w:pPr>
      <w:r w:rsidRPr="000A73F8">
        <w:rPr>
          <w:rFonts w:eastAsia="Liberation Serif"/>
        </w:rPr>
        <w:t>McClelland, J. L., McNaughton, B. L., &amp; O'Reilly, R. C. (1995). Why there are complementary learning systems in the hippocampus and neocortex. Psychological Review, 102(3), 419-457.</w:t>
      </w:r>
      <w:r w:rsidRPr="000A73F8">
        <w:t xml:space="preserve"> </w:t>
      </w:r>
      <w:hyperlink r:id="rId32">
        <w:r w:rsidRPr="000A73F8">
          <w:rPr>
            <w:color w:val="1F4E79"/>
            <w:u w:val="single"/>
          </w:rPr>
          <w:t>https://doi.org/10.1037/0033-295X.102.3.419</w:t>
        </w:r>
      </w:hyperlink>
    </w:p>
    <w:p w14:paraId="108C4D6F" w14:textId="77777777" w:rsidR="00247F07" w:rsidRPr="000A73F8" w:rsidRDefault="00000000" w:rsidP="000A73F8">
      <w:pPr>
        <w:spacing w:after="60" w:line="240" w:lineRule="auto"/>
        <w:ind w:left="403" w:hanging="403"/>
        <w:jc w:val="both"/>
        <w:rPr>
          <w:rFonts w:hint="eastAsia"/>
        </w:rPr>
      </w:pPr>
      <w:r w:rsidRPr="000A73F8">
        <w:rPr>
          <w:rFonts w:eastAsia="Liberation Serif"/>
        </w:rPr>
        <w:t>Peters, J., Buhlmann, P., &amp; Meinshausen, N. (2016). Causal inference using invariant prediction. Journal of the Royal Statistical Society: Series B, 78(5), 947-1012.</w:t>
      </w:r>
      <w:r w:rsidRPr="000A73F8">
        <w:t xml:space="preserve"> </w:t>
      </w:r>
      <w:hyperlink r:id="rId33">
        <w:r w:rsidRPr="000A73F8">
          <w:rPr>
            <w:color w:val="1F4E79"/>
            <w:u w:val="single"/>
          </w:rPr>
          <w:t>https://doi.org/10.1111/rssb.12167</w:t>
        </w:r>
      </w:hyperlink>
    </w:p>
    <w:p w14:paraId="71834BCD" w14:textId="77777777" w:rsidR="00247F07" w:rsidRPr="000A73F8" w:rsidRDefault="00000000" w:rsidP="000A73F8">
      <w:pPr>
        <w:spacing w:after="60" w:line="240" w:lineRule="auto"/>
        <w:ind w:left="403" w:hanging="403"/>
        <w:jc w:val="both"/>
        <w:rPr>
          <w:rFonts w:hint="eastAsia"/>
        </w:rPr>
      </w:pPr>
      <w:r w:rsidRPr="000A73F8">
        <w:rPr>
          <w:rFonts w:eastAsia="Liberation Serif"/>
        </w:rPr>
        <w:t>Rasch, B., &amp; Born, J. (2013). About sleep's role in memory. Physiological Reviews, 93(2), 681-766.</w:t>
      </w:r>
      <w:r w:rsidRPr="000A73F8">
        <w:t xml:space="preserve"> </w:t>
      </w:r>
      <w:hyperlink r:id="rId34">
        <w:r w:rsidRPr="000A73F8">
          <w:rPr>
            <w:color w:val="1F4E79"/>
            <w:u w:val="single"/>
          </w:rPr>
          <w:t>https://doi.org/10.1152/physrev.00032.2012</w:t>
        </w:r>
      </w:hyperlink>
    </w:p>
    <w:p w14:paraId="54FFF0D1" w14:textId="77777777" w:rsidR="00247F07" w:rsidRPr="000A73F8" w:rsidRDefault="00000000" w:rsidP="000A73F8">
      <w:pPr>
        <w:spacing w:after="60" w:line="240" w:lineRule="auto"/>
        <w:ind w:left="403" w:hanging="403"/>
        <w:jc w:val="both"/>
        <w:rPr>
          <w:rFonts w:hint="eastAsia"/>
        </w:rPr>
      </w:pPr>
      <w:r w:rsidRPr="000A73F8">
        <w:rPr>
          <w:rFonts w:eastAsia="Liberation Serif"/>
        </w:rPr>
        <w:t>Spanier, E. H. (1966). Algebraic topology. McGraw-Hill.</w:t>
      </w:r>
    </w:p>
    <w:p w14:paraId="79C67563" w14:textId="77777777" w:rsidR="00247F07" w:rsidRDefault="00000000" w:rsidP="000A73F8">
      <w:pPr>
        <w:spacing w:after="60" w:line="240" w:lineRule="auto"/>
        <w:ind w:left="403" w:hanging="403"/>
        <w:jc w:val="both"/>
      </w:pPr>
      <w:r w:rsidRPr="000A73F8">
        <w:rPr>
          <w:rFonts w:eastAsia="Liberation Serif"/>
        </w:rPr>
        <w:t>Weibel, C. A. (1994). An introduction to homological algebra. Cambridge University Press.</w:t>
      </w:r>
      <w:r w:rsidRPr="000A73F8">
        <w:t xml:space="preserve"> </w:t>
      </w:r>
      <w:hyperlink r:id="rId35">
        <w:r w:rsidRPr="000A73F8">
          <w:rPr>
            <w:color w:val="1F4E79"/>
            <w:u w:val="single"/>
          </w:rPr>
          <w:t>https://doi.org/10.1017/CBO9781139644136</w:t>
        </w:r>
      </w:hyperlink>
    </w:p>
    <w:p w14:paraId="34C3B66E" w14:textId="77777777" w:rsidR="00D37973" w:rsidRDefault="00D37973" w:rsidP="000A73F8">
      <w:pPr>
        <w:spacing w:after="60" w:line="240" w:lineRule="auto"/>
        <w:ind w:left="403" w:hanging="403"/>
        <w:jc w:val="both"/>
      </w:pPr>
    </w:p>
    <w:p w14:paraId="048A905F" w14:textId="3555FDC3" w:rsidR="00D37973" w:rsidRPr="00D37973" w:rsidRDefault="00D37973" w:rsidP="00D37973">
      <w:pPr>
        <w:pStyle w:val="Heading1"/>
        <w:spacing w:before="200" w:after="80"/>
        <w:rPr>
          <w:rFonts w:eastAsia="Liberation Serif"/>
        </w:rPr>
      </w:pPr>
      <w:r w:rsidRPr="00D37973">
        <w:rPr>
          <w:rFonts w:ascii="Liberation Sans" w:eastAsia="Liberation Sans" w:hAnsi="Liberation Sans"/>
        </w:rPr>
        <w:t>Errata</w:t>
      </w:r>
    </w:p>
    <w:p w14:paraId="562062A0" w14:textId="741A50FD" w:rsidR="00D37973" w:rsidRPr="00D37973" w:rsidRDefault="00D37973" w:rsidP="00D37973">
      <w:pPr>
        <w:spacing w:after="100" w:line="259" w:lineRule="auto"/>
        <w:ind w:firstLine="360"/>
        <w:jc w:val="both"/>
        <w:rPr>
          <w:rFonts w:eastAsia="Liberation Serif" w:hint="eastAsia"/>
        </w:rPr>
      </w:pPr>
      <w:r w:rsidRPr="00D37973">
        <w:rPr>
          <w:rFonts w:eastAsia="Liberation Serif"/>
        </w:rPr>
        <w:t xml:space="preserve">The long-exact-sequence argument is correct, with two notational qualifications: for a local coefficient system </w:t>
      </w:r>
      <m:oMath>
        <m:r>
          <w:rPr>
            <w:rFonts w:ascii="Cambria Math" w:eastAsia="Liberation Serif" w:hAnsi="Cambria Math"/>
          </w:rPr>
          <m:t>A</m:t>
        </m:r>
      </m:oMath>
      <w:r w:rsidRPr="00D37973">
        <w:rPr>
          <w:rFonts w:eastAsia="Liberation Serif"/>
        </w:rPr>
        <w:t xml:space="preserve">on </w:t>
      </w:r>
      <m:oMath>
        <m:r>
          <w:rPr>
            <w:rFonts w:ascii="Cambria Math" w:eastAsia="Liberation Serif" w:hAnsi="Cambria Math"/>
          </w:rPr>
          <m:t>M</m:t>
        </m:r>
      </m:oMath>
      <w:r w:rsidRPr="00D37973">
        <w:rPr>
          <w:rFonts w:eastAsia="Liberation Serif"/>
        </w:rPr>
        <w:t xml:space="preserve">, the boundary group should be written </w:t>
      </w:r>
      <m:oMath>
        <m:sSup>
          <m:sSupPr>
            <m:ctrlPr>
              <w:rPr>
                <w:rFonts w:ascii="Cambria Math" w:eastAsia="Liberation Serif" w:hAnsi="Cambria Math"/>
              </w:rPr>
            </m:ctrlPr>
          </m:sSupPr>
          <m:e>
            <m:r>
              <w:rPr>
                <w:rFonts w:ascii="Cambria Math" w:eastAsia="Liberation Serif" w:hAnsi="Cambria Math"/>
              </w:rPr>
              <m:t>H</m:t>
            </m:r>
          </m:e>
          <m:sup>
            <m:r>
              <w:rPr>
                <w:rFonts w:ascii="Cambria Math" w:eastAsia="Liberation Serif" w:hAnsi="Cambria Math"/>
              </w:rPr>
              <m:t>k</m:t>
            </m:r>
          </m:sup>
        </m:sSup>
        <m:d>
          <m:dPr>
            <m:sepChr m:val=";"/>
            <m:ctrlPr>
              <w:rPr>
                <w:rFonts w:ascii="Cambria Math" w:eastAsia="Liberation Serif" w:hAnsi="Cambria Math"/>
              </w:rPr>
            </m:ctrlPr>
          </m:dPr>
          <m:e>
            <m:r>
              <w:rPr>
                <w:rFonts w:ascii="Cambria Math" w:eastAsia="Liberation Serif" w:hAnsi="Cambria Math"/>
              </w:rPr>
              <m:t>B</m:t>
            </m:r>
          </m:e>
          <m:e>
            <m:sSup>
              <m:sSupPr>
                <m:ctrlPr>
                  <w:rPr>
                    <w:rFonts w:ascii="Cambria Math" w:eastAsia="Liberation Serif" w:hAnsi="Cambria Math"/>
                  </w:rPr>
                </m:ctrlPr>
              </m:sSupPr>
              <m:e>
                <m:r>
                  <w:rPr>
                    <w:rFonts w:ascii="Cambria Math" w:eastAsia="Liberation Serif" w:hAnsi="Cambria Math"/>
                  </w:rPr>
                  <m:t>i</m:t>
                </m:r>
              </m:e>
              <m:sup>
                <m:r>
                  <m:rPr>
                    <m:sty m:val="p"/>
                  </m:rPr>
                  <w:rPr>
                    <w:rFonts w:ascii="Cambria Math" w:eastAsia="Liberation Serif" w:hAnsi="Cambria Math"/>
                  </w:rPr>
                  <m:t>*</m:t>
                </m:r>
              </m:sup>
            </m:sSup>
            <m:r>
              <w:rPr>
                <w:rFonts w:ascii="Cambria Math" w:eastAsia="Liberation Serif" w:hAnsi="Cambria Math"/>
              </w:rPr>
              <m:t>A</m:t>
            </m:r>
          </m:e>
        </m:d>
      </m:oMath>
      <w:r w:rsidRPr="00D37973">
        <w:rPr>
          <w:rFonts w:eastAsia="Liberation Serif"/>
        </w:rPr>
        <w:t xml:space="preserve">, and the ambiguity between two relative lifts is precisely the image of the connecting map </w:t>
      </w:r>
      <m:oMath>
        <m:r>
          <w:rPr>
            <w:rFonts w:ascii="Cambria Math" w:eastAsia="Liberation Serif" w:hAnsi="Cambria Math"/>
          </w:rPr>
          <m:t>δ</m:t>
        </m:r>
        <m:r>
          <m:rPr>
            <m:sty m:val="p"/>
          </m:rPr>
          <w:rPr>
            <w:rFonts w:ascii="Cambria Math" w:eastAsia="Liberation Serif" w:hAnsi="Cambria Math"/>
          </w:rPr>
          <m:t>:</m:t>
        </m:r>
        <m:sSup>
          <m:sSupPr>
            <m:ctrlPr>
              <w:rPr>
                <w:rFonts w:ascii="Cambria Math" w:eastAsia="Liberation Serif" w:hAnsi="Cambria Math"/>
              </w:rPr>
            </m:ctrlPr>
          </m:sSupPr>
          <m:e>
            <m:r>
              <w:rPr>
                <w:rFonts w:ascii="Cambria Math" w:eastAsia="Liberation Serif" w:hAnsi="Cambria Math"/>
              </w:rPr>
              <m:t>H</m:t>
            </m:r>
          </m:e>
          <m:sup>
            <m:r>
              <w:rPr>
                <w:rFonts w:ascii="Cambria Math" w:eastAsia="Liberation Serif" w:hAnsi="Cambria Math"/>
              </w:rPr>
              <m:t>k</m:t>
            </m:r>
            <m:r>
              <m:rPr>
                <m:sty m:val="p"/>
              </m:rPr>
              <w:rPr>
                <w:rFonts w:ascii="Cambria Math" w:eastAsia="Liberation Serif" w:hAnsi="Cambria Math"/>
              </w:rPr>
              <m:t>-1</m:t>
            </m:r>
          </m:sup>
        </m:sSup>
        <m:d>
          <m:dPr>
            <m:sepChr m:val=";"/>
            <m:ctrlPr>
              <w:rPr>
                <w:rFonts w:ascii="Cambria Math" w:eastAsia="Liberation Serif" w:hAnsi="Cambria Math"/>
              </w:rPr>
            </m:ctrlPr>
          </m:dPr>
          <m:e>
            <m:r>
              <w:rPr>
                <w:rFonts w:ascii="Cambria Math" w:eastAsia="Liberation Serif" w:hAnsi="Cambria Math"/>
              </w:rPr>
              <m:t>B</m:t>
            </m:r>
          </m:e>
          <m:e>
            <m:sSup>
              <m:sSupPr>
                <m:ctrlPr>
                  <w:rPr>
                    <w:rFonts w:ascii="Cambria Math" w:eastAsia="Liberation Serif" w:hAnsi="Cambria Math"/>
                  </w:rPr>
                </m:ctrlPr>
              </m:sSupPr>
              <m:e>
                <m:r>
                  <w:rPr>
                    <w:rFonts w:ascii="Cambria Math" w:eastAsia="Liberation Serif" w:hAnsi="Cambria Math"/>
                  </w:rPr>
                  <m:t>i</m:t>
                </m:r>
              </m:e>
              <m:sup>
                <m:r>
                  <m:rPr>
                    <m:sty m:val="p"/>
                  </m:rPr>
                  <w:rPr>
                    <w:rFonts w:ascii="Cambria Math" w:eastAsia="Liberation Serif" w:hAnsi="Cambria Math"/>
                  </w:rPr>
                  <m:t>*</m:t>
                </m:r>
              </m:sup>
            </m:sSup>
            <m:r>
              <w:rPr>
                <w:rFonts w:ascii="Cambria Math" w:eastAsia="Liberation Serif" w:hAnsi="Cambria Math"/>
              </w:rPr>
              <m:t>A</m:t>
            </m:r>
          </m:e>
        </m:d>
        <m:r>
          <m:rPr>
            <m:sty m:val="p"/>
          </m:rPr>
          <w:rPr>
            <w:rFonts w:ascii="Cambria Math" w:eastAsia="Liberation Serif" w:hAnsi="Cambria Math"/>
          </w:rPr>
          <m:t>→</m:t>
        </m:r>
        <m:sSup>
          <m:sSupPr>
            <m:ctrlPr>
              <w:rPr>
                <w:rFonts w:ascii="Cambria Math" w:eastAsia="Liberation Serif" w:hAnsi="Cambria Math"/>
              </w:rPr>
            </m:ctrlPr>
          </m:sSupPr>
          <m:e>
            <m:r>
              <w:rPr>
                <w:rFonts w:ascii="Cambria Math" w:eastAsia="Liberation Serif" w:hAnsi="Cambria Math"/>
              </w:rPr>
              <m:t>H</m:t>
            </m:r>
          </m:e>
          <m:sup>
            <m:r>
              <w:rPr>
                <w:rFonts w:ascii="Cambria Math" w:eastAsia="Liberation Serif" w:hAnsi="Cambria Math"/>
              </w:rPr>
              <m:t>k</m:t>
            </m:r>
          </m:sup>
        </m:sSup>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B</m:t>
            </m:r>
          </m:e>
          <m:e>
            <m:r>
              <w:rPr>
                <w:rFonts w:ascii="Cambria Math" w:eastAsia="Liberation Serif" w:hAnsi="Cambria Math"/>
              </w:rPr>
              <m:t>A</m:t>
            </m:r>
          </m:e>
        </m:d>
      </m:oMath>
      <w:r w:rsidRPr="00D37973">
        <w:rPr>
          <w:rFonts w:eastAsia="Liberation Serif"/>
        </w:rPr>
        <w:t xml:space="preserve">, not the whole boundary group. The cap-product degrees are also correct provided the relative fundamental class is stated as </w:t>
      </w:r>
      <m:oMath>
        <m:d>
          <m:dPr>
            <m:begChr m:val="["/>
            <m:sepChr m:val=","/>
            <m:end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B</m:t>
            </m:r>
          </m:e>
        </m:d>
        <m:r>
          <m:rPr>
            <m:sty m:val="p"/>
          </m:rPr>
          <w:rPr>
            <w:rFonts w:ascii="Cambria Math" w:eastAsia="Liberation Serif" w:hAnsi="Cambria Math"/>
          </w:rPr>
          <m:t>∈</m:t>
        </m:r>
        <m:sSub>
          <m:sSubPr>
            <m:ctrlPr>
              <w:rPr>
                <w:rFonts w:ascii="Cambria Math" w:eastAsia="Liberation Serif" w:hAnsi="Cambria Math"/>
              </w:rPr>
            </m:ctrlPr>
          </m:sSubPr>
          <m:e>
            <m:r>
              <w:rPr>
                <w:rFonts w:ascii="Cambria Math" w:eastAsia="Liberation Serif" w:hAnsi="Cambria Math"/>
              </w:rPr>
              <m:t>H</m:t>
            </m:r>
          </m:e>
          <m:sub>
            <m:r>
              <w:rPr>
                <w:rFonts w:ascii="Cambria Math" w:eastAsia="Liberation Serif" w:hAnsi="Cambria Math"/>
              </w:rPr>
              <m:t>n</m:t>
            </m:r>
          </m:sub>
        </m:sSub>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B</m:t>
            </m:r>
          </m:e>
          <m:e>
            <m:sSub>
              <m:sSubPr>
                <m:ctrlPr>
                  <w:rPr>
                    <w:rFonts w:ascii="Cambria Math" w:eastAsia="Liberation Serif" w:hAnsi="Cambria Math"/>
                  </w:rPr>
                </m:ctrlPr>
              </m:sSubPr>
              <m:e>
                <m:r>
                  <m:rPr>
                    <m:scr m:val="script"/>
                    <m:sty m:val="p"/>
                  </m:rPr>
                  <w:rPr>
                    <w:rFonts w:ascii="Cambria Math" w:eastAsia="Liberation Serif" w:hAnsi="Cambria Math"/>
                  </w:rPr>
                  <m:t>O</m:t>
                </m:r>
              </m:e>
              <m:sub>
                <m:r>
                  <w:rPr>
                    <w:rFonts w:ascii="Cambria Math" w:eastAsia="Liberation Serif" w:hAnsi="Cambria Math"/>
                  </w:rPr>
                  <m:t>M</m:t>
                </m:r>
              </m:sub>
            </m:sSub>
          </m:e>
        </m:d>
      </m:oMath>
      <w:r w:rsidRPr="00D37973">
        <w:rPr>
          <w:rFonts w:eastAsia="Liberation Serif"/>
        </w:rPr>
        <w:t xml:space="preserve">: capping </w:t>
      </w:r>
      <m:oMath>
        <m:sSup>
          <m:sSupPr>
            <m:ctrlPr>
              <w:rPr>
                <w:rFonts w:ascii="Cambria Math" w:eastAsia="Liberation Serif" w:hAnsi="Cambria Math"/>
              </w:rPr>
            </m:ctrlPr>
          </m:sSupPr>
          <m:e>
            <m:r>
              <w:rPr>
                <w:rFonts w:ascii="Cambria Math" w:eastAsia="Liberation Serif" w:hAnsi="Cambria Math"/>
              </w:rPr>
              <m:t>H</m:t>
            </m:r>
          </m:e>
          <m:sup>
            <m:r>
              <w:rPr>
                <w:rFonts w:ascii="Cambria Math" w:eastAsia="Liberation Serif" w:hAnsi="Cambria Math"/>
              </w:rPr>
              <m:t>k</m:t>
            </m:r>
          </m:sup>
        </m:sSup>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B</m:t>
            </m:r>
          </m:e>
          <m:e>
            <m:r>
              <w:rPr>
                <w:rFonts w:ascii="Cambria Math" w:eastAsia="Liberation Serif" w:hAnsi="Cambria Math"/>
              </w:rPr>
              <m:t>A</m:t>
            </m:r>
          </m:e>
        </m:d>
      </m:oMath>
      <w:r w:rsidRPr="00D37973">
        <w:rPr>
          <w:rFonts w:eastAsia="Liberation Serif"/>
        </w:rPr>
        <w:t xml:space="preserve">with it yields </w:t>
      </w:r>
      <m:oMath>
        <m:sSub>
          <m:sSubPr>
            <m:ctrlPr>
              <w:rPr>
                <w:rFonts w:ascii="Cambria Math" w:eastAsia="Liberation Serif" w:hAnsi="Cambria Math"/>
              </w:rPr>
            </m:ctrlPr>
          </m:sSubPr>
          <m:e>
            <m:r>
              <w:rPr>
                <w:rFonts w:ascii="Cambria Math" w:eastAsia="Liberation Serif" w:hAnsi="Cambria Math"/>
              </w:rPr>
              <m:t>H</m:t>
            </m:r>
          </m:e>
          <m:sub>
            <m:r>
              <w:rPr>
                <w:rFonts w:ascii="Cambria Math" w:eastAsia="Liberation Serif" w:hAnsi="Cambria Math"/>
              </w:rPr>
              <m:t>n</m:t>
            </m:r>
            <m:r>
              <m:rPr>
                <m:sty m:val="p"/>
              </m:rPr>
              <w:rPr>
                <w:rFonts w:ascii="Cambria Math" w:eastAsia="Liberation Serif" w:hAnsi="Cambria Math"/>
              </w:rPr>
              <m:t>-</m:t>
            </m:r>
            <m:r>
              <w:rPr>
                <w:rFonts w:ascii="Cambria Math" w:eastAsia="Liberation Serif" w:hAnsi="Cambria Math"/>
              </w:rPr>
              <m:t>k</m:t>
            </m:r>
          </m:sub>
        </m:sSub>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A</m:t>
            </m:r>
            <m:nary>
              <m:naryPr>
                <m:chr m:val="⊗"/>
                <m:subHide m:val="1"/>
                <m:supHide m:val="1"/>
                <m:ctrlPr>
                  <w:rPr>
                    <w:rFonts w:ascii="Cambria Math" w:eastAsia="Liberation Serif" w:hAnsi="Cambria Math"/>
                  </w:rPr>
                </m:ctrlPr>
              </m:naryPr>
              <m:sub/>
              <m:sup/>
              <m:e>
                <m:sSub>
                  <m:sSubPr>
                    <m:ctrlPr>
                      <w:rPr>
                        <w:rFonts w:ascii="Cambria Math" w:eastAsia="Liberation Serif" w:hAnsi="Cambria Math"/>
                      </w:rPr>
                    </m:ctrlPr>
                  </m:sSubPr>
                  <m:e>
                    <m:r>
                      <m:rPr>
                        <m:scr m:val="script"/>
                        <m:sty m:val="p"/>
                      </m:rPr>
                      <w:rPr>
                        <w:rFonts w:ascii="Cambria Math" w:eastAsia="Liberation Serif" w:hAnsi="Cambria Math"/>
                      </w:rPr>
                      <m:t>O</m:t>
                    </m:r>
                  </m:e>
                  <m:sub>
                    <m:r>
                      <w:rPr>
                        <w:rFonts w:ascii="Cambria Math" w:eastAsia="Liberation Serif" w:hAnsi="Cambria Math"/>
                      </w:rPr>
                      <m:t>M</m:t>
                    </m:r>
                  </m:sub>
                </m:sSub>
              </m:e>
            </m:nary>
          </m:e>
        </m:d>
      </m:oMath>
      <w:r w:rsidRPr="00D37973">
        <w:rPr>
          <w:rFonts w:eastAsia="Liberation Serif"/>
        </w:rPr>
        <w:t xml:space="preserve">, while capping </w:t>
      </w:r>
      <m:oMath>
        <m:sSup>
          <m:sSupPr>
            <m:ctrlPr>
              <w:rPr>
                <w:rFonts w:ascii="Cambria Math" w:eastAsia="Liberation Serif" w:hAnsi="Cambria Math"/>
              </w:rPr>
            </m:ctrlPr>
          </m:sSupPr>
          <m:e>
            <m:r>
              <w:rPr>
                <w:rFonts w:ascii="Cambria Math" w:eastAsia="Liberation Serif" w:hAnsi="Cambria Math"/>
              </w:rPr>
              <m:t>H</m:t>
            </m:r>
          </m:e>
          <m:sup>
            <m:r>
              <w:rPr>
                <w:rFonts w:ascii="Cambria Math" w:eastAsia="Liberation Serif" w:hAnsi="Cambria Math"/>
              </w:rPr>
              <m:t>k</m:t>
            </m:r>
          </m:sup>
        </m:sSup>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A</m:t>
            </m:r>
          </m:e>
        </m:d>
      </m:oMath>
      <w:r w:rsidRPr="00D37973">
        <w:rPr>
          <w:rFonts w:eastAsia="Liberation Serif"/>
        </w:rPr>
        <w:t xml:space="preserve">yields </w:t>
      </w:r>
      <m:oMath>
        <m:sSub>
          <m:sSubPr>
            <m:ctrlPr>
              <w:rPr>
                <w:rFonts w:ascii="Cambria Math" w:eastAsia="Liberation Serif" w:hAnsi="Cambria Math"/>
              </w:rPr>
            </m:ctrlPr>
          </m:sSubPr>
          <m:e>
            <m:r>
              <w:rPr>
                <w:rFonts w:ascii="Cambria Math" w:eastAsia="Liberation Serif" w:hAnsi="Cambria Math"/>
              </w:rPr>
              <m:t>H</m:t>
            </m:r>
          </m:e>
          <m:sub>
            <m:r>
              <w:rPr>
                <w:rFonts w:ascii="Cambria Math" w:eastAsia="Liberation Serif" w:hAnsi="Cambria Math"/>
              </w:rPr>
              <m:t>n</m:t>
            </m:r>
            <m:r>
              <m:rPr>
                <m:sty m:val="p"/>
              </m:rPr>
              <w:rPr>
                <w:rFonts w:ascii="Cambria Math" w:eastAsia="Liberation Serif" w:hAnsi="Cambria Math"/>
              </w:rPr>
              <m:t>-</m:t>
            </m:r>
            <m:r>
              <w:rPr>
                <w:rFonts w:ascii="Cambria Math" w:eastAsia="Liberation Serif" w:hAnsi="Cambria Math"/>
              </w:rPr>
              <m:t>k</m:t>
            </m:r>
          </m:sub>
        </m:sSub>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B</m:t>
            </m:r>
          </m:e>
          <m:e>
            <m:r>
              <w:rPr>
                <w:rFonts w:ascii="Cambria Math" w:eastAsia="Liberation Serif" w:hAnsi="Cambria Math"/>
              </w:rPr>
              <m:t>A</m:t>
            </m:r>
            <m:nary>
              <m:naryPr>
                <m:chr m:val="⊗"/>
                <m:subHide m:val="1"/>
                <m:supHide m:val="1"/>
                <m:ctrlPr>
                  <w:rPr>
                    <w:rFonts w:ascii="Cambria Math" w:eastAsia="Liberation Serif" w:hAnsi="Cambria Math"/>
                  </w:rPr>
                </m:ctrlPr>
              </m:naryPr>
              <m:sub/>
              <m:sup/>
              <m:e>
                <m:sSub>
                  <m:sSubPr>
                    <m:ctrlPr>
                      <w:rPr>
                        <w:rFonts w:ascii="Cambria Math" w:eastAsia="Liberation Serif" w:hAnsi="Cambria Math"/>
                      </w:rPr>
                    </m:ctrlPr>
                  </m:sSubPr>
                  <m:e>
                    <m:r>
                      <m:rPr>
                        <m:scr m:val="script"/>
                        <m:sty m:val="p"/>
                      </m:rPr>
                      <w:rPr>
                        <w:rFonts w:ascii="Cambria Math" w:eastAsia="Liberation Serif" w:hAnsi="Cambria Math"/>
                      </w:rPr>
                      <m:t>O</m:t>
                    </m:r>
                  </m:e>
                  <m:sub>
                    <m:r>
                      <w:rPr>
                        <w:rFonts w:ascii="Cambria Math" w:eastAsia="Liberation Serif" w:hAnsi="Cambria Math"/>
                      </w:rPr>
                      <m:t>M</m:t>
                    </m:r>
                  </m:sub>
                </m:sSub>
              </m:e>
            </m:nary>
          </m:e>
        </m:d>
      </m:oMath>
      <w:r w:rsidRPr="00D37973">
        <w:rPr>
          <w:rFonts w:eastAsia="Liberation Serif"/>
        </w:rPr>
        <w:t xml:space="preserve">. The </w:t>
      </w:r>
      <m:oMath>
        <m:r>
          <w:rPr>
            <w:rFonts w:ascii="Cambria Math" w:eastAsia="Liberation Serif" w:hAnsi="Cambria Math"/>
          </w:rPr>
          <m:t>SO</m:t>
        </m:r>
        <m:d>
          <m:dPr>
            <m:ctrlPr>
              <w:rPr>
                <w:rFonts w:ascii="Cambria Math" w:eastAsia="Liberation Serif" w:hAnsi="Cambria Math"/>
              </w:rPr>
            </m:ctrlPr>
          </m:dPr>
          <m:e>
            <m:r>
              <m:rPr>
                <m:sty m:val="p"/>
              </m:rPr>
              <w:rPr>
                <w:rFonts w:ascii="Cambria Math" w:eastAsia="Liberation Serif" w:hAnsi="Cambria Math"/>
              </w:rPr>
              <m:t>3</m:t>
            </m:r>
          </m:e>
        </m:d>
      </m:oMath>
      <w:r w:rsidRPr="00D37973">
        <w:rPr>
          <w:rFonts w:eastAsia="Liberation Serif"/>
        </w:rPr>
        <w:t>claims are correct—</w:t>
      </w:r>
      <m:oMath>
        <m:sSub>
          <m:sSubPr>
            <m:ctrlPr>
              <w:rPr>
                <w:rFonts w:ascii="Cambria Math" w:eastAsia="Liberation Serif" w:hAnsi="Cambria Math"/>
              </w:rPr>
            </m:ctrlPr>
          </m:sSubPr>
          <m:e>
            <m:r>
              <w:rPr>
                <w:rFonts w:ascii="Cambria Math" w:eastAsia="Liberation Serif" w:hAnsi="Cambria Math"/>
              </w:rPr>
              <m:t>H</m:t>
            </m:r>
          </m:e>
          <m:sub>
            <m:r>
              <m:rPr>
                <m:sty m:val="p"/>
              </m:rPr>
              <w:rPr>
                <w:rFonts w:ascii="Cambria Math" w:eastAsia="Liberation Serif" w:hAnsi="Cambria Math"/>
              </w:rPr>
              <m:t>1</m:t>
            </m:r>
          </m:sub>
        </m:sSub>
        <m:d>
          <m:dPr>
            <m:sepChr m:val=";"/>
            <m:ctrlPr>
              <w:rPr>
                <w:rFonts w:ascii="Cambria Math" w:eastAsia="Liberation Serif" w:hAnsi="Cambria Math"/>
              </w:rPr>
            </m:ctrlPr>
          </m:dPr>
          <m:e>
            <m:r>
              <w:rPr>
                <w:rFonts w:ascii="Cambria Math" w:eastAsia="Liberation Serif" w:hAnsi="Cambria Math"/>
              </w:rPr>
              <m:t>S</m:t>
            </m:r>
          </m:e>
          <m:e>
            <m:r>
              <w:rPr>
                <w:rFonts w:ascii="Cambria Math" w:eastAsia="Liberation Serif" w:hAnsi="Cambria Math"/>
              </w:rPr>
              <m:t>O</m:t>
            </m:r>
            <m:d>
              <m:dPr>
                <m:ctrlPr>
                  <w:rPr>
                    <w:rFonts w:ascii="Cambria Math" w:eastAsia="Liberation Serif" w:hAnsi="Cambria Math"/>
                  </w:rPr>
                </m:ctrlPr>
              </m:dPr>
              <m:e>
                <m:r>
                  <m:rPr>
                    <m:sty m:val="p"/>
                  </m:rPr>
                  <w:rPr>
                    <w:rFonts w:ascii="Cambria Math" w:eastAsia="Liberation Serif" w:hAnsi="Cambria Math"/>
                  </w:rPr>
                  <m:t>3</m:t>
                </m:r>
              </m:e>
            </m:d>
            <m:r>
              <m:rPr>
                <m:scr m:val="double-struck"/>
                <m:sty m:val="p"/>
              </m:rPr>
              <w:rPr>
                <w:rFonts w:ascii="Cambria Math" w:eastAsia="Liberation Serif" w:hAnsi="Cambria Math"/>
              </w:rPr>
              <m:t>Z</m:t>
            </m:r>
          </m:e>
        </m:d>
        <m:r>
          <m:rPr>
            <m:scr m:val="double-struck"/>
            <m:sty m:val="p"/>
          </m:rPr>
          <w:rPr>
            <w:rFonts w:ascii="Cambria Math" w:eastAsia="Liberation Serif" w:hAnsi="Cambria Math"/>
          </w:rPr>
          <m:t>≅Z</m:t>
        </m:r>
        <m:r>
          <m:rPr>
            <m:sty m:val="p"/>
          </m:rPr>
          <w:rPr>
            <w:rFonts w:ascii="Cambria Math" w:eastAsia="Liberation Serif" w:hAnsi="Cambria Math"/>
          </w:rPr>
          <m:t>/2</m:t>
        </m:r>
      </m:oMath>
      <w:r w:rsidRPr="00D37973">
        <w:rPr>
          <w:rFonts w:eastAsia="Liberation Serif"/>
        </w:rPr>
        <w:t xml:space="preserve"> and </w:t>
      </w:r>
      <m:oMath>
        <m:sSub>
          <m:sSubPr>
            <m:ctrlPr>
              <w:rPr>
                <w:rFonts w:ascii="Cambria Math" w:eastAsia="Liberation Serif" w:hAnsi="Cambria Math"/>
              </w:rPr>
            </m:ctrlPr>
          </m:sSubPr>
          <m:e>
            <m:r>
              <w:rPr>
                <w:rFonts w:ascii="Cambria Math" w:eastAsia="Liberation Serif" w:hAnsi="Cambria Math"/>
              </w:rPr>
              <m:t>H</m:t>
            </m:r>
          </m:e>
          <m:sub>
            <m:r>
              <m:rPr>
                <m:sty m:val="p"/>
              </m:rPr>
              <w:rPr>
                <w:rFonts w:ascii="Cambria Math" w:eastAsia="Liberation Serif" w:hAnsi="Cambria Math"/>
              </w:rPr>
              <m:t>1</m:t>
            </m:r>
          </m:sub>
        </m:sSub>
        <m:d>
          <m:dPr>
            <m:sepChr m:val=";"/>
            <m:ctrlPr>
              <w:rPr>
                <w:rFonts w:ascii="Cambria Math" w:eastAsia="Liberation Serif" w:hAnsi="Cambria Math"/>
              </w:rPr>
            </m:ctrlPr>
          </m:dPr>
          <m:e>
            <m:r>
              <w:rPr>
                <w:rFonts w:ascii="Cambria Math" w:eastAsia="Liberation Serif" w:hAnsi="Cambria Math"/>
              </w:rPr>
              <m:t>S</m:t>
            </m:r>
          </m:e>
          <m:e>
            <m:r>
              <w:rPr>
                <w:rFonts w:ascii="Cambria Math" w:eastAsia="Liberation Serif" w:hAnsi="Cambria Math"/>
              </w:rPr>
              <m:t>O</m:t>
            </m:r>
            <m:d>
              <m:dPr>
                <m:ctrlPr>
                  <w:rPr>
                    <w:rFonts w:ascii="Cambria Math" w:eastAsia="Liberation Serif" w:hAnsi="Cambria Math"/>
                  </w:rPr>
                </m:ctrlPr>
              </m:dPr>
              <m:e>
                <m:r>
                  <m:rPr>
                    <m:sty m:val="p"/>
                  </m:rPr>
                  <w:rPr>
                    <w:rFonts w:ascii="Cambria Math" w:eastAsia="Liberation Serif" w:hAnsi="Cambria Math"/>
                  </w:rPr>
                  <m:t>3</m:t>
                </m:r>
              </m:e>
            </m:d>
            <m:r>
              <m:rPr>
                <m:scr m:val="double-struck"/>
                <m:sty m:val="p"/>
              </m:rPr>
              <w:rPr>
                <w:rFonts w:ascii="Cambria Math" w:eastAsia="Liberation Serif" w:hAnsi="Cambria Math"/>
              </w:rPr>
              <m:t>R</m:t>
            </m:r>
          </m:e>
        </m:d>
        <m:r>
          <m:rPr>
            <m:sty m:val="p"/>
          </m:rPr>
          <w:rPr>
            <w:rFonts w:ascii="Cambria Math" w:eastAsia="Liberation Serif" w:hAnsi="Cambria Math"/>
          </w:rPr>
          <m:t>=0</m:t>
        </m:r>
      </m:oMath>
      <w:r w:rsidRPr="00D37973">
        <w:rPr>
          <w:rFonts w:eastAsia="Liberation Serif"/>
        </w:rPr>
        <w:t xml:space="preserve">—but the configuration-space statement should specify that, for </w:t>
      </w:r>
      <m:oMath>
        <m:r>
          <w:rPr>
            <w:rFonts w:ascii="Cambria Math" w:eastAsia="Liberation Serif" w:hAnsi="Cambria Math"/>
          </w:rPr>
          <m:t>n</m:t>
        </m:r>
        <m:r>
          <m:rPr>
            <m:sty m:val="p"/>
          </m:rPr>
          <w:rPr>
            <w:rFonts w:ascii="Cambria Math" w:eastAsia="Liberation Serif" w:hAnsi="Cambria Math"/>
          </w:rPr>
          <m:t>≥3</m:t>
        </m:r>
      </m:oMath>
      <w:r w:rsidRPr="00D37973">
        <w:rPr>
          <w:rFonts w:eastAsia="Liberation Serif"/>
        </w:rPr>
        <w:t xml:space="preserve">, the ordered planar configuration space </w:t>
      </w:r>
      <m:oMath>
        <m:sSub>
          <m:sSubPr>
            <m:ctrlPr>
              <w:rPr>
                <w:rFonts w:ascii="Cambria Math" w:eastAsia="Liberation Serif" w:hAnsi="Cambria Math"/>
              </w:rPr>
            </m:ctrlPr>
          </m:sSubPr>
          <m:e>
            <m:r>
              <m:rPr>
                <m:sty m:val="p"/>
              </m:rPr>
              <w:rPr>
                <w:rFonts w:ascii="Cambria Math" w:eastAsia="Liberation Serif" w:hAnsi="Cambria Math"/>
              </w:rPr>
              <m:t>Conf</m:t>
            </m:r>
          </m:e>
          <m:sub>
            <m:r>
              <w:rPr>
                <w:rFonts w:ascii="Cambria Math" w:eastAsia="Liberation Serif" w:hAnsi="Cambria Math"/>
              </w:rPr>
              <m:t>n</m:t>
            </m:r>
          </m:sub>
        </m:sSub>
        <m:d>
          <m:dPr>
            <m:ctrlPr>
              <w:rPr>
                <w:rFonts w:ascii="Cambria Math" w:eastAsia="Liberation Serif" w:hAnsi="Cambria Math"/>
              </w:rPr>
            </m:ctrlPr>
          </m:dPr>
          <m:e>
            <m:sSup>
              <m:sSupPr>
                <m:ctrlPr>
                  <w:rPr>
                    <w:rFonts w:ascii="Cambria Math" w:eastAsia="Liberation Serif" w:hAnsi="Cambria Math"/>
                  </w:rPr>
                </m:ctrlPr>
              </m:sSupPr>
              <m:e>
                <m:r>
                  <m:rPr>
                    <m:scr m:val="double-struck"/>
                    <m:sty m:val="p"/>
                  </m:rPr>
                  <w:rPr>
                    <w:rFonts w:ascii="Cambria Math" w:eastAsia="Liberation Serif" w:hAnsi="Cambria Math"/>
                  </w:rPr>
                  <m:t>R</m:t>
                </m:r>
              </m:e>
              <m:sup>
                <m:r>
                  <m:rPr>
                    <m:sty m:val="p"/>
                  </m:rPr>
                  <w:rPr>
                    <w:rFonts w:ascii="Cambria Math" w:eastAsia="Liberation Serif" w:hAnsi="Cambria Math"/>
                  </w:rPr>
                  <m:t>2</m:t>
                </m:r>
              </m:sup>
            </m:sSup>
          </m:e>
        </m:d>
      </m:oMath>
      <w:r w:rsidRPr="00D37973">
        <w:rPr>
          <w:rFonts w:eastAsia="Liberation Serif"/>
        </w:rPr>
        <w:t xml:space="preserve">has fundamental group the nonabelian pure braid group </w:t>
      </w:r>
      <m:oMath>
        <m:sSub>
          <m:sSubPr>
            <m:ctrlPr>
              <w:rPr>
                <w:rFonts w:ascii="Cambria Math" w:eastAsia="Liberation Serif" w:hAnsi="Cambria Math"/>
              </w:rPr>
            </m:ctrlPr>
          </m:sSubPr>
          <m:e>
            <m:r>
              <w:rPr>
                <w:rFonts w:ascii="Cambria Math" w:eastAsia="Liberation Serif" w:hAnsi="Cambria Math"/>
              </w:rPr>
              <m:t>P</m:t>
            </m:r>
          </m:e>
          <m:sub>
            <m:r>
              <w:rPr>
                <w:rFonts w:ascii="Cambria Math" w:eastAsia="Liberation Serif" w:hAnsi="Cambria Math"/>
              </w:rPr>
              <m:t>n</m:t>
            </m:r>
          </m:sub>
        </m:sSub>
      </m:oMath>
      <w:r w:rsidRPr="00D37973">
        <w:rPr>
          <w:rFonts w:eastAsia="Liberation Serif"/>
        </w:rPr>
        <w:t xml:space="preserve">, whereas the unordered configuration space has braid group </w:t>
      </w:r>
      <m:oMath>
        <m:sSub>
          <m:sSubPr>
            <m:ctrlPr>
              <w:rPr>
                <w:rFonts w:ascii="Cambria Math" w:eastAsia="Liberation Serif" w:hAnsi="Cambria Math"/>
              </w:rPr>
            </m:ctrlPr>
          </m:sSubPr>
          <m:e>
            <m:r>
              <w:rPr>
                <w:rFonts w:ascii="Cambria Math" w:eastAsia="Liberation Serif" w:hAnsi="Cambria Math"/>
              </w:rPr>
              <m:t>B</m:t>
            </m:r>
          </m:e>
          <m:sub>
            <m:r>
              <w:rPr>
                <w:rFonts w:ascii="Cambria Math" w:eastAsia="Liberation Serif" w:hAnsi="Cambria Math"/>
              </w:rPr>
              <m:t>n</m:t>
            </m:r>
          </m:sub>
        </m:sSub>
      </m:oMath>
      <w:r w:rsidRPr="00D37973">
        <w:rPr>
          <w:rFonts w:eastAsia="Liberation Serif"/>
        </w:rPr>
        <w:t xml:space="preserve">; nontrivial commutators in either case map to zero in </w:t>
      </w:r>
      <m:oMath>
        <m:sSub>
          <m:sSubPr>
            <m:ctrlPr>
              <w:rPr>
                <w:rFonts w:ascii="Cambria Math" w:eastAsia="Liberation Serif" w:hAnsi="Cambria Math"/>
              </w:rPr>
            </m:ctrlPr>
          </m:sSubPr>
          <m:e>
            <m:r>
              <w:rPr>
                <w:rFonts w:ascii="Cambria Math" w:eastAsia="Liberation Serif" w:hAnsi="Cambria Math"/>
              </w:rPr>
              <m:t>H</m:t>
            </m:r>
          </m:e>
          <m:sub>
            <m:r>
              <m:rPr>
                <m:sty m:val="p"/>
              </m:rPr>
              <w:rPr>
                <w:rFonts w:ascii="Cambria Math" w:eastAsia="Liberation Serif" w:hAnsi="Cambria Math"/>
              </w:rPr>
              <m:t>1</m:t>
            </m:r>
          </m:sub>
        </m:sSub>
      </m:oMath>
      <w:r w:rsidRPr="00D37973">
        <w:rPr>
          <w:rFonts w:eastAsia="Liberation Serif"/>
        </w:rPr>
        <w:t xml:space="preserve">. Finally, </w:t>
      </w:r>
      <m:oMath>
        <m:sSup>
          <m:sSupPr>
            <m:ctrlPr>
              <w:rPr>
                <w:rFonts w:ascii="Cambria Math" w:eastAsia="Liberation Serif" w:hAnsi="Cambria Math"/>
              </w:rPr>
            </m:ctrlPr>
          </m:sSupPr>
          <m:e>
            <m:r>
              <w:rPr>
                <w:rFonts w:ascii="Cambria Math" w:eastAsia="Liberation Serif" w:hAnsi="Cambria Math"/>
              </w:rPr>
              <m:t>H</m:t>
            </m:r>
          </m:e>
          <m:sup>
            <m:r>
              <w:rPr>
                <w:rFonts w:ascii="Cambria Math" w:eastAsia="Liberation Serif" w:hAnsi="Cambria Math"/>
              </w:rPr>
              <m:t>k</m:t>
            </m:r>
          </m:sup>
        </m:sSup>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A</m:t>
            </m:r>
          </m:e>
        </m:d>
        <m:r>
          <m:rPr>
            <m:sty m:val="p"/>
          </m:rPr>
          <w:rPr>
            <w:rFonts w:ascii="Cambria Math" w:eastAsia="Liberation Serif" w:hAnsi="Cambria Math"/>
          </w:rPr>
          <m:t>/</m:t>
        </m:r>
        <m:func>
          <m:funcPr>
            <m:ctrlPr>
              <w:rPr>
                <w:rFonts w:ascii="Cambria Math" w:eastAsia="Liberation Serif" w:hAnsi="Cambria Math"/>
              </w:rPr>
            </m:ctrlPr>
          </m:funcPr>
          <m:fName>
            <m:r>
              <m:rPr>
                <m:sty m:val="p"/>
              </m:rPr>
              <w:rPr>
                <w:rFonts w:ascii="Cambria Math" w:eastAsia="Liberation Serif" w:hAnsi="Cambria Math"/>
              </w:rPr>
              <m:t>ker</m:t>
            </m:r>
          </m:fName>
          <m:e>
            <m:sSup>
              <m:sSupPr>
                <m:ctrlPr>
                  <w:rPr>
                    <w:rFonts w:ascii="Cambria Math" w:eastAsia="Liberation Serif" w:hAnsi="Cambria Math"/>
                  </w:rPr>
                </m:ctrlPr>
              </m:sSupPr>
              <m:e>
                <m:r>
                  <w:rPr>
                    <w:rFonts w:ascii="Cambria Math" w:eastAsia="Liberation Serif" w:hAnsi="Cambria Math"/>
                  </w:rPr>
                  <m:t>i</m:t>
                </m:r>
              </m:e>
              <m:sup>
                <m:r>
                  <m:rPr>
                    <m:sty m:val="p"/>
                  </m:rPr>
                  <w:rPr>
                    <w:rFonts w:ascii="Cambria Math" w:eastAsia="Liberation Serif" w:hAnsi="Cambria Math"/>
                  </w:rPr>
                  <m:t>*</m:t>
                </m:r>
              </m:sup>
            </m:sSup>
          </m:e>
        </m:func>
        <m:r>
          <m:rPr>
            <m:sty m:val="p"/>
          </m:rPr>
          <w:rPr>
            <w:rFonts w:ascii="Cambria Math" w:eastAsia="Liberation Serif" w:hAnsi="Cambria Math"/>
          </w:rPr>
          <m:t>≅</m:t>
        </m:r>
        <m:func>
          <m:funcPr>
            <m:ctrlPr>
              <w:rPr>
                <w:rFonts w:ascii="Cambria Math" w:eastAsia="Liberation Serif" w:hAnsi="Cambria Math"/>
              </w:rPr>
            </m:ctrlPr>
          </m:funcPr>
          <m:fName>
            <m:r>
              <m:rPr>
                <m:sty m:val="p"/>
              </m:rPr>
              <w:rPr>
                <w:rFonts w:ascii="Cambria Math" w:eastAsia="Liberation Serif" w:hAnsi="Cambria Math"/>
              </w:rPr>
              <m:t>im</m:t>
            </m:r>
          </m:fName>
          <m:e>
            <m:sSup>
              <m:sSupPr>
                <m:ctrlPr>
                  <w:rPr>
                    <w:rFonts w:ascii="Cambria Math" w:eastAsia="Liberation Serif" w:hAnsi="Cambria Math"/>
                  </w:rPr>
                </m:ctrlPr>
              </m:sSupPr>
              <m:e>
                <m:r>
                  <w:rPr>
                    <w:rFonts w:ascii="Cambria Math" w:eastAsia="Liberation Serif" w:hAnsi="Cambria Math"/>
                  </w:rPr>
                  <m:t>i</m:t>
                </m:r>
              </m:e>
              <m:sup>
                <m:r>
                  <m:rPr>
                    <m:sty m:val="p"/>
                  </m:rPr>
                  <w:rPr>
                    <w:rFonts w:ascii="Cambria Math" w:eastAsia="Liberation Serif" w:hAnsi="Cambria Math"/>
                  </w:rPr>
                  <m:t>*</m:t>
                </m:r>
              </m:sup>
            </m:sSup>
          </m:e>
        </m:func>
      </m:oMath>
      <w:r w:rsidRPr="00D37973">
        <w:rPr>
          <w:rFonts w:eastAsia="Liberation Serif"/>
        </w:rPr>
        <w:t xml:space="preserve">is valid at the full generality of abelian groups or modules by the first isomorphism theorem, but it does not provide a canonical direct-sum decomposition: </w:t>
      </w:r>
      <m:oMath>
        <m:func>
          <m:funcPr>
            <m:ctrlPr>
              <w:rPr>
                <w:rFonts w:ascii="Cambria Math" w:eastAsia="Liberation Serif" w:hAnsi="Cambria Math"/>
              </w:rPr>
            </m:ctrlPr>
          </m:funcPr>
          <m:fName>
            <m:r>
              <m:rPr>
                <m:sty m:val="p"/>
              </m:rPr>
              <w:rPr>
                <w:rFonts w:ascii="Cambria Math" w:eastAsia="Liberation Serif" w:hAnsi="Cambria Math"/>
              </w:rPr>
              <m:t>im</m:t>
            </m:r>
          </m:fName>
          <m:e>
            <m:sSup>
              <m:sSupPr>
                <m:ctrlPr>
                  <w:rPr>
                    <w:rFonts w:ascii="Cambria Math" w:eastAsia="Liberation Serif" w:hAnsi="Cambria Math"/>
                  </w:rPr>
                </m:ctrlPr>
              </m:sSupPr>
              <m:e>
                <m:r>
                  <w:rPr>
                    <w:rFonts w:ascii="Cambria Math" w:eastAsia="Liberation Serif" w:hAnsi="Cambria Math"/>
                  </w:rPr>
                  <m:t>i</m:t>
                </m:r>
              </m:e>
              <m:sup>
                <m:r>
                  <m:rPr>
                    <m:sty m:val="p"/>
                  </m:rPr>
                  <w:rPr>
                    <w:rFonts w:ascii="Cambria Math" w:eastAsia="Liberation Serif" w:hAnsi="Cambria Math"/>
                  </w:rPr>
                  <m:t>*</m:t>
                </m:r>
              </m:sup>
            </m:sSup>
          </m:e>
        </m:func>
      </m:oMath>
      <w:r w:rsidRPr="00D37973">
        <w:rPr>
          <w:rFonts w:eastAsia="Liberation Serif"/>
        </w:rPr>
        <w:t xml:space="preserve">lies in the boundary cohomology group, not as a distinguished complementary submodule of </w:t>
      </w:r>
      <m:oMath>
        <m:sSup>
          <m:sSupPr>
            <m:ctrlPr>
              <w:rPr>
                <w:rFonts w:ascii="Cambria Math" w:eastAsia="Liberation Serif" w:hAnsi="Cambria Math"/>
              </w:rPr>
            </m:ctrlPr>
          </m:sSupPr>
          <m:e>
            <m:r>
              <w:rPr>
                <w:rFonts w:ascii="Cambria Math" w:eastAsia="Liberation Serif" w:hAnsi="Cambria Math"/>
              </w:rPr>
              <m:t>H</m:t>
            </m:r>
          </m:e>
          <m:sup>
            <m:r>
              <w:rPr>
                <w:rFonts w:ascii="Cambria Math" w:eastAsia="Liberation Serif" w:hAnsi="Cambria Math"/>
              </w:rPr>
              <m:t>k</m:t>
            </m:r>
          </m:sup>
        </m:sSup>
        <m:d>
          <m:dPr>
            <m:sepChr m:val=";"/>
            <m:ctrlPr>
              <w:rPr>
                <w:rFonts w:ascii="Cambria Math" w:eastAsia="Liberation Serif" w:hAnsi="Cambria Math"/>
              </w:rPr>
            </m:ctrlPr>
          </m:dPr>
          <m:e>
            <m:r>
              <w:rPr>
                <w:rFonts w:ascii="Cambria Math" w:eastAsia="Liberation Serif" w:hAnsi="Cambria Math"/>
              </w:rPr>
              <m:t>M</m:t>
            </m:r>
          </m:e>
          <m:e>
            <m:r>
              <w:rPr>
                <w:rFonts w:ascii="Cambria Math" w:eastAsia="Liberation Serif" w:hAnsi="Cambria Math"/>
              </w:rPr>
              <m:t>A</m:t>
            </m:r>
          </m:e>
        </m:d>
      </m:oMath>
      <w:r w:rsidRPr="00D37973">
        <w:rPr>
          <w:rFonts w:eastAsia="Liberation Serif"/>
        </w:rPr>
        <w:t>. Accordingly, “space,” “dimension,” and “rank profile” should be reserved for field coefficients or explicitly finitely generated module settings; the general invariant is the isomorphism type of the boundary-visible image.</w:t>
      </w:r>
    </w:p>
    <w:sectPr w:rsidR="00D37973" w:rsidRPr="00D37973" w:rsidSect="00034616">
      <w:headerReference w:type="default" r:id="rId36"/>
      <w:footerReference w:type="default" r:id="rId37"/>
      <w:pgSz w:w="12240" w:h="15840"/>
      <w:pgMar w:top="1080" w:right="1224" w:bottom="1008"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09B2E" w14:textId="77777777" w:rsidR="00251059" w:rsidRDefault="00251059">
      <w:pPr>
        <w:spacing w:after="0" w:line="240" w:lineRule="auto"/>
        <w:rPr>
          <w:rFonts w:hint="eastAsia"/>
        </w:rPr>
      </w:pPr>
      <w:r>
        <w:separator/>
      </w:r>
    </w:p>
  </w:endnote>
  <w:endnote w:type="continuationSeparator" w:id="0">
    <w:p w14:paraId="560B073D" w14:textId="77777777" w:rsidR="00251059" w:rsidRDefault="002510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9BF5F" w14:textId="77777777" w:rsidR="00247F07" w:rsidRDefault="00000000">
    <w:pPr>
      <w:pStyle w:val="Footer"/>
      <w:jc w:val="right"/>
      <w:rPr>
        <w:rFonts w:hint="eastAsia"/>
      </w:rPr>
    </w:pPr>
    <w:r>
      <w:rPr>
        <w:rFonts w:eastAsia="Liberation Serif"/>
        <w:sz w:val="18"/>
      </w:rPr>
      <w:fldChar w:fldCharType="begin"/>
    </w:r>
    <w:r>
      <w:rPr>
        <w:rFonts w:eastAsia="Liberation Serif"/>
        <w:sz w:val="18"/>
      </w:rPr>
      <w:instrText xml:space="preserve"> PAGE </w:instrText>
    </w:r>
    <w:r w:rsidR="009B25B4">
      <w:rPr>
        <w:rFonts w:eastAsia="Liberation Serif"/>
        <w:sz w:val="18"/>
      </w:rPr>
      <w:fldChar w:fldCharType="separate"/>
    </w:r>
    <w:r w:rsidR="009B25B4">
      <w:rPr>
        <w:rFonts w:eastAsia="Liberation Serif"/>
        <w:noProof/>
        <w:sz w:val="18"/>
      </w:rPr>
      <w:t>1</w:t>
    </w:r>
    <w:r>
      <w:rPr>
        <w:rFonts w:eastAsia="Liberation Seri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A8E9" w14:textId="77777777" w:rsidR="00251059" w:rsidRDefault="00251059">
      <w:pPr>
        <w:spacing w:after="0" w:line="240" w:lineRule="auto"/>
        <w:rPr>
          <w:rFonts w:hint="eastAsia"/>
        </w:rPr>
      </w:pPr>
      <w:r>
        <w:separator/>
      </w:r>
    </w:p>
  </w:footnote>
  <w:footnote w:type="continuationSeparator" w:id="0">
    <w:p w14:paraId="39CA5209" w14:textId="77777777" w:rsidR="00251059" w:rsidRDefault="0025105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CD75" w14:textId="77777777" w:rsidR="00247F07" w:rsidRDefault="00000000">
    <w:pPr>
      <w:pStyle w:val="Header"/>
      <w:jc w:val="center"/>
      <w:rPr>
        <w:rFonts w:hint="eastAsia"/>
      </w:rPr>
    </w:pPr>
    <w:r>
      <w:rPr>
        <w:rFonts w:ascii="Liberation Sans" w:eastAsia="Liberation Sans" w:hAnsi="Liberation Sans"/>
        <w:b/>
        <w:color w:val="595959"/>
        <w:sz w:val="17"/>
      </w:rPr>
      <w:t>BOUNDARY-VISIBLE COHOMOLOGY | CONCEPTUAL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018563">
    <w:abstractNumId w:val="8"/>
  </w:num>
  <w:num w:numId="2" w16cid:durableId="1174685912">
    <w:abstractNumId w:val="6"/>
  </w:num>
  <w:num w:numId="3" w16cid:durableId="1200627029">
    <w:abstractNumId w:val="5"/>
  </w:num>
  <w:num w:numId="4" w16cid:durableId="619460650">
    <w:abstractNumId w:val="4"/>
  </w:num>
  <w:num w:numId="5" w16cid:durableId="133253784">
    <w:abstractNumId w:val="7"/>
  </w:num>
  <w:num w:numId="6" w16cid:durableId="1122311656">
    <w:abstractNumId w:val="3"/>
  </w:num>
  <w:num w:numId="7" w16cid:durableId="278612018">
    <w:abstractNumId w:val="2"/>
  </w:num>
  <w:num w:numId="8" w16cid:durableId="341206845">
    <w:abstractNumId w:val="1"/>
  </w:num>
  <w:num w:numId="9" w16cid:durableId="1965694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3F8"/>
    <w:rsid w:val="0015074B"/>
    <w:rsid w:val="00247F07"/>
    <w:rsid w:val="00251059"/>
    <w:rsid w:val="0029639D"/>
    <w:rsid w:val="00326F90"/>
    <w:rsid w:val="008D6FD0"/>
    <w:rsid w:val="009037A9"/>
    <w:rsid w:val="009350F6"/>
    <w:rsid w:val="009B25B4"/>
    <w:rsid w:val="00AA1D8D"/>
    <w:rsid w:val="00B47730"/>
    <w:rsid w:val="00CB0664"/>
    <w:rsid w:val="00D37973"/>
    <w:rsid w:val="00DE75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718B4"/>
  <w14:defaultImageDpi w14:val="300"/>
  <w15:docId w15:val="{1B8C78F9-51BA-47DA-8EF1-42A8C0CCD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erif" w:hAnsi="Liberation Serif"/>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D6FD0"/>
    <w:rPr>
      <w:color w:val="0000FF" w:themeColor="hyperlink"/>
      <w:u w:val="single"/>
    </w:rPr>
  </w:style>
  <w:style w:type="character" w:styleId="UnresolvedMention">
    <w:name w:val="Unresolved Mention"/>
    <w:basedOn w:val="DefaultParagraphFont"/>
    <w:uiPriority w:val="99"/>
    <w:semiHidden/>
    <w:unhideWhenUsed/>
    <w:rsid w:val="008D6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978-3-319-42545-0" TargetMode="External"/><Relationship Id="rId18" Type="http://schemas.openxmlformats.org/officeDocument/2006/relationships/hyperlink" Target="https://doi.org/10.13140/RG.2.2.13828.39048" TargetMode="External"/><Relationship Id="rId26" Type="http://schemas.openxmlformats.org/officeDocument/2006/relationships/hyperlink" Target="https://doi.org/10.13140/RG.2.2.18717.68323" TargetMode="External"/><Relationship Id="rId39" Type="http://schemas.openxmlformats.org/officeDocument/2006/relationships/theme" Target="theme/theme1.xml"/><Relationship Id="rId21" Type="http://schemas.openxmlformats.org/officeDocument/2006/relationships/hyperlink" Target="https://doi.org/10.13140/RG.2.2.30371.31521" TargetMode="External"/><Relationship Id="rId34" Type="http://schemas.openxmlformats.org/officeDocument/2006/relationships/hyperlink" Target="https://doi.org/10.1152/physrev.00032.2012" TargetMode="External"/><Relationship Id="rId7" Type="http://schemas.openxmlformats.org/officeDocument/2006/relationships/endnotes" Target="endnotes.xml"/><Relationship Id="rId12" Type="http://schemas.openxmlformats.org/officeDocument/2006/relationships/hyperlink" Target="https://doi.org/10.1090/S0273-0979-09-01249-X" TargetMode="External"/><Relationship Id="rId17" Type="http://schemas.openxmlformats.org/officeDocument/2006/relationships/hyperlink" Target="https://doi.org/10.13140/RG.2.2.22947.72481" TargetMode="External"/><Relationship Id="rId25" Type="http://schemas.openxmlformats.org/officeDocument/2006/relationships/hyperlink" Target="https://doi.org/10.13140/RG.2.2.31337.45929" TargetMode="External"/><Relationship Id="rId33" Type="http://schemas.openxmlformats.org/officeDocument/2006/relationships/hyperlink" Target="https://doi.org/10.1111/rssb.1216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3140/RG.2.2.11754.17604" TargetMode="External"/><Relationship Id="rId20" Type="http://schemas.openxmlformats.org/officeDocument/2006/relationships/hyperlink" Target="https://doi.org/10.13140/RG.2.2.27828.51841" TargetMode="External"/><Relationship Id="rId29" Type="http://schemas.openxmlformats.org/officeDocument/2006/relationships/hyperlink" Target="https://pi.math.cornell.edu/~hatcher/AT/A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978-1-4684-9327-6" TargetMode="External"/><Relationship Id="rId24" Type="http://schemas.openxmlformats.org/officeDocument/2006/relationships/hyperlink" Target="https://doi.org/10.13140/RG.2.2.27630.57925" TargetMode="External"/><Relationship Id="rId32" Type="http://schemas.openxmlformats.org/officeDocument/2006/relationships/hyperlink" Target="https://doi.org/10.1037/0033-295X.102.3.419"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7146/math.scand.a-10517" TargetMode="External"/><Relationship Id="rId23" Type="http://schemas.openxmlformats.org/officeDocument/2006/relationships/hyperlink" Target="https://doi.org/10.13140/RG.2.2.23446.92484" TargetMode="External"/><Relationship Id="rId28" Type="http://schemas.openxmlformats.org/officeDocument/2006/relationships/hyperlink" Target="https://doi.org/10.1007/BFb0062017" TargetMode="External"/><Relationship Id="rId36" Type="http://schemas.openxmlformats.org/officeDocument/2006/relationships/header" Target="header1.xml"/><Relationship Id="rId10" Type="http://schemas.openxmlformats.org/officeDocument/2006/relationships/hyperlink" Target="https://doi.org/10.1007/978-1-4757-6848-0" TargetMode="External"/><Relationship Id="rId19" Type="http://schemas.openxmlformats.org/officeDocument/2006/relationships/hyperlink" Target="https://doi.org/10.13140/RG.2.2.36631.64160" TargetMode="External"/><Relationship Id="rId31" Type="http://schemas.openxmlformats.org/officeDocument/2006/relationships/hyperlink" Target="https://doi.org/10.1016/j.tics.2016.05.004" TargetMode="External"/><Relationship Id="rId4" Type="http://schemas.openxmlformats.org/officeDocument/2006/relationships/settings" Target="settings.xml"/><Relationship Id="rId9" Type="http://schemas.openxmlformats.org/officeDocument/2006/relationships/hyperlink" Target="https://arxiv.org/abs/1907.02893" TargetMode="External"/><Relationship Id="rId14" Type="http://schemas.openxmlformats.org/officeDocument/2006/relationships/hyperlink" Target="https://doi.org/10.1038/nrn2762" TargetMode="External"/><Relationship Id="rId22" Type="http://schemas.openxmlformats.org/officeDocument/2006/relationships/hyperlink" Target="https://doi.org/10.13140/RG.2.2.19848.99846" TargetMode="External"/><Relationship Id="rId27" Type="http://schemas.openxmlformats.org/officeDocument/2006/relationships/hyperlink" Target="https://doi.org/10.1090/S0273-0979-07-01191-3" TargetMode="External"/><Relationship Id="rId30" Type="http://schemas.openxmlformats.org/officeDocument/2006/relationships/hyperlink" Target="https://arxiv.org/abs/2106.09685" TargetMode="External"/><Relationship Id="rId35" Type="http://schemas.openxmlformats.org/officeDocument/2006/relationships/hyperlink" Target="https://doi.org/10.1017/CBO9781139644136" TargetMode="External"/><Relationship Id="rId8" Type="http://schemas.openxmlformats.org/officeDocument/2006/relationships/hyperlink" Target="https://doi.org/10.13140/RG.2.2.34248.6912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14</Pages>
  <Words>7447</Words>
  <Characters>42453</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Boundary-Visible Cohomology: An Abelian Criterion for Memory Export and Its Poincaré-Lefschetz Realization</vt:lpstr>
    </vt:vector>
  </TitlesOfParts>
  <Manager/>
  <Company/>
  <LinksUpToDate>false</LinksUpToDate>
  <CharactersWithSpaces>49801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Boundary-Visible Cohomology: An Abelian Criterion for Memory Export and Its Poincaré-Lefschetz Realization</dc:title>
  <dc:subject>Conceptual paper on boundary-conditioned memory export, relative cohomology, and Poincaré-Lefschetz duality</dc:subject>
  <dc:creator>Debi Prasad Ghosh</dc:creator>
  <cp:keywords>memory consolidation, cohomology, Poincaré-Lefschetz duality, working memory, provenance, context dependence</cp:keywords>
  <dc:description>Conceptual manuscript generated from the converged research discussion.</dc:description>
  <cp:lastModifiedBy>Debiprasad Ghosh</cp:lastModifiedBy>
  <cp:revision>7</cp:revision>
  <cp:lastPrinted>2026-07-22T17:44:00Z</cp:lastPrinted>
  <dcterms:created xsi:type="dcterms:W3CDTF">2013-12-23T23:15:00Z</dcterms:created>
  <dcterms:modified xsi:type="dcterms:W3CDTF">2026-07-22T17:46:00Z</dcterms:modified>
  <cp:category/>
</cp:coreProperties>
</file>