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3DC92" w14:textId="77777777" w:rsidR="00167E7D" w:rsidRPr="008F5B5C" w:rsidRDefault="00000000">
      <w:pPr>
        <w:pStyle w:val="Title"/>
        <w:jc w:val="center"/>
        <w:rPr>
          <w:sz w:val="66"/>
          <w:szCs w:val="66"/>
        </w:rPr>
      </w:pPr>
      <w:r w:rsidRPr="008F5B5C">
        <w:rPr>
          <w:sz w:val="66"/>
          <w:szCs w:val="66"/>
        </w:rPr>
        <w:t>Boundary-Visible Cohomology</w:t>
      </w:r>
    </w:p>
    <w:p w14:paraId="4701BE08" w14:textId="77777777" w:rsidR="00167E7D" w:rsidRPr="008F5B5C" w:rsidRDefault="00000000">
      <w:pPr>
        <w:pStyle w:val="Subtitle"/>
        <w:jc w:val="center"/>
        <w:rPr>
          <w:sz w:val="22"/>
          <w:szCs w:val="22"/>
        </w:rPr>
      </w:pPr>
      <w:r w:rsidRPr="008F5B5C">
        <w:rPr>
          <w:sz w:val="22"/>
          <w:szCs w:val="22"/>
        </w:rPr>
        <w:t>An Exact Criterion for Exporting Learned Memory from Its Acquisition Context</w:t>
      </w:r>
      <w:r w:rsidRPr="008F5B5C">
        <w:rPr>
          <w:sz w:val="22"/>
          <w:szCs w:val="22"/>
        </w:rPr>
        <w:br/>
        <w:t>with Poincaré-Lefschetz Realization, Coefficient Sensitivity, and Audited Boundaries</w:t>
      </w:r>
    </w:p>
    <w:p w14:paraId="1B438BCD" w14:textId="38B6CAA0" w:rsidR="008F5B5C" w:rsidRDefault="008F5B5C" w:rsidP="008F5B5C">
      <w:pPr>
        <w:tabs>
          <w:tab w:val="center" w:pos="4536"/>
          <w:tab w:val="left" w:pos="5978"/>
        </w:tabs>
        <w:jc w:val="left"/>
        <w:rPr>
          <w:rFonts w:ascii="Cambria" w:hAnsi="Cambria"/>
          <w:b/>
          <w:sz w:val="24"/>
        </w:rPr>
      </w:pPr>
      <w:r>
        <w:rPr>
          <w:rFonts w:ascii="Cambria" w:hAnsi="Cambria"/>
          <w:b/>
          <w:sz w:val="24"/>
        </w:rPr>
        <w:tab/>
      </w:r>
      <w:r w:rsidR="00000000">
        <w:rPr>
          <w:rFonts w:ascii="Cambria" w:hAnsi="Cambria"/>
          <w:b/>
          <w:sz w:val="24"/>
        </w:rPr>
        <w:t>Debi Prasad Ghosh</w:t>
      </w:r>
      <w:r w:rsidR="0049459A">
        <w:rPr>
          <w:rFonts w:ascii="Cambria" w:hAnsi="Cambria"/>
          <w:b/>
          <w:sz w:val="24"/>
        </w:rPr>
        <w:t xml:space="preserve">, </w:t>
      </w:r>
      <w:hyperlink r:id="rId8" w:history="1">
        <w:r w:rsidR="0049459A" w:rsidRPr="00F15763">
          <w:rPr>
            <w:rStyle w:val="Hyperlink"/>
            <w:rFonts w:ascii="Cambria" w:hAnsi="Cambria"/>
            <w:b/>
            <w:sz w:val="24"/>
          </w:rPr>
          <w:t>debiprasadghosh@gmail.com</w:t>
        </w:r>
      </w:hyperlink>
      <w:r w:rsidR="0049459A">
        <w:rPr>
          <w:rFonts w:ascii="Cambria" w:hAnsi="Cambria"/>
          <w:b/>
          <w:sz w:val="24"/>
        </w:rPr>
        <w:t xml:space="preserve"> </w:t>
      </w:r>
    </w:p>
    <w:p w14:paraId="503180C0" w14:textId="67538C07" w:rsidR="00167E7D" w:rsidRDefault="00E1019A" w:rsidP="008F5B5C">
      <w:pPr>
        <w:tabs>
          <w:tab w:val="center" w:pos="4536"/>
          <w:tab w:val="left" w:pos="5978"/>
        </w:tabs>
        <w:jc w:val="center"/>
      </w:pPr>
      <w:hyperlink r:id="rId9" w:history="1">
        <w:r w:rsidRPr="00F15763">
          <w:rPr>
            <w:rStyle w:val="Hyperlink"/>
          </w:rPr>
          <w:t>https://doi.org/10.13140/RG.2.2.27865.48484</w:t>
        </w:r>
      </w:hyperlink>
      <w:r>
        <w:t xml:space="preserve"> </w:t>
      </w:r>
    </w:p>
    <w:p w14:paraId="162514A7" w14:textId="600715A8" w:rsidR="00167E7D" w:rsidRDefault="00000000">
      <w:pPr>
        <w:jc w:val="center"/>
      </w:pPr>
      <w:r>
        <w:rPr>
          <w:i/>
          <w:sz w:val="20"/>
        </w:rPr>
        <w:t>Defensible Intelligence Program</w:t>
      </w:r>
      <w:r w:rsidR="008F5B5C">
        <w:rPr>
          <w:i/>
          <w:sz w:val="20"/>
        </w:rPr>
        <w:t xml:space="preserve"> </w:t>
      </w:r>
    </w:p>
    <w:p w14:paraId="27960869" w14:textId="77777777" w:rsidR="00167E7D" w:rsidRDefault="00000000">
      <w:pPr>
        <w:jc w:val="center"/>
      </w:pPr>
      <w:r>
        <w:rPr>
          <w:color w:val="646464"/>
          <w:sz w:val="18"/>
        </w:rPr>
        <w:t>Conceptual manuscript | July 2026</w:t>
      </w:r>
    </w:p>
    <w:p w14:paraId="018413F3" w14:textId="77777777" w:rsidR="00167E7D" w:rsidRDefault="00000000">
      <w:pPr>
        <w:pStyle w:val="Heading1"/>
      </w:pPr>
      <w:r>
        <w:t>Abstract</w:t>
      </w:r>
    </w:p>
    <w:p w14:paraId="42FE061A" w14:textId="77777777" w:rsidR="00167E7D" w:rsidRPr="008F5B5C" w:rsidRDefault="00000000">
      <w:pPr>
        <w:rPr>
          <w:sz w:val="28"/>
          <w:szCs w:val="32"/>
        </w:rPr>
      </w:pPr>
      <w:r w:rsidRPr="008F5B5C">
        <w:rPr>
          <w:sz w:val="28"/>
          <w:szCs w:val="32"/>
        </w:rPr>
        <w:t>Memory consolidation is normally described as transfer from a fast episodic system to a slower durable store. That architecture leaves a sharper licensing question unanswered: when may a lesson detach from the conditions under which it was learned and become a reusable rule? This conceptual paper proposes an exact abelian answer on an audited topological domain. For an episode pair (M, B), where B represents acquisition conditions and i: B -&gt; M is inclusion, the induced restriction i*: H^k(M; A) -&gt; H^k(B; i^*A) divides the constraint space into exportable classes ker i* and boundary-visible classes im i*. Exactness of the long cohomology sequence of the pair yields the central biconditional: a class is exportable if and only if its boundary restriction vanishes, equivalently if and only if it admits a relative lift in H^k(M, B; A). The ambiguity among lifts is the affine coset generated by the image of the connecting homomorphism from H^{k-1}(B; i^*A). When (M, B) additionally earns the structure of an n-dimensional Poincaré pair, capping a chosen relative lift with the relative fundamental class produces an absolute complementary-dimensional carrier. Poincaré-Lefschetz duality is therefore not the general consolidation engine; it is the exact carrier-construction theorem available after boundary vanishing and the Poincaré hypotheses have both been certified. The paper introduces the graded boundary-visible profile im i* as an episode-level measure of context dependence, treats coefficients as architectural choices, states the abelian ceiling of route and provenance certification, and audits boundary choice through a family of plausible episode delimitations. It explicitly separates mathematical verification on designed spaces from empirical validation on learned representations without planted topology. The theorem and the memory interpretation are intentionally kept together: the theorem alone is standard, while the interpretation alone is unconstrained. Their dependency is the contribution.</w:t>
      </w:r>
    </w:p>
    <w:p w14:paraId="263CEF76" w14:textId="77777777" w:rsidR="00167E7D" w:rsidRDefault="00000000">
      <w:r>
        <w:lastRenderedPageBreak/>
        <w:t>Keywords: memory consolidation; relative cohomology; boundary restriction; Poincaré-Lefschetz duality; context dependence; provenance; torsion; configuration spaces; Complementary Learning Systems; learned topology</w:t>
      </w:r>
    </w:p>
    <w:p w14:paraId="0ABB42E9" w14:textId="77777777" w:rsidR="00167E7D" w:rsidRDefault="00000000">
      <w:pPr>
        <w:pStyle w:val="Heading1"/>
      </w:pPr>
      <w:r>
        <w:t>1. Introduction</w:t>
      </w:r>
    </w:p>
    <w:p w14:paraId="4D028B3B" w14:textId="77777777" w:rsidR="00167E7D" w:rsidRDefault="00000000">
      <w:r>
        <w:t>An intelligent system does not merely decide what to remember. It decides which parts of an episode may become general knowledge and which must remain attached to the circumstances that made them true. A successful maneuver under one friction regime may fail under another. A route that works for one obstacle layout may be unsafe after a small geometric change. A design heuristic may appear universal only because all training examples shared the same hidden assumption. Consolidation is therefore not only persistence. It is a licensing operation.</w:t>
      </w:r>
    </w:p>
    <w:p w14:paraId="75A4452D" w14:textId="77777777" w:rsidR="00167E7D" w:rsidRDefault="00000000">
      <w:r>
        <w:t>Complementary Learning Systems distinguishes rapid episodic acquisition from slower integration into distributed long-term memory, primarily to balance plasticity against catastrophic interference (McClelland, McNaughton, &amp; O'Reilly, 1995; Kumaran, Hassabis, &amp; McClelland, 2016). Sleep and replay provide plausible biological mechanisms for this reorganization (Diekelmann &amp; Born, 2010; Rasch &amp; Born, 2013). Similar two-regime designs appear in artificial systems through retrieval, replay, protected parameter surfaces, and bounded online workspaces. These mechanisms explain how information may persist. They do not provide an exact criterion for when a lesson is independent of the conditions under which it was learned.</w:t>
      </w:r>
    </w:p>
    <w:p w14:paraId="39FEBB05" w14:textId="77777777" w:rsidR="00167E7D" w:rsidRDefault="00000000">
      <w:r>
        <w:t>Loss reduction is not sufficient: a context-bound update can lower loss. Confidence is not sufficient: a system may be confidently wrong outside its acquisition regime. Replay frequency is not sufficient: repetition can stabilize a spurious rule. The missing question is whether the learned constraint continues to make a nontrivial claim on the acquisition context itself.</w:t>
      </w:r>
    </w:p>
    <w:p w14:paraId="7C598967" w14:textId="77777777" w:rsidR="00167E7D" w:rsidRDefault="00000000">
      <w:r>
        <w:t>This paper models one episode as a pair (M, B). The ambient domain M contains the learned relational structure. The subspace B represents acquisition conditions: initial states, boundary conditions, environmental assumptions, provenance qualifications, omitted evidence interfaces, or safety constraints. A class [alpha] in H^k(M; A) represents a rule, incompatibility, or evaluative constraint. Its restriction i*[alpha] asks whether the class remains visible on B. Vanishing permits a relative lift; nonvanishing requires the memory to remain context-bound.</w:t>
      </w:r>
    </w:p>
    <w:p w14:paraId="11F9256A" w14:textId="77777777" w:rsidR="00167E7D" w:rsidRDefault="00000000">
      <w:pPr>
        <w:pStyle w:val="Heading2"/>
      </w:pPr>
      <w:r>
        <w:t>1.1 Contribution and jurisdiction</w:t>
      </w:r>
    </w:p>
    <w:p w14:paraId="1E1D03B0" w14:textId="77777777" w:rsidR="00167E7D" w:rsidRDefault="00000000">
      <w:r>
        <w:t>The mathematical ingredients are standard. The long exact sequence of a pair, relative cohomology, local coefficients, and Poincaré-Lefschetz duality are classical. The paper does not claim a new theorem of algebraic topology. Its contribution is an interpretation disciplined by those theorems: boundary-restriction vanishing becomes an exact licensing criterion for memory export, and the two relative/absolute forms of Poincaré-Lefschetz duality distinguish context-detached carriers from carriers whose boundaries remain pinned to the episode.</w:t>
      </w:r>
    </w:p>
    <w:p w14:paraId="5A2348E8" w14:textId="77777777" w:rsidR="00167E7D" w:rsidRDefault="00000000">
      <w:r>
        <w:t>The paper is intentionally narrow. It does not show that learned neural representations are manifolds or Poincaré pairs. It does not supply a statistically calibrated estimator of i*[alpha] from noisy trajectories. It does not certify nonabelian route history or structured ownership. These are not peripheral caveats; they define the jurisdiction in which the central biconditional is meaningful and falsifiable.</w:t>
      </w:r>
    </w:p>
    <w:p w14:paraId="16B0E18C" w14:textId="77777777" w:rsidR="00167E7D" w:rsidRDefault="00000000">
      <w:pPr>
        <w:pStyle w:val="Heading1"/>
      </w:pPr>
      <w:r>
        <w:t>2. Architectural Motivation Without Architectural Dependence</w:t>
      </w:r>
    </w:p>
    <w:p w14:paraId="1AC9759A" w14:textId="77777777" w:rsidR="00167E7D" w:rsidRDefault="00000000">
      <w:pPr>
        <w:pStyle w:val="Heading2"/>
      </w:pPr>
      <w:r>
        <w:t>2.1 Complementary learning as the baseline</w:t>
      </w:r>
    </w:p>
    <w:p w14:paraId="3DB16232" w14:textId="77777777" w:rsidR="00167E7D" w:rsidRDefault="00000000">
      <w:r>
        <w:t>The fast/slow memory division is not the novelty of this proposal. Complementary Learning Systems already supplies the relevant architectural baseline: rapidly acquired, interference-prone episodic traces are gradually integrated into a slower representational substrate. Contemporary retrieval and continual-learning systems add practical mechanisms for external memory, sparse access, replay, and parameter protection. The present paper begins after those mechanisms have produced a candidate lesson. Its question is whether that lesson may be detached from the episode and stored as generally reusable knowledge.</w:t>
      </w:r>
    </w:p>
    <w:p w14:paraId="5910FC6B" w14:textId="77777777" w:rsidR="00167E7D" w:rsidRDefault="00000000">
      <w:pPr>
        <w:pStyle w:val="Heading2"/>
      </w:pPr>
      <w:r>
        <w:lastRenderedPageBreak/>
        <w:t>2.2 Why the theorem and interpretation must remain joined</w:t>
      </w:r>
    </w:p>
    <w:p w14:paraId="7BB0700E" w14:textId="77777777" w:rsidR="00167E7D" w:rsidRDefault="00000000">
      <w:r>
        <w:t>A purely mathematical paper would reduce to a standard consequence of exactness. A purely architectural paper would reduce to a consolidation intuition without a principled boundary between transferable and episode-specific knowledge. The dependency is the contribution: the interpretation makes a classical theorem answer a concrete systems question, while the theorem prevents the interpretation from turning into metaphor. The anti-theater test is simple: the mathematical vocabulary earns its place only if it forbids an export that an unconstrained engineering narrative would otherwise permit. The condition i*[alpha] != 0 does exactly that.</w:t>
      </w:r>
    </w:p>
    <w:p w14:paraId="3AC7CB76" w14:textId="77777777" w:rsidR="00167E7D" w:rsidRDefault="00000000">
      <w:pPr>
        <w:pStyle w:val="Heading1"/>
      </w:pPr>
      <w:r>
        <w:t>3. Boundary-Visible Cohomology</w:t>
      </w:r>
    </w:p>
    <w:p w14:paraId="1DD549CE" w14:textId="77777777" w:rsidR="00167E7D" w:rsidRDefault="00000000">
      <w:pPr>
        <w:pStyle w:val="Heading2"/>
      </w:pPr>
      <w:r>
        <w:t>3.1 Episode pair and coefficient system</w:t>
      </w:r>
    </w:p>
    <w:p w14:paraId="1A7D38CF" w14:textId="77777777" w:rsidR="00167E7D" w:rsidRDefault="00000000">
      <w:r>
        <w:t>Let M be a topological space, finite cell complex, or other domain on which cohomology is defined, and let B be a designated acquisition boundary with inclusion i: B -&gt; M. Let A be an abelian coefficient system on M. The induced restriction is</w:t>
      </w:r>
    </w:p>
    <w:p w14:paraId="50F90FED" w14:textId="77777777" w:rsidR="00167E7D" w:rsidRDefault="00000000">
      <w:pPr>
        <w:pStyle w:val="Equation"/>
      </w:pPr>
      <w:r>
        <w:t>i*: H^k(M; A) -&gt; H^k(B; i^*A).</w:t>
      </w:r>
    </w:p>
    <w:p w14:paraId="7DE4CFCF" w14:textId="77777777" w:rsidR="00167E7D" w:rsidRDefault="00000000">
      <w:r>
        <w:t>The explicit pullback i^*A matters when coefficients are local. It prevents the boundary group from being written as though the same coefficient object lived on M and B without restriction.</w:t>
      </w:r>
    </w:p>
    <w:p w14:paraId="4E053ACC" w14:textId="77777777" w:rsidR="00167E7D" w:rsidRDefault="00000000">
      <w:pPr>
        <w:pStyle w:val="Heading2"/>
      </w:pPr>
      <w:r>
        <w:t>3.2 Exportable and boundary-visible parts</w:t>
      </w:r>
    </w:p>
    <w:p w14:paraId="39AD9507" w14:textId="77777777" w:rsidR="00167E7D" w:rsidRDefault="00000000">
      <w:r>
        <w:t>Define the exportable module in degree k by</w:t>
      </w:r>
    </w:p>
    <w:p w14:paraId="533AFD1E" w14:textId="77777777" w:rsidR="00167E7D" w:rsidRDefault="00000000">
      <w:pPr>
        <w:pStyle w:val="Equation"/>
      </w:pPr>
      <w:r>
        <w:t>E_A^k(M, B) = ker i*.</w:t>
      </w:r>
    </w:p>
    <w:p w14:paraId="190D3DFE" w14:textId="77777777" w:rsidR="00167E7D" w:rsidRDefault="00000000">
      <w:r>
        <w:t>These are constraints that become invisible on the acquisition conditions. Define the boundary-visible module by</w:t>
      </w:r>
    </w:p>
    <w:p w14:paraId="2C1007CD" w14:textId="77777777" w:rsidR="00167E7D" w:rsidRDefault="00000000">
      <w:pPr>
        <w:pStyle w:val="Equation"/>
      </w:pPr>
      <w:r>
        <w:t>C_A^k(M, B) = im i* subseteq H^k(B; i^*A).</w:t>
      </w:r>
    </w:p>
    <w:p w14:paraId="7E0804BB" w14:textId="77777777" w:rsidR="00167E7D" w:rsidRDefault="00000000">
      <w:r>
        <w:t>The first isomorphism theorem gives, at the full generality of abelian groups or modules,</w:t>
      </w:r>
    </w:p>
    <w:p w14:paraId="14AA8228" w14:textId="77777777" w:rsidR="00167E7D" w:rsidRDefault="00000000">
      <w:pPr>
        <w:pStyle w:val="Equation"/>
      </w:pPr>
      <w:r>
        <w:t>H^k(M; A) / ker i*  ~=  im i*.</w:t>
      </w:r>
    </w:p>
    <w:p w14:paraId="6C4FF4B2" w14:textId="77777777" w:rsidR="00167E7D" w:rsidRDefault="00000000">
      <w:r>
        <w:t>This is an isomorphism of the quotient with the image. It is not a canonical direct-sum decomposition of H^k(M; A), and im i* is not a distinguished complementary submodule inside the ambient cohomology group. The statement licenses a quotient summary, not an orthogonal split unless additional linear or metric structure has been chosen.</w:t>
      </w:r>
    </w:p>
    <w:p w14:paraId="526B4B65" w14:textId="77777777" w:rsidR="00167E7D" w:rsidRDefault="00000000">
      <w:pPr>
        <w:pStyle w:val="Heading2"/>
      </w:pPr>
      <w:r>
        <w:t>3.3 Context-dependence profile</w:t>
      </w:r>
    </w:p>
    <w:p w14:paraId="79384FE8" w14:textId="77777777" w:rsidR="00167E7D" w:rsidRDefault="00000000">
      <w:r>
        <w:t>The graded object C_A^bullet(M, B) = {im i*}_k is the boundary-visible cohomology profile of the episode. Over a field F and finite-dimensional cohomology, one may summarize each degree by</w:t>
      </w:r>
    </w:p>
    <w:p w14:paraId="005E7EE8" w14:textId="77777777" w:rsidR="00167E7D" w:rsidRDefault="00000000">
      <w:pPr>
        <w:pStyle w:val="Equation"/>
      </w:pPr>
      <w:r>
        <w:t>c_k(M, B; F) = dim_F(im i*).</w:t>
      </w:r>
    </w:p>
    <w:p w14:paraId="44373511" w14:textId="77777777" w:rsidR="00167E7D" w:rsidRDefault="00000000">
      <w:r>
        <w:t>This context-dependence dimension measures how many independent constraint directions remain entangled with the acquisition conditions. It is a convenient headline object, but only at field-level or under explicitly finite module assumptions. Over the integers, the full isomorphism type is required:</w:t>
      </w:r>
    </w:p>
    <w:p w14:paraId="14FB9C28" w14:textId="77777777" w:rsidR="00167E7D" w:rsidRDefault="00000000">
      <w:pPr>
        <w:pStyle w:val="Equation"/>
      </w:pPr>
      <w:r>
        <w:t>im i*  ~=  Z^r direct-sum (direct-sum_j Z/n_j).</w:t>
      </w:r>
    </w:p>
    <w:p w14:paraId="13A25744" w14:textId="77777777" w:rsidR="00167E7D" w:rsidRDefault="00000000">
      <w:r>
        <w:t>Rank alone would discard finite-order context dependence. The coefficient-indexed graded module, rather than a single scalar, is the invariant at the correct generality.</w:t>
      </w:r>
    </w:p>
    <w:p w14:paraId="55FA9009" w14:textId="77777777" w:rsidR="00167E7D" w:rsidRDefault="00000000">
      <w:pPr>
        <w:pStyle w:val="Heading1"/>
      </w:pPr>
      <w:r>
        <w:t>4. The Exact Export Criterion</w:t>
      </w:r>
    </w:p>
    <w:p w14:paraId="08749C4A" w14:textId="77777777" w:rsidR="00167E7D" w:rsidRDefault="00000000">
      <w:pPr>
        <w:pStyle w:val="Heading2"/>
      </w:pPr>
      <w:r>
        <w:t>4.1 Long exact sequence of the pair</w:t>
      </w:r>
    </w:p>
    <w:p w14:paraId="7C9C6F63" w14:textId="77777777" w:rsidR="00167E7D" w:rsidRDefault="00000000">
      <w:r>
        <w:t>The relevant segment of the long cohomology sequence is</w:t>
      </w:r>
    </w:p>
    <w:p w14:paraId="186A2520" w14:textId="77777777" w:rsidR="00167E7D" w:rsidRDefault="00000000">
      <w:pPr>
        <w:pStyle w:val="Equation"/>
      </w:pPr>
      <w:r>
        <w:lastRenderedPageBreak/>
        <w:t>H^{k-1}(B; i^*A) --delta--&gt; H^k(M, B; A) --j*--&gt; H^k(M; A) --i*--&gt; H^k(B; i^*A).</w:t>
      </w:r>
    </w:p>
    <w:p w14:paraId="3B1EEF5A" w14:textId="77777777" w:rsidR="00167E7D" w:rsidRDefault="00000000">
      <w:r>
        <w:t>Exactness at H^k(M; A) states</w:t>
      </w:r>
    </w:p>
    <w:p w14:paraId="2CD12869" w14:textId="77777777" w:rsidR="00167E7D" w:rsidRDefault="00000000">
      <w:pPr>
        <w:pStyle w:val="Equation"/>
      </w:pPr>
      <w:r>
        <w:t>im j* = ker i*.</w:t>
      </w:r>
    </w:p>
    <w:p w14:paraId="6F082061" w14:textId="77777777" w:rsidR="00167E7D" w:rsidRDefault="00000000">
      <w:pPr>
        <w:pStyle w:val="Heading2"/>
      </w:pPr>
      <w:r>
        <w:t>4.2 Theorem 1 - Boundary-conditioned export</w:t>
      </w:r>
    </w:p>
    <w:p w14:paraId="25CF1A15" w14:textId="77777777" w:rsidR="00167E7D" w:rsidRDefault="00000000">
      <w:r>
        <w:t>Theorem 1. Let (M, B) be a pair and A an abelian coefficient system. For [alpha] in H^k(M; A), the following are equivalent:</w:t>
      </w:r>
    </w:p>
    <w:p w14:paraId="15286063" w14:textId="77777777" w:rsidR="00167E7D" w:rsidRDefault="00000000">
      <w:pPr>
        <w:pStyle w:val="ListNumber"/>
        <w:spacing w:after="40"/>
      </w:pPr>
      <w:r>
        <w:t>The boundary restriction vanishes: i*[alpha] = 0.</w:t>
      </w:r>
    </w:p>
    <w:p w14:paraId="490677C0" w14:textId="77777777" w:rsidR="00167E7D" w:rsidRDefault="00000000">
      <w:pPr>
        <w:pStyle w:val="ListNumber"/>
        <w:spacing w:after="40"/>
      </w:pPr>
      <w:r>
        <w:t>The class lies in the image of the relative-to-absolute map: [alpha] in im j*.</w:t>
      </w:r>
    </w:p>
    <w:p w14:paraId="182CED06" w14:textId="77777777" w:rsidR="00167E7D" w:rsidRDefault="00000000">
      <w:pPr>
        <w:pStyle w:val="ListNumber"/>
        <w:spacing w:after="40"/>
      </w:pPr>
      <w:r>
        <w:t>The class admits a relative lift [alpha-tilde] in H^k(M, B; A) satisfying j*[alpha-tilde] = [alpha].</w:t>
      </w:r>
    </w:p>
    <w:p w14:paraId="0E8DC4B7" w14:textId="77777777" w:rsidR="00167E7D" w:rsidRDefault="00000000">
      <w:r>
        <w:t>Proof. Exactness at H^k(M; A) gives im j* = ker i*. Hence i*[alpha] = 0 if and only if [alpha] lies in im j*, which holds if and only if a relative preimage exists. No Poincaré hypothesis is needed for this equivalence.</w:t>
      </w:r>
    </w:p>
    <w:p w14:paraId="6FC06988" w14:textId="77777777" w:rsidR="00167E7D" w:rsidRDefault="00000000">
      <w:r>
        <w:t>Memory interpretation. A learned constraint is eligible for context-detached export exactly when it admits a representative that is relative to the acquisition boundary. Nonvanishing boundary restriction is not a small error to be smoothed away; it is a formal reason to retain provenance.</w:t>
      </w:r>
    </w:p>
    <w:p w14:paraId="439D8A6E" w14:textId="77777777" w:rsidR="00167E7D" w:rsidRDefault="00000000">
      <w:pPr>
        <w:pStyle w:val="Heading2"/>
      </w:pPr>
      <w:r>
        <w:t>4.3 Lift ambiguity</w:t>
      </w:r>
    </w:p>
    <w:p w14:paraId="0DD479E7" w14:textId="77777777" w:rsidR="00167E7D" w:rsidRDefault="00000000">
      <w:r>
        <w:t>A relative lift need not be unique. If alpha-tilde_1 and alpha-tilde_2 both map to [alpha], then their difference lies in ker j*. Exactness gives</w:t>
      </w:r>
    </w:p>
    <w:p w14:paraId="2B554186" w14:textId="77777777" w:rsidR="00167E7D" w:rsidRDefault="00000000">
      <w:pPr>
        <w:pStyle w:val="Equation"/>
      </w:pPr>
      <w:r>
        <w:t>ker j* = im(delta: H^{k-1}(B; i^*A) -&gt; H^k(M, B; A)).</w:t>
      </w:r>
    </w:p>
    <w:p w14:paraId="00BF8AC6" w14:textId="77777777" w:rsidR="00167E7D" w:rsidRDefault="00000000">
      <w:r>
        <w:t>Thus the set of lifts, when nonempty, is an affine coset modulo im delta. Architecturally, two provenance-respecting constructions may support the same exported rule. A system that materializes one lift should retain the lift choice or an equivalence record rather than presenting the carrier as uniquely forced by the theorem.</w:t>
      </w:r>
    </w:p>
    <w:p w14:paraId="4F3B8048" w14:textId="77777777" w:rsidR="00167E7D" w:rsidRDefault="00000000">
      <w:pPr>
        <w:pStyle w:val="Heading1"/>
      </w:pPr>
      <w:r>
        <w:t>5. Poincaré-Lefschetz Realization</w:t>
      </w:r>
    </w:p>
    <w:p w14:paraId="38B52665" w14:textId="77777777" w:rsidR="00167E7D" w:rsidRDefault="00000000">
      <w:pPr>
        <w:pStyle w:val="Heading2"/>
      </w:pPr>
      <w:r>
        <w:t>5.1 Additional hypotheses</w:t>
      </w:r>
    </w:p>
    <w:p w14:paraId="188EC6A3" w14:textId="77777777" w:rsidR="00167E7D" w:rsidRDefault="00000000">
      <w:r>
        <w:t>The export theorem applies to any pair with abelian cohomology. Constructing an absolute complementary-dimensional carrier requires more. Let M be a compact n-dimensional manifold with boundary B, or more generally an n-dimensional Poincaré pair, and let O_M be the orientation local system. The relative fundamental class is</w:t>
      </w:r>
    </w:p>
    <w:p w14:paraId="38671BCE" w14:textId="77777777" w:rsidR="00167E7D" w:rsidRDefault="00000000">
      <w:pPr>
        <w:pStyle w:val="Equation"/>
      </w:pPr>
      <w:r>
        <w:t>[M, B] in H_n(M, B; O_M).</w:t>
      </w:r>
    </w:p>
    <w:p w14:paraId="66A27757" w14:textId="77777777" w:rsidR="00167E7D" w:rsidRDefault="00000000">
      <w:r>
        <w:t>Cap product with this class yields the two Poincaré-Lefschetz isomorphisms</w:t>
      </w:r>
    </w:p>
    <w:p w14:paraId="01C925B7" w14:textId="77777777" w:rsidR="00167E7D" w:rsidRDefault="00000000">
      <w:pPr>
        <w:pStyle w:val="Equation"/>
      </w:pPr>
      <w:r>
        <w:t>H^k(M, B; A)  ~=  H_{n-k}(M; A tensor O_M),</w:t>
      </w:r>
    </w:p>
    <w:p w14:paraId="1CB8A08B" w14:textId="77777777" w:rsidR="00167E7D" w:rsidRDefault="00000000">
      <w:pPr>
        <w:pStyle w:val="Equation"/>
      </w:pPr>
      <w:r>
        <w:t>H^k(M; A)  ~=  H_{n-k}(M, B; A tensor O_M).</w:t>
      </w:r>
    </w:p>
    <w:p w14:paraId="71F3BDC7" w14:textId="77777777" w:rsidR="00167E7D" w:rsidRDefault="00000000">
      <w:pPr>
        <w:pStyle w:val="Heading2"/>
      </w:pPr>
      <w:r>
        <w:t>5.2 Degree bookkeeping and carrier construction</w:t>
      </w:r>
    </w:p>
    <w:p w14:paraId="2EC45E80" w14:textId="77777777" w:rsidR="00167E7D" w:rsidRDefault="00000000">
      <w:r>
        <w:t>If [alpha] passes Theorem 1 and [alpha-tilde] is a chosen relative lift, define</w:t>
      </w:r>
    </w:p>
    <w:p w14:paraId="3E6A1ADC" w14:textId="77777777" w:rsidR="00167E7D" w:rsidRDefault="00000000">
      <w:pPr>
        <w:pStyle w:val="Equation"/>
      </w:pPr>
      <w:r>
        <w:t>PD_{M,B}([alpha-tilde]) = [alpha-tilde] cap [M, B] in H_{n-k}(M; A tensor O_M).</w:t>
      </w:r>
    </w:p>
    <w:p w14:paraId="079532E8" w14:textId="77777777" w:rsidR="00167E7D" w:rsidRDefault="00000000">
      <w:r>
        <w:t>The cohomological degree k is sent to homological degree n-k. The class is absolute because the cohomology input was relative. Conversely, capping an absolute cohomology class produces a relative homology class in H_{n-k}(M, B; A tensor O_M). These are not interchangeable formulas; their relative/absolute placement is the conceptual content.</w:t>
      </w:r>
    </w:p>
    <w:p w14:paraId="01CE9E9D" w14:textId="77777777" w:rsidR="00167E7D" w:rsidRDefault="00000000">
      <w:pPr>
        <w:pStyle w:val="Heading2"/>
      </w:pPr>
      <w:r>
        <w:lastRenderedPageBreak/>
        <w:t>5.3 Two epistemic memory types</w:t>
      </w:r>
    </w:p>
    <w:p w14:paraId="6EA7A694" w14:textId="77777777" w:rsidR="00167E7D" w:rsidRDefault="00000000">
      <w:r>
        <w:t>The first duality form models context-detached memory: a constraint already compatible with the episode boundary becomes an absolute carrier that may travel without the old boundary. The second models provenance-bound memory: the carrier remains relative, and its boundary continues to encode conditions of validity. This fork is the strongest conceptual result of the paper because it is not an analogy added after the theorem. It is forced by the two Poincaré-Lefschetz forms.</w:t>
      </w:r>
    </w:p>
    <w:p w14:paraId="30AE68CA" w14:textId="77777777" w:rsidR="00167E7D" w:rsidRDefault="00000000">
      <w:r>
        <w:t>Poincaré-Lefschetz duality does not compress memory by itself. Compression must come from a seed, quotient, reduced cell model, parameter-efficient write, or other representation. Duality supplies a certified correspondence between an eligible constraint and a complementary-dimensional carrier.</w:t>
      </w:r>
    </w:p>
    <w:p w14:paraId="2DF6E2E1" w14:textId="77777777" w:rsidR="00167E7D" w:rsidRDefault="00000000">
      <w:pPr>
        <w:pStyle w:val="Heading1"/>
      </w:pPr>
      <w:r>
        <w:t>6. Coefficients, Boundaries, and the Abelian Ceiling</w:t>
      </w:r>
    </w:p>
    <w:p w14:paraId="736A8EE1" w14:textId="77777777" w:rsidR="00167E7D" w:rsidRDefault="00000000">
      <w:pPr>
        <w:pStyle w:val="Heading2"/>
      </w:pPr>
      <w:r>
        <w:t>6.1 Coefficients are architectural</w:t>
      </w:r>
    </w:p>
    <w:p w14:paraId="59F82FF8" w14:textId="77777777" w:rsidR="00167E7D" w:rsidRDefault="00000000">
      <w:r>
        <w:t>A bare statement that a class vanished is incomplete. Over a field, torsion is simplified or erased. Over Z/2, a mod-2 fundamental class exists without orientability, so structural duality can proceed while signed provenance remains unavailable. Over the integers, torsion and orientation signs survive, but computation is harder. Every certificate must therefore state the coefficient regime under which it was obtained.</w:t>
      </w:r>
    </w:p>
    <w:p w14:paraId="21551C08" w14:textId="77777777" w:rsidR="00167E7D" w:rsidRDefault="00000000">
      <w:pPr>
        <w:pStyle w:val="Heading2"/>
      </w:pPr>
      <w:r>
        <w:t>6.2 SO(3) as the headline verification case</w:t>
      </w:r>
    </w:p>
    <w:p w14:paraId="592117B3" w14:textId="77777777" w:rsidR="00167E7D" w:rsidRDefault="00000000">
      <w:pPr>
        <w:pStyle w:val="Equation"/>
      </w:pPr>
      <w:r>
        <w:t>H_1(SO(3); Z) ~= Z/2,     while     H_1(SO(3); R) = 0.</w:t>
      </w:r>
    </w:p>
    <w:p w14:paraId="65972217" w14:textId="77777777" w:rsidR="00167E7D" w:rsidRDefault="00000000">
      <w:r>
        <w:t>The nontrivial rotational loop repeated twice becomes trivial. A real-only implementation erases this finite-order carrier, whereas integer or mod-2 coefficients detect it. The example demonstrates that coefficient choice changes the architecture's memory ontology, not merely its notation.</w:t>
      </w:r>
    </w:p>
    <w:p w14:paraId="7203B40E" w14:textId="77777777" w:rsidR="00167E7D" w:rsidRDefault="00000000">
      <w:pPr>
        <w:pStyle w:val="Heading2"/>
      </w:pPr>
      <w:r>
        <w:t>6.3 Boundary audit</w:t>
      </w:r>
    </w:p>
    <w:p w14:paraId="131F65EA" w14:textId="77777777" w:rsidR="00167E7D" w:rsidRDefault="00000000">
      <w:r>
        <w:t>The theorem begins after B has been chosen. That choice is a model of what counts as acquisition condition rather than learned content. Moving a qualifier between interior and boundary can change i*, ker i*, im i*, and the export verdict. The correct response is not to pretend that a canonical boundary exists, but to audit a family {B_theta} of plausible boundaries.</w:t>
      </w:r>
    </w:p>
    <w:p w14:paraId="369579FB" w14:textId="77777777" w:rsidR="00167E7D" w:rsidRDefault="00000000">
      <w:pPr>
        <w:pStyle w:val="ListBullet"/>
        <w:spacing w:after="40"/>
      </w:pPr>
      <w:r>
        <w:t>Robustly exportable: i_theta*[alpha] = 0 for every admissible boundary model.</w:t>
      </w:r>
    </w:p>
    <w:p w14:paraId="1F755FF6" w14:textId="77777777" w:rsidR="00167E7D" w:rsidRDefault="00000000">
      <w:pPr>
        <w:pStyle w:val="ListBullet"/>
        <w:spacing w:after="40"/>
      </w:pPr>
      <w:r>
        <w:t>Robustly provenance-bound: i_theta*[alpha] != 0 for every admissible boundary model.</w:t>
      </w:r>
    </w:p>
    <w:p w14:paraId="74EF28AC" w14:textId="77777777" w:rsidR="00167E7D" w:rsidRDefault="00000000">
      <w:pPr>
        <w:pStyle w:val="ListBullet"/>
        <w:spacing w:after="40"/>
      </w:pPr>
      <w:r>
        <w:t>Boundary-sensitive: the verdict changes across admissible models.</w:t>
      </w:r>
    </w:p>
    <w:p w14:paraId="15F83331" w14:textId="77777777" w:rsidR="00167E7D" w:rsidRDefault="00000000">
      <w:r>
        <w:t>Boundary sensitivity is a finding about the ambiguity of the lesson's generality. Such a memory should remain relative and retain the boundary models under which export would or would not have been licensed. For field coefficients, the movement of rank(im i_theta*) provides a concise episode-level summary; for general coefficients, the changing image module is the correct object.</w:t>
      </w:r>
    </w:p>
    <w:p w14:paraId="6DD09712" w14:textId="77777777" w:rsidR="00167E7D" w:rsidRDefault="00000000">
      <w:pPr>
        <w:pStyle w:val="Heading2"/>
      </w:pPr>
      <w:r>
        <w:t>6.4 One abelian ceiling, two manifestations</w:t>
      </w:r>
    </w:p>
    <w:p w14:paraId="7640772F" w14:textId="77777777" w:rsidR="00167E7D" w:rsidRDefault="00000000">
      <w:r>
        <w:t>In degree one, homology is the abelianization of the fundamental group:</w:t>
      </w:r>
    </w:p>
    <w:p w14:paraId="22294AC6" w14:textId="77777777" w:rsidR="00167E7D" w:rsidRDefault="00000000">
      <w:pPr>
        <w:pStyle w:val="Equation"/>
      </w:pPr>
      <w:r>
        <w:t>H_1(M; Z) ~= pi_1(M)_ab.</w:t>
      </w:r>
    </w:p>
    <w:p w14:paraId="25265BC8" w14:textId="77777777" w:rsidR="00167E7D" w:rsidRDefault="00000000">
      <w:r>
        <w:t>Commutator routes are therefore invisible even when they are nontrivial in pi_1. For ordered planar configuration spaces Conf_n(R^2), n &gt;= 3, the fundamental group is the nonabelian pure braid group P_n; the unordered space has braid group B_n. Homological export preserves only their abelianized route information.</w:t>
      </w:r>
    </w:p>
    <w:p w14:paraId="4B9BD6EE" w14:textId="77777777" w:rsidR="00167E7D" w:rsidRDefault="00000000">
      <w:r>
        <w:t xml:space="preserve">The same ceiling appears in provenance. The orientation local system records only a sign representation of pi_1. It can express globally consistent signed ownership, but not joint authorship, ordered delegation, permission transfer, or 'same net effect, different history.' Nonabelian H^1 may support pointed-set triviality questions, yet it does not preserve the license-granting form used here: no additive kernel </w:t>
      </w:r>
      <w:r>
        <w:lastRenderedPageBreak/>
        <w:t>subspace, quotient rank, or cap-product carrier follows. Structured ownership is therefore outside this certificate, not merely a more expensive version of it.</w:t>
      </w:r>
    </w:p>
    <w:p w14:paraId="3491490B" w14:textId="77777777" w:rsidR="00167E7D" w:rsidRDefault="00000000">
      <w:pPr>
        <w:pStyle w:val="Heading1"/>
      </w:pPr>
      <w:r>
        <w:t>7. Memory Interpretation and Claim Tiers</w:t>
      </w:r>
    </w:p>
    <w:p w14:paraId="44AC0A01" w14:textId="77777777" w:rsidR="00167E7D" w:rsidRDefault="00000000">
      <w:r>
        <w:t>The interpretation is compatible with architectures that separate bounded online deliberation from slower long-term consolidation, including fragment-based working memory, path-selective credit assignment, expert retrieval, and procedural-seed storage. Those architectures motivate the need for a licensing rule but do not entail the present criterion. The contribution is narrower: given an audited pair (M, B), boundary-restriction vanishing distinguishes classes eligible for context-independent realization from classes that must remain provenance-bound. No theorem in this paper depends on any particular working-memory implementation.</w:t>
      </w:r>
    </w:p>
    <w:tbl>
      <w:tblPr>
        <w:tblStyle w:val="TableGrid"/>
        <w:tblW w:w="0" w:type="auto"/>
        <w:jc w:val="center"/>
        <w:tblLook w:val="04A0" w:firstRow="1" w:lastRow="0" w:firstColumn="1" w:lastColumn="0" w:noHBand="0" w:noVBand="1"/>
      </w:tblPr>
      <w:tblGrid>
        <w:gridCol w:w="1690"/>
        <w:gridCol w:w="7037"/>
      </w:tblGrid>
      <w:tr w:rsidR="00167E7D" w14:paraId="794421C4" w14:textId="77777777" w:rsidTr="00076DB5">
        <w:trPr>
          <w:tblHeader/>
          <w:jc w:val="center"/>
        </w:trPr>
        <w:tc>
          <w:tcPr>
            <w:tcW w:w="1690" w:type="dxa"/>
            <w:shd w:val="clear" w:color="auto" w:fill="D9E2F3"/>
            <w:tcMar>
              <w:top w:w="80" w:type="dxa"/>
              <w:left w:w="80" w:type="dxa"/>
              <w:bottom w:w="80" w:type="dxa"/>
              <w:right w:w="80" w:type="dxa"/>
            </w:tcMar>
            <w:vAlign w:val="center"/>
          </w:tcPr>
          <w:p w14:paraId="1708AE7E" w14:textId="77777777" w:rsidR="00167E7D" w:rsidRDefault="00000000">
            <w:pPr>
              <w:jc w:val="center"/>
            </w:pPr>
            <w:r>
              <w:rPr>
                <w:rFonts w:ascii="Cambria" w:hAnsi="Cambria"/>
                <w:b/>
                <w:sz w:val="17"/>
              </w:rPr>
              <w:t>Tier</w:t>
            </w:r>
          </w:p>
        </w:tc>
        <w:tc>
          <w:tcPr>
            <w:tcW w:w="7037" w:type="dxa"/>
            <w:shd w:val="clear" w:color="auto" w:fill="D9E2F3"/>
            <w:tcMar>
              <w:top w:w="80" w:type="dxa"/>
              <w:left w:w="80" w:type="dxa"/>
              <w:bottom w:w="80" w:type="dxa"/>
              <w:right w:w="80" w:type="dxa"/>
            </w:tcMar>
            <w:vAlign w:val="center"/>
          </w:tcPr>
          <w:p w14:paraId="431AE15A" w14:textId="77777777" w:rsidR="00167E7D" w:rsidRDefault="00000000">
            <w:pPr>
              <w:jc w:val="center"/>
            </w:pPr>
            <w:r>
              <w:rPr>
                <w:rFonts w:ascii="Cambria" w:hAnsi="Cambria"/>
                <w:b/>
                <w:sz w:val="17"/>
              </w:rPr>
              <w:t>Claim</w:t>
            </w:r>
          </w:p>
        </w:tc>
      </w:tr>
      <w:tr w:rsidR="00167E7D" w14:paraId="5C532BCD" w14:textId="77777777" w:rsidTr="00076DB5">
        <w:trPr>
          <w:jc w:val="center"/>
        </w:trPr>
        <w:tc>
          <w:tcPr>
            <w:tcW w:w="1690" w:type="dxa"/>
            <w:tcMar>
              <w:top w:w="80" w:type="dxa"/>
              <w:left w:w="80" w:type="dxa"/>
              <w:bottom w:w="80" w:type="dxa"/>
              <w:right w:w="80" w:type="dxa"/>
            </w:tcMar>
          </w:tcPr>
          <w:p w14:paraId="45D067DF" w14:textId="77777777" w:rsidR="00167E7D" w:rsidRDefault="00000000">
            <w:pPr>
              <w:spacing w:after="20"/>
            </w:pPr>
            <w:r>
              <w:rPr>
                <w:sz w:val="17"/>
              </w:rPr>
              <w:t>[LB] Classical mathematics</w:t>
            </w:r>
          </w:p>
        </w:tc>
        <w:tc>
          <w:tcPr>
            <w:tcW w:w="7037" w:type="dxa"/>
            <w:tcMar>
              <w:top w:w="80" w:type="dxa"/>
              <w:left w:w="80" w:type="dxa"/>
              <w:bottom w:w="80" w:type="dxa"/>
              <w:right w:w="80" w:type="dxa"/>
            </w:tcMar>
          </w:tcPr>
          <w:p w14:paraId="672D9FAA" w14:textId="77777777" w:rsidR="00167E7D" w:rsidRDefault="00000000">
            <w:pPr>
              <w:spacing w:after="20"/>
            </w:pPr>
            <w:r>
              <w:rPr>
                <w:sz w:val="17"/>
              </w:rPr>
              <w:t>Long exact sequence, im j* = ker i*, quotient-image isomorphism, local coefficients, cap-product degree reversal, and Poincaré-Lefschetz duality under its standard hypotheses.</w:t>
            </w:r>
          </w:p>
        </w:tc>
      </w:tr>
      <w:tr w:rsidR="00167E7D" w14:paraId="7EEBDDF8" w14:textId="77777777" w:rsidTr="00076DB5">
        <w:trPr>
          <w:jc w:val="center"/>
        </w:trPr>
        <w:tc>
          <w:tcPr>
            <w:tcW w:w="1690" w:type="dxa"/>
            <w:tcMar>
              <w:top w:w="80" w:type="dxa"/>
              <w:left w:w="80" w:type="dxa"/>
              <w:bottom w:w="80" w:type="dxa"/>
              <w:right w:w="80" w:type="dxa"/>
            </w:tcMar>
          </w:tcPr>
          <w:p w14:paraId="7DC438A7" w14:textId="77777777" w:rsidR="00167E7D" w:rsidRDefault="00000000">
            <w:pPr>
              <w:spacing w:after="20"/>
            </w:pPr>
            <w:r>
              <w:rPr>
                <w:sz w:val="17"/>
              </w:rPr>
              <w:t>[INT] Interpretation</w:t>
            </w:r>
          </w:p>
        </w:tc>
        <w:tc>
          <w:tcPr>
            <w:tcW w:w="7037" w:type="dxa"/>
            <w:tcMar>
              <w:top w:w="80" w:type="dxa"/>
              <w:left w:w="80" w:type="dxa"/>
              <w:bottom w:w="80" w:type="dxa"/>
              <w:right w:w="80" w:type="dxa"/>
            </w:tcMar>
          </w:tcPr>
          <w:p w14:paraId="6BBE4F0F" w14:textId="77777777" w:rsidR="00167E7D" w:rsidRDefault="00000000">
            <w:pPr>
              <w:spacing w:after="20"/>
            </w:pPr>
            <w:r>
              <w:rPr>
                <w:sz w:val="17"/>
              </w:rPr>
              <w:t>Reading ker i* as exportable memory, im i* as boundary-visible context dependence, and the two duality forms as context-detached versus provenance-bound carriers.</w:t>
            </w:r>
          </w:p>
        </w:tc>
      </w:tr>
      <w:tr w:rsidR="00167E7D" w14:paraId="5A0342A9" w14:textId="77777777" w:rsidTr="00076DB5">
        <w:trPr>
          <w:jc w:val="center"/>
        </w:trPr>
        <w:tc>
          <w:tcPr>
            <w:tcW w:w="1690" w:type="dxa"/>
            <w:tcMar>
              <w:top w:w="80" w:type="dxa"/>
              <w:left w:w="80" w:type="dxa"/>
              <w:bottom w:w="80" w:type="dxa"/>
              <w:right w:w="80" w:type="dxa"/>
            </w:tcMar>
          </w:tcPr>
          <w:p w14:paraId="39AF661C" w14:textId="77777777" w:rsidR="00167E7D" w:rsidRDefault="00000000">
            <w:pPr>
              <w:spacing w:after="20"/>
            </w:pPr>
            <w:r>
              <w:rPr>
                <w:sz w:val="17"/>
              </w:rPr>
              <w:t>[CAND] Candidate system claim</w:t>
            </w:r>
          </w:p>
        </w:tc>
        <w:tc>
          <w:tcPr>
            <w:tcW w:w="7037" w:type="dxa"/>
            <w:tcMar>
              <w:top w:w="80" w:type="dxa"/>
              <w:left w:w="80" w:type="dxa"/>
              <w:bottom w:w="80" w:type="dxa"/>
              <w:right w:w="80" w:type="dxa"/>
            </w:tcMar>
          </w:tcPr>
          <w:p w14:paraId="18ED131F" w14:textId="77777777" w:rsidR="00167E7D" w:rsidRDefault="00000000">
            <w:pPr>
              <w:spacing w:after="20"/>
            </w:pPr>
            <w:r>
              <w:rPr>
                <w:sz w:val="17"/>
              </w:rPr>
              <w:t>Learned representations can sometimes earn a non-planted Poincaré-pair certificate whose output predicts safe export or compression.</w:t>
            </w:r>
          </w:p>
        </w:tc>
      </w:tr>
      <w:tr w:rsidR="00167E7D" w14:paraId="07705A34" w14:textId="77777777" w:rsidTr="00076DB5">
        <w:trPr>
          <w:jc w:val="center"/>
        </w:trPr>
        <w:tc>
          <w:tcPr>
            <w:tcW w:w="1690" w:type="dxa"/>
            <w:tcMar>
              <w:top w:w="80" w:type="dxa"/>
              <w:left w:w="80" w:type="dxa"/>
              <w:bottom w:w="80" w:type="dxa"/>
              <w:right w:w="80" w:type="dxa"/>
            </w:tcMar>
          </w:tcPr>
          <w:p w14:paraId="4A21224A" w14:textId="77777777" w:rsidR="00167E7D" w:rsidRDefault="00000000">
            <w:pPr>
              <w:spacing w:after="20"/>
            </w:pPr>
            <w:r>
              <w:rPr>
                <w:sz w:val="17"/>
              </w:rPr>
              <w:t>[DEBT] Engineering</w:t>
            </w:r>
          </w:p>
        </w:tc>
        <w:tc>
          <w:tcPr>
            <w:tcW w:w="7037" w:type="dxa"/>
            <w:tcMar>
              <w:top w:w="80" w:type="dxa"/>
              <w:left w:w="80" w:type="dxa"/>
              <w:bottom w:w="80" w:type="dxa"/>
              <w:right w:w="80" w:type="dxa"/>
            </w:tcMar>
          </w:tcPr>
          <w:p w14:paraId="742D4300" w14:textId="77777777" w:rsidR="00167E7D" w:rsidRDefault="00000000">
            <w:pPr>
              <w:spacing w:after="20"/>
            </w:pPr>
            <w:r>
              <w:rPr>
                <w:sz w:val="17"/>
              </w:rPr>
              <w:t>Estimating i*[alpha] and calibrated uncertainty from noisy learned trajectories, estimated complexes, and uncertain boundaries.</w:t>
            </w:r>
          </w:p>
        </w:tc>
      </w:tr>
      <w:tr w:rsidR="00167E7D" w14:paraId="018E81C5" w14:textId="77777777" w:rsidTr="00076DB5">
        <w:trPr>
          <w:jc w:val="center"/>
        </w:trPr>
        <w:tc>
          <w:tcPr>
            <w:tcW w:w="1690" w:type="dxa"/>
            <w:tcMar>
              <w:top w:w="80" w:type="dxa"/>
              <w:left w:w="80" w:type="dxa"/>
              <w:bottom w:w="80" w:type="dxa"/>
              <w:right w:w="80" w:type="dxa"/>
            </w:tcMar>
          </w:tcPr>
          <w:p w14:paraId="7C413276" w14:textId="77777777" w:rsidR="00167E7D" w:rsidRDefault="00000000">
            <w:pPr>
              <w:spacing w:after="20"/>
            </w:pPr>
            <w:r>
              <w:rPr>
                <w:sz w:val="17"/>
              </w:rPr>
              <w:t>[FENCE] Scope</w:t>
            </w:r>
          </w:p>
        </w:tc>
        <w:tc>
          <w:tcPr>
            <w:tcW w:w="7037" w:type="dxa"/>
            <w:tcMar>
              <w:top w:w="80" w:type="dxa"/>
              <w:left w:w="80" w:type="dxa"/>
              <w:bottom w:w="80" w:type="dxa"/>
              <w:right w:w="80" w:type="dxa"/>
            </w:tcMar>
          </w:tcPr>
          <w:p w14:paraId="6C39D432" w14:textId="77777777" w:rsidR="00167E7D" w:rsidRDefault="00000000">
            <w:pPr>
              <w:spacing w:after="20"/>
            </w:pPr>
            <w:r>
              <w:rPr>
                <w:sz w:val="17"/>
              </w:rPr>
              <w:t>The certificate is abelian, coefficient-dependent, boundary-model-dependent, and does not express structured nonabelian ownership.</w:t>
            </w:r>
          </w:p>
        </w:tc>
      </w:tr>
    </w:tbl>
    <w:p w14:paraId="531522EE" w14:textId="77777777" w:rsidR="00167E7D" w:rsidRDefault="00167E7D"/>
    <w:p w14:paraId="6CE9DF6C" w14:textId="77777777" w:rsidR="00167E7D" w:rsidRDefault="00000000">
      <w:pPr>
        <w:pStyle w:val="Heading1"/>
      </w:pPr>
      <w:r>
        <w:t>8. Operational Estimation Debt</w:t>
      </w:r>
    </w:p>
    <w:p w14:paraId="632D2B2B" w14:textId="77777777" w:rsidR="00167E7D" w:rsidRDefault="00000000">
      <w:r>
        <w:t>The theorem uses exact equality i*[alpha] = 0. A learned system observes finite samples, estimated cells, uncertain restriction maps, and contested boundary models. Replacing equality with an arbitrary threshold on ||i* alpha-hat|| would collapse the proposal back into ordinary loss gating. Any operational rule must calibrate practical zero from estimator uncertainty, discretization error, coefficient choice, and boundary uncertainty rather than from downstream reward.</w:t>
      </w:r>
    </w:p>
    <w:p w14:paraId="56DDF10E" w14:textId="77777777" w:rsidR="00167E7D" w:rsidRDefault="00000000">
      <w:r>
        <w:t>Over real coefficients and a chosen discrete Hodge structure, a harmonic representative can provide one analytic gauge for the boundary-visible component. This does not solve the inverse problem: the representative depends on the estimated complex, inner product, restriction maps, and boundary conditions, and Hodge theory does not supply a sampling distribution. A consistent and calibrated estimator is therefore an explicit [DEBT], not a contribution claimed by the paper. The concrete three-way spectral gate is developed in the companion fragment-retrieval paper; here it remains a possible operationalization rather than a second novelty claim.</w:t>
      </w:r>
    </w:p>
    <w:p w14:paraId="1B757729" w14:textId="77777777" w:rsidR="00167E7D" w:rsidRDefault="00000000">
      <w:pPr>
        <w:pStyle w:val="Heading1"/>
      </w:pPr>
      <w:r>
        <w:t>9. Verification Repository and Empirical Validation</w:t>
      </w:r>
    </w:p>
    <w:p w14:paraId="046927E8" w14:textId="77777777" w:rsidR="00167E7D" w:rsidRDefault="00000000">
      <w:pPr>
        <w:pStyle w:val="Heading2"/>
      </w:pPr>
      <w:r>
        <w:t>9.1 Companion verification repository</w:t>
      </w:r>
    </w:p>
    <w:p w14:paraId="512C91BF" w14:textId="77777777" w:rsidR="00167E7D" w:rsidRDefault="00000000">
      <w:r>
        <w:t>The designed examples belong in a companion reference implementation rather than carrying the manuscript's validation burden. The repository should compute exact chain and cochain matrices for finite pairs; verify im j* = ker i*; enumerate lift cosets; check cap-product degrees; compare integer and field coefficients; reproduce the SO(3) torsion case; test orientable and nonorientable examples; and compute boundary-visible profiles under boundary perturbation.</w:t>
      </w:r>
    </w:p>
    <w:p w14:paraId="35E03B82" w14:textId="77777777" w:rsidR="00167E7D" w:rsidRDefault="00000000">
      <w:r>
        <w:lastRenderedPageBreak/>
        <w:t>These are verification tests. Their domains are deliberately chosen to possess the topology consumed by the certificate. Passing them shows that the implementation is faithful; it does not show that learned memory representations naturally possess Poincaré structure.</w:t>
      </w:r>
    </w:p>
    <w:p w14:paraId="7657AC03" w14:textId="77777777" w:rsidR="00167E7D" w:rsidRDefault="00000000">
      <w:pPr>
        <w:pStyle w:val="Heading2"/>
      </w:pPr>
      <w:r>
        <w:t>9.2 Preregistered non-planted structural study</w:t>
      </w:r>
    </w:p>
    <w:p w14:paraId="1C6EDB5D" w14:textId="77777777" w:rsidR="00167E7D" w:rsidRDefault="00000000">
      <w:r>
        <w:t>The literal-memory thesis requires a topology-agnostic audit on learned representations. A result is disqualified as planted if the model receives known manifold coordinates, supplied dimension or boundary, task-specific complexes, target Betti numbers, or a topology-rewarding loss. The extractor and audit must be fixed before inspecting the expected topology of the target task. A candidate positive result must replicate across seeds, survive held-out trajectories, fail under geometry-destroying controls, and predict safe export, compression, route retention, or refusal.</w:t>
      </w:r>
    </w:p>
    <w:p w14:paraId="63E24464" w14:textId="77777777" w:rsidR="00167E7D" w:rsidRDefault="00000000">
      <w:r>
        <w:t>If no certificate fires, the framework becomes an applied-topology method for designed configuration spaces. If certificates fire but predict nothing, the topology is decorative. If only planted representations qualify, the method remains an engineering tool. Only non-planted predictive certificates support a claim about learned memory.</w:t>
      </w:r>
    </w:p>
    <w:p w14:paraId="7A66A6B6" w14:textId="77777777" w:rsidR="00167E7D" w:rsidRDefault="00000000">
      <w:pPr>
        <w:pStyle w:val="Heading2"/>
      </w:pPr>
      <w:r>
        <w:t>9.3 Topology-free boundary-invariance study</w:t>
      </w:r>
    </w:p>
    <w:p w14:paraId="4F169405" w14:textId="77777777" w:rsidR="00167E7D" w:rsidRDefault="00000000">
      <w:r>
        <w:t>The portable residue of the theory can be tested without a fundamental class: license transfer when the learned rule's predictive content is invariant to variables designated as acquisition context. Conditional-independence tests, interventions, environment shifts, and counterfactual boundary perturbations can compare this rule with uncertainty gating, ordinary replay, domain randomization, and invariant-learning baselines. A positive result would support the boundary principle even if literal Poincaré structure never emerges.</w:t>
      </w:r>
    </w:p>
    <w:p w14:paraId="3039600E" w14:textId="77777777" w:rsidR="00167E7D" w:rsidRDefault="00000000">
      <w:pPr>
        <w:pStyle w:val="Heading1"/>
      </w:pPr>
      <w:r>
        <w:t>10. Discussion</w:t>
      </w:r>
    </w:p>
    <w:p w14:paraId="2426C391" w14:textId="77777777" w:rsidR="00167E7D" w:rsidRDefault="00000000">
      <w:pPr>
        <w:pStyle w:val="Heading2"/>
      </w:pPr>
      <w:r>
        <w:t>10.1 What the theorem changes</w:t>
      </w:r>
    </w:p>
    <w:p w14:paraId="7E295A47" w14:textId="77777777" w:rsidR="00167E7D" w:rsidRDefault="00000000">
      <w:r>
        <w:t>The theorem changes the grammar of consolidation. A memory is not general because it was useful, often replayed, confidently predicted, or efficiently compressed. In the clean abelian model it is exportable because it lies in ker i*: it becomes invisible on the audited acquisition boundary and therefore admits a relative lift. The quotient H^k(M; A)/ker i* is not discarded error. It is exactly the boundary-visible content that must remain attached to provenance.</w:t>
      </w:r>
    </w:p>
    <w:p w14:paraId="1379565F" w14:textId="77777777" w:rsidR="00167E7D" w:rsidRDefault="00000000">
      <w:pPr>
        <w:pStyle w:val="Heading2"/>
      </w:pPr>
      <w:r>
        <w:t>10.2 Why Poincaré duality remains useful after demotion</w:t>
      </w:r>
    </w:p>
    <w:p w14:paraId="30F348AA" w14:textId="77777777" w:rsidR="00167E7D" w:rsidRDefault="00000000">
      <w:r>
        <w:t>Poincaré-Lefschetz duality is not a universal memory engine, but neither is it decorative. On an earned Poincaré pair it provides an exact degree-reversing construction of an absolute carrier from a boundary-compatible constraint. Configuration spaces of mechanisms, robot orientation spaces, and other designed geometric domains may provide the clearest initial jurisdiction.</w:t>
      </w:r>
    </w:p>
    <w:p w14:paraId="0037668C" w14:textId="77777777" w:rsidR="00167E7D" w:rsidRDefault="00000000">
      <w:pPr>
        <w:pStyle w:val="Heading2"/>
      </w:pPr>
      <w:r>
        <w:t>10.3 Falsification conditions</w:t>
      </w:r>
    </w:p>
    <w:p w14:paraId="6865B298" w14:textId="77777777" w:rsidR="00167E7D" w:rsidRDefault="00000000">
      <w:pPr>
        <w:pStyle w:val="ListBullet"/>
        <w:spacing w:after="40"/>
      </w:pPr>
      <w:r>
        <w:t>If learned representations never earn non-planted Poincaré-pair certificates, the literal-memory claim must be restricted to designed domains.</w:t>
      </w:r>
    </w:p>
    <w:p w14:paraId="208151BB" w14:textId="77777777" w:rsidR="00167E7D" w:rsidRDefault="00000000">
      <w:pPr>
        <w:pStyle w:val="ListBullet"/>
        <w:spacing w:after="40"/>
      </w:pPr>
      <w:r>
        <w:t>If earned certificates do not predict safe export better than simpler baselines, the Poincaré layer is not load-bearing.</w:t>
      </w:r>
    </w:p>
    <w:p w14:paraId="1C293300" w14:textId="77777777" w:rsidR="00167E7D" w:rsidRDefault="00000000">
      <w:pPr>
        <w:pStyle w:val="ListBullet"/>
        <w:spacing w:after="40"/>
      </w:pPr>
      <w:r>
        <w:t>If plausible boundary choices dominate the verdict and no stable admissible family can be defined, the license is too model-dependent for deployment.</w:t>
      </w:r>
    </w:p>
    <w:p w14:paraId="73964616" w14:textId="77777777" w:rsidR="00167E7D" w:rsidRDefault="00000000">
      <w:pPr>
        <w:pStyle w:val="ListBullet"/>
        <w:spacing w:after="40"/>
      </w:pPr>
      <w:r>
        <w:t>If boundary-invariance gating does not improve transfer decisions without literal topology, the portable conceptual claim is unsupported.</w:t>
      </w:r>
    </w:p>
    <w:p w14:paraId="670BB7F2" w14:textId="77777777" w:rsidR="00167E7D" w:rsidRDefault="00000000">
      <w:pPr>
        <w:pStyle w:val="ListBullet"/>
        <w:spacing w:after="40"/>
      </w:pPr>
      <w:r>
        <w:t>If a calibrated estimator cannot be constructed under realistic uncertainty, the exact theorem remains non-operational.</w:t>
      </w:r>
    </w:p>
    <w:p w14:paraId="479CA5CA" w14:textId="77777777" w:rsidR="00167E7D" w:rsidRDefault="00000000">
      <w:pPr>
        <w:pStyle w:val="Heading1"/>
      </w:pPr>
      <w:r>
        <w:lastRenderedPageBreak/>
        <w:t>11. Conclusion</w:t>
      </w:r>
    </w:p>
    <w:p w14:paraId="5F911F48" w14:textId="77777777" w:rsidR="00167E7D" w:rsidRDefault="00000000">
      <w:r>
        <w:t>The paper asks when a lesson may leave its context. On an audited abelian domain, the answer is exact: i*[alpha] = 0 if and only if [alpha] admits a relative lift. Exportable classes are ker i*, boundary-visible classes are im i*, and the quotient of the full constraint module by the exportable part is isomorphic to the boundary-visible image. When the pair additionally carries Poincaré structure, a chosen relative lift caps with the relative fundamental class to yield an absolute complementary-dimensional carrier; the dual form yields a relative carrier whose boundary remains pinned to the episode.</w:t>
      </w:r>
    </w:p>
    <w:p w14:paraId="5D69F262" w14:textId="77777777" w:rsidR="00167E7D" w:rsidRDefault="00000000">
      <w:r>
        <w:t>The theorem and interpretation should not be separated. The theorem alone is classical; the interpretation alone is unconstrained. Together they provide a falsifiable licensing rule and expose its own jurisdiction: coefficients matter, boundaries are audited models, nonabelian history is lost, and learned topology remains unproved. Designed spaces verify the reference implementation. Non-planted representations validate or falsify the literal memory claim. The theorem is complete; the system and the empirical claim are not.</w:t>
      </w:r>
    </w:p>
    <w:p w14:paraId="448482A7" w14:textId="77777777" w:rsidR="00167E7D" w:rsidRDefault="00000000">
      <w:pPr>
        <w:pStyle w:val="Heading1"/>
      </w:pPr>
      <w:r>
        <w:t>References</w:t>
      </w:r>
    </w:p>
    <w:p w14:paraId="2A950D79" w14:textId="77777777" w:rsidR="00167E7D" w:rsidRDefault="00000000">
      <w:pPr>
        <w:spacing w:after="60"/>
        <w:ind w:left="397" w:hanging="397"/>
      </w:pPr>
      <w:r>
        <w:t>Birman, J. S. (1974). Braids, links, and mapping class groups. Princeton University Press.</w:t>
      </w:r>
    </w:p>
    <w:p w14:paraId="33329567" w14:textId="77777777" w:rsidR="00167E7D" w:rsidRDefault="00000000">
      <w:pPr>
        <w:spacing w:after="60"/>
        <w:ind w:left="397" w:hanging="397"/>
      </w:pPr>
      <w:r>
        <w:t>Bredon, G. E. (1993). Topology and geometry. Springer. https://doi.org/10.1007/978-1-4757-6848-0</w:t>
      </w:r>
    </w:p>
    <w:p w14:paraId="369A5DF8" w14:textId="77777777" w:rsidR="00167E7D" w:rsidRDefault="00000000">
      <w:pPr>
        <w:spacing w:after="60"/>
        <w:ind w:left="397" w:hanging="397"/>
      </w:pPr>
      <w:r>
        <w:t>Brown, K. S. (1982). Cohomology of groups. Springer. https://doi.org/10.1007/978-1-4684-9327-6</w:t>
      </w:r>
    </w:p>
    <w:p w14:paraId="5B13CCDB" w14:textId="77777777" w:rsidR="00167E7D" w:rsidRDefault="00000000">
      <w:pPr>
        <w:spacing w:after="60"/>
        <w:ind w:left="397" w:hanging="397"/>
      </w:pPr>
      <w:r>
        <w:t>Chazal, F., de Silva, V., Glisse, M., &amp; Oudot, S. (2016). The structure and stability of persistence modules. Springer. https://doi.org/10.1007/978-3-319-42545-0</w:t>
      </w:r>
    </w:p>
    <w:p w14:paraId="21A6DEA1" w14:textId="77777777" w:rsidR="00167E7D" w:rsidRDefault="00000000">
      <w:pPr>
        <w:spacing w:after="60"/>
        <w:ind w:left="397" w:hanging="397"/>
      </w:pPr>
      <w:r>
        <w:t>Diekelmann, S., &amp; Born, J. (2010). The memory function of sleep. Nature Reviews Neuroscience, 11, 114-126. https://doi.org/10.1038/nrn2762</w:t>
      </w:r>
    </w:p>
    <w:p w14:paraId="19B77DA3" w14:textId="77777777" w:rsidR="00167E7D" w:rsidRDefault="00000000">
      <w:pPr>
        <w:spacing w:after="60"/>
        <w:ind w:left="397" w:hanging="397"/>
      </w:pPr>
      <w:r>
        <w:t>Edelsbrunner, H., &amp; Harer, J. (2010). Computational topology: An introduction. American Mathematical Society.</w:t>
      </w:r>
    </w:p>
    <w:p w14:paraId="2F5BA411" w14:textId="77777777" w:rsidR="00167E7D" w:rsidRDefault="00000000">
      <w:pPr>
        <w:spacing w:after="60"/>
        <w:ind w:left="397" w:hanging="397"/>
      </w:pPr>
      <w:r>
        <w:t>Fadell, E., &amp; Neuwirth, L. (1962). Configuration spaces. Mathematica Scandinavica, 10, 111-118. https://doi.org/10.7146/math.scand.a-10517</w:t>
      </w:r>
    </w:p>
    <w:p w14:paraId="69B1EF73" w14:textId="77777777" w:rsidR="00167E7D" w:rsidRDefault="00000000">
      <w:pPr>
        <w:spacing w:after="60"/>
        <w:ind w:left="397" w:hanging="397"/>
      </w:pPr>
      <w:r>
        <w:t>Ghosh, D. P. (2026). Hypercovering and descent: A thalamo-cortical algorithm for defensible multimodal gluing. ResearchGate. https://doi.org/10.13140/RG.2.2.31337.45929</w:t>
      </w:r>
    </w:p>
    <w:p w14:paraId="6A3BEF5C" w14:textId="77777777" w:rsidR="00167E7D" w:rsidRDefault="00000000">
      <w:pPr>
        <w:spacing w:after="60"/>
        <w:ind w:left="397" w:hanging="397"/>
      </w:pPr>
      <w:r>
        <w:t>Ghosh, D. P. (2026). Nerve-Attention: The simplicial domain of audit. ResearchGate. https://doi.org/10.13140/RG.2.2.27630.57925</w:t>
      </w:r>
    </w:p>
    <w:p w14:paraId="185A7B6F" w14:textId="77777777" w:rsidR="00167E7D" w:rsidRDefault="00000000">
      <w:pPr>
        <w:spacing w:after="60"/>
        <w:ind w:left="397" w:hanging="397"/>
      </w:pPr>
      <w:r>
        <w:t>Ghosh, D. P. (2026). The restriction vertex: The algebra of restriction, its realization as cortical feedback, and the executive veto. ResearchGate. https://doi.org/10.13140/RG.2.2.18717.68323</w:t>
      </w:r>
    </w:p>
    <w:p w14:paraId="623E1116" w14:textId="77777777" w:rsidR="00167E7D" w:rsidRDefault="00000000">
      <w:pPr>
        <w:spacing w:after="60"/>
        <w:ind w:left="397" w:hanging="397"/>
      </w:pPr>
      <w:r>
        <w:t>Giraud, J. (1971). Cohomologie non abelienne. Springer. https://doi.org/10.1007/BFb0062017</w:t>
      </w:r>
    </w:p>
    <w:p w14:paraId="022268F0" w14:textId="77777777" w:rsidR="00167E7D" w:rsidRDefault="00000000">
      <w:pPr>
        <w:spacing w:after="60"/>
        <w:ind w:left="397" w:hanging="397"/>
      </w:pPr>
      <w:r>
        <w:t>Hatcher, A. (2002). Algebraic topology. Cambridge University Press. https://pi.math.cornell.edu/~hatcher/AT/AT.pdf</w:t>
      </w:r>
    </w:p>
    <w:p w14:paraId="7D2080E5" w14:textId="77777777" w:rsidR="00167E7D" w:rsidRDefault="00000000">
      <w:pPr>
        <w:spacing w:after="60"/>
        <w:ind w:left="397" w:hanging="397"/>
      </w:pPr>
      <w:r>
        <w:t>Kumaran, D., Hassabis, D., &amp; McClelland, J. L. (2016). What learning systems do intelligent agents need? Complementary learning systems theory updated. Trends in Cognitive Sciences, 20(7), 512-534. https://doi.org/10.1016/j.tics.2016.05.004</w:t>
      </w:r>
    </w:p>
    <w:p w14:paraId="62FDDCDC" w14:textId="77777777" w:rsidR="00167E7D" w:rsidRDefault="00000000">
      <w:pPr>
        <w:spacing w:after="60"/>
        <w:ind w:left="397" w:hanging="397"/>
      </w:pPr>
      <w:r>
        <w:t>McClelland, J. L., McNaughton, B. L., &amp; O'Reilly, R. C. (1995). Why there are complementary learning systems in the hippocampus and neocortex. Psychological Review, 102(3), 419-457. https://doi.org/10.1037/0033-295X.102.3.419</w:t>
      </w:r>
    </w:p>
    <w:p w14:paraId="400EC4A8" w14:textId="77777777" w:rsidR="00167E7D" w:rsidRDefault="00000000">
      <w:pPr>
        <w:spacing w:after="60"/>
        <w:ind w:left="397" w:hanging="397"/>
      </w:pPr>
      <w:r>
        <w:t>Rasch, B., &amp; Born, J. (2013). About sleep's role in memory. Physiological Reviews, 93(2), 681-766. https://doi.org/10.1152/physrev.00032.2012</w:t>
      </w:r>
    </w:p>
    <w:p w14:paraId="119B279E" w14:textId="77777777" w:rsidR="00167E7D" w:rsidRDefault="00000000">
      <w:pPr>
        <w:spacing w:after="60"/>
        <w:ind w:left="397" w:hanging="397"/>
      </w:pPr>
      <w:r>
        <w:t>Spanier, E. H. (1966). Algebraic topology. McGraw-Hill.</w:t>
      </w:r>
    </w:p>
    <w:p w14:paraId="084B8FED" w14:textId="77777777" w:rsidR="00167E7D" w:rsidRDefault="00000000">
      <w:pPr>
        <w:spacing w:after="60"/>
        <w:ind w:left="397" w:hanging="397"/>
      </w:pPr>
      <w:r>
        <w:t>Weibel, C. A. (1994). An introduction to homological algebra. Cambridge University Press. https://doi.org/10.1017/CBO9781139644136</w:t>
      </w:r>
    </w:p>
    <w:sectPr w:rsidR="00167E7D" w:rsidSect="00034616">
      <w:headerReference w:type="default" r:id="rId10"/>
      <w:footerReference w:type="default" r:id="rId11"/>
      <w:pgSz w:w="11906" w:h="16838"/>
      <w:pgMar w:top="1304" w:right="1417" w:bottom="1247"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AC28" w14:textId="77777777" w:rsidR="00D82367" w:rsidRDefault="00D82367">
      <w:pPr>
        <w:spacing w:after="0" w:line="240" w:lineRule="auto"/>
      </w:pPr>
      <w:r>
        <w:separator/>
      </w:r>
    </w:p>
  </w:endnote>
  <w:endnote w:type="continuationSeparator" w:id="0">
    <w:p w14:paraId="2FC4DBF1" w14:textId="77777777" w:rsidR="00D82367" w:rsidRDefault="00D82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8B08" w14:textId="77777777" w:rsidR="00167E7D" w:rsidRDefault="00000000">
    <w:pPr>
      <w:pStyle w:val="Footer"/>
      <w:jc w:val="center"/>
    </w:pPr>
    <w:r>
      <w:fldChar w:fldCharType="begin"/>
    </w:r>
    <w:r>
      <w:instrText xml:space="preserve"> PAGE </w:instrText>
    </w:r>
    <w:r w:rsidR="00D51BD9">
      <w:fldChar w:fldCharType="separate"/>
    </w:r>
    <w:r w:rsidR="00D51B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53D5" w14:textId="77777777" w:rsidR="00D82367" w:rsidRDefault="00D82367">
      <w:pPr>
        <w:spacing w:after="0" w:line="240" w:lineRule="auto"/>
      </w:pPr>
      <w:r>
        <w:separator/>
      </w:r>
    </w:p>
  </w:footnote>
  <w:footnote w:type="continuationSeparator" w:id="0">
    <w:p w14:paraId="5372E599" w14:textId="77777777" w:rsidR="00D82367" w:rsidRDefault="00D82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0EF1" w14:textId="77777777" w:rsidR="00167E7D" w:rsidRDefault="00000000">
    <w:pPr>
      <w:pStyle w:val="Header"/>
      <w:jc w:val="center"/>
    </w:pPr>
    <w:r>
      <w:rPr>
        <w:rFonts w:ascii="Cambria" w:hAnsi="Cambria"/>
        <w:i/>
        <w:color w:val="5A5A5A"/>
        <w:sz w:val="16"/>
      </w:rPr>
      <w:t>Boundary-Visible Cohomology and Memory Export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003421">
    <w:abstractNumId w:val="8"/>
  </w:num>
  <w:num w:numId="2" w16cid:durableId="842277808">
    <w:abstractNumId w:val="6"/>
  </w:num>
  <w:num w:numId="3" w16cid:durableId="1668092275">
    <w:abstractNumId w:val="5"/>
  </w:num>
  <w:num w:numId="4" w16cid:durableId="214126764">
    <w:abstractNumId w:val="4"/>
  </w:num>
  <w:num w:numId="5" w16cid:durableId="2027291409">
    <w:abstractNumId w:val="7"/>
  </w:num>
  <w:num w:numId="6" w16cid:durableId="2014604024">
    <w:abstractNumId w:val="3"/>
  </w:num>
  <w:num w:numId="7" w16cid:durableId="2018926189">
    <w:abstractNumId w:val="2"/>
  </w:num>
  <w:num w:numId="8" w16cid:durableId="2146700320">
    <w:abstractNumId w:val="1"/>
  </w:num>
  <w:num w:numId="9" w16cid:durableId="1552690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DB5"/>
    <w:rsid w:val="0015074B"/>
    <w:rsid w:val="00167E7D"/>
    <w:rsid w:val="0029639D"/>
    <w:rsid w:val="00326F90"/>
    <w:rsid w:val="0049459A"/>
    <w:rsid w:val="007953F1"/>
    <w:rsid w:val="008F5B5C"/>
    <w:rsid w:val="00AA1D8D"/>
    <w:rsid w:val="00B47730"/>
    <w:rsid w:val="00CB0664"/>
    <w:rsid w:val="00D51BD9"/>
    <w:rsid w:val="00D82367"/>
    <w:rsid w:val="00E1019A"/>
    <w:rsid w:val="00EA4C53"/>
    <w:rsid w:val="00EC7C10"/>
    <w:rsid w:val="00F109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7800C"/>
  <w14:defaultImageDpi w14:val="300"/>
  <w15:docId w15:val="{EAE3CA72-6502-4EE5-982C-E64BB49C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00"/>
      <w:jc w:val="center"/>
    </w:pPr>
    <w:rPr>
      <w:rFonts w:ascii="Cambria Math" w:eastAsia="Cambria Math" w:hAnsi="Cambria Math"/>
      <w:sz w:val="21"/>
    </w:rPr>
  </w:style>
  <w:style w:type="paragraph" w:customStyle="1" w:styleId="CaptionText">
    <w:name w:val="CaptionText"/>
    <w:pPr>
      <w:spacing w:after="120"/>
      <w:jc w:val="center"/>
    </w:pPr>
    <w:rPr>
      <w:rFonts w:ascii="Times New Roman" w:hAnsi="Times New Roman"/>
      <w:i/>
      <w:sz w:val="18"/>
    </w:rPr>
  </w:style>
  <w:style w:type="character" w:styleId="Hyperlink">
    <w:name w:val="Hyperlink"/>
    <w:basedOn w:val="DefaultParagraphFont"/>
    <w:uiPriority w:val="99"/>
    <w:unhideWhenUsed/>
    <w:rsid w:val="0049459A"/>
    <w:rPr>
      <w:color w:val="0000FF" w:themeColor="hyperlink"/>
      <w:u w:val="single"/>
    </w:rPr>
  </w:style>
  <w:style w:type="character" w:styleId="UnresolvedMention">
    <w:name w:val="Unresolved Mention"/>
    <w:basedOn w:val="DefaultParagraphFont"/>
    <w:uiPriority w:val="99"/>
    <w:semiHidden/>
    <w:unhideWhenUsed/>
    <w:rsid w:val="00494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3140/RG.2.2.27865.484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3903</Words>
  <Characters>22248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Boundary-Visible Cohomology: An Exact Criterion for Exporting Learned Memory from Its Acquisition Context</vt:lpstr>
    </vt:vector>
  </TitlesOfParts>
  <Manager/>
  <Company/>
  <LinksUpToDate>false</LinksUpToDate>
  <CharactersWithSpaces>26099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Boundary-Visible Cohomology: An Exact Criterion for Exporting Learned Memory from Its Acquisition Context</dc:title>
  <dc:subject>Conceptual paper on memory export, relative cohomology, and Poincare-Lefschetz duality</dc:subject>
  <dc:creator>Debi Prasad Ghosh</dc:creator>
  <cp:keywords>relative cohomology, memory consolidation, Poincare-Lefschetz duality, context dependence</cp:keywords>
  <dc:description>generated by python-docx</dc:description>
  <cp:lastModifiedBy>Debiprasad Ghosh</cp:lastModifiedBy>
  <cp:revision>8</cp:revision>
  <cp:lastPrinted>2026-07-24T14:21:00Z</cp:lastPrinted>
  <dcterms:created xsi:type="dcterms:W3CDTF">2013-12-23T23:15:00Z</dcterms:created>
  <dcterms:modified xsi:type="dcterms:W3CDTF">2026-07-24T14:24:00Z</dcterms:modified>
  <cp:category/>
</cp:coreProperties>
</file>