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73AEB" w14:textId="77777777" w:rsidR="00F874B8" w:rsidRPr="004F587E" w:rsidRDefault="00000000" w:rsidP="004F587E">
      <w:pPr>
        <w:jc w:val="center"/>
        <w:rPr>
          <w:sz w:val="72"/>
          <w:szCs w:val="72"/>
        </w:rPr>
      </w:pPr>
      <w:r w:rsidRPr="004F587E">
        <w:rPr>
          <w:sz w:val="72"/>
          <w:szCs w:val="72"/>
        </w:rPr>
        <w:t>Carrier, Constraint, Contact</w:t>
      </w:r>
    </w:p>
    <w:p w14:paraId="21FC503F" w14:textId="77777777" w:rsidR="00F874B8" w:rsidRDefault="00000000" w:rsidP="004F587E">
      <w:pPr>
        <w:spacing w:after="60"/>
        <w:jc w:val="center"/>
        <w:rPr>
          <w:i/>
          <w:iCs/>
          <w:sz w:val="26"/>
          <w:szCs w:val="26"/>
        </w:rPr>
      </w:pPr>
      <w:r>
        <w:rPr>
          <w:i/>
          <w:iCs/>
          <w:sz w:val="26"/>
          <w:szCs w:val="26"/>
        </w:rPr>
        <w:t>The journey to (and from) the Poincaré Duality Network, and what it taught</w:t>
      </w:r>
    </w:p>
    <w:p w14:paraId="1E4F1634" w14:textId="14D14BE3" w:rsidR="004F587E" w:rsidRDefault="00A23DFF" w:rsidP="004F587E">
      <w:pPr>
        <w:spacing w:after="60"/>
        <w:jc w:val="center"/>
      </w:pPr>
      <w:r>
        <w:t xml:space="preserve">Debi Prasad Ghosh, </w:t>
      </w:r>
      <w:hyperlink r:id="rId7" w:history="1">
        <w:r w:rsidRPr="0005481C">
          <w:rPr>
            <w:rStyle w:val="Hyperlink"/>
          </w:rPr>
          <w:t>debiprasadghosh@gmail.com</w:t>
        </w:r>
      </w:hyperlink>
      <w:r>
        <w:t xml:space="preserve"> </w:t>
      </w:r>
    </w:p>
    <w:p w14:paraId="7AF5E644" w14:textId="2C9EFF49" w:rsidR="00A23DFF" w:rsidRPr="004F587E" w:rsidRDefault="006C6171" w:rsidP="004F587E">
      <w:pPr>
        <w:spacing w:after="60"/>
        <w:jc w:val="center"/>
      </w:pPr>
      <w:hyperlink r:id="rId8" w:history="1">
        <w:r w:rsidRPr="0005481C">
          <w:rPr>
            <w:rStyle w:val="Hyperlink"/>
          </w:rPr>
          <w:t>https://doi.org/10.13140/RG.2.2.22058.99524</w:t>
        </w:r>
      </w:hyperlink>
      <w:r>
        <w:t xml:space="preserve"> </w:t>
      </w:r>
    </w:p>
    <w:p w14:paraId="47466584" w14:textId="77777777" w:rsidR="00F874B8" w:rsidRDefault="00000000" w:rsidP="000A1F42">
      <w:pPr>
        <w:pStyle w:val="Heading1"/>
        <w:keepNext/>
        <w:spacing w:before="340" w:after="150"/>
        <w:jc w:val="both"/>
      </w:pPr>
      <w:r>
        <w:rPr>
          <w:b/>
          <w:bCs/>
          <w:color w:val="1F3864"/>
          <w:sz w:val="30"/>
          <w:szCs w:val="30"/>
        </w:rPr>
        <w:t>Abstract</w:t>
      </w:r>
    </w:p>
    <w:p w14:paraId="72B1648C" w14:textId="77777777" w:rsidR="00F874B8" w:rsidRDefault="00000000" w:rsidP="000A1F42">
      <w:pPr>
        <w:spacing w:after="150" w:line="300" w:lineRule="auto"/>
        <w:jc w:val="both"/>
      </w:pPr>
      <w:r>
        <w:t>The Poincaré Duality Network (PDN) began as an attempted substitute for the Transformer/GPT architecture. Its originating premise was that, if intelligence is carried by the topology of relations among tokens rather than by token coordinates alone, then homology and cohomology might transfer that structure into an algebraic form that is easier to inspect, audit, and control. Homology was initially cast as an encoder of structural carriers, cohomology as a decoder of constraints, and Poincaré duality as the law binding them into one audited object. Subjected to several rounds of adversarial critique, the proposal lost every one of these grand architectural claims and, in exchange, gained precision. What survived is not a replacement for GPT, not a new general architecture, and not a theory of mind, but a narrow and falsifiable question: when is a topology-aware network licensed to trust its own topological reasoning, and does gating on a topological quantity beat gating on a generic uncertainty estimate? That question is testable in a weeks-long experiment on triangulated surfaces.</w:t>
      </w:r>
    </w:p>
    <w:p w14:paraId="1A6B48C5" w14:textId="77777777" w:rsidR="00F874B8" w:rsidRDefault="00000000" w:rsidP="000A1F42">
      <w:pPr>
        <w:spacing w:after="150" w:line="300" w:lineRule="auto"/>
        <w:jc w:val="both"/>
      </w:pPr>
      <w:r>
        <w:t>This paper documents that arc and extracts the transferable lessons. The central one is uncomfortable and general: in machine-learning theory, an idea earns the right to exist by naming the baseline it beats and the harm it prevents. Everything else — however elegant, however correct — is elaboration. The path from the original token-topology premise to a defensible experiment runs through subtraction, not addition.</w:t>
      </w:r>
    </w:p>
    <w:p w14:paraId="20D3756D" w14:textId="77777777" w:rsidR="00F874B8" w:rsidRDefault="00F874B8" w:rsidP="000A1F42">
      <w:pPr>
        <w:pBdr>
          <w:bottom w:val="single" w:sz="6" w:space="1" w:color="CCCCCC"/>
        </w:pBdr>
        <w:spacing w:before="100" w:after="180"/>
        <w:jc w:val="both"/>
      </w:pPr>
    </w:p>
    <w:p w14:paraId="6B4C917D" w14:textId="77777777" w:rsidR="00F874B8" w:rsidRDefault="00000000" w:rsidP="000A1F42">
      <w:pPr>
        <w:pStyle w:val="Heading1"/>
        <w:keepNext/>
        <w:spacing w:before="340" w:after="150"/>
        <w:jc w:val="both"/>
      </w:pPr>
      <w:r>
        <w:rPr>
          <w:b/>
          <w:bCs/>
          <w:color w:val="1F3864"/>
          <w:sz w:val="30"/>
          <w:szCs w:val="30"/>
        </w:rPr>
        <w:t>Prerequisites — an extended primer</w:t>
      </w:r>
    </w:p>
    <w:p w14:paraId="73765FC5" w14:textId="77777777" w:rsidR="00F874B8" w:rsidRDefault="00000000" w:rsidP="000A1F42">
      <w:pPr>
        <w:spacing w:after="150" w:line="300" w:lineRule="auto"/>
        <w:jc w:val="both"/>
      </w:pPr>
      <w:r>
        <w:t>The argument below moves quickly through three bodies of knowledge: algebraic topology, topological deep learning, and distribution-free uncertainty estimation. A reader fluent in all three can skip to the Introduction. This section supplies the working minimum for everyone else and, wherever it can, points forward to the moment in the paper where each idea earns its place. It is deliberately more expansive than a glossary, because most of the paper's lessons are lessons about how these specific structures behave — and behave counterintuitively — under the pressure of trying to build something with them.</w:t>
      </w:r>
    </w:p>
    <w:p w14:paraId="1F44F00B" w14:textId="77777777" w:rsidR="00F874B8" w:rsidRDefault="00000000" w:rsidP="000A1F42">
      <w:pPr>
        <w:pStyle w:val="Heading2"/>
        <w:keepNext/>
        <w:jc w:val="both"/>
      </w:pPr>
      <w:r>
        <w:t>The originating premise: PDN as a substitute for Transformer/GPT</w:t>
      </w:r>
    </w:p>
    <w:p w14:paraId="32B9A9FE" w14:textId="77777777" w:rsidR="00F874B8" w:rsidRPr="000A1F42" w:rsidRDefault="00000000" w:rsidP="000A1F42">
      <w:pPr>
        <w:jc w:val="both"/>
        <w:rPr>
          <w:rFonts w:asciiTheme="minorHAnsi" w:hAnsiTheme="minorHAnsi" w:cstheme="minorHAnsi"/>
        </w:rPr>
      </w:pPr>
      <w:r w:rsidRPr="000A1F42">
        <w:rPr>
          <w:rFonts w:asciiTheme="minorHAnsi" w:hAnsiTheme="minorHAnsi" w:cstheme="minorHAnsi"/>
        </w:rPr>
        <w:t xml:space="preserve">The PDN was first proposed as a replacement for, rather than an auxiliary module inside, the Transformer/GPT family. A Transformer represents tokens as vectors and repeatedly mixes them through learned projections, inner products, normalization, and residual transport. GPT is a decoder-only member of that family: it predicts the next token from a causally restricted history. The original PDN proposal asked whether a different mathematical substrate could carry general intelligence more transparently. Instead of treating intelligence primarily as a trajectory through a high-dimensional vector space, it treated intelligence as potentially residing in the topology of relations among tokens: </w:t>
      </w:r>
      <w:r w:rsidRPr="000A1F42">
        <w:rPr>
          <w:rFonts w:asciiTheme="minorHAnsi" w:hAnsiTheme="minorHAnsi" w:cstheme="minorHAnsi"/>
        </w:rPr>
        <w:lastRenderedPageBreak/>
        <w:t>which tokens are near, which neighborhoods overlap, which collections form genuine higher-order contacts, which paths are equivalent, and which loops or cavities persist.</w:t>
      </w:r>
    </w:p>
    <w:p w14:paraId="17BB4081" w14:textId="77777777" w:rsidR="00F874B8" w:rsidRPr="000A1F42" w:rsidRDefault="00000000" w:rsidP="000A1F42">
      <w:pPr>
        <w:jc w:val="both"/>
        <w:rPr>
          <w:rFonts w:asciiTheme="minorHAnsi" w:hAnsiTheme="minorHAnsi" w:cstheme="minorHAnsi"/>
        </w:rPr>
      </w:pPr>
      <w:r w:rsidRPr="000A1F42">
        <w:rPr>
          <w:rFonts w:asciiTheme="minorHAnsi" w:hAnsiTheme="minorHAnsi" w:cstheme="minorHAnsi"/>
        </w:rPr>
        <w:t>The motivating conjecture was therefore: if intelligence is encoded in token topology, then (co)homological constructions may transfer part of that intelligence into token algebra. Once represented algebraically, the system might expose cycles, boundaries, kernels, images, quotients, exactness failures, and obstruction classes as explicit objects. An AGI expressed through such algebraic structure might be easier to track, audit, and constrain than an AGI represented only as an opaque point moving through a learned topological or vector space. This is the premise that launched the paper. It is not the result the paper ultimately establishes.</w:t>
      </w:r>
    </w:p>
    <w:p w14:paraId="05A6566E" w14:textId="77777777" w:rsidR="00F874B8" w:rsidRDefault="00000000" w:rsidP="000A1F42">
      <w:pPr>
        <w:pStyle w:val="Heading2"/>
        <w:keepNext/>
        <w:jc w:val="both"/>
      </w:pPr>
      <w:r>
        <w:t>Homology and cohomology as functorial transfers</w:t>
      </w:r>
    </w:p>
    <w:p w14:paraId="594E6AF6" w14:textId="77777777" w:rsidR="00F874B8" w:rsidRPr="000A1F42" w:rsidRDefault="00000000" w:rsidP="000A1F42">
      <w:pPr>
        <w:jc w:val="both"/>
        <w:rPr>
          <w:rFonts w:asciiTheme="minorHAnsi" w:hAnsiTheme="minorHAnsi" w:cstheme="minorHAnsi"/>
        </w:rPr>
      </w:pPr>
      <w:r w:rsidRPr="000A1F42">
        <w:rPr>
          <w:rFonts w:asciiTheme="minorHAnsi" w:hAnsiTheme="minorHAnsi" w:cstheme="minorHAnsi"/>
        </w:rPr>
        <w:t>Homology is a functor from a suitable category of topological spaces to a category of graded algebraic objects. For each degree k, it assigns a space X an abelian group or module Hₖ(X), and it assigns a continuous map f: X → Y a homomorphism Hₖ(f): Hₖ(X) → Hₖ(Y). It preserves identity maps and composition. In a computational setting, one usually replaces the continuous space by a finite simplicial or cellular complex K and computes Hₖ(K) from boundary matrices. Cohomology supplies the contravariant dual construction, assigning cohomology groups Hᵏ(K) and pulling algebraic observables backward along maps.</w:t>
      </w:r>
    </w:p>
    <w:p w14:paraId="306A57A1" w14:textId="77777777" w:rsidR="00F874B8" w:rsidRPr="000A1F42" w:rsidRDefault="00000000" w:rsidP="000A1F42">
      <w:pPr>
        <w:jc w:val="both"/>
        <w:rPr>
          <w:rFonts w:asciiTheme="minorHAnsi" w:hAnsiTheme="minorHAnsi" w:cstheme="minorHAnsi"/>
        </w:rPr>
      </w:pPr>
      <w:r w:rsidRPr="000A1F42">
        <w:rPr>
          <w:rFonts w:asciiTheme="minorHAnsi" w:hAnsiTheme="minorHAnsi" w:cstheme="minorHAnsi"/>
        </w:rPr>
        <w:t>The phrase transfer into algebra must be read carefully. Homology does not preserve all information about a topological space. Different non-homeomorphic, and even non-homotopy-equivalent, spaces can have the same homology groups. Homology deliberately forgets metric detail, coordinates, local geometry, and much semantic content so that deformation-stable structure becomes visible. The original premise is therefore not that homology converts the whole of intelligence without loss. It is that it may extract algebraic invariants of token organization that are easier to expose and audit than the underlying relational geometry.</w:t>
      </w:r>
    </w:p>
    <w:p w14:paraId="7AB0836B" w14:textId="77777777" w:rsidR="00F874B8" w:rsidRDefault="00000000" w:rsidP="000A1F42">
      <w:pPr>
        <w:pStyle w:val="Heading2"/>
        <w:keepNext/>
        <w:jc w:val="both"/>
      </w:pPr>
      <w:r>
        <w:t>What token topology would have to mean</w:t>
      </w:r>
    </w:p>
    <w:p w14:paraId="60AE8818" w14:textId="77777777" w:rsidR="00F874B8" w:rsidRPr="000A1F42" w:rsidRDefault="00000000" w:rsidP="000A1F42">
      <w:pPr>
        <w:jc w:val="both"/>
        <w:rPr>
          <w:rFonts w:asciiTheme="minorHAnsi" w:hAnsiTheme="minorHAnsi" w:cstheme="minorHAnsi"/>
        </w:rPr>
      </w:pPr>
      <w:r w:rsidRPr="000A1F42">
        <w:rPr>
          <w:rFonts w:asciiTheme="minorHAnsi" w:hAnsiTheme="minorHAnsi" w:cstheme="minorHAnsi"/>
        </w:rPr>
        <w:t>Token topology cannot mean merely that token embeddings have pairwise similarities. A matrix of attention scores supplies a weighted graph, or 1-skeleton: tokens are vertices and strong pairwise relations are edges. Homology in dimensions above one requires higher cells or simplices, and those must represent genuine joint contacts. Three pairwise-compatible tokens do not automatically form a witnessed triple overlap. Treating every clique as a simplex silently replaces a Čech-type nerve with a Vietoris-Rips completion and may invent the very domain on which the topological conclusion is later computed.</w:t>
      </w:r>
    </w:p>
    <w:p w14:paraId="22A7F409" w14:textId="77777777" w:rsidR="00F874B8" w:rsidRPr="000A1F42" w:rsidRDefault="00000000" w:rsidP="000A1F42">
      <w:pPr>
        <w:jc w:val="both"/>
        <w:rPr>
          <w:rFonts w:asciiTheme="minorHAnsi" w:hAnsiTheme="minorHAnsi" w:cstheme="minorHAnsi"/>
        </w:rPr>
      </w:pPr>
      <w:r w:rsidRPr="000A1F42">
        <w:rPr>
          <w:rFonts w:asciiTheme="minorHAnsi" w:hAnsiTheme="minorHAnsi" w:cstheme="minorHAnsi"/>
        </w:rPr>
        <w:t>A serious token-topology architecture must therefore specify how its open sets, intersections, simplices, cells, or restriction domains are obtained. The topology may be supplied by a physical mesh, a document hierarchy, a causal structure, a typed knowledge system, or a learned construction with independently testable joint-overlap witnesses. Without such a domain, the statement that intelligence lies in token topology remains a metaphor rather than an implementable premise.</w:t>
      </w:r>
    </w:p>
    <w:p w14:paraId="2049C5A7" w14:textId="77777777" w:rsidR="00F874B8" w:rsidRDefault="00000000" w:rsidP="000A1F42">
      <w:pPr>
        <w:pStyle w:val="Heading2"/>
        <w:keepNext/>
        <w:jc w:val="both"/>
      </w:pPr>
      <w:r>
        <w:t>From token topology to token algebra</w:t>
      </w:r>
    </w:p>
    <w:p w14:paraId="49305CFA" w14:textId="77777777" w:rsidR="00F874B8" w:rsidRPr="000A1F42" w:rsidRDefault="00000000" w:rsidP="000A1F42">
      <w:pPr>
        <w:jc w:val="both"/>
        <w:rPr>
          <w:rFonts w:asciiTheme="minorHAnsi" w:hAnsiTheme="minorHAnsi" w:cstheme="minorHAnsi"/>
        </w:rPr>
      </w:pPr>
      <w:r w:rsidRPr="000A1F42">
        <w:rPr>
          <w:rFonts w:asciiTheme="minorHAnsi" w:hAnsiTheme="minorHAnsi" w:cstheme="minorHAnsi"/>
        </w:rPr>
        <w:t>Given a legitimate complex K, token algebra begins with chain groups Cₖ(K), boundary operators ∂ₖ, cochain groups Cᵏ(K), and coboundary operators δᵏ. Homology records cycles modulo boundaries; cohomology records closed observables modulo exact ones. With chosen inner products, the Hodge Laplacian separates gradient-like, harmonic, and curl-like components. These objects turn some structural questions into finite linear algebra: whether a predicted flow contains nonzero circulation, whether a local assignment is closed, how far it lies from the exact subspace, or whether a topology-changing corruption has altered a Betti number.</w:t>
      </w:r>
    </w:p>
    <w:p w14:paraId="5F6BBD55" w14:textId="77777777" w:rsidR="00F874B8" w:rsidRPr="000A1F42" w:rsidRDefault="00000000" w:rsidP="000A1F42">
      <w:pPr>
        <w:jc w:val="both"/>
        <w:rPr>
          <w:rFonts w:asciiTheme="minorHAnsi" w:hAnsiTheme="minorHAnsi" w:cstheme="minorHAnsi"/>
        </w:rPr>
      </w:pPr>
      <w:r w:rsidRPr="000A1F42">
        <w:rPr>
          <w:rFonts w:asciiTheme="minorHAnsi" w:hAnsiTheme="minorHAnsi" w:cstheme="minorHAnsi"/>
        </w:rPr>
        <w:t>This algebraic visibility is the strongest surviving motivation for the PDN program. Algebra offers explicit maps and quotients, inspectable matrices, computable residuals, and typed failure modes. It can reveal a structural inconsistency that a pointwise prediction loss does not see. But algebra does not automatically provide semantics, agency, planning, memory, or general intelligence. It makes selected invariants trackable; it does not make the complete intelligent system transparent.</w:t>
      </w:r>
    </w:p>
    <w:p w14:paraId="434B4FE7" w14:textId="77777777" w:rsidR="00F874B8" w:rsidRDefault="00000000" w:rsidP="000A1F42">
      <w:pPr>
        <w:pStyle w:val="Heading2"/>
        <w:keepNext/>
        <w:jc w:val="both"/>
      </w:pPr>
      <w:r>
        <w:lastRenderedPageBreak/>
        <w:t>Why algebra may be easier to audit - and where it is not</w:t>
      </w:r>
    </w:p>
    <w:p w14:paraId="3B452B95" w14:textId="77777777" w:rsidR="00F874B8" w:rsidRPr="000A1F42" w:rsidRDefault="00000000" w:rsidP="000A1F42">
      <w:pPr>
        <w:jc w:val="both"/>
        <w:rPr>
          <w:rFonts w:asciiTheme="minorHAnsi" w:hAnsiTheme="minorHAnsi" w:cstheme="minorHAnsi"/>
        </w:rPr>
      </w:pPr>
      <w:r w:rsidRPr="000A1F42">
        <w:rPr>
          <w:rFonts w:asciiTheme="minorHAnsi" w:hAnsiTheme="minorHAnsi" w:cstheme="minorHAnsi"/>
        </w:rPr>
        <w:t>The phrase easier to track has four intended meanings. First, algebraic operators can be inspected: a boundary matrix and its ranks are concrete objects. Second, invariants can be compared across perturbations: connected components, cycles, harmonic components, and obstruction residuals can be monitored explicitly. Third, release conditions can be typed: a proposal may fail because it is not closed, because it is closed but non-exact, or because the numerical evidence is insufficient. Fourth, functorial maps can preserve a record of how structure changes under a transformation.</w:t>
      </w:r>
    </w:p>
    <w:p w14:paraId="67A5C4B9" w14:textId="77777777" w:rsidR="00F874B8" w:rsidRPr="000A1F42" w:rsidRDefault="00000000" w:rsidP="000A1F42">
      <w:pPr>
        <w:jc w:val="both"/>
        <w:rPr>
          <w:rFonts w:asciiTheme="minorHAnsi" w:hAnsiTheme="minorHAnsi" w:cstheme="minorHAnsi"/>
        </w:rPr>
      </w:pPr>
      <w:r w:rsidRPr="000A1F42">
        <w:rPr>
          <w:rFonts w:asciiTheme="minorHAnsi" w:hAnsiTheme="minorHAnsi" w:cstheme="minorHAnsi"/>
        </w:rPr>
        <w:t>The qualification is equally important. The algebra is only as trustworthy as the complex, coefficient system, orientation, scale, and resolution from which it was constructed. Homology may remain unchanged while task-relevant geometry changes catastrophically. A coarse cover may return a false zero. A high-dimensional learned latent complex may not admit a decidable manifold certificate. Algebra makes some properties explicit while hiding others. It is an audit surface, not a complete account of intelligence.</w:t>
      </w:r>
    </w:p>
    <w:p w14:paraId="5D78E5FD" w14:textId="77777777" w:rsidR="00F874B8" w:rsidRDefault="00000000" w:rsidP="000A1F42">
      <w:pPr>
        <w:pStyle w:val="Heading2"/>
        <w:keepNext/>
        <w:jc w:val="both"/>
      </w:pPr>
      <w:r>
        <w:t>Premise, hypothesis, and result</w:t>
      </w:r>
    </w:p>
    <w:p w14:paraId="021C13A0" w14:textId="77777777" w:rsidR="00F874B8" w:rsidRPr="000A1F42" w:rsidRDefault="00000000" w:rsidP="000A1F42">
      <w:pPr>
        <w:jc w:val="both"/>
        <w:rPr>
          <w:rFonts w:asciiTheme="minorHAnsi" w:hAnsiTheme="minorHAnsi" w:cstheme="minorHAnsi"/>
        </w:rPr>
      </w:pPr>
      <w:r w:rsidRPr="000A1F42">
        <w:rPr>
          <w:rFonts w:asciiTheme="minorHAnsi" w:hAnsiTheme="minorHAnsi" w:cstheme="minorHAnsi"/>
        </w:rPr>
        <w:t>The paper therefore uses three distinct levels of commitment. The premise is the original motivation: intelligence may be partly carried by token topology, and (co)homological functors may expose useful algebraic invariants of that structure. The research hypothesis is narrower: on tasks whose harm is genuinely topological, a topological release gate may detect unsafe outputs that a generic task-error uncertainty gate misses. The result of the present paper is narrower still: it is a lessons-learned analysis showing how the proposed Transformer substitute collapsed into a small comparison between a harmonic-residual gate and a conformal/selective-prediction baseline on low-dimensional supplied complexes.</w:t>
      </w:r>
    </w:p>
    <w:p w14:paraId="0A298625" w14:textId="77777777" w:rsidR="00F874B8" w:rsidRPr="000A1F42" w:rsidRDefault="00000000" w:rsidP="000A1F42">
      <w:pPr>
        <w:jc w:val="both"/>
        <w:rPr>
          <w:rFonts w:asciiTheme="minorHAnsi" w:hAnsiTheme="minorHAnsi" w:cstheme="minorHAnsi"/>
        </w:rPr>
      </w:pPr>
      <w:r w:rsidRPr="000A1F42">
        <w:rPr>
          <w:rFonts w:asciiTheme="minorHAnsi" w:hAnsiTheme="minorHAnsi" w:cstheme="minorHAnsi"/>
        </w:rPr>
        <w:t>Accordingly, the reader should not interpret the prerequisite that follows as evidence that PDN has replaced GPT, or that AGI has been transferred from topology to algebra. The prerequisite explains why that proposal was initially plausible, which mathematical structures it invoked, and why the subsequent critique forced its claims to shrink. The final experiment tests whether one algebraic topological quantity earns a place in one decision problem. The larger AGI premise remains motivation only.</w:t>
      </w:r>
    </w:p>
    <w:p w14:paraId="760BE294" w14:textId="77777777" w:rsidR="00F874B8" w:rsidRDefault="00000000" w:rsidP="000A1F42">
      <w:pPr>
        <w:pStyle w:val="Heading2"/>
        <w:keepNext/>
        <w:spacing w:before="220" w:after="80"/>
        <w:jc w:val="both"/>
      </w:pPr>
      <w:r>
        <w:rPr>
          <w:b/>
          <w:bCs/>
          <w:color w:val="222230"/>
          <w:sz w:val="24"/>
          <w:szCs w:val="24"/>
        </w:rPr>
        <w:t>Complexes, chains, and the boundary map</w:t>
      </w:r>
    </w:p>
    <w:p w14:paraId="41002DE2" w14:textId="77777777" w:rsidR="00F874B8" w:rsidRPr="000A1F42" w:rsidRDefault="00000000" w:rsidP="000A1F42">
      <w:pPr>
        <w:jc w:val="both"/>
        <w:rPr>
          <w:rFonts w:asciiTheme="minorHAnsi" w:hAnsiTheme="minorHAnsi" w:cstheme="minorHAnsi"/>
        </w:rPr>
      </w:pPr>
      <w:r w:rsidRPr="000A1F42">
        <w:rPr>
          <w:rFonts w:asciiTheme="minorHAnsi" w:hAnsiTheme="minorHAnsi" w:cstheme="minorHAnsi"/>
        </w:rPr>
        <w:t>Model a shape as a complex K: a finite collection of cells glued along their faces — vertices (0-cells), edges (1-cells), triangles (2-cells), and so on. The k-chains Cₖ are formal linear combinations of the k-cells, with coefficients in a ring R that is usually a field. The boundary map ∂ₖ : Cₖ → Cₖ₋₁ sends each cell to its oriented boundary: a triangle to the signed sum of its three edges, an edge to (head − tail). One identity makes the whole theory run: ∂ₖ₋₁∂ₖ = 0, the boundary of a boundary is empty. Take a triangle, replace each edge by its two endpoints, and everything cancels in pairs.</w:t>
      </w:r>
    </w:p>
    <w:p w14:paraId="3EED17D6" w14:textId="77777777" w:rsidR="00F874B8" w:rsidRDefault="00000000" w:rsidP="000A1F42">
      <w:pPr>
        <w:pStyle w:val="Heading2"/>
        <w:keepNext/>
        <w:spacing w:before="220" w:after="80"/>
        <w:jc w:val="both"/>
      </w:pPr>
      <w:r>
        <w:rPr>
          <w:b/>
          <w:bCs/>
          <w:color w:val="222230"/>
          <w:sz w:val="24"/>
          <w:szCs w:val="24"/>
        </w:rPr>
        <w:t>Homology: counting holes</w:t>
      </w:r>
    </w:p>
    <w:p w14:paraId="28B83354" w14:textId="77777777" w:rsidR="00F874B8" w:rsidRPr="000A1F42" w:rsidRDefault="00000000" w:rsidP="000A1F42">
      <w:pPr>
        <w:jc w:val="both"/>
        <w:rPr>
          <w:rFonts w:asciiTheme="minorHAnsi" w:hAnsiTheme="minorHAnsi" w:cstheme="minorHAnsi"/>
        </w:rPr>
      </w:pPr>
      <w:r w:rsidRPr="000A1F42">
        <w:rPr>
          <w:rFonts w:asciiTheme="minorHAnsi" w:hAnsiTheme="minorHAnsi" w:cstheme="minorHAnsi"/>
        </w:rPr>
        <w:t>A chain with empty boundary is a cycle (Zₖ = ker ∂ₖ); a chain that is itself the boundary of something one dimension higher is a boundary (Bₖ = im ∂ₖ₊₁). Because ∂∂ = 0, every boundary is a cycle. Homology is the quotient Hₖ = Zₖ / Bₖ — cycles that are not boundaries, i.e. genuine k-dimensional holes. Its dimensions, the Betti numbers bₖ, count features: b₀ connected components, b₁ independent loops, b₂ enclosed voids. A torus has b₀ = 1, b₁ = 2 (its two independent loops) and b₂ = 1 (the cavity it encloses) — a fingerprint the paper's experiment relies on.</w:t>
      </w:r>
    </w:p>
    <w:p w14:paraId="3D95D50A" w14:textId="77777777" w:rsidR="00F874B8" w:rsidRDefault="00000000" w:rsidP="000A1F42">
      <w:pPr>
        <w:pStyle w:val="Heading2"/>
        <w:keepNext/>
        <w:spacing w:before="220" w:after="80"/>
        <w:jc w:val="both"/>
      </w:pPr>
      <w:r>
        <w:rPr>
          <w:b/>
          <w:bCs/>
          <w:color w:val="222230"/>
          <w:sz w:val="24"/>
          <w:szCs w:val="24"/>
        </w:rPr>
        <w:t>Cochains, coboundary, and cohomology</w:t>
      </w:r>
    </w:p>
    <w:p w14:paraId="381AAAF6" w14:textId="77777777" w:rsidR="00F874B8" w:rsidRDefault="00000000" w:rsidP="000A1F42">
      <w:pPr>
        <w:spacing w:after="150" w:line="300" w:lineRule="auto"/>
        <w:jc w:val="both"/>
      </w:pPr>
      <w:r w:rsidRPr="000A1F42">
        <w:rPr>
          <w:rFonts w:asciiTheme="minorHAnsi" w:hAnsiTheme="minorHAnsi" w:cstheme="minorHAnsi"/>
        </w:rPr>
        <w:t xml:space="preserve">Now dualize. A k-cochain is a linear functional on k-chains: Cᵏ = Hom(Cₖ, R) — assign a number to each k-cell and extend linearly. The coboundary δ : Cᵏ → Cᵏ⁺¹ is the transpose of the boundary, δ = ∂ᵀ, and it too squares to zero, δδ = 0. Cohomology is Hᵏ = ker δ / im δ. Two questions about a cochain ω recur throughout the paper and are genuinely distinct: is ω closed (δω = 0, so it defines a cohomology class at all), and is it exact (ω = δη for some η, so the class is trivial)? Closure is membership; exactness is </w:t>
      </w:r>
      <w:r w:rsidRPr="000A1F42">
        <w:rPr>
          <w:rFonts w:asciiTheme="minorHAnsi" w:hAnsiTheme="minorHAnsi" w:cstheme="minorHAnsi"/>
        </w:rPr>
        <w:lastRenderedPageBreak/>
        <w:t xml:space="preserve">triviality. The evaluation pairing between a cochain and a chain, written </w:t>
      </w:r>
      <w:r w:rsidRPr="000A1F42">
        <w:rPr>
          <w:rFonts w:ascii="Cambria Math" w:hAnsi="Cambria Math" w:cs="Cambria Math"/>
        </w:rPr>
        <w:t>⟨</w:t>
      </w:r>
      <w:r w:rsidRPr="000A1F42">
        <w:rPr>
          <w:rFonts w:asciiTheme="minorHAnsi" w:hAnsiTheme="minorHAnsi" w:cstheme="minorHAnsi"/>
        </w:rPr>
        <w:t>α, c</w:t>
      </w:r>
      <w:r w:rsidRPr="000A1F42">
        <w:rPr>
          <w:rFonts w:ascii="Cambria Math" w:hAnsi="Cambria Math" w:cs="Cambria Math"/>
        </w:rPr>
        <w:t>⟩</w:t>
      </w:r>
      <w:r w:rsidRPr="000A1F42">
        <w:rPr>
          <w:rFonts w:asciiTheme="minorHAnsi" w:hAnsiTheme="minorHAnsi" w:cstheme="minorHAnsi"/>
        </w:rPr>
        <w:t xml:space="preserve">, obeys the discrete Stokes relation </w:t>
      </w:r>
      <w:r w:rsidRPr="000A1F42">
        <w:rPr>
          <w:rFonts w:ascii="Cambria Math" w:hAnsi="Cambria Math" w:cs="Cambria Math"/>
        </w:rPr>
        <w:t>⟨</w:t>
      </w:r>
      <w:r w:rsidRPr="000A1F42">
        <w:rPr>
          <w:rFonts w:asciiTheme="minorHAnsi" w:hAnsiTheme="minorHAnsi" w:cstheme="minorHAnsi"/>
        </w:rPr>
        <w:t>δα, c</w:t>
      </w:r>
      <w:r w:rsidRPr="000A1F42">
        <w:rPr>
          <w:rFonts w:ascii="Cambria Math" w:hAnsi="Cambria Math" w:cs="Cambria Math"/>
        </w:rPr>
        <w:t>⟩</w:t>
      </w:r>
      <w:r w:rsidRPr="000A1F42">
        <w:rPr>
          <w:rFonts w:asciiTheme="minorHAnsi" w:hAnsiTheme="minorHAnsi" w:cstheme="minorHAnsi"/>
        </w:rPr>
        <w:t xml:space="preserve"> = </w:t>
      </w:r>
      <w:r w:rsidRPr="000A1F42">
        <w:rPr>
          <w:rFonts w:ascii="Cambria Math" w:hAnsi="Cambria Math" w:cs="Cambria Math"/>
        </w:rPr>
        <w:t>⟨</w:t>
      </w:r>
      <w:r w:rsidRPr="000A1F42">
        <w:rPr>
          <w:rFonts w:asciiTheme="minorHAnsi" w:hAnsiTheme="minorHAnsi" w:cstheme="minorHAnsi"/>
        </w:rPr>
        <w:t>α, ∂c</w:t>
      </w:r>
      <w:r w:rsidRPr="000A1F42">
        <w:rPr>
          <w:rFonts w:ascii="Cambria Math" w:hAnsi="Cambria Math" w:cs="Cambria Math"/>
        </w:rPr>
        <w:t>⟩</w:t>
      </w:r>
      <w:r w:rsidRPr="000A1F42">
        <w:rPr>
          <w:rFonts w:asciiTheme="minorHAnsi" w:hAnsiTheme="minorHAnsi" w:cstheme="minorHAnsi"/>
        </w:rPr>
        <w:t xml:space="preserve"> — which is nothing more than the statement that δ is the transpose of ∂. Keep that last clause in mind; a whole lesson hangs on it.</w:t>
      </w:r>
    </w:p>
    <w:p w14:paraId="721D8066" w14:textId="77777777" w:rsidR="00F874B8" w:rsidRDefault="00000000" w:rsidP="000A1F42">
      <w:pPr>
        <w:pStyle w:val="Heading2"/>
        <w:keepNext/>
        <w:spacing w:before="220" w:after="80"/>
        <w:jc w:val="both"/>
      </w:pPr>
      <w:r>
        <w:rPr>
          <w:b/>
          <w:bCs/>
          <w:color w:val="222230"/>
          <w:sz w:val="24"/>
          <w:szCs w:val="24"/>
        </w:rPr>
        <w:t>Why homology and cohomology are two views of one object</w:t>
      </w:r>
    </w:p>
    <w:p w14:paraId="70D3AB82" w14:textId="77777777" w:rsidR="00F874B8" w:rsidRPr="000A1F42" w:rsidRDefault="00000000" w:rsidP="000A1F42">
      <w:pPr>
        <w:jc w:val="both"/>
        <w:rPr>
          <w:rFonts w:asciiTheme="minorHAnsi" w:hAnsiTheme="minorHAnsi" w:cstheme="minorHAnsi"/>
        </w:rPr>
      </w:pPr>
      <w:r w:rsidRPr="000A1F42">
        <w:rPr>
          <w:rFonts w:asciiTheme="minorHAnsi" w:hAnsiTheme="minorHAnsi" w:cstheme="minorHAnsi"/>
        </w:rPr>
        <w:t xml:space="preserve">Over a field F, the universal coefficient theorem gives Hᵏ(K; F) </w:t>
      </w:r>
      <w:r w:rsidRPr="000A1F42">
        <w:rPr>
          <w:rFonts w:ascii="Cambria Math" w:hAnsi="Cambria Math" w:cs="Cambria Math"/>
        </w:rPr>
        <w:t>≅</w:t>
      </w:r>
      <w:r w:rsidRPr="000A1F42">
        <w:rPr>
          <w:rFonts w:asciiTheme="minorHAnsi" w:hAnsiTheme="minorHAnsi" w:cstheme="minorHAnsi"/>
        </w:rPr>
        <w:t xml:space="preserve"> Hom(H</w:t>
      </w:r>
      <w:r w:rsidRPr="000A1F42">
        <w:rPr>
          <w:rFonts w:ascii="Calibri" w:hAnsi="Calibri" w:cs="Calibri"/>
        </w:rPr>
        <w:t>ₖ</w:t>
      </w:r>
      <w:r w:rsidRPr="000A1F42">
        <w:rPr>
          <w:rFonts w:asciiTheme="minorHAnsi" w:hAnsiTheme="minorHAnsi" w:cstheme="minorHAnsi"/>
        </w:rPr>
        <w:t xml:space="preserve">(K; F), F). Cohomology is the dual space of homology: identical Betti numbers, identical information, related by a pairing rather than by any process that runs from one to the other. This is why, later, calling one an encoder and the other a decoder </w:t>
      </w:r>
      <w:r w:rsidRPr="000A1F42">
        <w:rPr>
          <w:rFonts w:ascii="Calibri" w:hAnsi="Calibri" w:cs="Calibri"/>
        </w:rPr>
        <w:t>—</w:t>
      </w:r>
      <w:r w:rsidRPr="000A1F42">
        <w:rPr>
          <w:rFonts w:asciiTheme="minorHAnsi" w:hAnsiTheme="minorHAnsi" w:cstheme="minorHAnsi"/>
        </w:rPr>
        <w:t xml:space="preserve"> as if they were successive computational stages </w:t>
      </w:r>
      <w:r w:rsidRPr="000A1F42">
        <w:rPr>
          <w:rFonts w:ascii="Calibri" w:hAnsi="Calibri" w:cs="Calibri"/>
        </w:rPr>
        <w:t>—</w:t>
      </w:r>
      <w:r w:rsidRPr="000A1F42">
        <w:rPr>
          <w:rFonts w:asciiTheme="minorHAnsi" w:hAnsiTheme="minorHAnsi" w:cstheme="minorHAnsi"/>
        </w:rPr>
        <w:t xml:space="preserve"> is not merely loose but a category error. The only place the two genuinely differ is over the integers, where torsion (finite cyclic summands) appears shifted by one degree; that subtlety is real, but it is not what a stagewise reading is reaching for.</w:t>
      </w:r>
    </w:p>
    <w:p w14:paraId="03678E25" w14:textId="77777777" w:rsidR="00F874B8" w:rsidRDefault="00000000" w:rsidP="000A1F42">
      <w:pPr>
        <w:pStyle w:val="Heading2"/>
        <w:keepNext/>
        <w:spacing w:before="220" w:after="80"/>
        <w:jc w:val="both"/>
      </w:pPr>
      <w:r>
        <w:rPr>
          <w:b/>
          <w:bCs/>
          <w:color w:val="222230"/>
          <w:sz w:val="24"/>
          <w:szCs w:val="24"/>
        </w:rPr>
        <w:t>Poincaré duality, and its price of admission</w:t>
      </w:r>
    </w:p>
    <w:p w14:paraId="36C4D4EB" w14:textId="77777777" w:rsidR="00F874B8" w:rsidRPr="000A1F42" w:rsidRDefault="00000000" w:rsidP="000A1F42">
      <w:pPr>
        <w:jc w:val="both"/>
        <w:rPr>
          <w:rFonts w:asciiTheme="minorHAnsi" w:hAnsiTheme="minorHAnsi" w:cstheme="minorHAnsi"/>
        </w:rPr>
      </w:pPr>
      <w:r w:rsidRPr="000A1F42">
        <w:rPr>
          <w:rFonts w:asciiTheme="minorHAnsi" w:hAnsiTheme="minorHAnsi" w:cstheme="minorHAnsi"/>
        </w:rPr>
        <w:t xml:space="preserve">On especially well-behaved spaces the two views lock together across dimension. For a closed (compact, boundaryless) oriented n-manifold M, Poincaré duality gives Hᵏ(M) </w:t>
      </w:r>
      <w:r w:rsidRPr="000A1F42">
        <w:rPr>
          <w:rFonts w:ascii="Cambria Math" w:hAnsi="Cambria Math" w:cs="Cambria Math"/>
        </w:rPr>
        <w:t>≅</w:t>
      </w:r>
      <w:r w:rsidRPr="000A1F42">
        <w:rPr>
          <w:rFonts w:asciiTheme="minorHAnsi" w:hAnsiTheme="minorHAnsi" w:cstheme="minorHAnsi"/>
        </w:rPr>
        <w:t xml:space="preserve"> H</w:t>
      </w:r>
      <w:r w:rsidRPr="000A1F42">
        <w:rPr>
          <w:rFonts w:ascii="Calibri" w:hAnsi="Calibri" w:cs="Calibri"/>
        </w:rPr>
        <w:t>ₙ₋ₖ</w:t>
      </w:r>
      <w:r w:rsidRPr="000A1F42">
        <w:rPr>
          <w:rFonts w:asciiTheme="minorHAnsi" w:hAnsiTheme="minorHAnsi" w:cstheme="minorHAnsi"/>
        </w:rPr>
        <w:t xml:space="preserve">(M), realized by capping with a fundamental class [M] </w:t>
      </w:r>
      <w:r w:rsidRPr="000A1F42">
        <w:rPr>
          <w:rFonts w:ascii="Cambria Math" w:hAnsi="Cambria Math" w:cs="Cambria Math"/>
        </w:rPr>
        <w:t>∈</w:t>
      </w:r>
      <w:r w:rsidRPr="000A1F42">
        <w:rPr>
          <w:rFonts w:asciiTheme="minorHAnsi" w:hAnsiTheme="minorHAnsi" w:cstheme="minorHAnsi"/>
        </w:rPr>
        <w:t xml:space="preserve"> H</w:t>
      </w:r>
      <w:r w:rsidRPr="000A1F42">
        <w:rPr>
          <w:rFonts w:ascii="Calibri" w:hAnsi="Calibri" w:cs="Calibri"/>
        </w:rPr>
        <w:t>ₙ</w:t>
      </w:r>
      <w:r w:rsidRPr="000A1F42">
        <w:rPr>
          <w:rFonts w:asciiTheme="minorHAnsi" w:hAnsiTheme="minorHAnsi" w:cstheme="minorHAnsi"/>
        </w:rPr>
        <w:t>(M): a k-dimensional constraint corresponds to an (n</w:t>
      </w:r>
      <w:r w:rsidRPr="000A1F42">
        <w:rPr>
          <w:rFonts w:ascii="Calibri" w:hAnsi="Calibri" w:cs="Calibri"/>
        </w:rPr>
        <w:t>−</w:t>
      </w:r>
      <w:r w:rsidRPr="000A1F42">
        <w:rPr>
          <w:rFonts w:asciiTheme="minorHAnsi" w:hAnsiTheme="minorHAnsi" w:cstheme="minorHAnsi"/>
        </w:rPr>
        <w:t xml:space="preserve">k)-dimensional carrier. The price of admission is exactly that structure </w:t>
      </w:r>
      <w:r w:rsidRPr="000A1F42">
        <w:rPr>
          <w:rFonts w:ascii="Calibri" w:hAnsi="Calibri" w:cs="Calibri"/>
        </w:rPr>
        <w:t>—</w:t>
      </w:r>
      <w:r w:rsidRPr="000A1F42">
        <w:rPr>
          <w:rFonts w:asciiTheme="minorHAnsi" w:hAnsiTheme="minorHAnsi" w:cstheme="minorHAnsi"/>
        </w:rPr>
        <w:t xml:space="preserve"> a coherent dimension n, orientability, and the fundamental class itself. Remove the manifold hypothesis and there is no fundamental class, so the cap product of </w:t>
      </w:r>
      <w:r w:rsidRPr="000A1F42">
        <w:rPr>
          <w:rFonts w:ascii="Calibri" w:hAnsi="Calibri" w:cs="Calibri"/>
        </w:rPr>
        <w:t>α</w:t>
      </w:r>
      <w:r w:rsidRPr="000A1F42">
        <w:rPr>
          <w:rFonts w:asciiTheme="minorHAnsi" w:hAnsiTheme="minorHAnsi" w:cstheme="minorHAnsi"/>
        </w:rPr>
        <w:t xml:space="preserve"> with [M] is undefined and the isomorphism does not merely become expensive, it ceases to exist. (For manifolds with boundary the correct statement is Poincaré–Lefschetz duality, a mild variant.) This single dependence is the hinge on which two of the paper's lessons turn.</w:t>
      </w:r>
    </w:p>
    <w:p w14:paraId="38290D0B" w14:textId="77777777" w:rsidR="00F874B8" w:rsidRDefault="00000000" w:rsidP="000A1F42">
      <w:pPr>
        <w:pStyle w:val="Heading2"/>
        <w:keepNext/>
        <w:spacing w:before="220" w:after="80"/>
        <w:jc w:val="both"/>
      </w:pPr>
      <w:r>
        <w:rPr>
          <w:b/>
          <w:bCs/>
          <w:color w:val="222230"/>
          <w:sz w:val="24"/>
          <w:szCs w:val="24"/>
        </w:rPr>
        <w:t>The combinatorial Hodge Laplacian and harmonic representatives</w:t>
      </w:r>
    </w:p>
    <w:p w14:paraId="19E63863" w14:textId="77777777" w:rsidR="00F874B8" w:rsidRPr="000A1F42" w:rsidRDefault="00000000" w:rsidP="000A1F42">
      <w:pPr>
        <w:jc w:val="both"/>
        <w:rPr>
          <w:rFonts w:asciiTheme="minorHAnsi" w:hAnsiTheme="minorHAnsi" w:cstheme="minorHAnsi"/>
        </w:rPr>
      </w:pPr>
      <w:r w:rsidRPr="000A1F42">
        <w:rPr>
          <w:rFonts w:asciiTheme="minorHAnsi" w:hAnsiTheme="minorHAnsi" w:cstheme="minorHAnsi"/>
        </w:rPr>
        <w:t xml:space="preserve">To compute with cohomology one adds geometry: choose inner products on the chain spaces, which supplies adjoints ∂*. The Hodge Laplacian in degree k is Δₖ = ∂ₖ₊₁∂ₖ₊₁* + ∂ₖ*∂ₖ. It yields a clean orthogonal decomposition of the cochains, Cᵏ = im δ </w:t>
      </w:r>
      <w:r w:rsidRPr="000A1F42">
        <w:rPr>
          <w:rFonts w:ascii="Cambria Math" w:hAnsi="Cambria Math" w:cs="Cambria Math"/>
        </w:rPr>
        <w:t>⊕</w:t>
      </w:r>
      <w:r w:rsidRPr="000A1F42">
        <w:rPr>
          <w:rFonts w:asciiTheme="minorHAnsi" w:hAnsiTheme="minorHAnsi" w:cstheme="minorHAnsi"/>
        </w:rPr>
        <w:t xml:space="preserve"> </w:t>
      </w:r>
      <w:r w:rsidRPr="000A1F42">
        <w:rPr>
          <w:rFonts w:ascii="Cambria Math" w:hAnsi="Cambria Math" w:cs="Cambria Math"/>
        </w:rPr>
        <w:t>ℋ</w:t>
      </w:r>
      <w:r w:rsidRPr="000A1F42">
        <w:rPr>
          <w:rFonts w:asciiTheme="minorHAnsi" w:hAnsiTheme="minorHAnsi" w:cstheme="minorHAnsi"/>
        </w:rPr>
        <w:t xml:space="preserve">ᵏ </w:t>
      </w:r>
      <w:r w:rsidRPr="000A1F42">
        <w:rPr>
          <w:rFonts w:ascii="Cambria Math" w:hAnsi="Cambria Math" w:cs="Cambria Math"/>
        </w:rPr>
        <w:t>⊕</w:t>
      </w:r>
      <w:r w:rsidRPr="000A1F42">
        <w:rPr>
          <w:rFonts w:asciiTheme="minorHAnsi" w:hAnsiTheme="minorHAnsi" w:cstheme="minorHAnsi"/>
        </w:rPr>
        <w:t xml:space="preserve"> im </w:t>
      </w:r>
      <w:r w:rsidRPr="000A1F42">
        <w:rPr>
          <w:rFonts w:ascii="Calibri" w:hAnsi="Calibri" w:cs="Calibri"/>
        </w:rPr>
        <w:t>δ</w:t>
      </w:r>
      <w:r w:rsidRPr="000A1F42">
        <w:rPr>
          <w:rFonts w:asciiTheme="minorHAnsi" w:hAnsiTheme="minorHAnsi" w:cstheme="minorHAnsi"/>
        </w:rPr>
        <w:t xml:space="preserve">*, in which the harmonic subspace </w:t>
      </w:r>
      <w:r w:rsidRPr="000A1F42">
        <w:rPr>
          <w:rFonts w:ascii="Cambria Math" w:hAnsi="Cambria Math" w:cs="Cambria Math"/>
        </w:rPr>
        <w:t>ℋ</w:t>
      </w:r>
      <w:r w:rsidRPr="000A1F42">
        <w:rPr>
          <w:rFonts w:asciiTheme="minorHAnsi" w:hAnsiTheme="minorHAnsi" w:cstheme="minorHAnsi"/>
        </w:rPr>
        <w:t>ᵏ = ker Δₖ is isomorphic to cohomology Hᵏ. The practical upshot is decisive: the harmonic residual ‖P</w:t>
      </w:r>
      <w:r w:rsidRPr="000A1F42">
        <w:rPr>
          <w:rFonts w:ascii="Cambria Math" w:hAnsi="Cambria Math" w:cs="Cambria Math"/>
        </w:rPr>
        <w:t>ℋ</w:t>
      </w:r>
      <w:r w:rsidRPr="000A1F42">
        <w:rPr>
          <w:rFonts w:asciiTheme="minorHAnsi" w:hAnsiTheme="minorHAnsi" w:cstheme="minorHAnsi"/>
        </w:rPr>
        <w:t xml:space="preserve"> </w:t>
      </w:r>
      <w:r w:rsidRPr="000A1F42">
        <w:rPr>
          <w:rFonts w:ascii="Calibri" w:hAnsi="Calibri" w:cs="Calibri"/>
        </w:rPr>
        <w:t>ω‖</w:t>
      </w:r>
      <w:r w:rsidRPr="000A1F42">
        <w:rPr>
          <w:rFonts w:asciiTheme="minorHAnsi" w:hAnsiTheme="minorHAnsi" w:cstheme="minorHAnsi"/>
        </w:rPr>
        <w:t xml:space="preserve"> </w:t>
      </w:r>
      <w:r w:rsidRPr="000A1F42">
        <w:rPr>
          <w:rFonts w:ascii="Calibri" w:hAnsi="Calibri" w:cs="Calibri"/>
        </w:rPr>
        <w:t>—</w:t>
      </w:r>
      <w:r w:rsidRPr="000A1F42">
        <w:rPr>
          <w:rFonts w:asciiTheme="minorHAnsi" w:hAnsiTheme="minorHAnsi" w:cstheme="minorHAnsi"/>
        </w:rPr>
        <w:t xml:space="preserve"> the size of </w:t>
      </w:r>
      <w:r w:rsidRPr="000A1F42">
        <w:rPr>
          <w:rFonts w:ascii="Calibri" w:hAnsi="Calibri" w:cs="Calibri"/>
        </w:rPr>
        <w:t>ω</w:t>
      </w:r>
      <w:r w:rsidRPr="000A1F42">
        <w:rPr>
          <w:rFonts w:asciiTheme="minorHAnsi" w:hAnsiTheme="minorHAnsi" w:cstheme="minorHAnsi"/>
        </w:rPr>
        <w:t xml:space="preserve">'s harmonic component </w:t>
      </w:r>
      <w:r w:rsidRPr="000A1F42">
        <w:rPr>
          <w:rFonts w:ascii="Calibri" w:hAnsi="Calibri" w:cs="Calibri"/>
        </w:rPr>
        <w:t>—</w:t>
      </w:r>
      <w:r w:rsidRPr="000A1F42">
        <w:rPr>
          <w:rFonts w:asciiTheme="minorHAnsi" w:hAnsiTheme="minorHAnsi" w:cstheme="minorHAnsi"/>
        </w:rPr>
        <w:t xml:space="preserve"> is a computable stand-in for how far </w:t>
      </w:r>
      <w:r w:rsidRPr="000A1F42">
        <w:rPr>
          <w:rFonts w:ascii="Calibri" w:hAnsi="Calibri" w:cs="Calibri"/>
        </w:rPr>
        <w:t>ω</w:t>
      </w:r>
      <w:r w:rsidRPr="000A1F42">
        <w:rPr>
          <w:rFonts w:asciiTheme="minorHAnsi" w:hAnsiTheme="minorHAnsi" w:cstheme="minorHAnsi"/>
        </w:rPr>
        <w:t xml:space="preserve"> is from being exact, obtained by sparse linear algebra rather than symbolic class computation. On meshes this machinery is discrete exterior calculus (DEC), and this residual is precisely what the paper's proposed release gate ends up measuring.</w:t>
      </w:r>
    </w:p>
    <w:p w14:paraId="300DFC31" w14:textId="77777777" w:rsidR="00F874B8" w:rsidRDefault="00000000" w:rsidP="000A1F42">
      <w:pPr>
        <w:pStyle w:val="Heading2"/>
        <w:keepNext/>
        <w:spacing w:before="220" w:after="80"/>
        <w:jc w:val="both"/>
      </w:pPr>
      <w:r>
        <w:rPr>
          <w:b/>
          <w:bCs/>
          <w:color w:val="222230"/>
          <w:sz w:val="24"/>
          <w:szCs w:val="24"/>
        </w:rPr>
        <w:t>Topological deep learning and sheaf neural networks</w:t>
      </w:r>
    </w:p>
    <w:p w14:paraId="2390AF8E" w14:textId="77777777" w:rsidR="00F874B8" w:rsidRPr="000A1F42" w:rsidRDefault="00000000" w:rsidP="000A1F42">
      <w:pPr>
        <w:jc w:val="both"/>
        <w:rPr>
          <w:rFonts w:asciiTheme="minorHAnsi" w:hAnsiTheme="minorHAnsi" w:cstheme="minorHAnsi"/>
        </w:rPr>
      </w:pPr>
      <w:r w:rsidRPr="000A1F42">
        <w:rPr>
          <w:rFonts w:asciiTheme="minorHAnsi" w:hAnsiTheme="minorHAnsi" w:cstheme="minorHAnsi"/>
        </w:rPr>
        <w:t>The machine-learning setting places learnable features on the cells of a complex and propagates them along incidence — a generalization of graph neural networks from vertices-and-edges to cells of every dimension. Sheaf neural networks go one step further: they attach a small vector space to each cell and learn the linear restriction maps relating neighbors, which together define a learned (sheaf) Laplacian in place of the fixed one above. This is the live research area the original proposal inhabits, and it matters for one lesson in particular: whether the boundary and coboundary operators are fixed by the complex or learned from data changes what any consistency objective can possibly be doing.</w:t>
      </w:r>
    </w:p>
    <w:p w14:paraId="00ABA691" w14:textId="77777777" w:rsidR="00F874B8" w:rsidRDefault="00000000" w:rsidP="000A1F42">
      <w:pPr>
        <w:pStyle w:val="Heading2"/>
        <w:keepNext/>
        <w:spacing w:before="220" w:after="80"/>
        <w:jc w:val="both"/>
      </w:pPr>
      <w:r>
        <w:rPr>
          <w:b/>
          <w:bCs/>
          <w:color w:val="222230"/>
          <w:sz w:val="24"/>
          <w:szCs w:val="24"/>
        </w:rPr>
        <w:t>Conformal and selective prediction</w:t>
      </w:r>
    </w:p>
    <w:p w14:paraId="5421C332" w14:textId="77777777" w:rsidR="00F874B8" w:rsidRPr="000A1F42" w:rsidRDefault="00000000" w:rsidP="000A1F42">
      <w:pPr>
        <w:jc w:val="both"/>
        <w:rPr>
          <w:rFonts w:asciiTheme="minorHAnsi" w:hAnsiTheme="minorHAnsi" w:cstheme="minorHAnsi"/>
        </w:rPr>
      </w:pPr>
      <w:r w:rsidRPr="000A1F42">
        <w:rPr>
          <w:rFonts w:asciiTheme="minorHAnsi" w:hAnsiTheme="minorHAnsi" w:cstheme="minorHAnsi"/>
        </w:rPr>
        <w:t>Finally, a strand from uncertainty quantification. Conformal prediction is a model-agnostic recipe: hold out a calibration set, measure the model's errors on it, and convert them into a prediction band with a guaranteed coverage rate — without assuming anything about the model or the data distribution. Selective prediction lets a model abstain, trading away coverage on hard inputs to raise accuracy on the ones it does answer. Together they are the generic, off-the-shelf way to make any predictor say I don't know. The paper's central empirical question is whether a bespoke topological abstention rule can beat this boring general-purpose baseline — so the baseline has to be understood before the question even makes sense.</w:t>
      </w:r>
    </w:p>
    <w:p w14:paraId="2E4A29B0" w14:textId="77777777" w:rsidR="00F874B8" w:rsidRDefault="00000000" w:rsidP="000A1F42">
      <w:pPr>
        <w:pStyle w:val="Heading2"/>
        <w:keepNext/>
        <w:spacing w:before="220" w:after="80"/>
        <w:jc w:val="both"/>
      </w:pPr>
      <w:r>
        <w:rPr>
          <w:b/>
          <w:bCs/>
          <w:color w:val="222230"/>
          <w:sz w:val="24"/>
          <w:szCs w:val="24"/>
        </w:rPr>
        <w:lastRenderedPageBreak/>
        <w:t>Decidability and undecidability</w:t>
      </w:r>
    </w:p>
    <w:p w14:paraId="6E2DFFAE" w14:textId="77777777" w:rsidR="00F874B8" w:rsidRPr="000A1F42" w:rsidRDefault="00000000" w:rsidP="000A1F42">
      <w:pPr>
        <w:jc w:val="both"/>
        <w:rPr>
          <w:rFonts w:asciiTheme="minorHAnsi" w:hAnsiTheme="minorHAnsi" w:cstheme="minorHAnsi"/>
        </w:rPr>
      </w:pPr>
      <w:r w:rsidRPr="000A1F42">
        <w:rPr>
          <w:rFonts w:asciiTheme="minorHAnsi" w:hAnsiTheme="minorHAnsi" w:cstheme="minorHAnsi"/>
        </w:rPr>
        <w:t>An algorithmic problem is undecidable if no single algorithm settles every instance — the halting problem is the archetype, and the trivial-group problem (does a finite group presentation describe the trivial group?) is the one that bites here. Recognizing whether a complex is a manifold reduces to recognizing whether the links around its cells are spheres, and sphere recognition is decidable in low dimension but undecidable above it. This is not a statement about limited compute; it is a wall, and knowing where the wall stands rescopes the entire ambition.</w:t>
      </w:r>
    </w:p>
    <w:p w14:paraId="7A16F991" w14:textId="77777777" w:rsidR="00F874B8" w:rsidRDefault="00000000" w:rsidP="000A1F42">
      <w:pPr>
        <w:pStyle w:val="Heading1"/>
        <w:keepNext/>
        <w:spacing w:before="340" w:after="150"/>
        <w:jc w:val="both"/>
      </w:pPr>
      <w:r>
        <w:rPr>
          <w:b/>
          <w:bCs/>
          <w:color w:val="1F3864"/>
          <w:sz w:val="30"/>
          <w:szCs w:val="30"/>
        </w:rPr>
        <w:t>1.  Introduction: the master-key temptation</w:t>
      </w:r>
    </w:p>
    <w:p w14:paraId="5E712948" w14:textId="77777777" w:rsidR="00F874B8" w:rsidRDefault="00000000" w:rsidP="000A1F42">
      <w:pPr>
        <w:spacing w:after="150" w:line="300" w:lineRule="auto"/>
        <w:jc w:val="both"/>
      </w:pPr>
      <w:r>
        <w:t>There is a recurring move in the theory of intelligence, and it is seductive because it is sometimes almost right. You find a mathematical structure of unusual depth — a duality, a variational principle, a category-theoretic universal — and you notice that it resonates with cognition. Local and global. Structure and measurement. What exists and what can be said about it. The resonance is real. The temptation is to conclude that the structure is therefore the master key: the thing intelligence is.</w:t>
      </w:r>
    </w:p>
    <w:p w14:paraId="3649A7DE" w14:textId="77777777" w:rsidR="00F874B8" w:rsidRDefault="00000000" w:rsidP="000A1F42">
      <w:pPr>
        <w:spacing w:after="150" w:line="300" w:lineRule="auto"/>
        <w:jc w:val="both"/>
      </w:pPr>
      <w:r>
        <w:t>The graveyard is well populated. Cybernetics, catastrophe theory, cellular automata, the free-energy principle, and category theory have each, in their moment, been proposed as the organizing principle of mind. Each is real mathematics. Each is genuinely useful somewhere. None turned out to be the key, because intelligence declined to be any single beautiful thing.</w:t>
      </w:r>
    </w:p>
    <w:p w14:paraId="42B9BB07" w14:textId="77777777" w:rsidR="00F874B8" w:rsidRDefault="00000000" w:rsidP="000A1F42">
      <w:pPr>
        <w:spacing w:after="150" w:line="300" w:lineRule="auto"/>
        <w:jc w:val="both"/>
      </w:pPr>
      <w:r>
        <w:t>The PDN is a specimen of this genus, and an unusually instructive one, for two reasons. First, its mathematics was correct from the start — so the failure modes it exhibits are not the failures of a crank, and are therefore the ones a competent researcher is most likely to reproduce. Second, it was disciplined in public, through iterative adversarial dialogue, so the sequence of corrections is legible. Each round moved the hard part somewhere new. Following that motion is the education.</w:t>
      </w:r>
    </w:p>
    <w:p w14:paraId="6A48CB0A" w14:textId="77777777" w:rsidR="00F874B8" w:rsidRDefault="00000000" w:rsidP="000A1F42">
      <w:pPr>
        <w:spacing w:after="150" w:line="300" w:lineRule="auto"/>
        <w:jc w:val="both"/>
      </w:pPr>
      <w:r>
        <w:t>The method throughout was simple and worth stating: at each stage, an idea was pushed until it broke, the break was localized precisely, and the idea was rebuilt around what remained standing. This is not a comfortable process and it does not preserve the original ambition. It is, however, the only known way to convert a compelling intuition into something the world can contradict.</w:t>
      </w:r>
    </w:p>
    <w:p w14:paraId="05A23420" w14:textId="77777777" w:rsidR="00F874B8" w:rsidRDefault="00000000" w:rsidP="000A1F42">
      <w:pPr>
        <w:pStyle w:val="Heading1"/>
        <w:keepNext/>
        <w:spacing w:before="340" w:after="150"/>
        <w:jc w:val="both"/>
      </w:pPr>
      <w:r>
        <w:rPr>
          <w:b/>
          <w:bCs/>
          <w:color w:val="1F3864"/>
          <w:sz w:val="30"/>
          <w:szCs w:val="30"/>
        </w:rPr>
        <w:t>2.  The original proposal</w:t>
      </w:r>
    </w:p>
    <w:p w14:paraId="3AB65BE9" w14:textId="77777777" w:rsidR="00F874B8" w:rsidRDefault="00000000" w:rsidP="000A1F42">
      <w:pPr>
        <w:spacing w:after="150" w:line="300" w:lineRule="auto"/>
        <w:jc w:val="both"/>
      </w:pPr>
      <w:r>
        <w:t>Stated fairly, in its own voice, the PDN was proposed as an alternative to the Transformer/GPT architecture. Its premise was that intelligence might reside in the topology of relations among tokens, and that homology and cohomology could transfer useful parts of that topology into algebraic objects that would be easier to track than the original latent space. From that premise, the PDN claimed the following.</w:t>
      </w:r>
    </w:p>
    <w:p w14:paraId="00F0BA89" w14:textId="77777777" w:rsidR="00F874B8" w:rsidRDefault="00000000" w:rsidP="000A1F42">
      <w:pPr>
        <w:spacing w:after="150" w:line="300" w:lineRule="auto"/>
        <w:jc w:val="both"/>
      </w:pPr>
      <w:r>
        <w:t xml:space="preserve">A learned complex K represents an observation, a memory, a design, or a reasoning problem. Its homology Hₖ(K) = ker ∂ₖ / im ∂ₖ₊₁ encodes the persistent structural carriers — components, loops, cavities, boundaries, equivalence classes of trajectories — what survives after irrelevant geometric variation is quotiented away. Its cohomology Hᵏ(K) encodes the compatible measurements, constraints, and obstructions living on those carriers: whether </w:t>
      </w:r>
      <w:r>
        <w:lastRenderedPageBreak/>
        <w:t>local pieces glue into a global whole. Poincaré duality, Hᵏ(M) ≅ Hₙ₋ₖ(M) for a closed oriented n-manifold, was to be the bridge — a k-dimensional constraint corresponds to an (n−k)-dimensional carrier — making representation and audit mutually constraining. The slogan: homology tells the system what persists; cohomology tells it what coheres; duality requires persistence and coherence to describe the same world. And the payload: this, rather than encode-then-decode or generate-then-correct, is the architecture of general intelligence.</w:t>
      </w:r>
    </w:p>
    <w:p w14:paraId="2E30D8C9" w14:textId="77777777" w:rsidR="00F874B8" w:rsidRDefault="00000000" w:rsidP="000A1F42">
      <w:pPr>
        <w:spacing w:after="150" w:line="300" w:lineRule="auto"/>
        <w:jc w:val="both"/>
      </w:pPr>
      <w:r>
        <w:t>It is a beautiful statement. It is also, as written, wrong in almost every operational respect while being wrong for reasons that are individually subtle. That combination is exactly what makes it worth dissecting.</w:t>
      </w:r>
    </w:p>
    <w:p w14:paraId="22F967A5" w14:textId="77777777" w:rsidR="00F874B8" w:rsidRDefault="00000000" w:rsidP="000A1F42">
      <w:pPr>
        <w:pStyle w:val="Heading1"/>
        <w:keepNext/>
        <w:spacing w:before="340" w:after="150"/>
        <w:jc w:val="both"/>
      </w:pPr>
      <w:r>
        <w:rPr>
          <w:b/>
          <w:bCs/>
          <w:color w:val="1F3864"/>
          <w:sz w:val="30"/>
          <w:szCs w:val="30"/>
        </w:rPr>
        <w:t>3.  Round one: correctness is not sufficiency</w:t>
      </w:r>
    </w:p>
    <w:p w14:paraId="5509F500" w14:textId="77777777" w:rsidR="00F874B8" w:rsidRDefault="00000000" w:rsidP="000A1F42">
      <w:pPr>
        <w:spacing w:after="150" w:line="300" w:lineRule="auto"/>
        <w:jc w:val="both"/>
      </w:pPr>
      <w:r>
        <w:t>The first and most disorienting finding was that pointing out errors in the mathematics was impossible, because there were none. The chain conditions held. The cohomology was defined correctly. The cap-product form of Poincaré duality was stated properly. The topology was, throughout the entire journey, never the problem.</w:t>
      </w:r>
    </w:p>
    <w:p w14:paraId="7A08F134" w14:textId="77777777" w:rsidR="00F874B8" w:rsidRDefault="00000000" w:rsidP="000A1F42">
      <w:pPr>
        <w:spacing w:after="150" w:line="300" w:lineRule="auto"/>
        <w:jc w:val="both"/>
      </w:pPr>
      <w:r>
        <w:t>This is the first lesson, and it is the one most likely to be missed by someone who has done real mathematics:</w:t>
      </w:r>
    </w:p>
    <w:p w14:paraId="441A4523" w14:textId="77777777" w:rsidR="00F874B8" w:rsidRDefault="00000000" w:rsidP="000A1F42">
      <w:pPr>
        <w:pBdr>
          <w:left w:val="single" w:sz="20" w:space="16" w:color="1F3864"/>
        </w:pBdr>
        <w:spacing w:before="80" w:after="170" w:line="300" w:lineRule="auto"/>
        <w:ind w:left="360"/>
        <w:jc w:val="both"/>
      </w:pPr>
      <w:r>
        <w:rPr>
          <w:b/>
          <w:bCs/>
          <w:color w:val="1F3864"/>
        </w:rPr>
        <w:t>Lesson I — A correct piece of mathematics is not an architecture.</w:t>
      </w:r>
      <w:r>
        <w:t xml:space="preserve"> Mathematical correctness is necessary and wildly insufficient. The load-bearing question is never “is the formalism right”; it is what this formalism computes that a baseline does not. A theorem imported into a network is decoration until it changes a number the network outputs.</w:t>
      </w:r>
    </w:p>
    <w:p w14:paraId="3EDB2343" w14:textId="77777777" w:rsidR="00F874B8" w:rsidRDefault="00000000" w:rsidP="000A1F42">
      <w:pPr>
        <w:spacing w:after="150" w:line="300" w:lineRule="auto"/>
        <w:jc w:val="both"/>
      </w:pPr>
      <w:r>
        <w:t>The specific instance: the proposal's framing of homology as an encoder and cohomology as a decoder — two successive computational stages — is not merely loose, it is a category error. Over a field, the universal coefficient theorem gives Hᵏ(K; F) ≅ Hom(Hₖ(K; F), F). Cohomology is the dual space of homology; they carry the same Betti numbers and the same information, paired by evaluation. They are not sequential stages any more than a vector space and its dual are sequential. Calling one the encoder and the other the decoder describes a pipeline that does not exist. (The only genuine asymmetry — torsion, which appears shifted over the integers — is precisely not what encode-then-decode was reaching for.)</w:t>
      </w:r>
    </w:p>
    <w:p w14:paraId="77E4891E" w14:textId="77777777" w:rsidR="00F874B8" w:rsidRDefault="00000000" w:rsidP="000A1F42">
      <w:pPr>
        <w:spacing w:after="150" w:line="300" w:lineRule="auto"/>
        <w:jc w:val="both"/>
      </w:pPr>
      <w:r>
        <w:t>The proposal, to its credit, half-retracted this on its own, insisting the two are coordinated views of one latent object. That retraction was correct and it dissolved the headline. But the deeper lesson is that the retraction should have been the starting observation, not a caveat: the elegance of the encode/decode picture was doing rhetorical work that the mathematics actively contradicted.</w:t>
      </w:r>
    </w:p>
    <w:p w14:paraId="156D448E" w14:textId="77777777" w:rsidR="00F874B8" w:rsidRDefault="00000000" w:rsidP="000A1F42">
      <w:pPr>
        <w:pStyle w:val="Heading1"/>
        <w:keepNext/>
        <w:spacing w:before="340" w:after="150"/>
        <w:jc w:val="both"/>
      </w:pPr>
      <w:r>
        <w:rPr>
          <w:b/>
          <w:bCs/>
          <w:color w:val="1F3864"/>
          <w:sz w:val="30"/>
          <w:szCs w:val="30"/>
        </w:rPr>
        <w:t>4.  Round two: the name, and the tautology</w:t>
      </w:r>
    </w:p>
    <w:p w14:paraId="1BEBAA6B" w14:textId="77777777" w:rsidR="00F874B8" w:rsidRDefault="00000000" w:rsidP="000A1F42">
      <w:pPr>
        <w:spacing w:after="150" w:line="300" w:lineRule="auto"/>
        <w:jc w:val="both"/>
      </w:pPr>
      <w:r>
        <w:t>Two failures surfaced together here, and each has a clean lesson.</w:t>
      </w:r>
    </w:p>
    <w:p w14:paraId="3AF59281" w14:textId="77777777" w:rsidR="00F874B8" w:rsidRDefault="00000000" w:rsidP="000A1F42">
      <w:pPr>
        <w:spacing w:after="150" w:line="300" w:lineRule="auto"/>
        <w:jc w:val="both"/>
      </w:pPr>
      <w:r>
        <w:t xml:space="preserve">The name presupposed its hardest unsolved problem. Poincaré duality requires a closed oriented manifold — specifically a fundamental class [M], without which the cap product of α with [M] is not defined. Learned latent complexes and attention nerves are generically not </w:t>
      </w:r>
      <w:r>
        <w:lastRenderedPageBreak/>
        <w:t>manifolds. There is no fundamental class, so the duality operator does not merely become expensive; it fails to exist. The clean picture that made the proposal attractive — a constraint in dimension k paired with a carrier in dimension n−k — is exactly the structure that evaporates the instant one leaves the manifold world.</w:t>
      </w:r>
    </w:p>
    <w:p w14:paraId="7A022B36" w14:textId="77777777" w:rsidR="00F874B8" w:rsidRDefault="00000000" w:rsidP="000A1F42">
      <w:pPr>
        <w:pBdr>
          <w:left w:val="single" w:sz="20" w:space="16" w:color="1F3864"/>
        </w:pBdr>
        <w:spacing w:before="80" w:after="170" w:line="300" w:lineRule="auto"/>
        <w:ind w:left="360"/>
        <w:jc w:val="both"/>
      </w:pPr>
      <w:r>
        <w:rPr>
          <w:b/>
          <w:bCs/>
          <w:color w:val="1F3864"/>
        </w:rPr>
        <w:t>Lesson II — The name writes checks the object cannot cash.</w:t>
      </w:r>
      <w:r>
        <w:t xml:space="preserve"> Aspirational naming hides the scope limit you most need to see. “Poincaré Duality Network” silently promised a manifold on every input; the honest object had no such guarantee and could not acquire one. Name the thing after what it is, not after the theorem you hope it deserves — because the gap between them is the paper's true subject.</w:t>
      </w:r>
    </w:p>
    <w:p w14:paraId="4040BA57" w14:textId="77777777" w:rsidR="00F874B8" w:rsidRDefault="00000000" w:rsidP="000A1F42">
      <w:pPr>
        <w:spacing w:after="150" w:line="300" w:lineRule="auto"/>
        <w:jc w:val="both"/>
      </w:pPr>
      <w:r>
        <w:t>The principled loss was identically zero. The revised proposal introduced a chain–cochain consistency loss, penalizing ⟨δα, c⟩ − ⟨α, ∂c⟩ — the discrete Stokes relation. This felt like enforcing a topological law. It was not. That identity is the definition of δ as the adjoint of ∂: under the standard coefficient inner products, δ = ∂ᵀ, and so ⟨δα, c⟩ − ⟨α, ∂c⟩ = αᵀBc − αᵀBc ≡ 0 for every input, with no parameters and no training. The loss enforced a tautology. It became non-vacuous only under a different construction — independently learned boundary and coboundary operators, as in sheaf neural networks — at which point it was no longer the innocuous thing advertised but a soft weight-tying penalty on learned restriction maps, squarely inside an existing literature.</w:t>
      </w:r>
    </w:p>
    <w:p w14:paraId="0E398209" w14:textId="77777777" w:rsidR="00F874B8" w:rsidRDefault="00000000" w:rsidP="000A1F42">
      <w:pPr>
        <w:pBdr>
          <w:left w:val="single" w:sz="20" w:space="16" w:color="1F3864"/>
        </w:pBdr>
        <w:spacing w:before="80" w:after="170" w:line="300" w:lineRule="auto"/>
        <w:ind w:left="360"/>
        <w:jc w:val="both"/>
      </w:pPr>
      <w:r>
        <w:rPr>
          <w:b/>
          <w:bCs/>
          <w:color w:val="1F3864"/>
        </w:rPr>
        <w:t>Lesson III — Check whether your loss is a tautology.</w:t>
      </w:r>
      <w:r>
        <w:t xml:space="preserve"> Before celebrating a principled objective, verify it is not identically satisfied by the natural construction. A loss that is zero for free trains nothing; a loss that is non-trivial usually smuggles in the harder problem you were trying to avoid. Either way, the interesting content is somewhere other than where the elegance points.</w:t>
      </w:r>
    </w:p>
    <w:p w14:paraId="4F3E525C" w14:textId="77777777" w:rsidR="00F874B8" w:rsidRDefault="00000000" w:rsidP="000A1F42">
      <w:pPr>
        <w:spacing w:after="150" w:line="300" w:lineRule="auto"/>
        <w:jc w:val="both"/>
      </w:pPr>
      <w:r>
        <w:t>The two together produced a genuine dilemma that the proposal had to confront explicitly: fix the operators and the consistency contribution vanishes; learn the operators and the tractability claim vanishes. There was no configuration in which chain–cochain consistency on a fixed complex was both novel and non-empty.</w:t>
      </w:r>
    </w:p>
    <w:p w14:paraId="24EA6B04" w14:textId="77777777" w:rsidR="00F874B8" w:rsidRDefault="00000000" w:rsidP="000A1F42">
      <w:pPr>
        <w:pStyle w:val="Heading1"/>
        <w:keepNext/>
        <w:spacing w:before="340" w:after="150"/>
        <w:jc w:val="both"/>
      </w:pPr>
      <w:r>
        <w:rPr>
          <w:b/>
          <w:bCs/>
          <w:color w:val="1F3864"/>
          <w:sz w:val="30"/>
          <w:szCs w:val="30"/>
        </w:rPr>
        <w:t>5.  Round three: undecidability, and subtraction</w:t>
      </w:r>
    </w:p>
    <w:p w14:paraId="501838E4" w14:textId="77777777" w:rsidR="00F874B8" w:rsidRDefault="00000000" w:rsidP="000A1F42">
      <w:pPr>
        <w:spacing w:after="150" w:line="300" w:lineRule="auto"/>
        <w:jc w:val="both"/>
      </w:pPr>
      <w:r>
        <w:t>The proposal's honest instinct — do not assume duality globally; test where it holds, and mark the rest unresolved — turned out to be far stronger than it appeared, because it collided with a hard theorem.</w:t>
      </w:r>
    </w:p>
    <w:p w14:paraId="4C4B64C2" w14:textId="77777777" w:rsidR="00F874B8" w:rsidRDefault="00000000" w:rsidP="000A1F42">
      <w:pPr>
        <w:spacing w:after="150" w:line="300" w:lineRule="auto"/>
        <w:jc w:val="both"/>
      </w:pPr>
      <w:r>
        <w:t>The certificate is not merely expensive; in general it is not computable. A simplicial complex is a PL d-manifold if and only if the link of every vertex is a PL (d−1)-sphere. Recognizing PL spheres is decidable in low dimension and undecidable above it, by a chain of classical results:</w:t>
      </w:r>
    </w:p>
    <w:tbl>
      <w:tblPr>
        <w:tblW w:w="9000" w:type="dxa"/>
        <w:tblBorders>
          <w:top w:val="single" w:sz="4" w:space="0" w:color="AAB4C4"/>
          <w:left w:val="single" w:sz="4" w:space="0" w:color="AAB4C4"/>
          <w:bottom w:val="single" w:sz="4" w:space="0" w:color="AAB4C4"/>
          <w:right w:val="single" w:sz="4" w:space="0" w:color="AAB4C4"/>
          <w:insideH w:val="single" w:sz="4" w:space="0" w:color="AAB4C4"/>
          <w:insideV w:val="single" w:sz="4" w:space="0" w:color="AAB4C4"/>
        </w:tblBorders>
        <w:tblCellMar>
          <w:left w:w="10" w:type="dxa"/>
          <w:right w:w="10" w:type="dxa"/>
        </w:tblCellMar>
        <w:tblLook w:val="0000" w:firstRow="0" w:lastRow="0" w:firstColumn="0" w:lastColumn="0" w:noHBand="0" w:noVBand="0"/>
      </w:tblPr>
      <w:tblGrid>
        <w:gridCol w:w="1600"/>
        <w:gridCol w:w="3200"/>
        <w:gridCol w:w="4200"/>
      </w:tblGrid>
      <w:tr w:rsidR="00F874B8" w14:paraId="7ADE9F27" w14:textId="77777777">
        <w:tblPrEx>
          <w:tblCellMar>
            <w:top w:w="0" w:type="dxa"/>
            <w:bottom w:w="0" w:type="dxa"/>
          </w:tblCellMar>
        </w:tblPrEx>
        <w:tc>
          <w:tcPr>
            <w:tcW w:w="1600" w:type="dxa"/>
            <w:shd w:val="clear" w:color="auto" w:fill="E7ECF5"/>
            <w:tcMar>
              <w:top w:w="60" w:type="dxa"/>
              <w:left w:w="130" w:type="dxa"/>
              <w:bottom w:w="60" w:type="dxa"/>
              <w:right w:w="130" w:type="dxa"/>
            </w:tcMar>
          </w:tcPr>
          <w:p w14:paraId="03654FD4" w14:textId="77777777" w:rsidR="00F874B8" w:rsidRDefault="00000000" w:rsidP="000A1F42">
            <w:pPr>
              <w:spacing w:line="260" w:lineRule="auto"/>
              <w:jc w:val="both"/>
            </w:pPr>
            <w:r>
              <w:rPr>
                <w:b/>
                <w:bCs/>
                <w:sz w:val="20"/>
                <w:szCs w:val="20"/>
              </w:rPr>
              <w:t>Domain dim  d</w:t>
            </w:r>
          </w:p>
        </w:tc>
        <w:tc>
          <w:tcPr>
            <w:tcW w:w="3200" w:type="dxa"/>
            <w:shd w:val="clear" w:color="auto" w:fill="E7ECF5"/>
            <w:tcMar>
              <w:top w:w="60" w:type="dxa"/>
              <w:left w:w="130" w:type="dxa"/>
              <w:bottom w:w="60" w:type="dxa"/>
              <w:right w:w="130" w:type="dxa"/>
            </w:tcMar>
          </w:tcPr>
          <w:p w14:paraId="60B43A53" w14:textId="77777777" w:rsidR="00F874B8" w:rsidRDefault="00000000" w:rsidP="000A1F42">
            <w:pPr>
              <w:spacing w:line="260" w:lineRule="auto"/>
              <w:jc w:val="both"/>
            </w:pPr>
            <w:r>
              <w:rPr>
                <w:b/>
                <w:bCs/>
                <w:sz w:val="20"/>
                <w:szCs w:val="20"/>
              </w:rPr>
              <w:t>Link to recognize</w:t>
            </w:r>
          </w:p>
        </w:tc>
        <w:tc>
          <w:tcPr>
            <w:tcW w:w="4200" w:type="dxa"/>
            <w:shd w:val="clear" w:color="auto" w:fill="E7ECF5"/>
            <w:tcMar>
              <w:top w:w="60" w:type="dxa"/>
              <w:left w:w="130" w:type="dxa"/>
              <w:bottom w:w="60" w:type="dxa"/>
              <w:right w:w="130" w:type="dxa"/>
            </w:tcMar>
          </w:tcPr>
          <w:p w14:paraId="7D2E78D6" w14:textId="77777777" w:rsidR="00F874B8" w:rsidRDefault="00000000" w:rsidP="000A1F42">
            <w:pPr>
              <w:spacing w:line="260" w:lineRule="auto"/>
              <w:jc w:val="both"/>
            </w:pPr>
            <w:r>
              <w:rPr>
                <w:b/>
                <w:bCs/>
                <w:sz w:val="20"/>
                <w:szCs w:val="20"/>
              </w:rPr>
              <w:t>Status</w:t>
            </w:r>
          </w:p>
        </w:tc>
      </w:tr>
      <w:tr w:rsidR="00F874B8" w14:paraId="24D7003A" w14:textId="77777777">
        <w:tblPrEx>
          <w:tblCellMar>
            <w:top w:w="0" w:type="dxa"/>
            <w:bottom w:w="0" w:type="dxa"/>
          </w:tblCellMar>
        </w:tblPrEx>
        <w:tc>
          <w:tcPr>
            <w:tcW w:w="1600" w:type="dxa"/>
            <w:tcMar>
              <w:top w:w="60" w:type="dxa"/>
              <w:left w:w="130" w:type="dxa"/>
              <w:bottom w:w="60" w:type="dxa"/>
              <w:right w:w="130" w:type="dxa"/>
            </w:tcMar>
          </w:tcPr>
          <w:p w14:paraId="498C8D49" w14:textId="77777777" w:rsidR="00F874B8" w:rsidRDefault="00000000" w:rsidP="000A1F42">
            <w:pPr>
              <w:spacing w:line="260" w:lineRule="auto"/>
              <w:jc w:val="both"/>
            </w:pPr>
            <w:r>
              <w:rPr>
                <w:sz w:val="20"/>
                <w:szCs w:val="20"/>
              </w:rPr>
              <w:t>2</w:t>
            </w:r>
          </w:p>
        </w:tc>
        <w:tc>
          <w:tcPr>
            <w:tcW w:w="3200" w:type="dxa"/>
            <w:tcMar>
              <w:top w:w="60" w:type="dxa"/>
              <w:left w:w="130" w:type="dxa"/>
              <w:bottom w:w="60" w:type="dxa"/>
              <w:right w:w="130" w:type="dxa"/>
            </w:tcMar>
          </w:tcPr>
          <w:p w14:paraId="3014F593" w14:textId="77777777" w:rsidR="00F874B8" w:rsidRDefault="00000000" w:rsidP="000A1F42">
            <w:pPr>
              <w:spacing w:line="260" w:lineRule="auto"/>
              <w:jc w:val="both"/>
            </w:pPr>
            <w:r>
              <w:rPr>
                <w:sz w:val="20"/>
                <w:szCs w:val="20"/>
              </w:rPr>
              <w:t>S¹</w:t>
            </w:r>
          </w:p>
        </w:tc>
        <w:tc>
          <w:tcPr>
            <w:tcW w:w="4200" w:type="dxa"/>
            <w:tcMar>
              <w:top w:w="60" w:type="dxa"/>
              <w:left w:w="130" w:type="dxa"/>
              <w:bottom w:w="60" w:type="dxa"/>
              <w:right w:w="130" w:type="dxa"/>
            </w:tcMar>
          </w:tcPr>
          <w:p w14:paraId="2F1DC9E4" w14:textId="77777777" w:rsidR="00F874B8" w:rsidRDefault="00000000" w:rsidP="000A1F42">
            <w:pPr>
              <w:spacing w:line="260" w:lineRule="auto"/>
              <w:jc w:val="both"/>
            </w:pPr>
            <w:r>
              <w:rPr>
                <w:sz w:val="20"/>
                <w:szCs w:val="20"/>
              </w:rPr>
              <w:t>trivial (each edge in two triangles; each vertex link one cycle)</w:t>
            </w:r>
          </w:p>
        </w:tc>
      </w:tr>
      <w:tr w:rsidR="00F874B8" w14:paraId="087CFFD0" w14:textId="77777777">
        <w:tblPrEx>
          <w:tblCellMar>
            <w:top w:w="0" w:type="dxa"/>
            <w:bottom w:w="0" w:type="dxa"/>
          </w:tblCellMar>
        </w:tblPrEx>
        <w:tc>
          <w:tcPr>
            <w:tcW w:w="1600" w:type="dxa"/>
            <w:tcMar>
              <w:top w:w="60" w:type="dxa"/>
              <w:left w:w="130" w:type="dxa"/>
              <w:bottom w:w="60" w:type="dxa"/>
              <w:right w:w="130" w:type="dxa"/>
            </w:tcMar>
          </w:tcPr>
          <w:p w14:paraId="67308716" w14:textId="77777777" w:rsidR="00F874B8" w:rsidRDefault="00000000" w:rsidP="000A1F42">
            <w:pPr>
              <w:spacing w:line="260" w:lineRule="auto"/>
              <w:jc w:val="both"/>
            </w:pPr>
            <w:r>
              <w:rPr>
                <w:sz w:val="20"/>
                <w:szCs w:val="20"/>
              </w:rPr>
              <w:t>3</w:t>
            </w:r>
          </w:p>
        </w:tc>
        <w:tc>
          <w:tcPr>
            <w:tcW w:w="3200" w:type="dxa"/>
            <w:tcMar>
              <w:top w:w="60" w:type="dxa"/>
              <w:left w:w="130" w:type="dxa"/>
              <w:bottom w:w="60" w:type="dxa"/>
              <w:right w:w="130" w:type="dxa"/>
            </w:tcMar>
          </w:tcPr>
          <w:p w14:paraId="4BBB44E9" w14:textId="77777777" w:rsidR="00F874B8" w:rsidRDefault="00000000" w:rsidP="000A1F42">
            <w:pPr>
              <w:spacing w:line="260" w:lineRule="auto"/>
              <w:jc w:val="both"/>
            </w:pPr>
            <w:r>
              <w:rPr>
                <w:sz w:val="20"/>
                <w:szCs w:val="20"/>
              </w:rPr>
              <w:t>S²</w:t>
            </w:r>
          </w:p>
        </w:tc>
        <w:tc>
          <w:tcPr>
            <w:tcW w:w="4200" w:type="dxa"/>
            <w:tcMar>
              <w:top w:w="60" w:type="dxa"/>
              <w:left w:w="130" w:type="dxa"/>
              <w:bottom w:w="60" w:type="dxa"/>
              <w:right w:w="130" w:type="dxa"/>
            </w:tcMar>
          </w:tcPr>
          <w:p w14:paraId="6A4F8A64" w14:textId="77777777" w:rsidR="00F874B8" w:rsidRDefault="00000000" w:rsidP="000A1F42">
            <w:pPr>
              <w:spacing w:line="260" w:lineRule="auto"/>
              <w:jc w:val="both"/>
            </w:pPr>
            <w:r>
              <w:rPr>
                <w:sz w:val="20"/>
                <w:szCs w:val="20"/>
              </w:rPr>
              <w:t>elementary</w:t>
            </w:r>
          </w:p>
        </w:tc>
      </w:tr>
      <w:tr w:rsidR="00F874B8" w14:paraId="1D2A0671" w14:textId="77777777">
        <w:tblPrEx>
          <w:tblCellMar>
            <w:top w:w="0" w:type="dxa"/>
            <w:bottom w:w="0" w:type="dxa"/>
          </w:tblCellMar>
        </w:tblPrEx>
        <w:tc>
          <w:tcPr>
            <w:tcW w:w="1600" w:type="dxa"/>
            <w:tcMar>
              <w:top w:w="60" w:type="dxa"/>
              <w:left w:w="130" w:type="dxa"/>
              <w:bottom w:w="60" w:type="dxa"/>
              <w:right w:w="130" w:type="dxa"/>
            </w:tcMar>
          </w:tcPr>
          <w:p w14:paraId="3E6E8E1A" w14:textId="77777777" w:rsidR="00F874B8" w:rsidRDefault="00000000" w:rsidP="000A1F42">
            <w:pPr>
              <w:spacing w:line="260" w:lineRule="auto"/>
              <w:jc w:val="both"/>
            </w:pPr>
            <w:r>
              <w:rPr>
                <w:sz w:val="20"/>
                <w:szCs w:val="20"/>
              </w:rPr>
              <w:lastRenderedPageBreak/>
              <w:t>4</w:t>
            </w:r>
          </w:p>
        </w:tc>
        <w:tc>
          <w:tcPr>
            <w:tcW w:w="3200" w:type="dxa"/>
            <w:tcMar>
              <w:top w:w="60" w:type="dxa"/>
              <w:left w:w="130" w:type="dxa"/>
              <w:bottom w:w="60" w:type="dxa"/>
              <w:right w:w="130" w:type="dxa"/>
            </w:tcMar>
          </w:tcPr>
          <w:p w14:paraId="324E567C" w14:textId="77777777" w:rsidR="00F874B8" w:rsidRDefault="00000000" w:rsidP="000A1F42">
            <w:pPr>
              <w:spacing w:line="260" w:lineRule="auto"/>
              <w:jc w:val="both"/>
            </w:pPr>
            <w:r>
              <w:rPr>
                <w:sz w:val="20"/>
                <w:szCs w:val="20"/>
              </w:rPr>
              <w:t>S³</w:t>
            </w:r>
          </w:p>
        </w:tc>
        <w:tc>
          <w:tcPr>
            <w:tcW w:w="4200" w:type="dxa"/>
            <w:tcMar>
              <w:top w:w="60" w:type="dxa"/>
              <w:left w:w="130" w:type="dxa"/>
              <w:bottom w:w="60" w:type="dxa"/>
              <w:right w:w="130" w:type="dxa"/>
            </w:tcMar>
          </w:tcPr>
          <w:p w14:paraId="0258A120" w14:textId="77777777" w:rsidR="00F874B8" w:rsidRDefault="00000000" w:rsidP="000A1F42">
            <w:pPr>
              <w:spacing w:line="260" w:lineRule="auto"/>
              <w:jc w:val="both"/>
            </w:pPr>
            <w:r>
              <w:rPr>
                <w:sz w:val="20"/>
                <w:szCs w:val="20"/>
              </w:rPr>
              <w:t>decidable (in NP), exponential in practice</w:t>
            </w:r>
          </w:p>
        </w:tc>
      </w:tr>
      <w:tr w:rsidR="00F874B8" w14:paraId="25746B06" w14:textId="77777777">
        <w:tblPrEx>
          <w:tblCellMar>
            <w:top w:w="0" w:type="dxa"/>
            <w:bottom w:w="0" w:type="dxa"/>
          </w:tblCellMar>
        </w:tblPrEx>
        <w:tc>
          <w:tcPr>
            <w:tcW w:w="1600" w:type="dxa"/>
            <w:tcMar>
              <w:top w:w="60" w:type="dxa"/>
              <w:left w:w="130" w:type="dxa"/>
              <w:bottom w:w="60" w:type="dxa"/>
              <w:right w:w="130" w:type="dxa"/>
            </w:tcMar>
          </w:tcPr>
          <w:p w14:paraId="7045F145" w14:textId="77777777" w:rsidR="00F874B8" w:rsidRDefault="00000000" w:rsidP="000A1F42">
            <w:pPr>
              <w:spacing w:line="260" w:lineRule="auto"/>
              <w:jc w:val="both"/>
            </w:pPr>
            <w:r>
              <w:rPr>
                <w:sz w:val="20"/>
                <w:szCs w:val="20"/>
              </w:rPr>
              <w:t>5</w:t>
            </w:r>
          </w:p>
        </w:tc>
        <w:tc>
          <w:tcPr>
            <w:tcW w:w="3200" w:type="dxa"/>
            <w:tcMar>
              <w:top w:w="60" w:type="dxa"/>
              <w:left w:w="130" w:type="dxa"/>
              <w:bottom w:w="60" w:type="dxa"/>
              <w:right w:w="130" w:type="dxa"/>
            </w:tcMar>
          </w:tcPr>
          <w:p w14:paraId="4645DB34" w14:textId="77777777" w:rsidR="00F874B8" w:rsidRDefault="00000000" w:rsidP="000A1F42">
            <w:pPr>
              <w:spacing w:line="260" w:lineRule="auto"/>
              <w:jc w:val="both"/>
            </w:pPr>
            <w:r>
              <w:rPr>
                <w:sz w:val="20"/>
                <w:szCs w:val="20"/>
              </w:rPr>
              <w:t>S⁴</w:t>
            </w:r>
          </w:p>
        </w:tc>
        <w:tc>
          <w:tcPr>
            <w:tcW w:w="4200" w:type="dxa"/>
            <w:tcMar>
              <w:top w:w="60" w:type="dxa"/>
              <w:left w:w="130" w:type="dxa"/>
              <w:bottom w:w="60" w:type="dxa"/>
              <w:right w:w="130" w:type="dxa"/>
            </w:tcMar>
          </w:tcPr>
          <w:p w14:paraId="00F72C8A" w14:textId="77777777" w:rsidR="00F874B8" w:rsidRDefault="00000000" w:rsidP="000A1F42">
            <w:pPr>
              <w:spacing w:line="260" w:lineRule="auto"/>
              <w:jc w:val="both"/>
            </w:pPr>
            <w:r>
              <w:rPr>
                <w:sz w:val="20"/>
                <w:szCs w:val="20"/>
              </w:rPr>
              <w:t>open</w:t>
            </w:r>
          </w:p>
        </w:tc>
      </w:tr>
      <w:tr w:rsidR="00F874B8" w14:paraId="692F0442" w14:textId="77777777">
        <w:tblPrEx>
          <w:tblCellMar>
            <w:top w:w="0" w:type="dxa"/>
            <w:bottom w:w="0" w:type="dxa"/>
          </w:tblCellMar>
        </w:tblPrEx>
        <w:tc>
          <w:tcPr>
            <w:tcW w:w="1600" w:type="dxa"/>
            <w:tcMar>
              <w:top w:w="60" w:type="dxa"/>
              <w:left w:w="130" w:type="dxa"/>
              <w:bottom w:w="60" w:type="dxa"/>
              <w:right w:w="130" w:type="dxa"/>
            </w:tcMar>
          </w:tcPr>
          <w:p w14:paraId="7E3A8431" w14:textId="77777777" w:rsidR="00F874B8" w:rsidRDefault="00000000" w:rsidP="000A1F42">
            <w:pPr>
              <w:spacing w:line="260" w:lineRule="auto"/>
              <w:jc w:val="both"/>
            </w:pPr>
            <w:r>
              <w:rPr>
                <w:sz w:val="20"/>
                <w:szCs w:val="20"/>
              </w:rPr>
              <w:t>≥ 6</w:t>
            </w:r>
          </w:p>
        </w:tc>
        <w:tc>
          <w:tcPr>
            <w:tcW w:w="3200" w:type="dxa"/>
            <w:tcMar>
              <w:top w:w="60" w:type="dxa"/>
              <w:left w:w="130" w:type="dxa"/>
              <w:bottom w:w="60" w:type="dxa"/>
              <w:right w:w="130" w:type="dxa"/>
            </w:tcMar>
          </w:tcPr>
          <w:p w14:paraId="25EE4E4A" w14:textId="77777777" w:rsidR="00F874B8" w:rsidRDefault="00000000" w:rsidP="000A1F42">
            <w:pPr>
              <w:spacing w:line="260" w:lineRule="auto"/>
              <w:jc w:val="both"/>
            </w:pPr>
            <w:r>
              <w:rPr>
                <w:sz w:val="20"/>
                <w:szCs w:val="20"/>
              </w:rPr>
              <w:t>Sᵈ⁻¹  (dim ≥ 5)</w:t>
            </w:r>
          </w:p>
        </w:tc>
        <w:tc>
          <w:tcPr>
            <w:tcW w:w="4200" w:type="dxa"/>
            <w:tcMar>
              <w:top w:w="60" w:type="dxa"/>
              <w:left w:w="130" w:type="dxa"/>
              <w:bottom w:w="60" w:type="dxa"/>
              <w:right w:w="130" w:type="dxa"/>
            </w:tcMar>
          </w:tcPr>
          <w:p w14:paraId="423E4021" w14:textId="77777777" w:rsidR="00F874B8" w:rsidRDefault="00000000" w:rsidP="000A1F42">
            <w:pPr>
              <w:spacing w:line="260" w:lineRule="auto"/>
              <w:jc w:val="both"/>
            </w:pPr>
            <w:r>
              <w:rPr>
                <w:sz w:val="20"/>
                <w:szCs w:val="20"/>
              </w:rPr>
              <w:t>undecidable  (Novikov)</w:t>
            </w:r>
          </w:p>
        </w:tc>
      </w:tr>
    </w:tbl>
    <w:p w14:paraId="4BC342C0" w14:textId="77777777" w:rsidR="00F874B8" w:rsidRDefault="00F874B8" w:rsidP="000A1F42">
      <w:pPr>
        <w:spacing w:after="60" w:line="300" w:lineRule="auto"/>
        <w:jc w:val="both"/>
      </w:pPr>
    </w:p>
    <w:p w14:paraId="1CE4935F" w14:textId="77777777" w:rsidR="00F874B8" w:rsidRDefault="00000000" w:rsidP="000A1F42">
      <w:pPr>
        <w:spacing w:after="150" w:line="300" w:lineRule="auto"/>
        <w:jc w:val="both"/>
      </w:pPr>
      <w:r>
        <w:t>So the certified-Poincaré regime is decidable for domain dimension ≤ 4, open at 5, and provably unreachable at ≥ 6. If one wanted stronger certificates involving simple-connectivity, those are undecidable even for 2-complexes, since recognizing whether a finite presentation yields the trivial group is undecidable. The consequence sharpens the proposal's own instinct into a theorem: find the dualizable region of an arbitrary high-dimensional latent space is not a hard research problem awaiting a clever algorithm. It cannot be solved. Poincaré mode is available exactly when the domain is a low-dimensional manifold you were handed — which is why triangulated surfaces, where the certificate is a five-line check, are its natural and only comfortable home.</w:t>
      </w:r>
    </w:p>
    <w:p w14:paraId="07F67244" w14:textId="77777777" w:rsidR="00F874B8" w:rsidRDefault="00000000" w:rsidP="000A1F42">
      <w:pPr>
        <w:pBdr>
          <w:left w:val="single" w:sz="20" w:space="16" w:color="1F3864"/>
        </w:pBdr>
        <w:spacing w:before="80" w:after="170" w:line="300" w:lineRule="auto"/>
        <w:ind w:left="360"/>
        <w:jc w:val="both"/>
      </w:pPr>
      <w:r>
        <w:rPr>
          <w:b/>
          <w:bCs/>
          <w:color w:val="1F3864"/>
        </w:rPr>
        <w:t>Lesson IV — The hard part migrates, and some of it is a theorem.</w:t>
      </w:r>
      <w:r>
        <w:t xml:space="preserve"> Keep asking where the difficulty lives now, not where it lived last round. Occasionally the answer is not “this is hard” but “this is impossible,” and recognizing an undecidability result where you were planning a module saves an infinite amount of engineering. An impossibility, correctly placed, is a gift: it converts an open-ended aspiration into a bounded scope.</w:t>
      </w:r>
    </w:p>
    <w:p w14:paraId="148A4A83" w14:textId="77777777" w:rsidR="00F874B8" w:rsidRDefault="00000000" w:rsidP="000A1F42">
      <w:pPr>
        <w:spacing w:after="150" w:line="300" w:lineRule="auto"/>
        <w:jc w:val="both"/>
      </w:pPr>
      <w:r>
        <w:t>Novelty is what survives subtraction. The revised machinery — combinatorial Hodge Laplacian, harmonic decomposition, harmonic residual as an obstruction proxy — is classical discrete Hodge theory (Eckmann, 1944), now standard in topological signal processing and mesh learning. Learned cochain structure with a Laplacian kernel is what neural sheaf diffusion already does. Subtract all of that, and what remained that was genuinely the proposal's own was narrow: a gated regime switch (run general Hodge consistency always; activate a duality constraint only behind a passing certificate) and a calibrated three-way release (accept / refuse / defer).</w:t>
      </w:r>
    </w:p>
    <w:p w14:paraId="185932B9" w14:textId="77777777" w:rsidR="00F874B8" w:rsidRDefault="00000000" w:rsidP="000A1F42">
      <w:pPr>
        <w:pBdr>
          <w:left w:val="single" w:sz="20" w:space="16" w:color="1F3864"/>
        </w:pBdr>
        <w:spacing w:before="80" w:after="170" w:line="300" w:lineRule="auto"/>
        <w:ind w:left="360"/>
        <w:jc w:val="both"/>
      </w:pPr>
      <w:r>
        <w:rPr>
          <w:b/>
          <w:bCs/>
          <w:color w:val="1F3864"/>
        </w:rPr>
        <w:t>Lesson V — Locate your contribution by subtraction, not by novelty of vocabulary.</w:t>
      </w:r>
      <w:r>
        <w:t xml:space="preserve"> Your contribution is what is left after you subtract the existing literature, not what sounds new when you name it. “Chain–cochain consistency network” invites the correct reply that the core is discrete Hodge theory with a fresh label. The defensible headline was the part nobody had named: certified regime-switching and typed topological abstention.</w:t>
      </w:r>
    </w:p>
    <w:p w14:paraId="30FBA05A" w14:textId="77777777" w:rsidR="00F874B8" w:rsidRDefault="00000000" w:rsidP="000A1F42">
      <w:pPr>
        <w:pStyle w:val="Heading1"/>
        <w:keepNext/>
        <w:spacing w:before="340" w:after="150"/>
        <w:jc w:val="both"/>
      </w:pPr>
      <w:r>
        <w:rPr>
          <w:b/>
          <w:bCs/>
          <w:color w:val="1F3864"/>
          <w:sz w:val="30"/>
          <w:szCs w:val="30"/>
        </w:rPr>
        <w:t>6.  Round four: the foreign baseline, and the unnamed harm</w:t>
      </w:r>
    </w:p>
    <w:p w14:paraId="40435890" w14:textId="77777777" w:rsidR="00F874B8" w:rsidRDefault="00000000" w:rsidP="000A1F42">
      <w:pPr>
        <w:spacing w:after="150" w:line="300" w:lineRule="auto"/>
        <w:jc w:val="both"/>
      </w:pPr>
      <w:r>
        <w:t>By this point the proposal had converged internally. The mechanism was sound: closure and exactness were correctly separated into two tests (q(ω) = ‖δω‖: is it even a cocycle? r(ω) = dist(ω, im δ): is it exact?), and the exactness residual was bounded from both sides by legitimate primal and dual witnesses. There were no more internal errors to find. Which is precisely when the two most important questions arrived — the ones no amount of further internal refinement could answer.</w:t>
      </w:r>
    </w:p>
    <w:p w14:paraId="72A96B2B" w14:textId="77777777" w:rsidR="00F874B8" w:rsidRDefault="00000000" w:rsidP="000A1F42">
      <w:pPr>
        <w:spacing w:after="150" w:line="300" w:lineRule="auto"/>
        <w:jc w:val="both"/>
      </w:pPr>
      <w:r>
        <w:lastRenderedPageBreak/>
        <w:t>The baseline that threatens you is often in another field. By the proposal's own (correct) admission, the predictive headroom over a strong Hodge/DEC/sheaf backbone was expected to be near zero — a suspicion since reinforced by empirical work showing that an identity-sheaf baseline rivals learned sheaf Laplacians across standard benchmarks (Caralt, Gonzàlez i Català, Bazaga, and Liò, 2026). So the entire contribution had migrated onto the decision layer. But every baseline in the proposal's own comparison table was architectural — variants of DEC, Hodge, sheaf. The baseline that actually threatens a certified-abstention method is not architectural at all. It is conformal / selective prediction: same backbone, but the release gate is an off-the-shelf calibrated uncertainty band on the task output, with zero topology in the decision.</w:t>
      </w:r>
    </w:p>
    <w:p w14:paraId="68814F2C" w14:textId="77777777" w:rsidR="00F874B8" w:rsidRDefault="00000000" w:rsidP="000A1F42">
      <w:pPr>
        <w:spacing w:after="150" w:line="300" w:lineRule="auto"/>
        <w:jc w:val="both"/>
      </w:pPr>
      <w:r>
        <w:t>This is fatal or vindicating, and the proposal did not know which, because the experiment that decides it was not in the design. Examine what the interval gate is actually made of: the width of the accept/refuse interval is governed by how well one can numerically resolve the harmonic component — a spectral, numerical quantity, indistinguishable in spirit from a conformal uncertainty band. The only genuinely topological content of the decision is release-versus-refuse on whether the harmonic part is nonzero at all — i.e., whether there is a real cohomology class. So the whole question of whether topology earns its keep reduces to one comparison: does gating on the harmonic residual reduce false release, under structural corruption, better than gating on a conformal task-error bound?</w:t>
      </w:r>
    </w:p>
    <w:p w14:paraId="43C7433F" w14:textId="77777777" w:rsidR="00F874B8" w:rsidRDefault="00000000" w:rsidP="000A1F42">
      <w:pPr>
        <w:pBdr>
          <w:left w:val="single" w:sz="20" w:space="16" w:color="1F3864"/>
        </w:pBdr>
        <w:spacing w:before="80" w:after="170" w:line="300" w:lineRule="auto"/>
        <w:ind w:left="360"/>
        <w:jc w:val="both"/>
      </w:pPr>
      <w:r>
        <w:rPr>
          <w:b/>
          <w:bCs/>
          <w:color w:val="1F3864"/>
        </w:rPr>
        <w:t>Lesson VI — The baseline that kills you is frequently boring, general-purpose, and from a neighboring field.</w:t>
      </w:r>
      <w:r>
        <w:t xml:space="preserve"> If your elaborate specialized method cannot beat a generic method that ignores your entire framework, the framework is decoration in the one place it had left to matter. Hunt for that baseline deliberately. It will not be in your citations, because your citations are your friends.</w:t>
      </w:r>
    </w:p>
    <w:p w14:paraId="4E6B8FD1" w14:textId="77777777" w:rsidR="00F874B8" w:rsidRDefault="00000000" w:rsidP="000A1F42">
      <w:pPr>
        <w:spacing w:after="150" w:line="300" w:lineRule="auto"/>
        <w:jc w:val="both"/>
      </w:pPr>
      <w:r>
        <w:t>“False release” is undefined without a harm. For three rounds the mechanism sharpened while the use case went unspecified. But the central metric — false release — has no meaning until one names the downstream harm that a wrong release causes. On surfaces predicting physical fields, the only regime in which topology beats conformal-on-error is one where the output carries an obstruction invisible in the loss you would conformalize but loud in the harmonic component: for instance, predicting a field that ought to be conservative, where a spurious nonzero circulation — a genuine H¹ obstruction — is a real physical inconsistency that low pointwise error happily hides. The harm is concrete: integrate the predicted field and two paths between the same endpoints disagree; reconstruction is multivalued. If such a case can be constructed, the apparatus has a reason to exist. If it cannot, the apparatus is a solution circling for a problem, however rigorous.</w:t>
      </w:r>
    </w:p>
    <w:p w14:paraId="0F792D28" w14:textId="77777777" w:rsidR="00F874B8" w:rsidRDefault="00000000" w:rsidP="000A1F42">
      <w:pPr>
        <w:pBdr>
          <w:left w:val="single" w:sz="20" w:space="16" w:color="1F3864"/>
        </w:pBdr>
        <w:spacing w:before="80" w:after="170" w:line="300" w:lineRule="auto"/>
        <w:ind w:left="360"/>
        <w:jc w:val="both"/>
      </w:pPr>
      <w:r>
        <w:rPr>
          <w:b/>
          <w:bCs/>
          <w:color w:val="1F3864"/>
        </w:rPr>
        <w:t>Lesson VII — Pin the harm before you build.</w:t>
      </w:r>
      <w:r>
        <w:t xml:space="preserve"> A selective system's headline metric is undefined until you name, concretely, the cost of a wrong release. Specify the smallest real case where your quantity catches a failure that the generic quantity misses. If you cannot write that case down, you have not yet earned the machinery — and no further elaboration of the machinery will change that.</w:t>
      </w:r>
    </w:p>
    <w:p w14:paraId="36C5FE0C" w14:textId="77777777" w:rsidR="00F874B8" w:rsidRDefault="00000000" w:rsidP="000A1F42">
      <w:pPr>
        <w:pStyle w:val="Heading1"/>
        <w:keepNext/>
        <w:spacing w:before="340" w:after="150"/>
        <w:jc w:val="both"/>
      </w:pPr>
      <w:r>
        <w:rPr>
          <w:b/>
          <w:bCs/>
          <w:color w:val="1F3864"/>
          <w:sz w:val="30"/>
          <w:szCs w:val="30"/>
        </w:rPr>
        <w:lastRenderedPageBreak/>
        <w:t>7.  Convergence as compression</w:t>
      </w:r>
    </w:p>
    <w:p w14:paraId="64AFD3C5" w14:textId="77777777" w:rsidR="00F874B8" w:rsidRDefault="00000000" w:rsidP="000A1F42">
      <w:pPr>
        <w:spacing w:after="150" w:line="300" w:lineRule="auto"/>
        <w:jc w:val="both"/>
      </w:pPr>
      <w:r>
        <w:t>Here is the shape of the whole journey, stated as a size. It began as a theory of general intelligence spanning every domain of cognition. It ended as an experiment on genus-one meshes: one modest backbone predicting a conservative field, two release gates (a harmonic-residual gate and an off-the-shelf conformal gate), five corruption classes engineered to separate them in both directions, and a single named harm — path-dependence — against which to score. A few hundred lines of discrete exterior calculus. Weeks, not a research program.</w:t>
      </w:r>
    </w:p>
    <w:p w14:paraId="485C1C5C" w14:textId="77777777" w:rsidR="00F874B8" w:rsidRDefault="00000000" w:rsidP="000A1F42">
      <w:pPr>
        <w:pBdr>
          <w:left w:val="single" w:sz="20" w:space="16" w:color="1F3864"/>
        </w:pBdr>
        <w:spacing w:before="80" w:after="170" w:line="300" w:lineRule="auto"/>
        <w:ind w:left="360"/>
        <w:jc w:val="both"/>
      </w:pPr>
      <w:r>
        <w:rPr>
          <w:b/>
          <w:bCs/>
          <w:color w:val="1F3864"/>
        </w:rPr>
        <w:t>Lesson VIII — Convergence looks like shrinking.</w:t>
      </w:r>
      <w:r>
        <w:t xml:space="preserve"> A theoretical idea that is getting healthier gets smaller and more specific, not grander. The direction of travel is from “explains everything” toward “predicts one thing you could be wrong about.” If each iteration of your idea covers more territory, it is very likely getting worse; if each iteration names a sharper experiment, it is getting better. The terminal state of good theorizing is not a manifesto. It is a run you can execute by Friday.</w:t>
      </w:r>
    </w:p>
    <w:p w14:paraId="10B8CF90" w14:textId="77777777" w:rsidR="00F874B8" w:rsidRDefault="00000000" w:rsidP="000A1F42">
      <w:pPr>
        <w:spacing w:after="150" w:line="300" w:lineRule="auto"/>
        <w:jc w:val="both"/>
      </w:pPr>
      <w:r>
        <w:t>And the experiment honors its own null. If, under the pinned harm, the harmonic gate fails to separate from the conformal gate, the correct conclusion is not disappointment but information: the topology was decorative, and the field just experienced its own identity-sheaf-network moment — the trivial baseline quietly matching the elaborate machinery it was meant to beat. That outcome is publishable and worth knowing. A framework that cannot fail cannot teach.</w:t>
      </w:r>
    </w:p>
    <w:p w14:paraId="1CFF8E7F" w14:textId="77777777" w:rsidR="00F874B8" w:rsidRDefault="00000000" w:rsidP="000A1F42">
      <w:pPr>
        <w:pStyle w:val="Heading1"/>
        <w:keepNext/>
        <w:spacing w:before="340" w:after="150"/>
        <w:jc w:val="both"/>
      </w:pPr>
      <w:r>
        <w:rPr>
          <w:b/>
          <w:bCs/>
          <w:color w:val="1F3864"/>
          <w:sz w:val="30"/>
          <w:szCs w:val="30"/>
        </w:rPr>
        <w:t>8.  Discussion: ambition as fuel, not as a claim</w:t>
      </w:r>
    </w:p>
    <w:p w14:paraId="130A670C" w14:textId="77777777" w:rsidR="00F874B8" w:rsidRDefault="00000000" w:rsidP="000A1F42">
      <w:pPr>
        <w:spacing w:after="150" w:line="300" w:lineRule="auto"/>
        <w:jc w:val="both"/>
      </w:pPr>
      <w:r>
        <w:t>None of this requires abandoning the original ambition. The motivating premise remains intellectually useful: if some task-relevant intelligence is carried by token topology, then (co)homological functors may expose algebraic invariants that are easier to monitor than the underlying relational space. But the grandest thesis — intelligence is a continuously audited equivalence between what exists and what may coherently be asserted about it — survives only after demotion to its proper tier. Its defensible descendant is not “topology is intelligence” but the much weaker and much truer statement that consistency constraints are a broad and empirically strong inductive bias, of which chain–cochain structure is one principled instance, sitting alongside multi-view agreement in self-supervised learning, cycle-consistency, and physics-informed constraints. Framed that way, topology's role is honest and interesting: it is a principled generator of consistency constraints and audit variables, not a definition of mind.</w:t>
      </w:r>
    </w:p>
    <w:p w14:paraId="111FE0B9" w14:textId="77777777" w:rsidR="00F874B8" w:rsidRDefault="00000000" w:rsidP="000A1F42">
      <w:pPr>
        <w:pBdr>
          <w:left w:val="single" w:sz="20" w:space="16" w:color="1F3864"/>
        </w:pBdr>
        <w:spacing w:before="80" w:after="170" w:line="300" w:lineRule="auto"/>
        <w:ind w:left="360"/>
        <w:jc w:val="both"/>
      </w:pPr>
      <w:r>
        <w:rPr>
          <w:b/>
          <w:bCs/>
          <w:color w:val="1F3864"/>
        </w:rPr>
        <w:t>Lesson IX — Keep the ambition as fuel; keep it out of the claims.</w:t>
      </w:r>
      <w:r>
        <w:t xml:space="preserve"> A grand vision is legitimate and useful as motivation — it tells you why the small experiment is worth running. It is illegitimate as a result. The discipline is to let the vision drive the work while refusing to let it into the abstract. Motivation sections may dream; contribution sections may not.</w:t>
      </w:r>
    </w:p>
    <w:p w14:paraId="0EFCD6E0" w14:textId="77777777" w:rsidR="00F874B8" w:rsidRDefault="00000000" w:rsidP="000A1F42">
      <w:pPr>
        <w:spacing w:after="150" w:line="300" w:lineRule="auto"/>
        <w:jc w:val="both"/>
      </w:pPr>
      <w:r>
        <w:t xml:space="preserve">A final methodological note. This entire arc was produced by adversarial dialogue: propose, break, localize the break, rebuild. That loop has a failure mode of its own, and it appeared here — the temptation, once the object is sound, to keep refining it indefinitely, admiring an </w:t>
      </w:r>
      <w:r>
        <w:lastRenderedPageBreak/>
        <w:t>increasingly beautiful proposal rather than testing it. The refinement loop must terminate, and it terminates the moment the binding constraint shifts from thinking to data. Past that point, a further round of theory tells you strictly less than the smallest real run.</w:t>
      </w:r>
    </w:p>
    <w:p w14:paraId="14CC15A9" w14:textId="77777777" w:rsidR="00F874B8" w:rsidRDefault="00000000" w:rsidP="000A1F42">
      <w:pPr>
        <w:pBdr>
          <w:left w:val="single" w:sz="20" w:space="16" w:color="1F3864"/>
        </w:pBdr>
        <w:spacing w:before="80" w:after="170" w:line="300" w:lineRule="auto"/>
        <w:ind w:left="360"/>
        <w:jc w:val="both"/>
      </w:pPr>
      <w:r>
        <w:rPr>
          <w:b/>
          <w:bCs/>
          <w:color w:val="1F3864"/>
        </w:rPr>
        <w:t>Lesson X — Adversarial refinement is a tool, and it has an off switch.</w:t>
      </w:r>
      <w:r>
        <w:t xml:space="preserve"> The point of pressure-testing an idea is to arrive at an experiment, not at a perfect idea. When the next round of critique would only polish an object that is already testable, the critique has become procrastination. Stop refining and go make contact.</w:t>
      </w:r>
    </w:p>
    <w:p w14:paraId="7467B667" w14:textId="77777777" w:rsidR="00F874B8" w:rsidRDefault="00000000" w:rsidP="000A1F42">
      <w:pPr>
        <w:pStyle w:val="Heading1"/>
        <w:keepNext/>
        <w:spacing w:before="340" w:after="150"/>
        <w:jc w:val="both"/>
      </w:pPr>
      <w:r>
        <w:rPr>
          <w:b/>
          <w:bCs/>
          <w:color w:val="1F3864"/>
          <w:sz w:val="30"/>
          <w:szCs w:val="30"/>
        </w:rPr>
        <w:t>9.  Conclusion: carrier, constraint, contact</w:t>
      </w:r>
    </w:p>
    <w:p w14:paraId="49CD8E98" w14:textId="77777777" w:rsidR="00F874B8" w:rsidRDefault="00000000" w:rsidP="000A1F42">
      <w:pPr>
        <w:spacing w:after="150" w:line="300" w:lineRule="auto"/>
        <w:jc w:val="both"/>
      </w:pPr>
      <w:r>
        <w:t>The proposal's own slogan was carrier and constraint — structure paired with the measurements upon it. The journey added the term the slogan was missing:</w:t>
      </w:r>
    </w:p>
    <w:p w14:paraId="6DE43CC0" w14:textId="77777777" w:rsidR="00F874B8" w:rsidRDefault="00000000" w:rsidP="000A1F42">
      <w:pPr>
        <w:spacing w:before="60" w:after="120"/>
        <w:jc w:val="center"/>
      </w:pPr>
      <w:r>
        <w:rPr>
          <w:b/>
          <w:bCs/>
          <w:color w:val="1F3864"/>
          <w:sz w:val="26"/>
          <w:szCs w:val="26"/>
        </w:rPr>
        <w:t>carrier</w:t>
      </w:r>
      <w:r>
        <w:rPr>
          <w:color w:val="666677"/>
          <w:sz w:val="26"/>
          <w:szCs w:val="26"/>
        </w:rPr>
        <w:t xml:space="preserve">  ⟷  </w:t>
      </w:r>
      <w:r>
        <w:rPr>
          <w:b/>
          <w:bCs/>
          <w:color w:val="1F3864"/>
          <w:sz w:val="26"/>
          <w:szCs w:val="26"/>
        </w:rPr>
        <w:t>constraint</w:t>
      </w:r>
      <w:r>
        <w:rPr>
          <w:color w:val="666677"/>
          <w:sz w:val="26"/>
          <w:szCs w:val="26"/>
        </w:rPr>
        <w:t xml:space="preserve">  ⟷  </w:t>
      </w:r>
      <w:r>
        <w:rPr>
          <w:b/>
          <w:bCs/>
          <w:color w:val="1F3864"/>
          <w:sz w:val="26"/>
          <w:szCs w:val="26"/>
        </w:rPr>
        <w:t>contact</w:t>
      </w:r>
    </w:p>
    <w:p w14:paraId="67FB824A" w14:textId="77777777" w:rsidR="00F874B8" w:rsidRDefault="00000000" w:rsidP="000A1F42">
      <w:pPr>
        <w:spacing w:after="150" w:line="300" w:lineRule="auto"/>
        <w:jc w:val="both"/>
      </w:pPr>
      <w:r>
        <w:t>A carrier and a constraint, however elegantly dual, are a closed system that can admire itself forever. The third term — contact with reality, an experiment that can return no — is what turns a theory into knowledge. Everything in this paper is, in the end, the story of a proposal acquiring its third term.</w:t>
      </w:r>
    </w:p>
    <w:p w14:paraId="36C24A7E" w14:textId="77777777" w:rsidR="00F874B8" w:rsidRDefault="00000000" w:rsidP="000A1F42">
      <w:pPr>
        <w:spacing w:after="150" w:line="300" w:lineRule="auto"/>
        <w:jc w:val="both"/>
      </w:pPr>
      <w:r>
        <w:t>The Poincaré Duality Network, as a theory of intelligence, does not exist and should not. What survives is smaller, and real: a sharply posed question about when a topology-aware network may trust its own topological reasoning, reducible to a comparison against a boring baseline on a domain small enough to fit in a week. That is not the outcome the original proposal wanted. It is a far better outcome than the one it promised, because unlike the promise, it can be true.</w:t>
      </w:r>
    </w:p>
    <w:p w14:paraId="56B0960B" w14:textId="77777777" w:rsidR="00F874B8" w:rsidRDefault="00F874B8" w:rsidP="000A1F42">
      <w:pPr>
        <w:pBdr>
          <w:bottom w:val="single" w:sz="6" w:space="1" w:color="CCCCCC"/>
        </w:pBdr>
        <w:spacing w:before="100" w:after="180"/>
        <w:jc w:val="both"/>
      </w:pPr>
    </w:p>
    <w:p w14:paraId="4F790EC5" w14:textId="77777777" w:rsidR="00F874B8" w:rsidRDefault="00000000" w:rsidP="000A1F42">
      <w:pPr>
        <w:pStyle w:val="Heading1"/>
        <w:keepNext/>
        <w:spacing w:before="340" w:after="150"/>
        <w:jc w:val="both"/>
      </w:pPr>
      <w:r>
        <w:rPr>
          <w:b/>
          <w:bCs/>
          <w:color w:val="1F3864"/>
          <w:sz w:val="30"/>
          <w:szCs w:val="30"/>
        </w:rPr>
        <w:t>Appendix A.  A pressure-test protocol</w:t>
      </w:r>
    </w:p>
    <w:p w14:paraId="72386F2F" w14:textId="77777777" w:rsidR="00F874B8" w:rsidRDefault="00000000" w:rsidP="000A1F42">
      <w:pPr>
        <w:spacing w:after="150" w:line="300" w:lineRule="auto"/>
        <w:jc w:val="both"/>
      </w:pPr>
      <w:r>
        <w:t>The lessons above, reassembled as questions to ask any ambitious ML architecture proposal — including, and especially, your own — before writing it up.</w:t>
      </w:r>
    </w:p>
    <w:p w14:paraId="7A0E532F" w14:textId="77777777" w:rsidR="00F874B8" w:rsidRDefault="00000000" w:rsidP="000A1F42">
      <w:pPr>
        <w:pStyle w:val="ListParagraph"/>
        <w:numPr>
          <w:ilvl w:val="0"/>
          <w:numId w:val="2"/>
        </w:numPr>
        <w:spacing w:after="110" w:line="300" w:lineRule="auto"/>
        <w:jc w:val="both"/>
      </w:pPr>
      <w:r>
        <w:rPr>
          <w:b/>
          <w:bCs/>
        </w:rPr>
        <w:t xml:space="preserve">What does it compute that a baseline does not? </w:t>
      </w:r>
      <w:r>
        <w:t xml:space="preserve">If you cannot answer in one sentence about an output number, you have a formalism, not an architecture. </w:t>
      </w:r>
      <w:r>
        <w:rPr>
          <w:i/>
          <w:iCs/>
          <w:color w:val="666677"/>
        </w:rPr>
        <w:t>(Lesson I)</w:t>
      </w:r>
    </w:p>
    <w:p w14:paraId="129A2EAF" w14:textId="77777777" w:rsidR="00F874B8" w:rsidRDefault="00000000" w:rsidP="000A1F42">
      <w:pPr>
        <w:pStyle w:val="ListParagraph"/>
        <w:numPr>
          <w:ilvl w:val="0"/>
          <w:numId w:val="2"/>
        </w:numPr>
        <w:spacing w:after="110" w:line="300" w:lineRule="auto"/>
        <w:jc w:val="both"/>
      </w:pPr>
      <w:r>
        <w:rPr>
          <w:b/>
          <w:bCs/>
        </w:rPr>
        <w:t xml:space="preserve">Is the object named after what it is, or after a theorem it hopes to deserve? </w:t>
      </w:r>
      <w:r>
        <w:t xml:space="preserve">Find every promise the name makes and check the geometry can keep it. </w:t>
      </w:r>
      <w:r>
        <w:rPr>
          <w:i/>
          <w:iCs/>
          <w:color w:val="666677"/>
        </w:rPr>
        <w:t>(Lesson II)</w:t>
      </w:r>
    </w:p>
    <w:p w14:paraId="3FFDA5BF" w14:textId="77777777" w:rsidR="00F874B8" w:rsidRDefault="00000000" w:rsidP="000A1F42">
      <w:pPr>
        <w:pStyle w:val="ListParagraph"/>
        <w:numPr>
          <w:ilvl w:val="0"/>
          <w:numId w:val="2"/>
        </w:numPr>
        <w:spacing w:after="110" w:line="300" w:lineRule="auto"/>
        <w:jc w:val="both"/>
      </w:pPr>
      <w:r>
        <w:rPr>
          <w:b/>
          <w:bCs/>
        </w:rPr>
        <w:t xml:space="preserve">Is the principled loss identically zero under the natural construction? </w:t>
      </w:r>
      <w:r>
        <w:t xml:space="preserve">Compute it symbolically before you trust it. </w:t>
      </w:r>
      <w:r>
        <w:rPr>
          <w:i/>
          <w:iCs/>
          <w:color w:val="666677"/>
        </w:rPr>
        <w:t>(Lesson III)</w:t>
      </w:r>
    </w:p>
    <w:p w14:paraId="00CC76BE" w14:textId="77777777" w:rsidR="00F874B8" w:rsidRDefault="00000000" w:rsidP="000A1F42">
      <w:pPr>
        <w:pStyle w:val="ListParagraph"/>
        <w:numPr>
          <w:ilvl w:val="0"/>
          <w:numId w:val="2"/>
        </w:numPr>
        <w:spacing w:after="110" w:line="300" w:lineRule="auto"/>
        <w:jc w:val="both"/>
      </w:pPr>
      <w:r>
        <w:rPr>
          <w:b/>
          <w:bCs/>
        </w:rPr>
        <w:t xml:space="preserve">Where does the hard part live now — and is any of it a theorem? </w:t>
      </w:r>
      <w:r>
        <w:t xml:space="preserve">Re-locate the difficulty every iteration; watch for impossibility results standing where you planned a module. </w:t>
      </w:r>
      <w:r>
        <w:rPr>
          <w:i/>
          <w:iCs/>
          <w:color w:val="666677"/>
        </w:rPr>
        <w:t>(Lesson IV)</w:t>
      </w:r>
    </w:p>
    <w:p w14:paraId="3EF40F25" w14:textId="77777777" w:rsidR="00F874B8" w:rsidRDefault="00000000" w:rsidP="000A1F42">
      <w:pPr>
        <w:pStyle w:val="ListParagraph"/>
        <w:numPr>
          <w:ilvl w:val="0"/>
          <w:numId w:val="2"/>
        </w:numPr>
        <w:spacing w:after="110" w:line="300" w:lineRule="auto"/>
        <w:jc w:val="both"/>
      </w:pPr>
      <w:r>
        <w:rPr>
          <w:b/>
          <w:bCs/>
        </w:rPr>
        <w:t xml:space="preserve">What is left after subtracting the existing literature? </w:t>
      </w:r>
      <w:r>
        <w:t xml:space="preserve">That, and only that, is the contribution. </w:t>
      </w:r>
      <w:r>
        <w:rPr>
          <w:i/>
          <w:iCs/>
          <w:color w:val="666677"/>
        </w:rPr>
        <w:t>(Lesson V)</w:t>
      </w:r>
    </w:p>
    <w:p w14:paraId="33F5DA28" w14:textId="77777777" w:rsidR="00F874B8" w:rsidRDefault="00000000" w:rsidP="000A1F42">
      <w:pPr>
        <w:pStyle w:val="ListParagraph"/>
        <w:numPr>
          <w:ilvl w:val="0"/>
          <w:numId w:val="2"/>
        </w:numPr>
        <w:spacing w:after="110" w:line="300" w:lineRule="auto"/>
        <w:jc w:val="both"/>
      </w:pPr>
      <w:r>
        <w:rPr>
          <w:b/>
          <w:bCs/>
        </w:rPr>
        <w:lastRenderedPageBreak/>
        <w:t xml:space="preserve">What is the boring, general-purpose baseline from a neighboring field? </w:t>
      </w:r>
      <w:r>
        <w:t xml:space="preserve">If your method cannot beat it where it matters, the method is decoration. </w:t>
      </w:r>
      <w:r>
        <w:rPr>
          <w:i/>
          <w:iCs/>
          <w:color w:val="666677"/>
        </w:rPr>
        <w:t>(Lesson VI)</w:t>
      </w:r>
    </w:p>
    <w:p w14:paraId="79BEFC0E" w14:textId="77777777" w:rsidR="00F874B8" w:rsidRDefault="00000000" w:rsidP="000A1F42">
      <w:pPr>
        <w:pStyle w:val="ListParagraph"/>
        <w:numPr>
          <w:ilvl w:val="0"/>
          <w:numId w:val="2"/>
        </w:numPr>
        <w:spacing w:after="110" w:line="300" w:lineRule="auto"/>
        <w:jc w:val="both"/>
      </w:pPr>
      <w:r>
        <w:rPr>
          <w:b/>
          <w:bCs/>
        </w:rPr>
        <w:t xml:space="preserve">What is the concrete downstream harm of a wrong output? </w:t>
      </w:r>
      <w:r>
        <w:t xml:space="preserve">If the headline metric is undefined without it, define it first. </w:t>
      </w:r>
      <w:r>
        <w:rPr>
          <w:i/>
          <w:iCs/>
          <w:color w:val="666677"/>
        </w:rPr>
        <w:t>(Lesson VII)</w:t>
      </w:r>
    </w:p>
    <w:p w14:paraId="2ED8A8E3" w14:textId="77777777" w:rsidR="00F874B8" w:rsidRDefault="00000000" w:rsidP="000A1F42">
      <w:pPr>
        <w:pStyle w:val="ListParagraph"/>
        <w:numPr>
          <w:ilvl w:val="0"/>
          <w:numId w:val="2"/>
        </w:numPr>
        <w:spacing w:after="110" w:line="300" w:lineRule="auto"/>
        <w:jc w:val="both"/>
      </w:pPr>
      <w:r>
        <w:rPr>
          <w:b/>
          <w:bCs/>
        </w:rPr>
        <w:t xml:space="preserve">Is the idea getting smaller or grander with each iteration? </w:t>
      </w:r>
      <w:r>
        <w:t xml:space="preserve">Health looks like shrinking toward a specific, falsifiable claim. </w:t>
      </w:r>
      <w:r>
        <w:rPr>
          <w:i/>
          <w:iCs/>
          <w:color w:val="666677"/>
        </w:rPr>
        <w:t>(Lesson VIII)</w:t>
      </w:r>
    </w:p>
    <w:p w14:paraId="48D3D36C" w14:textId="77777777" w:rsidR="00F874B8" w:rsidRDefault="00000000" w:rsidP="000A1F42">
      <w:pPr>
        <w:pStyle w:val="ListParagraph"/>
        <w:numPr>
          <w:ilvl w:val="0"/>
          <w:numId w:val="2"/>
        </w:numPr>
        <w:spacing w:after="110" w:line="300" w:lineRule="auto"/>
        <w:jc w:val="both"/>
      </w:pPr>
      <w:r>
        <w:rPr>
          <w:b/>
          <w:bCs/>
        </w:rPr>
        <w:t xml:space="preserve">Is the grand vision in the motivation or in the claims? </w:t>
      </w:r>
      <w:r>
        <w:t xml:space="preserve">It belongs only in the former. </w:t>
      </w:r>
      <w:r>
        <w:rPr>
          <w:i/>
          <w:iCs/>
          <w:color w:val="666677"/>
        </w:rPr>
        <w:t>(Lesson IX)</w:t>
      </w:r>
    </w:p>
    <w:p w14:paraId="0162B09A" w14:textId="77777777" w:rsidR="00F874B8" w:rsidRDefault="00000000" w:rsidP="000A1F42">
      <w:pPr>
        <w:pStyle w:val="ListParagraph"/>
        <w:numPr>
          <w:ilvl w:val="0"/>
          <w:numId w:val="2"/>
        </w:numPr>
        <w:spacing w:after="110" w:line="300" w:lineRule="auto"/>
        <w:jc w:val="both"/>
      </w:pPr>
      <w:r>
        <w:rPr>
          <w:b/>
          <w:bCs/>
        </w:rPr>
        <w:t xml:space="preserve">Has the binding constraint shifted from thinking to data? </w:t>
      </w:r>
      <w:r>
        <w:t xml:space="preserve">If so, stop refining and run the experiment. </w:t>
      </w:r>
      <w:r>
        <w:rPr>
          <w:i/>
          <w:iCs/>
          <w:color w:val="666677"/>
        </w:rPr>
        <w:t>(Lesson X)</w:t>
      </w:r>
    </w:p>
    <w:p w14:paraId="421DB9AB" w14:textId="77777777" w:rsidR="00F874B8" w:rsidRDefault="00F874B8" w:rsidP="000A1F42">
      <w:pPr>
        <w:pBdr>
          <w:bottom w:val="single" w:sz="6" w:space="1" w:color="CCCCCC"/>
        </w:pBdr>
        <w:spacing w:before="100" w:after="180"/>
        <w:jc w:val="both"/>
      </w:pPr>
    </w:p>
    <w:p w14:paraId="0968B808" w14:textId="77777777" w:rsidR="00F874B8" w:rsidRDefault="00000000" w:rsidP="000A1F42">
      <w:pPr>
        <w:pStyle w:val="Heading1"/>
        <w:keepNext/>
        <w:spacing w:before="340" w:after="150"/>
        <w:jc w:val="both"/>
      </w:pPr>
      <w:r>
        <w:rPr>
          <w:b/>
          <w:bCs/>
          <w:color w:val="1F3864"/>
          <w:sz w:val="30"/>
          <w:szCs w:val="30"/>
        </w:rPr>
        <w:t>References</w:t>
      </w:r>
    </w:p>
    <w:p w14:paraId="1168C0DC" w14:textId="77777777" w:rsidR="00F874B8" w:rsidRDefault="00000000" w:rsidP="000A1F42">
      <w:pPr>
        <w:spacing w:after="120" w:line="300" w:lineRule="auto"/>
        <w:jc w:val="both"/>
      </w:pPr>
      <w:r>
        <w:rPr>
          <w:color w:val="666677"/>
          <w:sz w:val="20"/>
          <w:szCs w:val="20"/>
        </w:rPr>
        <w:t>Selected works underlying the technical claims in this paper. Consult originals for exact statements.</w:t>
      </w:r>
    </w:p>
    <w:p w14:paraId="7ABB6301" w14:textId="77777777" w:rsidR="00F874B8" w:rsidRDefault="00000000" w:rsidP="000A1F42">
      <w:pPr>
        <w:spacing w:after="70" w:line="270" w:lineRule="auto"/>
        <w:ind w:left="360" w:hanging="360"/>
        <w:jc w:val="both"/>
      </w:pPr>
      <w:r>
        <w:rPr>
          <w:sz w:val="20"/>
          <w:szCs w:val="20"/>
        </w:rPr>
        <w:t>Angelopoulos, A. N., and Bates, S. A Gentle Introduction to Conformal Prediction and Distribution-Free Uncertainty Quantification. 2021.</w:t>
      </w:r>
    </w:p>
    <w:p w14:paraId="01D20837" w14:textId="77777777" w:rsidR="00F874B8" w:rsidRDefault="00000000" w:rsidP="000A1F42">
      <w:pPr>
        <w:spacing w:after="70" w:line="270" w:lineRule="auto"/>
        <w:ind w:left="360" w:hanging="360"/>
        <w:jc w:val="both"/>
      </w:pPr>
      <w:r>
        <w:rPr>
          <w:sz w:val="20"/>
          <w:szCs w:val="20"/>
        </w:rPr>
        <w:t>Arnold, D. N., Falk, R. S., and Winther, R. Finite Element Exterior Calculus, Homological Techniques, and Applications. Acta Numerica, 2006.</w:t>
      </w:r>
    </w:p>
    <w:p w14:paraId="7191DA5A" w14:textId="77777777" w:rsidR="00F874B8" w:rsidRDefault="00000000" w:rsidP="000A1F42">
      <w:pPr>
        <w:spacing w:after="70" w:line="270" w:lineRule="auto"/>
        <w:ind w:left="360" w:hanging="360"/>
        <w:jc w:val="both"/>
      </w:pPr>
      <w:r>
        <w:rPr>
          <w:sz w:val="20"/>
          <w:szCs w:val="20"/>
        </w:rPr>
        <w:t>Ballester, R., et al. Attending to Topological Spaces: The Cellular Transformer. 2024.</w:t>
      </w:r>
    </w:p>
    <w:p w14:paraId="0372ADA1" w14:textId="77777777" w:rsidR="00F874B8" w:rsidRDefault="00000000" w:rsidP="000A1F42">
      <w:pPr>
        <w:spacing w:after="70" w:line="270" w:lineRule="auto"/>
        <w:ind w:left="360" w:hanging="360"/>
        <w:jc w:val="both"/>
      </w:pPr>
      <w:r>
        <w:rPr>
          <w:sz w:val="20"/>
          <w:szCs w:val="20"/>
        </w:rPr>
        <w:t>Bodnar, C., Di Giovanni, F., Chamberlain, B., Liò, P., and Bronstein, M. Neural Sheaf Diffusion: A Topological Perspective on Heterophily and Oversmoothing in GNNs. NeurIPS, 2022.</w:t>
      </w:r>
    </w:p>
    <w:p w14:paraId="617BB880" w14:textId="77777777" w:rsidR="00F874B8" w:rsidRDefault="00000000" w:rsidP="000A1F42">
      <w:pPr>
        <w:spacing w:after="70" w:line="270" w:lineRule="auto"/>
        <w:ind w:left="360" w:hanging="360"/>
        <w:jc w:val="both"/>
      </w:pPr>
      <w:r>
        <w:rPr>
          <w:sz w:val="20"/>
          <w:szCs w:val="20"/>
        </w:rPr>
        <w:t>Caralt, F. H., Gonzàlez i Català, M., Bazaga, A., and Liò, P. On the Necessity of Learnable Sheaf Laplacians. arXiv:2603.05395, 2026.</w:t>
      </w:r>
    </w:p>
    <w:p w14:paraId="6261FD7C" w14:textId="77777777" w:rsidR="00F874B8" w:rsidRDefault="00000000" w:rsidP="000A1F42">
      <w:pPr>
        <w:spacing w:after="70" w:line="270" w:lineRule="auto"/>
        <w:ind w:left="360" w:hanging="360"/>
        <w:jc w:val="both"/>
      </w:pPr>
      <w:r>
        <w:rPr>
          <w:sz w:val="20"/>
          <w:szCs w:val="20"/>
        </w:rPr>
        <w:t>Desbrun, M., Hirani, A. N., Leok, M., and Marsden, J. E. Discrete Exterior Calculus. 2005.</w:t>
      </w:r>
    </w:p>
    <w:p w14:paraId="644668F8" w14:textId="77777777" w:rsidR="00F874B8" w:rsidRDefault="00000000" w:rsidP="000A1F42">
      <w:pPr>
        <w:spacing w:after="70" w:line="270" w:lineRule="auto"/>
        <w:ind w:left="360" w:hanging="360"/>
        <w:jc w:val="both"/>
      </w:pPr>
      <w:r>
        <w:rPr>
          <w:sz w:val="20"/>
          <w:szCs w:val="20"/>
        </w:rPr>
        <w:t>Eckmann, B. Harmonische Funktionen und Randwertaufgaben in einem Komplex. Commentarii Mathematici Helvetici, 1944. (Origin of combinatorial Hodge theory.)</w:t>
      </w:r>
    </w:p>
    <w:p w14:paraId="7C35D3A6" w14:textId="77777777" w:rsidR="00F874B8" w:rsidRDefault="00000000" w:rsidP="000A1F42">
      <w:pPr>
        <w:spacing w:after="70" w:line="270" w:lineRule="auto"/>
        <w:ind w:left="360" w:hanging="360"/>
        <w:jc w:val="both"/>
      </w:pPr>
      <w:r>
        <w:rPr>
          <w:sz w:val="20"/>
          <w:szCs w:val="20"/>
        </w:rPr>
        <w:t>Geifman, Y., and El-Yaniv, R. Selective Classification for Deep Neural Networks. NeurIPS, 2017.</w:t>
      </w:r>
    </w:p>
    <w:p w14:paraId="3805742D" w14:textId="77777777" w:rsidR="00F874B8" w:rsidRDefault="00000000" w:rsidP="000A1F42">
      <w:pPr>
        <w:spacing w:after="70" w:line="270" w:lineRule="auto"/>
        <w:ind w:left="360" w:hanging="360"/>
        <w:jc w:val="both"/>
      </w:pPr>
      <w:r>
        <w:rPr>
          <w:sz w:val="20"/>
          <w:szCs w:val="20"/>
        </w:rPr>
        <w:t>Hajij, M., et al. Topological Deep Learning: Going Beyond Graph Data (combinatorial complexes). 2023.</w:t>
      </w:r>
    </w:p>
    <w:p w14:paraId="4446B957" w14:textId="77777777" w:rsidR="00F874B8" w:rsidRDefault="00000000" w:rsidP="000A1F42">
      <w:pPr>
        <w:spacing w:after="70" w:line="270" w:lineRule="auto"/>
        <w:ind w:left="360" w:hanging="360"/>
        <w:jc w:val="both"/>
      </w:pPr>
      <w:r>
        <w:rPr>
          <w:sz w:val="20"/>
          <w:szCs w:val="20"/>
        </w:rPr>
        <w:t>Hansen, J., and Gebhart, T. Sheaf Neural Networks. arXiv:2012.06333, 2020.</w:t>
      </w:r>
    </w:p>
    <w:p w14:paraId="68411406" w14:textId="77777777" w:rsidR="00F874B8" w:rsidRDefault="00000000" w:rsidP="000A1F42">
      <w:pPr>
        <w:spacing w:after="70" w:line="270" w:lineRule="auto"/>
        <w:ind w:left="360" w:hanging="360"/>
        <w:jc w:val="both"/>
      </w:pPr>
      <w:r>
        <w:rPr>
          <w:sz w:val="20"/>
          <w:szCs w:val="20"/>
        </w:rPr>
        <w:t>Lim, L.-H. Hodge Laplacians on Graphs. SIAM Review, 2020.</w:t>
      </w:r>
    </w:p>
    <w:p w14:paraId="23AA06B8" w14:textId="77777777" w:rsidR="00F874B8" w:rsidRDefault="00000000" w:rsidP="000A1F42">
      <w:pPr>
        <w:spacing w:after="70" w:line="270" w:lineRule="auto"/>
        <w:ind w:left="360" w:hanging="360"/>
        <w:jc w:val="both"/>
      </w:pPr>
      <w:r>
        <w:rPr>
          <w:sz w:val="20"/>
          <w:szCs w:val="20"/>
        </w:rPr>
        <w:t>Matoušek, J., Tancer, M., and Wagner, U. Hardness of Embedding Simplicial Complexes in R^d. 2011. (Uses Novikov's unrecognizability of S⁵.)</w:t>
      </w:r>
    </w:p>
    <w:p w14:paraId="4CD080D5" w14:textId="77777777" w:rsidR="00F874B8" w:rsidRDefault="00000000" w:rsidP="000A1F42">
      <w:pPr>
        <w:spacing w:after="70" w:line="270" w:lineRule="auto"/>
        <w:ind w:left="360" w:hanging="360"/>
        <w:jc w:val="both"/>
      </w:pPr>
      <w:r>
        <w:rPr>
          <w:sz w:val="20"/>
          <w:szCs w:val="20"/>
        </w:rPr>
        <w:t>Poonen, B. Undecidable Problems: A Sampler. 2014. (Homeomorphism problem undecidable for d ≥ 4, Markov; Sᵈ recognition undecidable for d ≥ 5, S. P. Novikov.)</w:t>
      </w:r>
    </w:p>
    <w:p w14:paraId="75EB49DC" w14:textId="77777777" w:rsidR="00F874B8" w:rsidRDefault="00000000" w:rsidP="000A1F42">
      <w:pPr>
        <w:spacing w:after="70" w:line="270" w:lineRule="auto"/>
        <w:ind w:left="360" w:hanging="360"/>
        <w:jc w:val="both"/>
      </w:pPr>
      <w:r>
        <w:rPr>
          <w:sz w:val="20"/>
          <w:szCs w:val="20"/>
        </w:rPr>
        <w:t>Schleimer, S. Sphere Recognition Lies in NP. arXiv:math/0407047, 2004.</w:t>
      </w:r>
    </w:p>
    <w:p w14:paraId="5E7D7EFF" w14:textId="77777777" w:rsidR="00F874B8" w:rsidRDefault="00000000" w:rsidP="000A1F42">
      <w:pPr>
        <w:spacing w:after="70" w:line="270" w:lineRule="auto"/>
        <w:ind w:left="360" w:hanging="360"/>
        <w:jc w:val="both"/>
      </w:pPr>
      <w:r>
        <w:rPr>
          <w:sz w:val="20"/>
          <w:szCs w:val="20"/>
        </w:rPr>
        <w:t>Smirnov, D., and Solomon, J. HodgeNet: Learning Spectral Geometry on Triangle Meshes. arXiv:2104.12826, 2021.</w:t>
      </w:r>
    </w:p>
    <w:p w14:paraId="0F7DE311" w14:textId="77777777" w:rsidR="00F874B8" w:rsidRDefault="00000000" w:rsidP="000A1F42">
      <w:pPr>
        <w:spacing w:after="70" w:line="270" w:lineRule="auto"/>
        <w:ind w:left="360" w:hanging="360"/>
        <w:jc w:val="both"/>
      </w:pPr>
      <w:r>
        <w:rPr>
          <w:sz w:val="20"/>
          <w:szCs w:val="20"/>
        </w:rPr>
        <w:t>Vovk, V., Gammerman, A., and Shafer, G. Algorithmic Learning in a Random World. Springer, 2005. (Conformal prediction.)</w:t>
      </w:r>
    </w:p>
    <w:sectPr w:rsidR="00F874B8">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F39D7" w14:textId="77777777" w:rsidR="00ED1485" w:rsidRDefault="00ED1485">
      <w:r>
        <w:separator/>
      </w:r>
    </w:p>
  </w:endnote>
  <w:endnote w:type="continuationSeparator" w:id="0">
    <w:p w14:paraId="00447CDD" w14:textId="77777777" w:rsidR="00ED1485" w:rsidRDefault="00ED1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649F9" w14:textId="77777777" w:rsidR="00F874B8" w:rsidRDefault="00000000">
    <w:pPr>
      <w:jc w:val="center"/>
    </w:pPr>
    <w:r>
      <w:rPr>
        <w:color w:val="666677"/>
        <w:sz w:val="18"/>
        <w:szCs w:val="18"/>
      </w:rPr>
      <w:fldChar w:fldCharType="begin"/>
    </w:r>
    <w:r>
      <w:rPr>
        <w:color w:val="666677"/>
        <w:sz w:val="18"/>
        <w:szCs w:val="18"/>
      </w:rPr>
      <w:instrText>PAGE</w:instrText>
    </w:r>
    <w:r>
      <w:rPr>
        <w:color w:val="666677"/>
        <w:sz w:val="18"/>
        <w:szCs w:val="18"/>
      </w:rPr>
      <w:fldChar w:fldCharType="separate"/>
    </w:r>
    <w:r w:rsidR="000A1F42">
      <w:rPr>
        <w:noProof/>
        <w:color w:val="666677"/>
        <w:sz w:val="18"/>
        <w:szCs w:val="18"/>
      </w:rPr>
      <w:t>1</w:t>
    </w:r>
    <w:r>
      <w:rPr>
        <w:color w:val="6666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0ED50" w14:textId="77777777" w:rsidR="00ED1485" w:rsidRDefault="00ED1485">
      <w:r>
        <w:separator/>
      </w:r>
    </w:p>
  </w:footnote>
  <w:footnote w:type="continuationSeparator" w:id="0">
    <w:p w14:paraId="2EF149E4" w14:textId="77777777" w:rsidR="00ED1485" w:rsidRDefault="00ED14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6107" w14:textId="77777777" w:rsidR="00F874B8" w:rsidRDefault="00000000">
    <w:pPr>
      <w:jc w:val="right"/>
    </w:pPr>
    <w:r>
      <w:rPr>
        <w:i/>
        <w:iCs/>
        <w:color w:val="9AA1AE"/>
        <w:sz w:val="16"/>
        <w:szCs w:val="16"/>
      </w:rPr>
      <w:t>Carrier, Constraint, Contact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7492E"/>
    <w:multiLevelType w:val="hybridMultilevel"/>
    <w:tmpl w:val="66903306"/>
    <w:lvl w:ilvl="0" w:tplc="EBDE60DC">
      <w:start w:val="1"/>
      <w:numFmt w:val="decimal"/>
      <w:lvlText w:val="%1."/>
      <w:lvlJc w:val="left"/>
      <w:pPr>
        <w:ind w:left="470" w:hanging="300"/>
      </w:pPr>
    </w:lvl>
    <w:lvl w:ilvl="1" w:tplc="75AA5A96">
      <w:numFmt w:val="decimal"/>
      <w:lvlText w:val=""/>
      <w:lvlJc w:val="left"/>
    </w:lvl>
    <w:lvl w:ilvl="2" w:tplc="B888D070">
      <w:numFmt w:val="decimal"/>
      <w:lvlText w:val=""/>
      <w:lvlJc w:val="left"/>
    </w:lvl>
    <w:lvl w:ilvl="3" w:tplc="13CC0170">
      <w:numFmt w:val="decimal"/>
      <w:lvlText w:val=""/>
      <w:lvlJc w:val="left"/>
    </w:lvl>
    <w:lvl w:ilvl="4" w:tplc="90F0C584">
      <w:numFmt w:val="decimal"/>
      <w:lvlText w:val=""/>
      <w:lvlJc w:val="left"/>
    </w:lvl>
    <w:lvl w:ilvl="5" w:tplc="CBCE1454">
      <w:numFmt w:val="decimal"/>
      <w:lvlText w:val=""/>
      <w:lvlJc w:val="left"/>
    </w:lvl>
    <w:lvl w:ilvl="6" w:tplc="1FF0C5CE">
      <w:numFmt w:val="decimal"/>
      <w:lvlText w:val=""/>
      <w:lvlJc w:val="left"/>
    </w:lvl>
    <w:lvl w:ilvl="7" w:tplc="FD2E5C74">
      <w:numFmt w:val="decimal"/>
      <w:lvlText w:val=""/>
      <w:lvlJc w:val="left"/>
    </w:lvl>
    <w:lvl w:ilvl="8" w:tplc="684825D6">
      <w:numFmt w:val="decimal"/>
      <w:lvlText w:val=""/>
      <w:lvlJc w:val="left"/>
    </w:lvl>
  </w:abstractNum>
  <w:abstractNum w:abstractNumId="1" w15:restartNumberingAfterBreak="0">
    <w:nsid w:val="58D07704"/>
    <w:multiLevelType w:val="hybridMultilevel"/>
    <w:tmpl w:val="CABC0C32"/>
    <w:lvl w:ilvl="0" w:tplc="5DE8E762">
      <w:start w:val="1"/>
      <w:numFmt w:val="bullet"/>
      <w:lvlText w:val="●"/>
      <w:lvlJc w:val="left"/>
      <w:pPr>
        <w:ind w:left="720" w:hanging="360"/>
      </w:pPr>
    </w:lvl>
    <w:lvl w:ilvl="1" w:tplc="1C624D14">
      <w:start w:val="1"/>
      <w:numFmt w:val="bullet"/>
      <w:lvlText w:val="○"/>
      <w:lvlJc w:val="left"/>
      <w:pPr>
        <w:ind w:left="1440" w:hanging="360"/>
      </w:pPr>
    </w:lvl>
    <w:lvl w:ilvl="2" w:tplc="4FC6F884">
      <w:start w:val="1"/>
      <w:numFmt w:val="bullet"/>
      <w:lvlText w:val="■"/>
      <w:lvlJc w:val="left"/>
      <w:pPr>
        <w:ind w:left="2160" w:hanging="360"/>
      </w:pPr>
    </w:lvl>
    <w:lvl w:ilvl="3" w:tplc="942A7B2E">
      <w:start w:val="1"/>
      <w:numFmt w:val="bullet"/>
      <w:lvlText w:val="●"/>
      <w:lvlJc w:val="left"/>
      <w:pPr>
        <w:ind w:left="2880" w:hanging="360"/>
      </w:pPr>
    </w:lvl>
    <w:lvl w:ilvl="4" w:tplc="042C622C">
      <w:start w:val="1"/>
      <w:numFmt w:val="bullet"/>
      <w:lvlText w:val="○"/>
      <w:lvlJc w:val="left"/>
      <w:pPr>
        <w:ind w:left="3600" w:hanging="360"/>
      </w:pPr>
    </w:lvl>
    <w:lvl w:ilvl="5" w:tplc="A7D62D9A">
      <w:start w:val="1"/>
      <w:numFmt w:val="bullet"/>
      <w:lvlText w:val="■"/>
      <w:lvlJc w:val="left"/>
      <w:pPr>
        <w:ind w:left="4320" w:hanging="360"/>
      </w:pPr>
    </w:lvl>
    <w:lvl w:ilvl="6" w:tplc="FA0C268A">
      <w:start w:val="1"/>
      <w:numFmt w:val="bullet"/>
      <w:lvlText w:val="●"/>
      <w:lvlJc w:val="left"/>
      <w:pPr>
        <w:ind w:left="5040" w:hanging="360"/>
      </w:pPr>
    </w:lvl>
    <w:lvl w:ilvl="7" w:tplc="F21A6500">
      <w:start w:val="1"/>
      <w:numFmt w:val="bullet"/>
      <w:lvlText w:val="●"/>
      <w:lvlJc w:val="left"/>
      <w:pPr>
        <w:ind w:left="5760" w:hanging="360"/>
      </w:pPr>
    </w:lvl>
    <w:lvl w:ilvl="8" w:tplc="3046672A">
      <w:start w:val="1"/>
      <w:numFmt w:val="bullet"/>
      <w:lvlText w:val="●"/>
      <w:lvlJc w:val="left"/>
      <w:pPr>
        <w:ind w:left="6480" w:hanging="360"/>
      </w:pPr>
    </w:lvl>
  </w:abstractNum>
  <w:num w:numId="1" w16cid:durableId="978072530">
    <w:abstractNumId w:val="1"/>
    <w:lvlOverride w:ilvl="0">
      <w:startOverride w:val="1"/>
    </w:lvlOverride>
  </w:num>
  <w:num w:numId="2" w16cid:durableId="13910284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4B8"/>
    <w:rsid w:val="000A1F42"/>
    <w:rsid w:val="00217D16"/>
    <w:rsid w:val="004F587E"/>
    <w:rsid w:val="006C6171"/>
    <w:rsid w:val="00A23DFF"/>
    <w:rsid w:val="00ED1485"/>
    <w:rsid w:val="00F874B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93BEB"/>
  <w15:docId w15:val="{F7F5E311-99D8-4078-9F0B-D9FC60FA2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22230"/>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23D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3140/RG.2.2.22058.99524" TargetMode="External"/><Relationship Id="rId3" Type="http://schemas.openxmlformats.org/officeDocument/2006/relationships/settings" Target="settings.xml"/><Relationship Id="rId7" Type="http://schemas.openxmlformats.org/officeDocument/2006/relationships/hyperlink" Target="mailto:debiprasadghosh@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12</Pages>
  <Words>5953</Words>
  <Characters>33938</Characters>
  <Application>Microsoft Office Word</Application>
  <DocSecurity>0</DocSecurity>
  <Lines>282</Lines>
  <Paragraphs>79</Paragraphs>
  <ScaleCrop>false</ScaleCrop>
  <Company/>
  <LinksUpToDate>false</LinksUpToDate>
  <CharactersWithSpaces>39812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Carrier, Constraint, Contact</dc:title>
  <dc:creator>Lessons-learned paper</dc:creator>
  <cp:lastModifiedBy>Debiprasad Ghosh</cp:lastModifiedBy>
  <cp:revision>7</cp:revision>
  <cp:lastPrinted>2026-07-21T17:45:00Z</cp:lastPrinted>
  <dcterms:created xsi:type="dcterms:W3CDTF">2026-07-21T16:10:00Z</dcterms:created>
  <dcterms:modified xsi:type="dcterms:W3CDTF">2026-07-21T17:50:00Z</dcterms:modified>
</cp:coreProperties>
</file>