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1786" w14:textId="77777777" w:rsidR="00CE361F" w:rsidRPr="00DE1D4B" w:rsidRDefault="00000000" w:rsidP="00DE1D4B">
      <w:pPr>
        <w:pStyle w:val="AbstractTitle"/>
        <w:rPr>
          <w:sz w:val="68"/>
          <w:szCs w:val="68"/>
        </w:rPr>
      </w:pPr>
      <w:bookmarkStart w:id="0" w:name="the-certified-memory-ledger"/>
      <w:r w:rsidRPr="00DE1D4B">
        <w:rPr>
          <w:sz w:val="68"/>
          <w:szCs w:val="68"/>
        </w:rPr>
        <w:t>The Certified Memory Ledger</w:t>
      </w:r>
    </w:p>
    <w:p w14:paraId="55277EDE" w14:textId="77777777" w:rsidR="00CE361F" w:rsidRPr="00DE1D4B" w:rsidRDefault="00000000" w:rsidP="00DE1D4B">
      <w:pPr>
        <w:pStyle w:val="Heading2"/>
        <w:jc w:val="center"/>
        <w:rPr>
          <w:sz w:val="44"/>
          <w:szCs w:val="44"/>
        </w:rPr>
      </w:pPr>
      <w:bookmarkStart w:id="1" w:name="Xd87027bac18e4f3c9d8e4b2e03fb4db79162c88"/>
      <w:r w:rsidRPr="00DE1D4B">
        <w:rPr>
          <w:sz w:val="44"/>
          <w:szCs w:val="44"/>
        </w:rPr>
        <w:t>A Defensible Homological Architecture for Recall</w:t>
      </w:r>
    </w:p>
    <w:p w14:paraId="673AE8FB" w14:textId="4FBC47B7" w:rsidR="00CE361F" w:rsidRDefault="00000000" w:rsidP="00DE1D4B">
      <w:pPr>
        <w:pStyle w:val="FirstParagraph"/>
        <w:jc w:val="center"/>
        <w:rPr>
          <w:b/>
          <w:bCs/>
          <w:sz w:val="32"/>
          <w:szCs w:val="32"/>
        </w:rPr>
      </w:pPr>
      <w:r w:rsidRPr="00DE1D4B">
        <w:rPr>
          <w:b/>
          <w:bCs/>
          <w:sz w:val="32"/>
          <w:szCs w:val="32"/>
        </w:rPr>
        <w:t>D. P. Ghosh</w:t>
      </w:r>
      <w:r w:rsidR="00DE1D4B" w:rsidRPr="00DE1D4B">
        <w:rPr>
          <w:b/>
          <w:bCs/>
          <w:sz w:val="32"/>
          <w:szCs w:val="32"/>
        </w:rPr>
        <w:t xml:space="preserve">, </w:t>
      </w:r>
      <w:hyperlink r:id="rId7" w:history="1">
        <w:r w:rsidR="00DE1D4B" w:rsidRPr="00DE1D4B">
          <w:rPr>
            <w:rStyle w:val="Hyperlink"/>
            <w:b/>
            <w:bCs/>
            <w:sz w:val="32"/>
            <w:szCs w:val="32"/>
          </w:rPr>
          <w:t>debiprasadghosh@gmail.com</w:t>
        </w:r>
      </w:hyperlink>
    </w:p>
    <w:p w14:paraId="34FAAD0D" w14:textId="488ADF5F" w:rsidR="00DE1D4B" w:rsidRPr="00DE1D4B" w:rsidRDefault="00D6246E" w:rsidP="00D6246E">
      <w:pPr>
        <w:pStyle w:val="BodyText"/>
        <w:tabs>
          <w:tab w:val="left" w:pos="8492"/>
        </w:tabs>
        <w:jc w:val="center"/>
      </w:pPr>
      <w:hyperlink r:id="rId8" w:history="1">
        <w:r w:rsidRPr="009D5C7D">
          <w:rPr>
            <w:rStyle w:val="Hyperlink"/>
          </w:rPr>
          <w:t>https://doi.org/10.13140/RG.2.2.32223.01445</w:t>
        </w:r>
      </w:hyperlink>
    </w:p>
    <w:p w14:paraId="309AF71D" w14:textId="77777777" w:rsidR="00CE361F" w:rsidRDefault="00000000" w:rsidP="00DE1D4B">
      <w:pPr>
        <w:pStyle w:val="Heading2"/>
        <w:jc w:val="both"/>
      </w:pPr>
      <w:bookmarkStart w:id="2" w:name="abstract"/>
      <w:bookmarkEnd w:id="1"/>
      <w:r>
        <w:t>Abstract</w:t>
      </w:r>
    </w:p>
    <w:p w14:paraId="4406F1B8" w14:textId="77777777" w:rsidR="00CE361F" w:rsidRDefault="00000000" w:rsidP="00DE1D4B">
      <w:pPr>
        <w:pStyle w:val="FirstParagraph"/>
        <w:jc w:val="both"/>
      </w:pPr>
      <w:r>
        <w:t xml:space="preserve">An ordinary vector memory confuses three things a defensible system must separate: </w:t>
      </w:r>
      <w:r>
        <w:rPr>
          <w:i/>
          <w:iCs/>
        </w:rPr>
        <w:t>semantic nearness</w:t>
      </w:r>
      <w:r>
        <w:t xml:space="preserve"> (two items are close in embedding space), </w:t>
      </w:r>
      <w:r>
        <w:rPr>
          <w:i/>
          <w:iCs/>
        </w:rPr>
        <w:t>logical admissibility</w:t>
      </w:r>
      <w:r>
        <w:t xml:space="preserve"> (they may lawfully be joined), and </w:t>
      </w:r>
      <w:r>
        <w:rPr>
          <w:i/>
          <w:iCs/>
        </w:rPr>
        <w:t>certified retrieval</w:t>
      </w:r>
      <w:r>
        <w:t xml:space="preserve"> (their relation has passed audit). The Certified Memory Ledger separates them. Memory is a continuous Hilbert store </w:t>
      </w:r>
      <w:r>
        <w:rPr>
          <w:rStyle w:val="VerbatimChar"/>
        </w:rPr>
        <w:t>𝓗</w:t>
      </w:r>
      <w:r>
        <w:t xml:space="preserve"> governed, at each sleep epoch </w:t>
      </w:r>
      <w:r>
        <w:rPr>
          <w:rStyle w:val="VerbatimChar"/>
        </w:rPr>
        <w:t>k</w:t>
      </w:r>
      <w:r>
        <w:t xml:space="preserve">, by a five-part crystallized state </w:t>
      </w:r>
      <w:r>
        <w:rPr>
          <w:rStyle w:val="VerbatimChar"/>
        </w:rPr>
        <w:t>𝓜_k = (𝓗, T_k, B_k, Σ_k, 𝓛_k)</w:t>
      </w:r>
      <w:r>
        <w:t xml:space="preserve">: an </w:t>
      </w:r>
      <w:r>
        <w:rPr>
          <w:b/>
          <w:bCs/>
        </w:rPr>
        <w:t>acyclic certified routing spine</w:t>
      </w:r>
      <w:r>
        <w:t xml:space="preserve"> </w:t>
      </w:r>
      <w:r>
        <w:rPr>
          <w:rStyle w:val="VerbatimChar"/>
        </w:rPr>
        <w:t>T_k</w:t>
      </w:r>
      <w:r>
        <w:t xml:space="preserve">, a </w:t>
      </w:r>
      <w:r>
        <w:rPr>
          <w:b/>
          <w:bCs/>
        </w:rPr>
        <w:t>certified basis of lawful directed cycles</w:t>
      </w:r>
      <w:r>
        <w:t xml:space="preserve"> </w:t>
      </w:r>
      <w:r>
        <w:rPr>
          <w:rStyle w:val="VerbatimChar"/>
        </w:rPr>
        <w:t>B_k</w:t>
      </w:r>
      <w:r>
        <w:t xml:space="preserve">, a set of </w:t>
      </w:r>
      <w:r>
        <w:rPr>
          <w:b/>
          <w:bCs/>
        </w:rPr>
        <w:t>blocked seams and refinement debts</w:t>
      </w:r>
      <w:r>
        <w:t xml:space="preserve"> </w:t>
      </w:r>
      <w:r>
        <w:rPr>
          <w:rStyle w:val="VerbatimChar"/>
        </w:rPr>
        <w:t>Σ_k</w:t>
      </w:r>
      <w:r>
        <w:t xml:space="preserve">, and a prefrontal </w:t>
      </w:r>
      <w:r>
        <w:rPr>
          <w:b/>
          <w:bCs/>
        </w:rPr>
        <w:t>executive ledger</w:t>
      </w:r>
      <w:r>
        <w:t xml:space="preserve"> </w:t>
      </w:r>
      <w:r>
        <w:rPr>
          <w:rStyle w:val="VerbatimChar"/>
        </w:rPr>
        <w:t>𝓛_k</w:t>
      </w:r>
      <w:r>
        <w:t xml:space="preserve"> of what may be released. Waking accumulates dense associative proposals with raw cycles; sleep </w:t>
      </w:r>
      <w:r>
        <w:rPr>
          <w:i/>
          <w:iCs/>
        </w:rPr>
        <w:t>crystallizes</w:t>
      </w:r>
      <w:r>
        <w:t xml:space="preserve"> them — extracting the spine, certifying the lawful cycles, blocking the unsafe seams — and, crucially, </w:t>
      </w:r>
      <w:r>
        <w:rPr>
          <w:b/>
          <w:bCs/>
        </w:rPr>
        <w:t>disconnects rather than forcing a false bridge</w:t>
      </w:r>
      <w:r>
        <w:t xml:space="preserve"> where a hard obstruction stands. Proximity proposes; audit licenses; sleep crystallizes.</w:t>
      </w:r>
    </w:p>
    <w:p w14:paraId="72F6849B" w14:textId="77777777" w:rsidR="00DE1D4B" w:rsidRDefault="00DE1D4B" w:rsidP="00DE1D4B">
      <w:pPr>
        <w:pStyle w:val="Heading2"/>
        <w:jc w:val="both"/>
      </w:pPr>
      <w:bookmarkStart w:id="3" w:name="provenance"/>
      <w:r>
        <w:t>Provenance</w:t>
      </w:r>
    </w:p>
    <w:p w14:paraId="069DE8BE" w14:textId="15FB73F2" w:rsidR="00DE1D4B" w:rsidRPr="00DE1D4B" w:rsidRDefault="00DE1D4B" w:rsidP="00DE1D4B">
      <w:pPr>
        <w:pStyle w:val="FirstParagraph"/>
        <w:jc w:val="both"/>
      </w:pPr>
      <w:r>
        <w:t xml:space="preserve">The mathematics is classical: </w:t>
      </w:r>
      <w:r>
        <w:rPr>
          <w:b/>
          <w:bCs/>
        </w:rPr>
        <w:t>Hilbert spaces and kernels</w:t>
      </w:r>
      <w:r>
        <w:t xml:space="preserve"> (the continuous store and its distance), </w:t>
      </w:r>
      <w:r>
        <w:rPr>
          <w:b/>
          <w:bCs/>
        </w:rPr>
        <w:t>minimum spanning trees/forests</w:t>
      </w:r>
      <w:r>
        <w:t xml:space="preserve"> (the certified routing spine), </w:t>
      </w:r>
      <w:r>
        <w:rPr>
          <w:b/>
          <w:bCs/>
        </w:rPr>
        <w:t>graph homology and directed cycles</w:t>
      </w:r>
      <w:r>
        <w:t xml:space="preserve"> (the cycle basis and re-entry), the </w:t>
      </w:r>
      <w:r>
        <w:rPr>
          <w:b/>
          <w:bCs/>
        </w:rPr>
        <w:t>tensor product</w:t>
      </w:r>
      <w:r>
        <w:t xml:space="preserve"> of vector spaces (the disentangling lift), and </w:t>
      </w:r>
      <w:r>
        <w:rPr>
          <w:b/>
          <w:bCs/>
        </w:rPr>
        <w:t>retraction</w:t>
      </w:r>
      <w:r>
        <w:t xml:space="preserve"> onto a subspace (shortcut certification). All </w:t>
      </w:r>
      <w:r>
        <w:rPr>
          <w:rStyle w:val="VerbatimChar"/>
        </w:rPr>
        <w:t>[LB-math]</w:t>
      </w:r>
      <w:r>
        <w:t xml:space="preserve">, imported and cited. The contribution is the </w:t>
      </w:r>
      <w:r>
        <w:rPr>
          <w:i/>
          <w:iCs/>
        </w:rPr>
        <w:t>architecture</w:t>
      </w:r>
      <w:r>
        <w:t xml:space="preserve"> — a memory governed by a certified homological ledger — and it is </w:t>
      </w:r>
      <w:r>
        <w:rPr>
          <w:rStyle w:val="VerbatimChar"/>
        </w:rPr>
        <w:t>[CAND]</w:t>
      </w:r>
      <w:r>
        <w:t>.</w:t>
      </w:r>
      <w:bookmarkEnd w:id="3"/>
    </w:p>
    <w:p w14:paraId="5974060B" w14:textId="77777777" w:rsidR="00CE361F" w:rsidRDefault="00000000" w:rsidP="00DE1D4B">
      <w:pPr>
        <w:pStyle w:val="Heading2"/>
        <w:jc w:val="both"/>
      </w:pPr>
      <w:bookmarkStart w:id="4" w:name="introduction"/>
      <w:bookmarkEnd w:id="2"/>
      <w:r>
        <w:t>Introduction</w:t>
      </w:r>
    </w:p>
    <w:p w14:paraId="5318CAE8" w14:textId="77777777" w:rsidR="00CE361F" w:rsidRDefault="00000000" w:rsidP="00DE1D4B">
      <w:pPr>
        <w:pStyle w:val="FirstParagraph"/>
        <w:jc w:val="both"/>
      </w:pPr>
      <w:r>
        <w:t xml:space="preserve">Retrieval-based memory — the vector store behind modern retrieval-augmented generation (Lewis et al., 2020) and long-term agent memory — answers “what is relevant?” by returning “what is nearest” in an embedding space (Schölkopf &amp; Smola, 2002), navigated by approximate indices such as hierarchical small-world graphs (Malkov &amp; Yashunin, 2018). This is effective and, in a precise sense, dangerous: it collapses three notions a defensible system must keep apart — </w:t>
      </w:r>
      <w:r>
        <w:rPr>
          <w:i/>
          <w:iCs/>
        </w:rPr>
        <w:t>semantic nearness</w:t>
      </w:r>
      <w:r>
        <w:t xml:space="preserve">, </w:t>
      </w:r>
      <w:r>
        <w:rPr>
          <w:i/>
          <w:iCs/>
        </w:rPr>
        <w:t>logical admissibility</w:t>
      </w:r>
      <w:r>
        <w:t xml:space="preserve">, and </w:t>
      </w:r>
      <w:r>
        <w:rPr>
          <w:i/>
          <w:iCs/>
        </w:rPr>
        <w:t>certified retrieval</w:t>
      </w:r>
      <w:r>
        <w:t>. Two items may be neighbours in the store yet separated by a logical, causal, temporal, or provenance obstruction that no distance can see. The visible symptom is the retrieval analogue of hallucination: confident recall of a relation that was never licensed.</w:t>
      </w:r>
    </w:p>
    <w:p w14:paraId="792D0A3C" w14:textId="77777777" w:rsidR="00CE361F" w:rsidRDefault="00000000" w:rsidP="00DE1D4B">
      <w:pPr>
        <w:pStyle w:val="BodyText"/>
        <w:jc w:val="both"/>
      </w:pPr>
      <w:r>
        <w:lastRenderedPageBreak/>
        <w:t xml:space="preserve">This paper develops a memory architecture that keeps the three apart, on the principle </w:t>
      </w:r>
      <w:r>
        <w:rPr>
          <w:i/>
          <w:iCs/>
        </w:rPr>
        <w:t>proximity proposes; audit licenses; sleep crystallizes.</w:t>
      </w:r>
      <w:r>
        <w:t xml:space="preserve"> The continuous store proposes associations by nearness; an audit decides which may lawfully be joined; and an offline consolidation phase — modeled on the memory function of sleep (Diekelmann &amp; Born, 2010) and governed by a prefrontal executive (Miller &amp; Cohen, 2001) — crystallizes the audited result into a certified homological structure.</w:t>
      </w:r>
    </w:p>
    <w:p w14:paraId="4FEE8579" w14:textId="77777777" w:rsidR="00CE361F" w:rsidRDefault="00000000" w:rsidP="00DE1D4B">
      <w:pPr>
        <w:pStyle w:val="BodyText"/>
        <w:jc w:val="both"/>
      </w:pPr>
      <w:r>
        <w:t xml:space="preserve">The contribution is sixfold. First, we separate memory into five objects — a continuous store, an acyclic certified routing spine, a certified basis of lawful cycles, a set of blocked seams, and an executive ledger (§2). Second, we weight edges by an </w:t>
      </w:r>
      <w:r>
        <w:rPr>
          <w:i/>
          <w:iCs/>
        </w:rPr>
        <w:t>audit-conditioned</w:t>
      </w:r>
      <w:r>
        <w:t xml:space="preserve"> dissimilarity so the routing spine (Kruskal, 1956) </w:t>
      </w:r>
      <w:r>
        <w:rPr>
          <w:b/>
          <w:bCs/>
        </w:rPr>
        <w:t>disconnects</w:t>
      </w:r>
      <w:r>
        <w:t xml:space="preserve"> rather than forcing a false bridge across a hard obstruction (§3–4). Third, we </w:t>
      </w:r>
      <w:r>
        <w:rPr>
          <w:b/>
          <w:bCs/>
        </w:rPr>
        <w:t>certify directed cycles</w:t>
      </w:r>
      <w:r>
        <w:t xml:space="preserve"> rather than deleting them, distinguishing genuine recurrence from undirected redundancy (§5). Fourth, we </w:t>
      </w:r>
      <w:r>
        <w:rPr>
          <w:b/>
          <w:bCs/>
        </w:rPr>
        <w:t>earn</w:t>
      </w:r>
      <w:r>
        <w:t xml:space="preserve"> a disentangling tensor lift (Kolda &amp; Bader, 2009) by repeated audit, and distinguish it precisely from mere orthogonalization (§6). Fifth, we certify disposable navigational shortcuts by </w:t>
      </w:r>
      <w:r>
        <w:rPr>
          <w:b/>
          <w:bCs/>
        </w:rPr>
        <w:t>retraction</w:t>
      </w:r>
      <w:r>
        <w:t xml:space="preserve"> onto the certified spine (Hatcher, 2002), with dirty invalidation when the spine rewires (§7). Sixth, we let the executive ledger compute </w:t>
      </w:r>
      <w:r>
        <w:rPr>
          <w:b/>
          <w:bCs/>
        </w:rPr>
        <w:t>signability</w:t>
      </w:r>
      <w:r>
        <w:t xml:space="preserve"> while leaving the signature itself outside the machine (§8). We then situate the architecture among the series’ deposited machinery (§9) and state its tiers, fences, and falsifiable predictions (§10). Throughout, the discipline is to mark what is established, what is candidate, and what remains open — and to note that this store-side audit is the twin of the sequence-side audit of the companion paper (Ghosh, </w:t>
      </w:r>
      <w:r>
        <w:rPr>
          <w:i/>
          <w:iCs/>
        </w:rPr>
        <w:t>Covering Networks</w:t>
      </w:r>
      <w:r>
        <w:t>).</w:t>
      </w:r>
    </w:p>
    <w:p w14:paraId="0C835F88" w14:textId="77777777" w:rsidR="00CE361F" w:rsidRDefault="00000000" w:rsidP="00DE1D4B">
      <w:pPr>
        <w:pStyle w:val="Heading2"/>
        <w:jc w:val="both"/>
      </w:pPr>
      <w:bookmarkStart w:id="5" w:name="the-problem-proximity-is-not-permission"/>
      <w:bookmarkEnd w:id="4"/>
      <w:r>
        <w:t>1. The problem — proximity is not permission</w:t>
      </w:r>
    </w:p>
    <w:p w14:paraId="26F49F74" w14:textId="77777777" w:rsidR="00CE361F" w:rsidRDefault="00000000" w:rsidP="00DE1D4B">
      <w:pPr>
        <w:pStyle w:val="FirstParagraph"/>
        <w:jc w:val="both"/>
      </w:pPr>
      <w:r>
        <w:t xml:space="preserve">A vector database answers “what is relevant?” with “what is nearest,” and that single substitution is the defect the framework targets. Semantic nearness in a Hilbert store </w:t>
      </w:r>
      <w:r>
        <w:rPr>
          <w:i/>
          <w:iCs/>
        </w:rPr>
        <w:t>proposes</w:t>
      </w:r>
      <w:r>
        <w:t xml:space="preserve"> an association; it does not </w:t>
      </w:r>
      <w:r>
        <w:rPr>
          <w:i/>
          <w:iCs/>
        </w:rPr>
        <w:t>certify</w:t>
      </w:r>
      <w:r>
        <w:t xml:space="preserve"> one. Two items may be close in embedding space and yet separated by a logical, causal, temporal, or provenance obstruction that no distance can see. </w:t>
      </w:r>
      <w:r>
        <w:rPr>
          <w:i/>
          <w:iCs/>
        </w:rPr>
        <w:t>Hilbert geometry supplies proximity, not permission.</w:t>
      </w:r>
      <w:r>
        <w:t xml:space="preserve"> A defensible memory must therefore refuse to let nearness stand in for truth — and to refuse, it needs a structure that keeps the three notions apart: the store that proposes, the audit that licenses, and the ledger that releases.</w:t>
      </w:r>
    </w:p>
    <w:p w14:paraId="1195DDB7" w14:textId="77777777" w:rsidR="00CE361F" w:rsidRDefault="00000000" w:rsidP="00DE1D4B">
      <w:pPr>
        <w:pStyle w:val="Heading2"/>
        <w:jc w:val="both"/>
      </w:pPr>
      <w:bookmarkStart w:id="6" w:name="the-crystallized-state"/>
      <w:bookmarkEnd w:id="5"/>
      <w:r>
        <w:t>2. The crystallized state</w:t>
      </w:r>
    </w:p>
    <w:p w14:paraId="3D676E47" w14:textId="77777777" w:rsidR="00CE361F" w:rsidRDefault="00000000" w:rsidP="00DE1D4B">
      <w:pPr>
        <w:pStyle w:val="FirstParagraph"/>
        <w:jc w:val="both"/>
      </w:pPr>
      <w:r>
        <w:t>At each sleep epoch the architecture maintains</w:t>
      </w:r>
    </w:p>
    <w:p w14:paraId="43FE677E" w14:textId="77777777" w:rsidR="00CE361F" w:rsidRDefault="00000000" w:rsidP="007C05B8">
      <w:pPr>
        <w:pStyle w:val="SourceCode"/>
        <w:jc w:val="center"/>
      </w:pPr>
      <w:r>
        <w:rPr>
          <w:rStyle w:val="VerbatimChar"/>
        </w:rPr>
        <w:t>𝓜_k = (𝓗, T_k, B_k, Σ_k, 𝓛_k),</w:t>
      </w:r>
    </w:p>
    <w:p w14:paraId="11D5347A" w14:textId="77777777" w:rsidR="00CE361F" w:rsidRDefault="00000000" w:rsidP="00DE1D4B">
      <w:pPr>
        <w:pStyle w:val="FirstParagraph"/>
        <w:jc w:val="both"/>
      </w:pPr>
      <w:r>
        <w:t xml:space="preserve">five separated objects: the continuous </w:t>
      </w:r>
      <w:r>
        <w:rPr>
          <w:b/>
          <w:bCs/>
        </w:rPr>
        <w:t>store</w:t>
      </w:r>
      <w:r>
        <w:t xml:space="preserve"> </w:t>
      </w:r>
      <w:r>
        <w:rPr>
          <w:rStyle w:val="VerbatimChar"/>
        </w:rPr>
        <w:t>𝓗</w:t>
      </w:r>
      <w:r>
        <w:t xml:space="preserve">; the acyclic certified </w:t>
      </w:r>
      <w:r>
        <w:rPr>
          <w:b/>
          <w:bCs/>
        </w:rPr>
        <w:t>routing spine</w:t>
      </w:r>
      <w:r>
        <w:t xml:space="preserve"> </w:t>
      </w:r>
      <w:r>
        <w:rPr>
          <w:rStyle w:val="VerbatimChar"/>
        </w:rPr>
        <w:t>T_k</w:t>
      </w:r>
      <w:r>
        <w:t xml:space="preserve">; the certified </w:t>
      </w:r>
      <w:r>
        <w:rPr>
          <w:b/>
          <w:bCs/>
        </w:rPr>
        <w:t>cycle basis</w:t>
      </w:r>
      <w:r>
        <w:t xml:space="preserve"> </w:t>
      </w:r>
      <w:r>
        <w:rPr>
          <w:rStyle w:val="VerbatimChar"/>
        </w:rPr>
        <w:t>B_k</w:t>
      </w:r>
      <w:r>
        <w:t xml:space="preserve"> of lawful directed loops; the </w:t>
      </w:r>
      <w:r>
        <w:rPr>
          <w:b/>
          <w:bCs/>
        </w:rPr>
        <w:t>blocked seams</w:t>
      </w:r>
      <w:r>
        <w:t xml:space="preserve"> </w:t>
      </w:r>
      <w:r>
        <w:rPr>
          <w:rStyle w:val="VerbatimChar"/>
        </w:rPr>
        <w:t>Σ_k</w:t>
      </w:r>
      <w:r>
        <w:t xml:space="preserve"> (obstructions, unresolved false zeros, refinement debts); and the executive </w:t>
      </w:r>
      <w:r>
        <w:rPr>
          <w:b/>
          <w:bCs/>
        </w:rPr>
        <w:t>ledger</w:t>
      </w:r>
      <w:r>
        <w:t xml:space="preserve"> </w:t>
      </w:r>
      <w:r>
        <w:rPr>
          <w:rStyle w:val="VerbatimChar"/>
        </w:rPr>
        <w:t>𝓛_k</w:t>
      </w:r>
      <w:r>
        <w:t xml:space="preserve"> of licences and permissions. The organizing correction is a single sentence: </w:t>
      </w:r>
      <w:r>
        <w:rPr>
          <w:i/>
          <w:iCs/>
        </w:rPr>
        <w:t>the spanning tree is not memory; it is the certified routing skeleton of memory.</w:t>
      </w:r>
      <w:r>
        <w:t xml:space="preserve"> The routing spine must be acyclic so that trusted retrieval is unambiguous; the full memory ecology need not be, because </w:t>
      </w:r>
      <w:r>
        <w:lastRenderedPageBreak/>
        <w:t xml:space="preserve">memory contains genuine recurrence. Sleep’s task is not to flatten memory into a tree but to </w:t>
      </w:r>
      <w:r>
        <w:rPr>
          <w:i/>
          <w:iCs/>
        </w:rPr>
        <w:t>sort</w:t>
      </w:r>
      <w:r>
        <w:t xml:space="preserve"> its topology into these five bins.</w:t>
      </w:r>
    </w:p>
    <w:p w14:paraId="3B4AEEC8" w14:textId="77777777" w:rsidR="00CE361F" w:rsidRDefault="00000000" w:rsidP="00DE1D4B">
      <w:pPr>
        <w:pStyle w:val="Heading2"/>
        <w:jc w:val="both"/>
      </w:pPr>
      <w:bookmarkStart w:id="7" w:name="Xfd687d5f1fedd8c7cfe6d6433ce3c51c499f06c"/>
      <w:bookmarkEnd w:id="6"/>
      <w:r>
        <w:t>3. The store and the audit-conditioned dissimilarity</w:t>
      </w:r>
    </w:p>
    <w:p w14:paraId="44B74CEB" w14:textId="77777777" w:rsidR="00CE361F" w:rsidRDefault="00000000" w:rsidP="00DE1D4B">
      <w:pPr>
        <w:pStyle w:val="FirstParagraph"/>
        <w:jc w:val="both"/>
      </w:pPr>
      <w:r>
        <w:t xml:space="preserve">Experiences and concepts live in the Hilbert store as embeddings </w:t>
      </w:r>
      <w:r>
        <w:rPr>
          <w:rStyle w:val="VerbatimChar"/>
        </w:rPr>
        <w:t>φ(x) ∈ 𝓗</w:t>
      </w:r>
      <w:r>
        <w:t>, with</w:t>
      </w:r>
    </w:p>
    <w:p w14:paraId="470E9A2E" w14:textId="77777777" w:rsidR="00CE361F" w:rsidRDefault="00000000" w:rsidP="007C05B8">
      <w:pPr>
        <w:pStyle w:val="SourceCode"/>
        <w:jc w:val="center"/>
      </w:pPr>
      <w:r>
        <w:rPr>
          <w:rStyle w:val="VerbatimChar"/>
        </w:rPr>
        <w:t>d_𝓗(i,j) = ‖φ(i) − φ(j)‖² = K(i,i) + K(j,j) − 2K(i,j)</w:t>
      </w:r>
    </w:p>
    <w:p w14:paraId="163DA324" w14:textId="77777777" w:rsidR="00CE361F" w:rsidRDefault="00000000" w:rsidP="00DE1D4B">
      <w:pPr>
        <w:pStyle w:val="FirstParagraph"/>
        <w:jc w:val="both"/>
      </w:pPr>
      <w:r>
        <w:t xml:space="preserve">— the squared kernel distance. It is a </w:t>
      </w:r>
      <w:r>
        <w:rPr>
          <w:b/>
          <w:bCs/>
        </w:rPr>
        <w:t>dissimilarity</w:t>
      </w:r>
      <w:r>
        <w:t xml:space="preserve">, not a metric: squaring breaks the triangle inequality, which is harmless here because the spine construction needs only orderable edge weights, not a true metric. Edges are weighted not by </w:t>
      </w:r>
      <w:r>
        <w:rPr>
          <w:rStyle w:val="VerbatimChar"/>
        </w:rPr>
        <w:t>d_𝓗</w:t>
      </w:r>
      <w:r>
        <w:t xml:space="preserve"> alone but by an </w:t>
      </w:r>
      <w:r>
        <w:rPr>
          <w:b/>
          <w:bCs/>
        </w:rPr>
        <w:t>audit-conditioned</w:t>
      </w:r>
      <w:r>
        <w:t xml:space="preserve"> effective weight: a </w:t>
      </w:r>
      <w:r>
        <w:rPr>
          <w:i/>
          <w:iCs/>
        </w:rPr>
        <w:t>hard</w:t>
      </w:r>
      <w:r>
        <w:t xml:space="preserve"> obstruction sets </w:t>
      </w:r>
      <w:r>
        <w:rPr>
          <w:rStyle w:val="VerbatimChar"/>
        </w:rPr>
        <w:t>W_{ij} = +∞</w:t>
      </w:r>
      <w:r>
        <w:t xml:space="preserve">, and otherwise </w:t>
      </w:r>
      <w:r>
        <w:rPr>
          <w:rStyle w:val="VerbatimChar"/>
        </w:rPr>
        <w:t>W_{ij} = d_𝓗(i,j)/(ε + M_{ij}) + λ₁O^{soft}_{ij} + λ₂R_{ij} + λ₃C_{ij}</w:t>
      </w:r>
      <w:r>
        <w:t xml:space="preserve">, folding in maintenance strength </w:t>
      </w:r>
      <w:r>
        <w:rPr>
          <w:rStyle w:val="VerbatimChar"/>
        </w:rPr>
        <w:t>M</w:t>
      </w:r>
      <w:r>
        <w:t xml:space="preserve">, soft obstruction, provenance </w:t>
      </w:r>
      <w:r>
        <w:rPr>
          <w:rStyle w:val="VerbatimChar"/>
        </w:rPr>
        <w:t>R</w:t>
      </w:r>
      <w:r>
        <w:t xml:space="preserve">, and cost </w:t>
      </w:r>
      <w:r>
        <w:rPr>
          <w:rStyle w:val="VerbatimChar"/>
        </w:rPr>
        <w:t>C</w:t>
      </w:r>
      <w:r>
        <w:t xml:space="preserve">. The infinite weight on hard obstruction is the refusal discipline written as geometry: </w:t>
      </w:r>
      <w:r>
        <w:rPr>
          <w:i/>
          <w:iCs/>
        </w:rPr>
        <w:t>disconnected truth is safer than forced false gluing.</w:t>
      </w:r>
      <w:r>
        <w:t xml:space="preserve"> Two clusters that can be joined only across a hard obstruction are left as a forest; no artificial bridge is inserted merely for connectivity.</w:t>
      </w:r>
    </w:p>
    <w:p w14:paraId="55A85A0B" w14:textId="77777777" w:rsidR="00CE361F" w:rsidRDefault="00000000" w:rsidP="00DE1D4B">
      <w:pPr>
        <w:pStyle w:val="Heading2"/>
        <w:jc w:val="both"/>
      </w:pPr>
      <w:bookmarkStart w:id="8" w:name="the-certified-spine"/>
      <w:bookmarkEnd w:id="7"/>
      <w:r>
        <w:t>4. The certified spine</w:t>
      </w:r>
    </w:p>
    <w:p w14:paraId="36933A27" w14:textId="77777777" w:rsidR="00CE361F" w:rsidRDefault="00000000" w:rsidP="00DE1D4B">
      <w:pPr>
        <w:pStyle w:val="FirstParagraph"/>
        <w:jc w:val="both"/>
      </w:pPr>
      <w:r>
        <w:t xml:space="preserve">The routing spine </w:t>
      </w:r>
      <w:r>
        <w:rPr>
          <w:rStyle w:val="VerbatimChar"/>
        </w:rPr>
        <w:t>T_k</w:t>
      </w:r>
      <w:r>
        <w:t xml:space="preserve"> is the </w:t>
      </w:r>
      <w:r>
        <w:rPr>
          <w:b/>
          <w:bCs/>
        </w:rPr>
        <w:t>audit-conditioned minimum spanning forest</w:t>
      </w:r>
      <w:r>
        <w:t xml:space="preserve"> over these weights: the cheapest acyclic backbone of certified edges, computed with hard obstructions excluded. It is acyclic by construction — </w:t>
      </w:r>
      <w:r>
        <w:rPr>
          <w:rStyle w:val="VerbatimChar"/>
        </w:rPr>
        <w:t>H₁(T_k) = 0</w:t>
      </w:r>
      <w:r>
        <w:t xml:space="preserve"> — so any retrieval along it is unambiguous, and it is a </w:t>
      </w:r>
      <w:r>
        <w:rPr>
          <w:i/>
          <w:iCs/>
        </w:rPr>
        <w:t>forest</w:t>
      </w:r>
      <w:r>
        <w:t xml:space="preserve"> wherever obstruction forbids a bridge. The demonstrator </w:t>
      </w:r>
      <w:r>
        <w:rPr>
          <w:rStyle w:val="VerbatimChar"/>
        </w:rPr>
        <w:t>HomologicalMemorySpine.cs</w:t>
      </w:r>
      <w:r>
        <w:t xml:space="preserve"> shows a waking graph with </w:t>
      </w:r>
      <w:r>
        <w:rPr>
          <w:rStyle w:val="VerbatimChar"/>
        </w:rPr>
        <w:t>H₁ = 2</w:t>
      </w:r>
      <w:r>
        <w:t xml:space="preserve"> (two raw cycles) crystallizing to a spine with </w:t>
      </w:r>
      <w:r>
        <w:rPr>
          <w:rStyle w:val="VerbatimChar"/>
        </w:rPr>
        <w:t>H₁ = 0</w:t>
      </w:r>
      <w:r>
        <w:t>, a forest of two trees, the inter-cluster hard obstruction never crossed.</w:t>
      </w:r>
    </w:p>
    <w:p w14:paraId="492AC20F" w14:textId="77777777" w:rsidR="00CE361F" w:rsidRDefault="00000000" w:rsidP="00DE1D4B">
      <w:pPr>
        <w:pStyle w:val="BodyText"/>
        <w:jc w:val="both"/>
      </w:pPr>
      <w:r>
        <w:t>One honest limitation (</w:t>
      </w:r>
      <w:r>
        <w:rPr>
          <w:rStyle w:val="VerbatimChar"/>
        </w:rPr>
        <w:t>[CAND]</w:t>
      </w:r>
      <w:r>
        <w:t xml:space="preserve"> choice): a minimum spanning tree minimizes total certified weight, </w:t>
      </w:r>
      <w:r>
        <w:rPr>
          <w:b/>
          <w:bCs/>
        </w:rPr>
        <w:t>not</w:t>
      </w:r>
      <w:r>
        <w:t xml:space="preserve"> path length — tree paths can be far longer than the graph’s shortest paths, so </w:t>
      </w:r>
      <w:r>
        <w:rPr>
          <w:rStyle w:val="VerbatimChar"/>
        </w:rPr>
        <w:t>T_k</w:t>
      </w:r>
      <w:r>
        <w:t xml:space="preserve"> guarantees certified </w:t>
      </w:r>
      <w:r>
        <w:rPr>
          <w:i/>
          <w:iCs/>
        </w:rPr>
        <w:t>connectivity</w:t>
      </w:r>
      <w:r>
        <w:t xml:space="preserve">, not efficient </w:t>
      </w:r>
      <w:r>
        <w:rPr>
          <w:i/>
          <w:iCs/>
        </w:rPr>
        <w:t>routing</w:t>
      </w:r>
      <w:r>
        <w:t>. The architecture compensates deliberately with the disposable scaffold of §7; the MST is one defensible choice of certified acyclic backbone among several.</w:t>
      </w:r>
    </w:p>
    <w:p w14:paraId="086395C4" w14:textId="77777777" w:rsidR="00CE361F" w:rsidRDefault="00000000" w:rsidP="00DE1D4B">
      <w:pPr>
        <w:pStyle w:val="Heading2"/>
        <w:jc w:val="both"/>
      </w:pPr>
      <w:bookmarkStart w:id="9" w:name="the-certified-directed-cycle-basis"/>
      <w:bookmarkEnd w:id="8"/>
      <w:r>
        <w:t>5. The certified directed cycle basis</w:t>
      </w:r>
    </w:p>
    <w:p w14:paraId="6F752B49" w14:textId="77777777" w:rsidR="00CE361F" w:rsidRDefault="00000000" w:rsidP="00DE1D4B">
      <w:pPr>
        <w:pStyle w:val="FirstParagraph"/>
        <w:jc w:val="both"/>
      </w:pPr>
      <w:r>
        <w:t xml:space="preserve">Sleep does not force </w:t>
      </w:r>
      <w:r>
        <w:rPr>
          <w:rStyle w:val="VerbatimChar"/>
        </w:rPr>
        <w:t>H₁ → 0</w:t>
      </w:r>
      <w:r>
        <w:t xml:space="preserve">. It forces </w:t>
      </w:r>
      <w:r>
        <w:rPr>
          <w:rStyle w:val="VerbatimChar"/>
        </w:rPr>
        <w:t>H₁^{raw} → H₁^{certified}</w:t>
      </w:r>
      <w:r>
        <w:t xml:space="preserve">: it </w:t>
      </w:r>
      <w:r>
        <w:rPr>
          <w:i/>
          <w:iCs/>
        </w:rPr>
        <w:t>separates lawful handles from tangled noise.</w:t>
      </w:r>
      <w:r>
        <w:t xml:space="preserve"> A raw cycle earns a place in </w:t>
      </w:r>
      <w:r>
        <w:rPr>
          <w:rStyle w:val="VerbatimChar"/>
        </w:rPr>
        <w:t>B_k</w:t>
      </w:r>
      <w:r>
        <w:t xml:space="preserve"> only if it survives the full audit — </w:t>
      </w:r>
      <w:r>
        <w:rPr>
          <w:b/>
          <w:bCs/>
        </w:rPr>
        <w:t>pairwise seam check → higher-overlap check → persistence → provenance</w:t>
      </w:r>
      <w:r>
        <w:t xml:space="preserve"> — after which it is a lawful recurrent structure: a causal loop, an analogy, a reusable invariant. If it fails, it becomes noise, a blocked seam, or a refinement debt. </w:t>
      </w:r>
      <w:r>
        <w:rPr>
          <w:i/>
          <w:iCs/>
        </w:rPr>
        <w:t>Do not kill cycles; certify them.</w:t>
      </w:r>
    </w:p>
    <w:p w14:paraId="7D0A7A5D" w14:textId="77777777" w:rsidR="00CE361F" w:rsidRDefault="00000000" w:rsidP="00DE1D4B">
      <w:pPr>
        <w:pStyle w:val="BodyText"/>
        <w:jc w:val="both"/>
      </w:pPr>
      <w:r>
        <w:t xml:space="preserve">A correction is required in </w:t>
      </w:r>
      <w:r>
        <w:rPr>
          <w:i/>
          <w:iCs/>
        </w:rPr>
        <w:t>which</w:t>
      </w:r>
      <w:r>
        <w:t xml:space="preserve"> cycles are certified. The load-bearing object is the </w:t>
      </w:r>
      <w:r>
        <w:rPr>
          <w:b/>
          <w:bCs/>
        </w:rPr>
        <w:t>directed</w:t>
      </w:r>
      <w:r>
        <w:t xml:space="preserve"> cycle structure — directed re-entry, strongly-connected components — not the undirected cycle basis, whose cyclomatic number </w:t>
      </w:r>
      <w:r>
        <w:rPr>
          <w:rStyle w:val="VerbatimChar"/>
        </w:rPr>
        <w:t>b₁ = |E| − |V| + c</w:t>
      </w:r>
      <w:r>
        <w:t xml:space="preserve"> counts undirected redundancy indiscriminately. A feedforward graph with skip connections has undirected cycles yet no re-entry; certifying it as recurrence would be a category error. So </w:t>
      </w:r>
      <w:r>
        <w:rPr>
          <w:rStyle w:val="VerbatimChar"/>
        </w:rPr>
        <w:t>B_k</w:t>
      </w:r>
      <w:r>
        <w:t xml:space="preserve"> is a </w:t>
      </w:r>
      <w:r>
        <w:lastRenderedPageBreak/>
        <w:t xml:space="preserve">basis of certified </w:t>
      </w:r>
      <w:r>
        <w:rPr>
          <w:i/>
          <w:iCs/>
        </w:rPr>
        <w:t>directed</w:t>
      </w:r>
      <w:r>
        <w:t xml:space="preserve"> cycles, and the audit runs on the directed graph. (This is the Functional-Cycle-Space correction, applied to memory.)</w:t>
      </w:r>
    </w:p>
    <w:p w14:paraId="160542E4" w14:textId="77777777" w:rsidR="00CE361F" w:rsidRDefault="00000000" w:rsidP="00DE1D4B">
      <w:pPr>
        <w:pStyle w:val="Heading2"/>
        <w:jc w:val="both"/>
      </w:pPr>
      <w:bookmarkStart w:id="10" w:name="the-earned-tensor-lift"/>
      <w:bookmarkEnd w:id="9"/>
      <w:r>
        <w:t>6. The earned tensor lift</w:t>
      </w:r>
    </w:p>
    <w:p w14:paraId="62E3D71A" w14:textId="77777777" w:rsidR="00CE361F" w:rsidRDefault="00000000" w:rsidP="00DE1D4B">
      <w:pPr>
        <w:pStyle w:val="FirstParagraph"/>
        <w:jc w:val="both"/>
      </w:pPr>
      <w:r>
        <w:t xml:space="preserve">When a seam looks obstruction-free but the cover is too coarse, the fix is </w:t>
      </w:r>
      <w:r>
        <w:rPr>
          <w:i/>
          <w:iCs/>
        </w:rPr>
        <w:t>split first, tensorize later.</w:t>
      </w:r>
      <w:r>
        <w:t xml:space="preserve"> A coarse overlap is refined into typed semantic axes — identity, role, containment, causal, temporal — and only if the same refined axes </w:t>
      </w:r>
      <w:r>
        <w:rPr>
          <w:i/>
          <w:iCs/>
        </w:rPr>
        <w:t>repeatedly survive across episodes</w:t>
      </w:r>
      <w:r>
        <w:t xml:space="preserve"> does sleep promote them into stable factors:</w:t>
      </w:r>
    </w:p>
    <w:p w14:paraId="59BFFC13" w14:textId="77777777" w:rsidR="00CE361F" w:rsidRDefault="00000000" w:rsidP="007C05B8">
      <w:pPr>
        <w:pStyle w:val="SourceCode"/>
        <w:jc w:val="center"/>
      </w:pPr>
      <w:r>
        <w:rPr>
          <w:rStyle w:val="VerbatimChar"/>
        </w:rPr>
        <w:t>𝓗 → 𝓗_content ⊗ 𝓗_role ⊗ 𝓗_context ⊗ 𝓗_time ⊗ ⋯</w:t>
      </w:r>
    </w:p>
    <w:p w14:paraId="353659DE" w14:textId="77777777" w:rsidR="00CE361F" w:rsidRDefault="00000000" w:rsidP="00DE1D4B">
      <w:pPr>
        <w:pStyle w:val="FirstParagraph"/>
        <w:jc w:val="both"/>
      </w:pPr>
      <w:r>
        <w:t xml:space="preserve">This is a genuine strengthening that must be named precisely. The written operator is </w:t>
      </w:r>
      <w:r>
        <w:rPr>
          <w:rStyle w:val="VerbatimChar"/>
        </w:rPr>
        <w:t>⊗</w:t>
      </w:r>
      <w:r>
        <w:t xml:space="preserve">, a </w:t>
      </w:r>
      <w:r>
        <w:rPr>
          <w:b/>
          <w:bCs/>
        </w:rPr>
        <w:t>tensor product</w:t>
      </w:r>
      <w:r>
        <w:t xml:space="preserve"> — dimensions </w:t>
      </w:r>
      <w:r>
        <w:rPr>
          <w:i/>
          <w:iCs/>
        </w:rPr>
        <w:t>multiply</w:t>
      </w:r>
      <w:r>
        <w:t xml:space="preserve">, and every combination of factor-values is an independently realizable point: full </w:t>
      </w:r>
      <w:r>
        <w:rPr>
          <w:b/>
          <w:bCs/>
        </w:rPr>
        <w:t>disentanglement</w:t>
      </w:r>
      <w:r>
        <w:t xml:space="preserve">. This is strictly stronger than the deposited orthogonalization lift, which is a </w:t>
      </w:r>
      <w:r>
        <w:rPr>
          <w:b/>
          <w:bCs/>
        </w:rPr>
        <w:t>direct sum</w:t>
      </w:r>
      <w:r>
        <w:t xml:space="preserve"> </w:t>
      </w:r>
      <w:r>
        <w:rPr>
          <w:rStyle w:val="VerbatimChar"/>
        </w:rPr>
        <w:t>⊕</w:t>
      </w:r>
      <w:r>
        <w:t xml:space="preserve"> — dimensions </w:t>
      </w:r>
      <w:r>
        <w:rPr>
          <w:i/>
          <w:iCs/>
        </w:rPr>
        <w:t>add</w:t>
      </w:r>
      <w:r>
        <w:t xml:space="preserve">, and the factors are merely orthogonal directions that do not interfere. The demonstrator makes the gap concrete: </w:t>
      </w:r>
      <w:r>
        <w:rPr>
          <w:rStyle w:val="VerbatimChar"/>
        </w:rPr>
        <w:t>4 ⊕ 3 ⊕ 2 = 9</w:t>
      </w:r>
      <w:r>
        <w:t xml:space="preserve"> versus </w:t>
      </w:r>
      <w:r>
        <w:rPr>
          <w:rStyle w:val="VerbatimChar"/>
        </w:rPr>
        <w:t>4 ⊗ 3 ⊗ 2 = 24</w:t>
      </w:r>
      <w:r>
        <w:t xml:space="preserve">. By earned geometry, then, the tensor lift must be earned by a </w:t>
      </w:r>
      <w:r>
        <w:rPr>
          <w:i/>
          <w:iCs/>
        </w:rPr>
        <w:t>higher</w:t>
      </w:r>
      <w:r>
        <w:t xml:space="preserve"> bar than orthogonality — evidence of </w:t>
      </w:r>
      <w:r>
        <w:rPr>
          <w:i/>
          <w:iCs/>
        </w:rPr>
        <w:t>combinatorial independence</w:t>
      </w:r>
      <w:r>
        <w:t xml:space="preserve"> across all factor-combinations, not merely non-interference. </w:t>
      </w:r>
      <w:r>
        <w:rPr>
          <w:rStyle w:val="VerbatimChar"/>
        </w:rPr>
        <w:t>[CAND]</w:t>
      </w:r>
      <w:r>
        <w:t xml:space="preserve"> with a compositionality </w:t>
      </w:r>
      <w:r>
        <w:rPr>
          <w:rStyle w:val="VerbatimChar"/>
        </w:rPr>
        <w:t>[DEBT]</w:t>
      </w:r>
      <w:r>
        <w:t>: repeated survival establishes stable axes; genuine tensor factorization additionally requires that their combinations generalize.</w:t>
      </w:r>
    </w:p>
    <w:p w14:paraId="012261E2" w14:textId="77777777" w:rsidR="00CE361F" w:rsidRDefault="00000000" w:rsidP="00DE1D4B">
      <w:pPr>
        <w:pStyle w:val="Heading2"/>
        <w:jc w:val="both"/>
      </w:pPr>
      <w:bookmarkStart w:id="11" w:name="the-scaffold-and-shortcut-certification"/>
      <w:bookmarkEnd w:id="10"/>
      <w:r>
        <w:t>7. The scaffold and shortcut certification</w:t>
      </w:r>
    </w:p>
    <w:p w14:paraId="1F11D27A" w14:textId="77777777" w:rsidR="00CE361F" w:rsidRDefault="00000000" w:rsidP="00DE1D4B">
      <w:pPr>
        <w:pStyle w:val="FirstParagraph"/>
        <w:jc w:val="both"/>
      </w:pPr>
      <w:r>
        <w:t xml:space="preserve">The certified spine is safe but slow, so the architecture keeps a </w:t>
      </w:r>
      <w:r>
        <w:rPr>
          <w:b/>
          <w:bCs/>
        </w:rPr>
        <w:t>disposable search scaffold</w:t>
      </w:r>
      <w:r>
        <w:t xml:space="preserve"> </w:t>
      </w:r>
      <w:r>
        <w:rPr>
          <w:rStyle w:val="VerbatimChar"/>
        </w:rPr>
        <w:t>I_k</w:t>
      </w:r>
      <w:r>
        <w:t xml:space="preserve"> — an approximate index (HNSW, cover tree) rich in navigational shortcuts. The topology is deliberately three-fold: </w:t>
      </w:r>
      <w:r>
        <w:rPr>
          <w:rStyle w:val="VerbatimChar"/>
        </w:rPr>
        <w:t>T_k</w:t>
      </w:r>
      <w:r>
        <w:t xml:space="preserve"> (</w:t>
      </w:r>
      <w:r>
        <w:rPr>
          <w:rStyle w:val="VerbatimChar"/>
        </w:rPr>
        <w:t>H₁ = 0</w:t>
      </w:r>
      <w:r>
        <w:t xml:space="preserve">, certified routing), </w:t>
      </w:r>
      <w:r>
        <w:rPr>
          <w:rStyle w:val="VerbatimChar"/>
        </w:rPr>
        <w:t>B_k</w:t>
      </w:r>
      <w:r>
        <w:t xml:space="preserve"> (</w:t>
      </w:r>
      <w:r>
        <w:rPr>
          <w:rStyle w:val="VerbatimChar"/>
        </w:rPr>
        <w:t>H₁ ≠ 0</w:t>
      </w:r>
      <w:r>
        <w:t xml:space="preserve">, certified semantic cycles), and </w:t>
      </w:r>
      <w:r>
        <w:rPr>
          <w:rStyle w:val="VerbatimChar"/>
        </w:rPr>
        <w:t>I_k</w:t>
      </w:r>
      <w:r>
        <w:t xml:space="preserve"> (</w:t>
      </w:r>
      <w:r>
        <w:rPr>
          <w:rStyle w:val="VerbatimChar"/>
        </w:rPr>
        <w:t>H₁ &gt; 0</w:t>
      </w:r>
      <w:r>
        <w:t xml:space="preserve">, disposable shortcuts). Every shortcut </w:t>
      </w:r>
      <w:r>
        <w:rPr>
          <w:rStyle w:val="VerbatimChar"/>
        </w:rPr>
        <w:t>σ = (u,v)</w:t>
      </w:r>
      <w:r>
        <w:t xml:space="preserve"> carries a </w:t>
      </w:r>
      <w:r>
        <w:rPr>
          <w:b/>
          <w:bCs/>
        </w:rPr>
        <w:t>certificate</w:t>
      </w:r>
      <w:r>
        <w:t xml:space="preserve">, and it is valid only if it </w:t>
      </w:r>
      <w:r>
        <w:rPr>
          <w:b/>
          <w:bCs/>
        </w:rPr>
        <w:t>retracts to the certified spine</w:t>
      </w:r>
      <w:r>
        <w:t xml:space="preserve"> — if the spine path </w:t>
      </w:r>
      <w:r>
        <w:rPr>
          <w:rStyle w:val="VerbatimChar"/>
        </w:rPr>
        <w:t>r_k(σ) = P_{T_k}(u,v)</w:t>
      </w:r>
      <w:r>
        <w:t xml:space="preserve"> exists. This retraction onto a certified skeleton is the deposited idempotent-retraction machinery, here in service of recall.</w:t>
      </w:r>
    </w:p>
    <w:p w14:paraId="09C44EB8" w14:textId="77777777" w:rsidR="00CE361F" w:rsidRDefault="00000000" w:rsidP="00DE1D4B">
      <w:pPr>
        <w:pStyle w:val="BodyText"/>
        <w:jc w:val="both"/>
      </w:pPr>
      <w:r>
        <w:t>When sleep rewires the spine (</w:t>
      </w:r>
      <w:r>
        <w:rPr>
          <w:rStyle w:val="VerbatimChar"/>
        </w:rPr>
        <w:t>T_k → T_{k+1}</w:t>
      </w:r>
      <w:r>
        <w:t xml:space="preserve">, cutting an edge and splitting a tree), every shortcut crossing the cut is marked </w:t>
      </w:r>
      <w:r>
        <w:rPr>
          <w:b/>
          <w:bCs/>
        </w:rPr>
        <w:t>dirty</w:t>
      </w:r>
      <w:r>
        <w:t xml:space="preserve">. The demonstrator </w:t>
      </w:r>
      <w:r>
        <w:rPr>
          <w:rStyle w:val="VerbatimChar"/>
        </w:rPr>
        <w:t>CertifiedMemoryLedger.cs</w:t>
      </w:r>
      <w:r>
        <w:t xml:space="preserve"> shows it: a shortcut </w:t>
      </w:r>
      <w:r>
        <w:rPr>
          <w:rStyle w:val="VerbatimChar"/>
        </w:rPr>
        <w:t>(0,2)</w:t>
      </w:r>
      <w:r>
        <w:t xml:space="preserve"> that retracts to the spine path </w:t>
      </w:r>
      <w:r>
        <w:rPr>
          <w:rStyle w:val="VerbatimChar"/>
        </w:rPr>
        <w:t>[0,1,2]</w:t>
      </w:r>
      <w:r>
        <w:t xml:space="preserve"> certifies cleanly; after sleep cuts edge </w:t>
      </w:r>
      <w:r>
        <w:rPr>
          <w:rStyle w:val="VerbatimChar"/>
        </w:rPr>
        <w:t>1–2</w:t>
      </w:r>
      <w:r>
        <w:t xml:space="preserve">, that same shortcut has no spine path and goes dirty, while </w:t>
      </w:r>
      <w:r>
        <w:rPr>
          <w:rStyle w:val="VerbatimChar"/>
        </w:rPr>
        <w:t>(0,1)</w:t>
      </w:r>
      <w:r>
        <w:t xml:space="preserve"> stays valid. A dirty shortcut may still </w:t>
      </w:r>
      <w:r>
        <w:rPr>
          <w:i/>
          <w:iCs/>
        </w:rPr>
        <w:t>guide</w:t>
      </w:r>
      <w:r>
        <w:t xml:space="preserve"> approximate search, but it may not </w:t>
      </w:r>
      <w:r>
        <w:rPr>
          <w:i/>
          <w:iCs/>
        </w:rPr>
        <w:t>certify</w:t>
      </w:r>
      <w:r>
        <w:t xml:space="preserve"> a relation until re-projected onto the new spine and re-audited. </w:t>
      </w:r>
      <w:r>
        <w:rPr>
          <w:i/>
          <w:iCs/>
        </w:rPr>
        <w:t>Shortcut validity is not shortcut usefulness; stale shortcuts may guide search, but only the audited spine may certify.</w:t>
      </w:r>
    </w:p>
    <w:p w14:paraId="4B0C90E5" w14:textId="77777777" w:rsidR="00CE361F" w:rsidRDefault="00000000" w:rsidP="00DE1D4B">
      <w:pPr>
        <w:pStyle w:val="Heading2"/>
        <w:jc w:val="both"/>
      </w:pPr>
      <w:bookmarkStart w:id="12" w:name="X5d1d4d83cd06019c0efd65152c4f6b368665980"/>
      <w:bookmarkEnd w:id="11"/>
      <w:r>
        <w:t>8. The executive ledger and the signature horizon</w:t>
      </w:r>
    </w:p>
    <w:p w14:paraId="3C1F6B2F" w14:textId="77777777" w:rsidR="00CE361F" w:rsidRDefault="00000000" w:rsidP="00DE1D4B">
      <w:pPr>
        <w:pStyle w:val="FirstParagraph"/>
        <w:jc w:val="both"/>
      </w:pPr>
      <w:r>
        <w:t xml:space="preserve">The prefrontal executive is modelled not as the warehouse of memory — the contents stay distributed across the store — but as a </w:t>
      </w:r>
      <w:r>
        <w:rPr>
          <w:b/>
          <w:bCs/>
        </w:rPr>
        <w:t>control ledger</w:t>
      </w:r>
      <w:r>
        <w:t xml:space="preserve"> </w:t>
      </w:r>
      <w:r>
        <w:rPr>
          <w:rStyle w:val="VerbatimChar"/>
        </w:rPr>
        <w:t>𝓛_k</w:t>
      </w:r>
      <w:r>
        <w:t xml:space="preserve"> over the certified structures: which paths are licensed, which cycles are lawful, which seams are blocked, which shortcuts are dirty, which claims owe refinement, and which memories are </w:t>
      </w:r>
      <w:r>
        <w:rPr>
          <w:i/>
          <w:iCs/>
        </w:rPr>
        <w:t>signable</w:t>
      </w:r>
      <w:r>
        <w:t xml:space="preserve"> — safe </w:t>
      </w:r>
      <w:r>
        <w:lastRenderedPageBreak/>
        <w:t xml:space="preserve">to release into reasoning or action. </w:t>
      </w:r>
      <w:r>
        <w:rPr>
          <w:i/>
          <w:iCs/>
        </w:rPr>
        <w:t>The prefrontal cortex is not the warehouse of memory; it is the ledger of what memory may safely release.</w:t>
      </w:r>
    </w:p>
    <w:p w14:paraId="1C5FBEE5" w14:textId="77777777" w:rsidR="00CE361F" w:rsidRDefault="00000000" w:rsidP="00DE1D4B">
      <w:pPr>
        <w:pStyle w:val="BodyText"/>
        <w:jc w:val="both"/>
      </w:pPr>
      <w:r>
        <w:t xml:space="preserve">And here the architecture meets the framework’s final boundary. The ledger computes </w:t>
      </w:r>
      <w:r>
        <w:rPr>
          <w:b/>
          <w:bCs/>
        </w:rPr>
        <w:t>signability</w:t>
      </w:r>
      <w:r>
        <w:t xml:space="preserve"> — the release permission, a genuinely computable audit outcome. It does </w:t>
      </w:r>
      <w:r>
        <w:rPr>
          <w:i/>
          <w:iCs/>
        </w:rPr>
        <w:t>not</w:t>
      </w:r>
      <w:r>
        <w:t xml:space="preserve"> compute the </w:t>
      </w:r>
      <w:r>
        <w:rPr>
          <w:b/>
          <w:bCs/>
        </w:rPr>
        <w:t>signature</w:t>
      </w:r>
      <w:r>
        <w:t xml:space="preserve"> itself: the act of taking responsibility for a release remains the framework’s </w:t>
      </w:r>
      <w:r>
        <w:rPr>
          <w:rStyle w:val="VerbatimChar"/>
        </w:rPr>
        <w:t>[HOR]</w:t>
      </w:r>
      <w:r>
        <w:t xml:space="preserve"> signature horizon. The ledger </w:t>
      </w:r>
      <w:r>
        <w:rPr>
          <w:i/>
          <w:iCs/>
        </w:rPr>
        <w:t>prepares</w:t>
      </w:r>
      <w:r>
        <w:t xml:space="preserve"> what may be signed; it never forges the signature. Keeping signability distinct from the signature is the last discipline of a defensible memory.</w:t>
      </w:r>
    </w:p>
    <w:p w14:paraId="202B2259" w14:textId="77777777" w:rsidR="00CE361F" w:rsidRDefault="00000000" w:rsidP="00DE1D4B">
      <w:pPr>
        <w:pStyle w:val="Heading2"/>
        <w:jc w:val="both"/>
      </w:pPr>
      <w:bookmarkStart w:id="13" w:name="X2447adef328ead4dd897f666c467d0627c3bcbb"/>
      <w:bookmarkEnd w:id="12"/>
      <w:r>
        <w:t>9. Related contents — what the ledger synthesizes</w:t>
      </w:r>
    </w:p>
    <w:p w14:paraId="31D16AED" w14:textId="77777777" w:rsidR="00CE361F" w:rsidRDefault="00000000" w:rsidP="00DE1D4B">
      <w:pPr>
        <w:pStyle w:val="FirstParagraph"/>
        <w:jc w:val="both"/>
      </w:pPr>
      <w:r>
        <w:t>The architecture is the memory strand’s capstone; naming its anchors is half its value:</w:t>
      </w:r>
    </w:p>
    <w:p w14:paraId="49FFE196" w14:textId="77777777" w:rsidR="00CE361F" w:rsidRDefault="00000000" w:rsidP="00DE1D4B">
      <w:pPr>
        <w:pStyle w:val="Compact"/>
        <w:numPr>
          <w:ilvl w:val="0"/>
          <w:numId w:val="2"/>
        </w:numPr>
        <w:jc w:val="both"/>
      </w:pPr>
      <w:r>
        <w:t xml:space="preserve">The store </w:t>
      </w:r>
      <w:r>
        <w:rPr>
          <w:rStyle w:val="VerbatimChar"/>
        </w:rPr>
        <w:t>𝓗</w:t>
      </w:r>
      <w:r>
        <w:t xml:space="preserve"> is the </w:t>
      </w:r>
      <w:r>
        <w:rPr>
          <w:b/>
          <w:bCs/>
        </w:rPr>
        <w:t>inner-product rung</w:t>
      </w:r>
      <w:r>
        <w:t xml:space="preserve"> of the enrichment ladder; </w:t>
      </w:r>
      <w:r>
        <w:rPr>
          <w:i/>
          <w:iCs/>
        </w:rPr>
        <w:t>proximity proposes, audit licenses</w:t>
      </w:r>
      <w:r>
        <w:t xml:space="preserve"> is </w:t>
      </w:r>
      <w:r>
        <w:rPr>
          <w:b/>
          <w:bCs/>
        </w:rPr>
        <w:t>CAB</w:t>
      </w:r>
      <w:r>
        <w:t>.</w:t>
      </w:r>
    </w:p>
    <w:p w14:paraId="787E0903" w14:textId="77777777" w:rsidR="00CE361F" w:rsidRDefault="00000000" w:rsidP="00DE1D4B">
      <w:pPr>
        <w:pStyle w:val="Compact"/>
        <w:numPr>
          <w:ilvl w:val="0"/>
          <w:numId w:val="2"/>
        </w:numPr>
        <w:jc w:val="both"/>
      </w:pPr>
      <w:r>
        <w:rPr>
          <w:rStyle w:val="VerbatimChar"/>
        </w:rPr>
        <w:t>H₁^{raw} → H₁^{certified}</w:t>
      </w:r>
      <w:r>
        <w:t xml:space="preserve"> and </w:t>
      </w:r>
      <w:r>
        <w:rPr>
          <w:i/>
          <w:iCs/>
        </w:rPr>
        <w:t>don’t kill cycles</w:t>
      </w:r>
      <w:r>
        <w:t xml:space="preserve"> is </w:t>
      </w:r>
      <w:r>
        <w:rPr>
          <w:b/>
          <w:bCs/>
        </w:rPr>
        <w:t>Functional-Cycle-Space</w:t>
      </w:r>
      <w:r>
        <w:t xml:space="preserve"> (directed re-entry) plus the </w:t>
      </w:r>
      <w:r>
        <w:rPr>
          <w:b/>
          <w:bCs/>
        </w:rPr>
        <w:t>surface-memory handles</w:t>
      </w:r>
      <w:r>
        <w:t>.</w:t>
      </w:r>
    </w:p>
    <w:p w14:paraId="162CA9E9" w14:textId="77777777" w:rsidR="00CE361F" w:rsidRDefault="00000000" w:rsidP="00DE1D4B">
      <w:pPr>
        <w:pStyle w:val="Compact"/>
        <w:numPr>
          <w:ilvl w:val="0"/>
          <w:numId w:val="2"/>
        </w:numPr>
        <w:jc w:val="both"/>
      </w:pPr>
      <w:r>
        <w:t xml:space="preserve">Sleep crystallization is the </w:t>
      </w:r>
      <w:r>
        <w:rPr>
          <w:b/>
          <w:bCs/>
        </w:rPr>
        <w:t>offline lift</w:t>
      </w:r>
      <w:r>
        <w:t xml:space="preserve"> and the </w:t>
      </w:r>
      <w:r>
        <w:rPr>
          <w:b/>
          <w:bCs/>
        </w:rPr>
        <w:t>sleep package manager</w:t>
      </w:r>
      <w:r>
        <w:t xml:space="preserve"> (</w:t>
      </w:r>
      <w:r>
        <w:rPr>
          <w:rStyle w:val="VerbatimChar"/>
        </w:rPr>
        <w:t>zip/split/prune/preserve/refuse</w:t>
      </w:r>
      <w:r>
        <w:t>).</w:t>
      </w:r>
    </w:p>
    <w:p w14:paraId="4A7EFFD3" w14:textId="77777777" w:rsidR="00CE361F" w:rsidRDefault="00000000" w:rsidP="00DE1D4B">
      <w:pPr>
        <w:pStyle w:val="Compact"/>
        <w:numPr>
          <w:ilvl w:val="0"/>
          <w:numId w:val="2"/>
        </w:numPr>
        <w:jc w:val="both"/>
      </w:pPr>
      <w:r>
        <w:t xml:space="preserve">The higher-overlap audit and false-zero repair are the </w:t>
      </w:r>
      <w:r>
        <w:rPr>
          <w:b/>
          <w:bCs/>
        </w:rPr>
        <w:t>Covering Network’s</w:t>
      </w:r>
      <w:r>
        <w:t xml:space="preserve"> triple-overlap </w:t>
      </w:r>
      <w:r>
        <w:rPr>
          <w:rStyle w:val="VerbatimChar"/>
        </w:rPr>
        <w:t>H¹</w:t>
      </w:r>
      <w:r>
        <w:t xml:space="preserve"> and </w:t>
      </w:r>
      <w:r>
        <w:rPr>
          <w:b/>
          <w:bCs/>
        </w:rPr>
        <w:t>H-CAB</w:t>
      </w:r>
      <w:r>
        <w:t xml:space="preserve"> — and this is the pairing: the Covering Network audits memory across a </w:t>
      </w:r>
      <w:r>
        <w:rPr>
          <w:i/>
          <w:iCs/>
        </w:rPr>
        <w:t>sequence</w:t>
      </w:r>
      <w:r>
        <w:t xml:space="preserve">; the Certified Memory Ledger audits memory across a </w:t>
      </w:r>
      <w:r>
        <w:rPr>
          <w:i/>
          <w:iCs/>
        </w:rPr>
        <w:t>store</w:t>
      </w:r>
      <w:r>
        <w:t xml:space="preserve">. Together they are the framework’s </w:t>
      </w:r>
      <w:r>
        <w:rPr>
          <w:b/>
          <w:bCs/>
        </w:rPr>
        <w:t>defensible-memory pair</w:t>
      </w:r>
      <w:r>
        <w:t>.</w:t>
      </w:r>
    </w:p>
    <w:p w14:paraId="052913A1" w14:textId="77777777" w:rsidR="00CE361F" w:rsidRDefault="00000000" w:rsidP="00DE1D4B">
      <w:pPr>
        <w:pStyle w:val="Compact"/>
        <w:numPr>
          <w:ilvl w:val="0"/>
          <w:numId w:val="2"/>
        </w:numPr>
        <w:jc w:val="both"/>
      </w:pPr>
      <w:r>
        <w:t xml:space="preserve">The shortcut retraction is the deposited </w:t>
      </w:r>
      <w:r>
        <w:rPr>
          <w:b/>
          <w:bCs/>
        </w:rPr>
        <w:t>idempotent retraction</w:t>
      </w:r>
      <w:r>
        <w:t xml:space="preserve">; disconnection-over-forced-gluing is the </w:t>
      </w:r>
      <w:r>
        <w:rPr>
          <w:b/>
          <w:bCs/>
        </w:rPr>
        <w:t>refusal</w:t>
      </w:r>
      <w:r>
        <w:t xml:space="preserve"> discipline; the </w:t>
      </w:r>
      <w:r>
        <w:rPr>
          <w:i/>
          <w:iCs/>
        </w:rPr>
        <w:t>signable</w:t>
      </w:r>
      <w:r>
        <w:t xml:space="preserve"> ledger is the </w:t>
      </w:r>
      <w:r>
        <w:rPr>
          <w:b/>
          <w:bCs/>
        </w:rPr>
        <w:t>executive</w:t>
      </w:r>
      <w:r>
        <w:t xml:space="preserve"> meeting the </w:t>
      </w:r>
      <w:r>
        <w:rPr>
          <w:b/>
          <w:bCs/>
        </w:rPr>
        <w:t>signature horizon</w:t>
      </w:r>
      <w:r>
        <w:t>.</w:t>
      </w:r>
    </w:p>
    <w:p w14:paraId="13E2B007" w14:textId="77777777" w:rsidR="00CE361F" w:rsidRDefault="00000000" w:rsidP="00DE1D4B">
      <w:pPr>
        <w:pStyle w:val="FirstParagraph"/>
        <w:jc w:val="both"/>
      </w:pPr>
      <w:r>
        <w:t xml:space="preserve">Under </w:t>
      </w:r>
      <w:r>
        <w:rPr>
          <w:i/>
          <w:iCs/>
        </w:rPr>
        <w:t>deprecate-not-erase</w:t>
      </w:r>
      <w:r>
        <w:t xml:space="preserve">, the ledger </w:t>
      </w:r>
      <w:r>
        <w:rPr>
          <w:b/>
          <w:bCs/>
        </w:rPr>
        <w:t>extends</w:t>
      </w:r>
      <w:r>
        <w:t xml:space="preserve"> these; it points to them rather than re-deriving them.</w:t>
      </w:r>
    </w:p>
    <w:p w14:paraId="7A87BA48" w14:textId="77777777" w:rsidR="00CE361F" w:rsidRDefault="00000000" w:rsidP="00DE1D4B">
      <w:pPr>
        <w:pStyle w:val="Heading2"/>
        <w:jc w:val="both"/>
      </w:pPr>
      <w:bookmarkStart w:id="14" w:name="tiers-fences-falsifiability"/>
      <w:bookmarkEnd w:id="13"/>
      <w:r>
        <w:t>10. Tiers, fences, falsifiability</w:t>
      </w:r>
    </w:p>
    <w:tbl>
      <w:tblPr>
        <w:tblStyle w:val="Table"/>
        <w:tblW w:w="5000" w:type="pct"/>
        <w:tblLook w:val="0020" w:firstRow="1" w:lastRow="0" w:firstColumn="0" w:lastColumn="0" w:noHBand="0" w:noVBand="0"/>
      </w:tblPr>
      <w:tblGrid>
        <w:gridCol w:w="4760"/>
        <w:gridCol w:w="4816"/>
      </w:tblGrid>
      <w:tr w:rsidR="00CE361F" w14:paraId="50505F59" w14:textId="77777777" w:rsidTr="00CE361F">
        <w:trPr>
          <w:cnfStyle w:val="100000000000" w:firstRow="1" w:lastRow="0" w:firstColumn="0" w:lastColumn="0" w:oddVBand="0" w:evenVBand="0" w:oddHBand="0" w:evenHBand="0" w:firstRowFirstColumn="0" w:firstRowLastColumn="0" w:lastRowFirstColumn="0" w:lastRowLastColumn="0"/>
          <w:tblHeader/>
        </w:trPr>
        <w:tc>
          <w:tcPr>
            <w:tcW w:w="0" w:type="auto"/>
          </w:tcPr>
          <w:p w14:paraId="44024FC5" w14:textId="77777777" w:rsidR="00CE361F" w:rsidRDefault="00000000" w:rsidP="00DE1D4B">
            <w:pPr>
              <w:pStyle w:val="Compact"/>
              <w:jc w:val="both"/>
            </w:pPr>
            <w:r>
              <w:t>Element</w:t>
            </w:r>
          </w:p>
        </w:tc>
        <w:tc>
          <w:tcPr>
            <w:tcW w:w="0" w:type="auto"/>
          </w:tcPr>
          <w:p w14:paraId="27BB1CE6" w14:textId="77777777" w:rsidR="00CE361F" w:rsidRDefault="00000000" w:rsidP="00DE1D4B">
            <w:pPr>
              <w:pStyle w:val="Compact"/>
              <w:jc w:val="both"/>
            </w:pPr>
            <w:r>
              <w:t>Tier</w:t>
            </w:r>
          </w:p>
        </w:tc>
      </w:tr>
      <w:tr w:rsidR="00CE361F" w14:paraId="356BF544" w14:textId="77777777">
        <w:tc>
          <w:tcPr>
            <w:tcW w:w="0" w:type="auto"/>
          </w:tcPr>
          <w:p w14:paraId="3666B139" w14:textId="77777777" w:rsidR="00CE361F" w:rsidRDefault="00000000" w:rsidP="00DE1D4B">
            <w:pPr>
              <w:pStyle w:val="Compact"/>
              <w:jc w:val="both"/>
            </w:pPr>
            <w:r>
              <w:t xml:space="preserve">Hilbert store; kernel dissimilarity </w:t>
            </w:r>
            <w:r>
              <w:rPr>
                <w:rStyle w:val="VerbatimChar"/>
              </w:rPr>
              <w:t>d_𝓗</w:t>
            </w:r>
          </w:p>
        </w:tc>
        <w:tc>
          <w:tcPr>
            <w:tcW w:w="0" w:type="auto"/>
          </w:tcPr>
          <w:p w14:paraId="1CA9B405" w14:textId="77777777" w:rsidR="00CE361F" w:rsidRDefault="00000000" w:rsidP="00DE1D4B">
            <w:pPr>
              <w:pStyle w:val="Compact"/>
              <w:jc w:val="both"/>
            </w:pPr>
            <w:r>
              <w:rPr>
                <w:rStyle w:val="VerbatimChar"/>
              </w:rPr>
              <w:t>[LB-math]</w:t>
            </w:r>
            <w:r>
              <w:t>, cited; a dissimilarity, not a metric</w:t>
            </w:r>
          </w:p>
        </w:tc>
      </w:tr>
      <w:tr w:rsidR="00CE361F" w14:paraId="3F89592C" w14:textId="77777777">
        <w:tc>
          <w:tcPr>
            <w:tcW w:w="0" w:type="auto"/>
          </w:tcPr>
          <w:p w14:paraId="09ACF631" w14:textId="77777777" w:rsidR="00CE361F" w:rsidRDefault="00000000" w:rsidP="00DE1D4B">
            <w:pPr>
              <w:pStyle w:val="Compact"/>
              <w:jc w:val="both"/>
            </w:pPr>
            <w:r>
              <w:t xml:space="preserve">Audit-conditioned MSF spine </w:t>
            </w:r>
            <w:r>
              <w:rPr>
                <w:rStyle w:val="VerbatimChar"/>
              </w:rPr>
              <w:t>T_k</w:t>
            </w:r>
            <w:r>
              <w:t xml:space="preserve"> (</w:t>
            </w:r>
            <w:r>
              <w:rPr>
                <w:rStyle w:val="VerbatimChar"/>
              </w:rPr>
              <w:t>H₁=0</w:t>
            </w:r>
            <w:r>
              <w:t>, forest)</w:t>
            </w:r>
          </w:p>
        </w:tc>
        <w:tc>
          <w:tcPr>
            <w:tcW w:w="0" w:type="auto"/>
          </w:tcPr>
          <w:p w14:paraId="4B6D6A07" w14:textId="77777777" w:rsidR="00CE361F" w:rsidRDefault="00000000" w:rsidP="00DE1D4B">
            <w:pPr>
              <w:pStyle w:val="Compact"/>
              <w:jc w:val="both"/>
            </w:pPr>
            <w:r>
              <w:rPr>
                <w:rStyle w:val="VerbatimChar"/>
              </w:rPr>
              <w:t>[LB-math]</w:t>
            </w:r>
            <w:r>
              <w:t>/</w:t>
            </w:r>
            <w:r>
              <w:rPr>
                <w:rStyle w:val="VerbatimChar"/>
              </w:rPr>
              <w:t>[CAND]</w:t>
            </w:r>
            <w:r>
              <w:t>; connectivity not routing</w:t>
            </w:r>
          </w:p>
        </w:tc>
      </w:tr>
      <w:tr w:rsidR="00CE361F" w14:paraId="70AB3C5A" w14:textId="77777777">
        <w:tc>
          <w:tcPr>
            <w:tcW w:w="0" w:type="auto"/>
          </w:tcPr>
          <w:p w14:paraId="132EC388" w14:textId="77777777" w:rsidR="00CE361F" w:rsidRDefault="00000000" w:rsidP="00DE1D4B">
            <w:pPr>
              <w:pStyle w:val="Compact"/>
              <w:jc w:val="both"/>
            </w:pPr>
            <w:r>
              <w:t xml:space="preserve">Certified </w:t>
            </w:r>
            <w:r>
              <w:rPr>
                <w:b/>
                <w:bCs/>
              </w:rPr>
              <w:t>directed</w:t>
            </w:r>
            <w:r>
              <w:t xml:space="preserve"> cycle basis </w:t>
            </w:r>
            <w:r>
              <w:rPr>
                <w:rStyle w:val="VerbatimChar"/>
              </w:rPr>
              <w:t>B_k</w:t>
            </w:r>
          </w:p>
        </w:tc>
        <w:tc>
          <w:tcPr>
            <w:tcW w:w="0" w:type="auto"/>
          </w:tcPr>
          <w:p w14:paraId="040FE405" w14:textId="77777777" w:rsidR="00CE361F" w:rsidRDefault="00000000" w:rsidP="00DE1D4B">
            <w:pPr>
              <w:pStyle w:val="Compact"/>
              <w:jc w:val="both"/>
            </w:pPr>
            <w:r>
              <w:rPr>
                <w:rStyle w:val="VerbatimChar"/>
              </w:rPr>
              <w:t>[CAND]</w:t>
            </w:r>
            <w:r>
              <w:t xml:space="preserve">; directed re-entry, not undirected </w:t>
            </w:r>
            <w:r>
              <w:rPr>
                <w:rStyle w:val="VerbatimChar"/>
              </w:rPr>
              <w:t>b₁</w:t>
            </w:r>
          </w:p>
        </w:tc>
      </w:tr>
      <w:tr w:rsidR="00CE361F" w14:paraId="3E837A89" w14:textId="77777777">
        <w:tc>
          <w:tcPr>
            <w:tcW w:w="0" w:type="auto"/>
          </w:tcPr>
          <w:p w14:paraId="74372CCC" w14:textId="77777777" w:rsidR="00CE361F" w:rsidRDefault="00000000" w:rsidP="00DE1D4B">
            <w:pPr>
              <w:pStyle w:val="Compact"/>
              <w:jc w:val="both"/>
            </w:pPr>
            <w:r>
              <w:t xml:space="preserve">Tensor lift </w:t>
            </w:r>
            <w:r>
              <w:rPr>
                <w:rStyle w:val="VerbatimChar"/>
              </w:rPr>
              <w:t>𝓗 → ⊗ 𝓗_α</w:t>
            </w:r>
          </w:p>
        </w:tc>
        <w:tc>
          <w:tcPr>
            <w:tcW w:w="0" w:type="auto"/>
          </w:tcPr>
          <w:p w14:paraId="03BE81BA" w14:textId="77777777" w:rsidR="00CE361F" w:rsidRDefault="00000000" w:rsidP="00DE1D4B">
            <w:pPr>
              <w:pStyle w:val="Compact"/>
              <w:jc w:val="both"/>
            </w:pPr>
            <w:r>
              <w:rPr>
                <w:rStyle w:val="VerbatimChar"/>
              </w:rPr>
              <w:t>[CAND]</w:t>
            </w:r>
            <w:r>
              <w:t xml:space="preserve"> + </w:t>
            </w:r>
            <w:r>
              <w:rPr>
                <w:rStyle w:val="VerbatimChar"/>
              </w:rPr>
              <w:t>[DEBT]</w:t>
            </w:r>
            <w:r>
              <w:t xml:space="preserve">; </w:t>
            </w:r>
            <w:r>
              <w:rPr>
                <w:rStyle w:val="VerbatimChar"/>
              </w:rPr>
              <w:t>⊗</w:t>
            </w:r>
            <w:r>
              <w:t xml:space="preserve"> ≠ </w:t>
            </w:r>
            <w:r>
              <w:rPr>
                <w:rStyle w:val="VerbatimChar"/>
              </w:rPr>
              <w:t>⊕</w:t>
            </w:r>
            <w:r>
              <w:t>, earned by a higher bar</w:t>
            </w:r>
          </w:p>
        </w:tc>
      </w:tr>
      <w:tr w:rsidR="00CE361F" w14:paraId="75E7A838" w14:textId="77777777">
        <w:tc>
          <w:tcPr>
            <w:tcW w:w="0" w:type="auto"/>
          </w:tcPr>
          <w:p w14:paraId="5500BBED" w14:textId="77777777" w:rsidR="00CE361F" w:rsidRDefault="00000000" w:rsidP="00DE1D4B">
            <w:pPr>
              <w:pStyle w:val="Compact"/>
              <w:jc w:val="both"/>
            </w:pPr>
            <w:r>
              <w:t>Shortcut certificate; retraction; dirty invalidation</w:t>
            </w:r>
          </w:p>
        </w:tc>
        <w:tc>
          <w:tcPr>
            <w:tcW w:w="0" w:type="auto"/>
          </w:tcPr>
          <w:p w14:paraId="18364AFE" w14:textId="77777777" w:rsidR="00CE361F" w:rsidRDefault="00000000" w:rsidP="00DE1D4B">
            <w:pPr>
              <w:pStyle w:val="Compact"/>
              <w:jc w:val="both"/>
            </w:pPr>
            <w:r>
              <w:rPr>
                <w:rStyle w:val="VerbatimChar"/>
              </w:rPr>
              <w:t>[LB-rule]</w:t>
            </w:r>
            <w:r>
              <w:t>; = deposited idempotent retraction</w:t>
            </w:r>
          </w:p>
        </w:tc>
      </w:tr>
      <w:tr w:rsidR="00CE361F" w14:paraId="274AAEEA" w14:textId="77777777">
        <w:tc>
          <w:tcPr>
            <w:tcW w:w="0" w:type="auto"/>
          </w:tcPr>
          <w:p w14:paraId="532D6427" w14:textId="77777777" w:rsidR="00CE361F" w:rsidRDefault="00000000" w:rsidP="00DE1D4B">
            <w:pPr>
              <w:pStyle w:val="Compact"/>
              <w:jc w:val="both"/>
            </w:pPr>
            <w:r>
              <w:t xml:space="preserve">Executive ledger </w:t>
            </w:r>
            <w:r>
              <w:rPr>
                <w:rStyle w:val="VerbatimChar"/>
              </w:rPr>
              <w:t>𝓛_k</w:t>
            </w:r>
            <w:r>
              <w:t>; signability</w:t>
            </w:r>
          </w:p>
        </w:tc>
        <w:tc>
          <w:tcPr>
            <w:tcW w:w="0" w:type="auto"/>
          </w:tcPr>
          <w:p w14:paraId="0F681718" w14:textId="77777777" w:rsidR="00CE361F" w:rsidRDefault="00000000" w:rsidP="00DE1D4B">
            <w:pPr>
              <w:pStyle w:val="Compact"/>
              <w:jc w:val="both"/>
            </w:pPr>
            <w:r>
              <w:rPr>
                <w:rStyle w:val="VerbatimChar"/>
              </w:rPr>
              <w:t>[SUP]</w:t>
            </w:r>
            <w:r>
              <w:t xml:space="preserve"> PFC + </w:t>
            </w:r>
            <w:r>
              <w:rPr>
                <w:rStyle w:val="VerbatimChar"/>
              </w:rPr>
              <w:t>[CAND]</w:t>
            </w:r>
            <w:r>
              <w:t>; signable ≠ signature (</w:t>
            </w:r>
            <w:r>
              <w:rPr>
                <w:rStyle w:val="VerbatimChar"/>
              </w:rPr>
              <w:t>[HOR]</w:t>
            </w:r>
            <w:r>
              <w:t>)</w:t>
            </w:r>
          </w:p>
        </w:tc>
      </w:tr>
    </w:tbl>
    <w:p w14:paraId="77250D83" w14:textId="77777777" w:rsidR="00CE361F" w:rsidRDefault="00000000" w:rsidP="00DE1D4B">
      <w:pPr>
        <w:pStyle w:val="BodyText"/>
        <w:jc w:val="both"/>
      </w:pPr>
      <w:r>
        <w:rPr>
          <w:b/>
          <w:bCs/>
        </w:rPr>
        <w:lastRenderedPageBreak/>
        <w:t>Fences.</w:t>
      </w:r>
      <w:r>
        <w:t xml:space="preserve"> </w:t>
      </w:r>
      <w:r>
        <w:rPr>
          <w:i/>
          <w:iCs/>
        </w:rPr>
        <w:t>Earned geometry:</w:t>
      </w:r>
      <w:r>
        <w:t xml:space="preserve"> the ledger beats a vector store on defensibility (proximity ≠ truth); the tensor lift earns its factorization by repeated audit. </w:t>
      </w:r>
      <w:r>
        <w:rPr>
          <w:i/>
          <w:iCs/>
        </w:rPr>
        <w:t>Iso-not-identity:</w:t>
      </w:r>
      <w:r>
        <w:t xml:space="preserve"> the spine </w:t>
      </w:r>
      <w:r>
        <w:rPr>
          <w:i/>
          <w:iCs/>
        </w:rPr>
        <w:t>has the structure of</w:t>
      </w:r>
      <w:r>
        <w:t xml:space="preserve"> a routing skeleton. </w:t>
      </w:r>
      <w:r>
        <w:rPr>
          <w:i/>
          <w:iCs/>
        </w:rPr>
        <w:t>Provenance:</w:t>
      </w:r>
      <w:r>
        <w:t xml:space="preserve"> all topology imported and cited. </w:t>
      </w:r>
      <w:r>
        <w:rPr>
          <w:i/>
          <w:iCs/>
        </w:rPr>
        <w:t>Deprecate-not-erase:</w:t>
      </w:r>
      <w:r>
        <w:t xml:space="preserve"> extends the ladder, CAB, the lift, the Covering Network, and the retraction machinery.</w:t>
      </w:r>
    </w:p>
    <w:p w14:paraId="638457DE" w14:textId="77777777" w:rsidR="00CE361F" w:rsidRDefault="00000000" w:rsidP="00DE1D4B">
      <w:pPr>
        <w:pStyle w:val="BodyText"/>
        <w:jc w:val="both"/>
      </w:pPr>
      <w:r>
        <w:rPr>
          <w:b/>
          <w:bCs/>
        </w:rPr>
        <w:t>Falsifiability.</w:t>
      </w:r>
      <w:r>
        <w:t xml:space="preserve"> A certified-memory system should </w:t>
      </w:r>
      <w:r>
        <w:rPr>
          <w:b/>
          <w:bCs/>
        </w:rPr>
        <w:t>refuse to route</w:t>
      </w:r>
      <w:r>
        <w:t xml:space="preserve"> through a hard obstruction that a vector store bridges, and its certified answers should each carry a spine-retraction certificate. Ablating </w:t>
      </w:r>
      <w:r>
        <w:rPr>
          <w:i/>
          <w:iCs/>
        </w:rPr>
        <w:t>directed</w:t>
      </w:r>
      <w:r>
        <w:t xml:space="preserve">-cycle certification (keeping undirected) should re-admit feedforward redundancy as false recurrence — a controlled test that C1 is load-bearing. And the tensor lift should yield </w:t>
      </w:r>
      <w:r>
        <w:rPr>
          <w:b/>
          <w:bCs/>
        </w:rPr>
        <w:t>compositional generalization</w:t>
      </w:r>
      <w:r>
        <w:t xml:space="preserve"> only after repeated audit, not from a single episode. Refuters: if certified retrieval performs no better than nearest-neighbour on obstruction-laden data, or if the directed/undirected distinction never changes what is certified, the architecture’s central claims fail.</w:t>
      </w:r>
    </w:p>
    <w:p w14:paraId="672BD476" w14:textId="77777777" w:rsidR="00CE361F" w:rsidRDefault="00000000" w:rsidP="00DE1D4B">
      <w:pPr>
        <w:jc w:val="both"/>
      </w:pPr>
      <w:r>
        <w:pict w14:anchorId="08D08C84">
          <v:rect id="_x0000_i1025" style="width:0;height:1.5pt" o:hralign="center" o:hrstd="t" o:hr="t"/>
        </w:pict>
      </w:r>
    </w:p>
    <w:p w14:paraId="17829387" w14:textId="77777777" w:rsidR="00CE361F" w:rsidRDefault="00000000" w:rsidP="00DE1D4B">
      <w:pPr>
        <w:pStyle w:val="Heading2"/>
        <w:jc w:val="both"/>
      </w:pPr>
      <w:bookmarkStart w:id="15" w:name="appendix-a-the-crystallization-cascade"/>
      <w:bookmarkEnd w:id="14"/>
      <w:r>
        <w:t>Appendix A — The crystallization cascade</w:t>
      </w:r>
    </w:p>
    <w:p w14:paraId="076261A9" w14:textId="77777777" w:rsidR="00CE361F" w:rsidRDefault="00000000" w:rsidP="00DE1D4B">
      <w:pPr>
        <w:pStyle w:val="FirstParagraph"/>
        <w:jc w:val="both"/>
      </w:pPr>
      <w:r>
        <w:t xml:space="preserve">A sleep epoch executes: </w:t>
      </w:r>
      <w:r>
        <w:rPr>
          <w:b/>
          <w:bCs/>
        </w:rPr>
        <w:t>(1)</w:t>
      </w:r>
      <w:r>
        <w:t xml:space="preserve"> read the waking graph </w:t>
      </w:r>
      <w:r>
        <w:rPr>
          <w:rStyle w:val="VerbatimChar"/>
        </w:rPr>
        <w:t>G_wake</w:t>
      </w:r>
      <w:r>
        <w:t xml:space="preserve">; </w:t>
      </w:r>
      <w:r>
        <w:rPr>
          <w:b/>
          <w:bCs/>
        </w:rPr>
        <w:t>(2)</w:t>
      </w:r>
      <w:r>
        <w:t xml:space="preserve"> scan for hard contradictions, weak provenance, unstable seams, overloaded edges, suspicious cycles; </w:t>
      </w:r>
      <w:r>
        <w:rPr>
          <w:b/>
          <w:bCs/>
        </w:rPr>
        <w:t>(3)</w:t>
      </w:r>
      <w:r>
        <w:t xml:space="preserve"> refine the cover where a false zero is suspected (</w:t>
      </w:r>
      <w:r>
        <w:rPr>
          <w:rStyle w:val="VerbatimChar"/>
        </w:rPr>
        <w:t>U_A ∩ U_B ⇝ {U^α_{AB}}</w:t>
      </w:r>
      <w:r>
        <w:t xml:space="preserve">); </w:t>
      </w:r>
      <w:r>
        <w:rPr>
          <w:b/>
          <w:bCs/>
        </w:rPr>
        <w:t>(4)</w:t>
      </w:r>
      <w:r>
        <w:t xml:space="preserve"> extract the audit-conditioned spanning forest </w:t>
      </w:r>
      <w:r>
        <w:rPr>
          <w:rStyle w:val="VerbatimChar"/>
        </w:rPr>
        <w:t>T_{k+1}</w:t>
      </w:r>
      <w:r>
        <w:t xml:space="preserve"> (hard obstruction ⟹ disconnection, not forced gluing); </w:t>
      </w:r>
      <w:r>
        <w:rPr>
          <w:b/>
          <w:bCs/>
        </w:rPr>
        <w:t>(5)</w:t>
      </w:r>
      <w:r>
        <w:t xml:space="preserve"> certify raw </w:t>
      </w:r>
      <w:r>
        <w:rPr>
          <w:i/>
          <w:iCs/>
        </w:rPr>
        <w:t>directed</w:t>
      </w:r>
      <w:r>
        <w:t xml:space="preserve"> cycles into </w:t>
      </w:r>
      <w:r>
        <w:rPr>
          <w:rStyle w:val="VerbatimChar"/>
        </w:rPr>
        <w:t>B_{k+1}</w:t>
      </w:r>
      <w:r>
        <w:t xml:space="preserve"> or block them into </w:t>
      </w:r>
      <w:r>
        <w:rPr>
          <w:rStyle w:val="VerbatimChar"/>
        </w:rPr>
        <w:t>Σ_{k+1}</w:t>
      </w:r>
      <w:r>
        <w:t xml:space="preserve">; </w:t>
      </w:r>
      <w:r>
        <w:rPr>
          <w:b/>
          <w:bCs/>
        </w:rPr>
        <w:t>(6)</w:t>
      </w:r>
      <w:r>
        <w:t xml:space="preserve"> promote repeatedly-stable refined axes into tensor factors (earned, higher bar); </w:t>
      </w:r>
      <w:r>
        <w:rPr>
          <w:b/>
          <w:bCs/>
        </w:rPr>
        <w:t>(7)</w:t>
      </w:r>
      <w:r>
        <w:t xml:space="preserve"> synchronize the ledger </w:t>
      </w:r>
      <w:r>
        <w:rPr>
          <w:rStyle w:val="VerbatimChar"/>
        </w:rPr>
        <w:t>𝓛_k → 𝓛_{k+1}</w:t>
      </w:r>
      <w:r>
        <w:t xml:space="preserve">; </w:t>
      </w:r>
      <w:r>
        <w:rPr>
          <w:b/>
          <w:bCs/>
        </w:rPr>
        <w:t>(8)</w:t>
      </w:r>
      <w:r>
        <w:t xml:space="preserve"> dirty every shortcut whose certificate no longer retracts to the new spine; </w:t>
      </w:r>
      <w:r>
        <w:rPr>
          <w:b/>
          <w:bCs/>
        </w:rPr>
        <w:t>(9)</w:t>
      </w:r>
      <w:r>
        <w:t xml:space="preserve"> update release permissions — what is now signable, what remains provisional, what must be refused.</w:t>
      </w:r>
    </w:p>
    <w:p w14:paraId="64494C09" w14:textId="77777777" w:rsidR="00CE361F" w:rsidRDefault="00000000" w:rsidP="00DE1D4B">
      <w:pPr>
        <w:pStyle w:val="Heading2"/>
        <w:jc w:val="both"/>
      </w:pPr>
      <w:bookmarkStart w:id="16" w:name="appendix-b-for-the-programmer"/>
      <w:bookmarkEnd w:id="15"/>
      <w:r>
        <w:t>Appendix B — For the programmer</w:t>
      </w:r>
    </w:p>
    <w:p w14:paraId="6AF6E596" w14:textId="77777777" w:rsidR="00CE361F" w:rsidRDefault="00000000" w:rsidP="00DE1D4B">
      <w:pPr>
        <w:pStyle w:val="FirstParagraph"/>
        <w:jc w:val="both"/>
      </w:pPr>
      <w:r>
        <w:t xml:space="preserve">Two immutable demonstrators. </w:t>
      </w:r>
      <w:r>
        <w:rPr>
          <w:rStyle w:val="VerbatimChar"/>
        </w:rPr>
        <w:t>HomologicalMemorySpine.cs</w:t>
      </w:r>
      <w:r>
        <w:t xml:space="preserve"> builds the audit-conditioned spanning forest (raw </w:t>
      </w:r>
      <w:r>
        <w:rPr>
          <w:rStyle w:val="VerbatimChar"/>
        </w:rPr>
        <w:t>H₁ = 2</w:t>
      </w:r>
      <w:r>
        <w:t xml:space="preserve"> → certified spine </w:t>
      </w:r>
      <w:r>
        <w:rPr>
          <w:rStyle w:val="VerbatimChar"/>
        </w:rPr>
        <w:t>H₁ = 0</w:t>
      </w:r>
      <w:r>
        <w:t xml:space="preserve">, a forest that never crosses a hard obstruction) and contrasts the orthogonalization lift </w:t>
      </w:r>
      <w:r>
        <w:rPr>
          <w:rStyle w:val="VerbatimChar"/>
        </w:rPr>
        <w:t>⊕</w:t>
      </w:r>
      <w:r>
        <w:t xml:space="preserve"> (</w:t>
      </w:r>
      <w:r>
        <w:rPr>
          <w:rStyle w:val="VerbatimChar"/>
        </w:rPr>
        <w:t>dim 9</w:t>
      </w:r>
      <w:r>
        <w:t xml:space="preserve">) with the tensor lift </w:t>
      </w:r>
      <w:r>
        <w:rPr>
          <w:rStyle w:val="VerbatimChar"/>
        </w:rPr>
        <w:t>⊗</w:t>
      </w:r>
      <w:r>
        <w:t xml:space="preserve"> (</w:t>
      </w:r>
      <w:r>
        <w:rPr>
          <w:rStyle w:val="VerbatimChar"/>
        </w:rPr>
        <w:t>dim 24</w:t>
      </w:r>
      <w:r>
        <w:t xml:space="preserve">). </w:t>
      </w:r>
      <w:r>
        <w:rPr>
          <w:rStyle w:val="VerbatimChar"/>
        </w:rPr>
        <w:t>CertifiedMemoryLedger.cs</w:t>
      </w:r>
      <w:r>
        <w:t xml:space="preserve"> certifies shortcuts by retraction to the spine and marks them dirty when the spine rewires (</w:t>
      </w:r>
      <w:r>
        <w:rPr>
          <w:rStyle w:val="VerbatimChar"/>
        </w:rPr>
        <w:t>(0,2)</w:t>
      </w:r>
      <w:r>
        <w:t xml:space="preserve"> valid via </w:t>
      </w:r>
      <w:r>
        <w:rPr>
          <w:rStyle w:val="VerbatimChar"/>
        </w:rPr>
        <w:t>[0,1,2]</w:t>
      </w:r>
      <w:r>
        <w:t xml:space="preserve">, then dirty after edge </w:t>
      </w:r>
      <w:r>
        <w:rPr>
          <w:rStyle w:val="VerbatimChar"/>
        </w:rPr>
        <w:t>1–2</w:t>
      </w:r>
      <w:r>
        <w:t xml:space="preserve"> is cut). Together they run the load-bearing claims of §4–§7.</w:t>
      </w:r>
    </w:p>
    <w:p w14:paraId="1CD2900C" w14:textId="77777777" w:rsidR="00CE361F" w:rsidRDefault="00000000" w:rsidP="00DE1D4B">
      <w:pPr>
        <w:pStyle w:val="BodyText"/>
        <w:jc w:val="both"/>
      </w:pPr>
      <w:r>
        <w:rPr>
          <w:i/>
          <w:iCs/>
        </w:rPr>
        <w:t>Compact formulations.</w:t>
      </w:r>
      <w:r>
        <w:t xml:space="preserve"> The waking graph proposes; the sleep spine licenses. · The spanning tree is not memory; it is memory’s certified routing skeleton. · Sleep does not remove all holes; it separates lawful handles from tangled noise. · Do not kill cycles; certify them. · Disconnected truth is safer than forced false gluing. · Shortcut validity is not shortcut usefulness. · The ledger prepares what may be signed without ever signing it.</w:t>
      </w:r>
    </w:p>
    <w:p w14:paraId="54ECED35" w14:textId="77777777" w:rsidR="00CE361F" w:rsidRDefault="00000000" w:rsidP="00DE1D4B">
      <w:pPr>
        <w:jc w:val="both"/>
      </w:pPr>
      <w:r>
        <w:pict w14:anchorId="43AB5C00">
          <v:rect id="_x0000_i1026" style="width:0;height:1.5pt" o:hralign="center" o:hrstd="t" o:hr="t"/>
        </w:pict>
      </w:r>
    </w:p>
    <w:p w14:paraId="2054E3B8" w14:textId="77777777" w:rsidR="00CE361F" w:rsidRDefault="00000000" w:rsidP="00DE1D4B">
      <w:pPr>
        <w:pStyle w:val="Heading2"/>
        <w:jc w:val="both"/>
      </w:pPr>
      <w:bookmarkStart w:id="17" w:name="references"/>
      <w:bookmarkEnd w:id="16"/>
      <w:r>
        <w:lastRenderedPageBreak/>
        <w:t>References</w:t>
      </w:r>
    </w:p>
    <w:p w14:paraId="73B0DF09" w14:textId="77777777" w:rsidR="00CE361F" w:rsidRDefault="00000000" w:rsidP="00DE1D4B">
      <w:pPr>
        <w:pStyle w:val="FirstParagraph"/>
        <w:jc w:val="both"/>
      </w:pPr>
      <w:r>
        <w:rPr>
          <w:i/>
          <w:iCs/>
        </w:rPr>
        <w:t>Imported mathematics.</w:t>
      </w:r>
    </w:p>
    <w:p w14:paraId="63694A43" w14:textId="77777777" w:rsidR="00CE361F" w:rsidRDefault="00000000" w:rsidP="00DE1D4B">
      <w:pPr>
        <w:pStyle w:val="Compact"/>
        <w:numPr>
          <w:ilvl w:val="0"/>
          <w:numId w:val="3"/>
        </w:numPr>
        <w:jc w:val="both"/>
      </w:pPr>
      <w:r>
        <w:t xml:space="preserve">Hatcher, A. (2002). </w:t>
      </w:r>
      <w:r>
        <w:rPr>
          <w:i/>
          <w:iCs/>
        </w:rPr>
        <w:t>Algebraic Topology.</w:t>
      </w:r>
      <w:r>
        <w:t xml:space="preserve"> Cambridge University Press. — Homology, directed cycles, and retraction.</w:t>
      </w:r>
    </w:p>
    <w:p w14:paraId="5952DF0E" w14:textId="77777777" w:rsidR="00CE361F" w:rsidRDefault="00000000" w:rsidP="00DE1D4B">
      <w:pPr>
        <w:pStyle w:val="Compact"/>
        <w:numPr>
          <w:ilvl w:val="0"/>
          <w:numId w:val="3"/>
        </w:numPr>
        <w:jc w:val="both"/>
      </w:pPr>
      <w:r>
        <w:t xml:space="preserve">Kolda, T. G., &amp; Bader, B. W. (2009). Tensor decompositions and applications. </w:t>
      </w:r>
      <w:r>
        <w:rPr>
          <w:i/>
          <w:iCs/>
        </w:rPr>
        <w:t>SIAM Review</w:t>
      </w:r>
      <w:r>
        <w:t>, 51(3), 455–500.</w:t>
      </w:r>
    </w:p>
    <w:p w14:paraId="5B43F972" w14:textId="77777777" w:rsidR="00CE361F" w:rsidRDefault="00000000" w:rsidP="00DE1D4B">
      <w:pPr>
        <w:pStyle w:val="Compact"/>
        <w:numPr>
          <w:ilvl w:val="0"/>
          <w:numId w:val="3"/>
        </w:numPr>
        <w:jc w:val="both"/>
      </w:pPr>
      <w:r>
        <w:t xml:space="preserve">Kruskal, J. B. (1956). On the shortest spanning subtree of a graph and the traveling salesman problem. </w:t>
      </w:r>
      <w:r>
        <w:rPr>
          <w:i/>
          <w:iCs/>
        </w:rPr>
        <w:t>Proceedings of the American Mathematical Society</w:t>
      </w:r>
      <w:r>
        <w:t>, 7(1), 48–50.</w:t>
      </w:r>
    </w:p>
    <w:p w14:paraId="59C570B1" w14:textId="77777777" w:rsidR="00CE361F" w:rsidRDefault="00000000" w:rsidP="00DE1D4B">
      <w:pPr>
        <w:pStyle w:val="Compact"/>
        <w:numPr>
          <w:ilvl w:val="0"/>
          <w:numId w:val="3"/>
        </w:numPr>
        <w:jc w:val="both"/>
      </w:pPr>
      <w:r>
        <w:t xml:space="preserve">Schölkopf, B., &amp; Smola, A. J. (2002). </w:t>
      </w:r>
      <w:r>
        <w:rPr>
          <w:i/>
          <w:iCs/>
        </w:rPr>
        <w:t>Learning with Kernels.</w:t>
      </w:r>
      <w:r>
        <w:t xml:space="preserve"> MIT Press. — Hilbert-space embeddings and kernel distances.</w:t>
      </w:r>
    </w:p>
    <w:p w14:paraId="06810DD2" w14:textId="77777777" w:rsidR="00CE361F" w:rsidRDefault="00000000" w:rsidP="00DE1D4B">
      <w:pPr>
        <w:pStyle w:val="FirstParagraph"/>
        <w:jc w:val="both"/>
      </w:pPr>
      <w:r>
        <w:rPr>
          <w:i/>
          <w:iCs/>
        </w:rPr>
        <w:t>Memory systems and neuroscience.</w:t>
      </w:r>
    </w:p>
    <w:p w14:paraId="1FFBEAC3" w14:textId="77777777" w:rsidR="00CE361F" w:rsidRDefault="00000000" w:rsidP="00DE1D4B">
      <w:pPr>
        <w:pStyle w:val="Compact"/>
        <w:numPr>
          <w:ilvl w:val="0"/>
          <w:numId w:val="4"/>
        </w:numPr>
        <w:jc w:val="both"/>
      </w:pPr>
      <w:r>
        <w:t xml:space="preserve">Diekelmann, S., &amp; Born, J. (2010). The memory function of sleep. </w:t>
      </w:r>
      <w:r>
        <w:rPr>
          <w:i/>
          <w:iCs/>
        </w:rPr>
        <w:t>Nature Reviews Neuroscience</w:t>
      </w:r>
      <w:r>
        <w:t>, 11(2), 114–126.</w:t>
      </w:r>
    </w:p>
    <w:p w14:paraId="1E69FA88" w14:textId="77777777" w:rsidR="00CE361F" w:rsidRDefault="00000000" w:rsidP="00DE1D4B">
      <w:pPr>
        <w:pStyle w:val="Compact"/>
        <w:numPr>
          <w:ilvl w:val="0"/>
          <w:numId w:val="4"/>
        </w:numPr>
        <w:jc w:val="both"/>
      </w:pPr>
      <w:r>
        <w:t xml:space="preserve">Lewis, P., Perez, E., Piktus, A., et al. (2020). Retrieval-augmented generation for knowledge-intensive NLP tasks. </w:t>
      </w:r>
      <w:r>
        <w:rPr>
          <w:i/>
          <w:iCs/>
        </w:rPr>
        <w:t>Advances in Neural Information Processing Systems</w:t>
      </w:r>
      <w:r>
        <w:t>, 33.</w:t>
      </w:r>
    </w:p>
    <w:p w14:paraId="62BCF604" w14:textId="77777777" w:rsidR="00CE361F" w:rsidRDefault="00000000" w:rsidP="00DE1D4B">
      <w:pPr>
        <w:pStyle w:val="Compact"/>
        <w:numPr>
          <w:ilvl w:val="0"/>
          <w:numId w:val="4"/>
        </w:numPr>
        <w:jc w:val="both"/>
      </w:pPr>
      <w:r>
        <w:t xml:space="preserve">Malkov, Y. A., &amp; Yashunin, D. A. (2018). Efficient and robust approximate nearest neighbor search using hierarchical navigable small world graphs. </w:t>
      </w:r>
      <w:r>
        <w:rPr>
          <w:i/>
          <w:iCs/>
        </w:rPr>
        <w:t>IEEE Transactions on Pattern Analysis and Machine Intelligence</w:t>
      </w:r>
      <w:r>
        <w:t>, 42(4), 824–836.</w:t>
      </w:r>
    </w:p>
    <w:p w14:paraId="0636E3A7" w14:textId="77777777" w:rsidR="00CE361F" w:rsidRDefault="00000000" w:rsidP="00DE1D4B">
      <w:pPr>
        <w:pStyle w:val="Compact"/>
        <w:numPr>
          <w:ilvl w:val="0"/>
          <w:numId w:val="4"/>
        </w:numPr>
        <w:jc w:val="both"/>
      </w:pPr>
      <w:r>
        <w:t xml:space="preserve">Miller, E. K., &amp; Cohen, J. D. (2001). An integrative theory of prefrontal cortex function. </w:t>
      </w:r>
      <w:r>
        <w:rPr>
          <w:i/>
          <w:iCs/>
        </w:rPr>
        <w:t>Annual Review of Neuroscience</w:t>
      </w:r>
      <w:r>
        <w:t>, 24, 167–202.</w:t>
      </w:r>
    </w:p>
    <w:p w14:paraId="02C83C3D" w14:textId="77777777" w:rsidR="00CE361F" w:rsidRDefault="00000000" w:rsidP="00DE1D4B">
      <w:pPr>
        <w:pStyle w:val="FirstParagraph"/>
        <w:jc w:val="both"/>
      </w:pPr>
      <w:r>
        <w:rPr>
          <w:i/>
          <w:iCs/>
        </w:rPr>
        <w:t>Defensible Intelligence series (companion deposits).</w:t>
      </w:r>
    </w:p>
    <w:p w14:paraId="56BB96F9" w14:textId="77777777" w:rsidR="00CE361F" w:rsidRDefault="00000000" w:rsidP="00DE1D4B">
      <w:pPr>
        <w:pStyle w:val="Compact"/>
        <w:numPr>
          <w:ilvl w:val="0"/>
          <w:numId w:val="5"/>
        </w:numPr>
        <w:jc w:val="both"/>
      </w:pPr>
      <w:r>
        <w:t xml:space="preserve">Ghosh, D. P. (2026). </w:t>
      </w:r>
      <w:r>
        <w:rPr>
          <w:i/>
          <w:iCs/>
        </w:rPr>
        <w:t>Covering Networks: Converting Recurrent Memory into an Audited Causal Cover.</w:t>
      </w:r>
      <w:r>
        <w:t xml:space="preserve"> — The sequence-side twin of this store-side audit.</w:t>
      </w:r>
    </w:p>
    <w:p w14:paraId="759BABBE" w14:textId="77777777" w:rsidR="00CE361F" w:rsidRDefault="00000000" w:rsidP="00DE1D4B">
      <w:pPr>
        <w:pStyle w:val="Compact"/>
        <w:numPr>
          <w:ilvl w:val="0"/>
          <w:numId w:val="5"/>
        </w:numPr>
        <w:jc w:val="both"/>
      </w:pPr>
      <w:r>
        <w:t xml:space="preserve">Ghosh, D. P. (2026). </w:t>
      </w:r>
      <w:r>
        <w:rPr>
          <w:i/>
          <w:iCs/>
        </w:rPr>
        <w:t>Homological Memory Architecture</w:t>
      </w:r>
      <w:r>
        <w:t xml:space="preserve"> (adjudication). — The architecture developed here, with its six corrections.</w:t>
      </w:r>
    </w:p>
    <w:p w14:paraId="70188E55" w14:textId="77777777" w:rsidR="00CE361F" w:rsidRDefault="00000000" w:rsidP="00DE1D4B">
      <w:pPr>
        <w:pStyle w:val="Compact"/>
        <w:numPr>
          <w:ilvl w:val="0"/>
          <w:numId w:val="5"/>
        </w:numPr>
        <w:jc w:val="both"/>
      </w:pPr>
      <w:r>
        <w:t xml:space="preserve">Ghosh, D. P. (2026). </w:t>
      </w:r>
      <w:r>
        <w:rPr>
          <w:i/>
          <w:iCs/>
        </w:rPr>
        <w:t>Does It Glue? A First Journey into Sheaves and Cohomology.</w:t>
      </w:r>
      <w:r>
        <w:t xml:space="preserve"> DOI: 10.13140/RG.2.2.27121.03686. — The seam, the obstruction, and </w:t>
      </w:r>
      <w:r>
        <w:rPr>
          <w:rStyle w:val="VerbatimChar"/>
        </w:rPr>
        <w:t>H¹</w:t>
      </w:r>
      <w:r>
        <w:t>.</w:t>
      </w:r>
    </w:p>
    <w:p w14:paraId="79194BE3" w14:textId="77777777" w:rsidR="00CE361F" w:rsidRDefault="00000000" w:rsidP="00DE1D4B">
      <w:pPr>
        <w:pStyle w:val="Compact"/>
        <w:numPr>
          <w:ilvl w:val="0"/>
          <w:numId w:val="5"/>
        </w:numPr>
        <w:jc w:val="both"/>
      </w:pPr>
      <w:r>
        <w:t xml:space="preserve">Ghosh, D. P. (2026). </w:t>
      </w:r>
      <w:r>
        <w:rPr>
          <w:i/>
          <w:iCs/>
        </w:rPr>
        <w:t>How Far, How Big, How Aligned?</w:t>
      </w:r>
      <w:r>
        <w:t xml:space="preserve"> DOI: 10.13140/RG.2.2.30410.94401. — The inner-product rung: the Hilbert store and the orthogonalization lift.</w:t>
      </w:r>
    </w:p>
    <w:p w14:paraId="5A812ACA" w14:textId="77777777" w:rsidR="00CE361F" w:rsidRDefault="00000000" w:rsidP="00DE1D4B">
      <w:pPr>
        <w:pStyle w:val="Compact"/>
        <w:numPr>
          <w:ilvl w:val="0"/>
          <w:numId w:val="5"/>
        </w:numPr>
        <w:jc w:val="both"/>
      </w:pPr>
      <w:r>
        <w:t xml:space="preserve">Ghosh, D. P. (2026). </w:t>
      </w:r>
      <w:r>
        <w:rPr>
          <w:i/>
          <w:iCs/>
        </w:rPr>
        <w:t>Functional Cycle-Space</w:t>
      </w:r>
      <w:r>
        <w:t xml:space="preserve"> (adjudication) and </w:t>
      </w:r>
      <w:r>
        <w:rPr>
          <w:i/>
          <w:iCs/>
        </w:rPr>
        <w:t>Sleep as the Topological Package Manager.</w:t>
      </w:r>
      <w:r>
        <w:t xml:space="preserve"> — Directed re-entry, and the offline crystallization operations.</w:t>
      </w:r>
    </w:p>
    <w:p w14:paraId="285373CE" w14:textId="77777777" w:rsidR="00CE361F" w:rsidRDefault="00000000" w:rsidP="00DE1D4B">
      <w:pPr>
        <w:pStyle w:val="FirstParagraph"/>
        <w:jc w:val="both"/>
      </w:pPr>
      <w:r>
        <w:rPr>
          <w:i/>
          <w:iCs/>
        </w:rPr>
        <w:t>Respect science. Import emotion.</w:t>
      </w:r>
      <w:bookmarkEnd w:id="0"/>
      <w:bookmarkEnd w:id="17"/>
    </w:p>
    <w:sectPr w:rsidR="00CE361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C548" w14:textId="77777777" w:rsidR="006E6A8F" w:rsidRDefault="006E6A8F">
      <w:pPr>
        <w:spacing w:after="0"/>
      </w:pPr>
      <w:r>
        <w:separator/>
      </w:r>
    </w:p>
  </w:endnote>
  <w:endnote w:type="continuationSeparator" w:id="0">
    <w:p w14:paraId="058B5C2A" w14:textId="77777777" w:rsidR="006E6A8F" w:rsidRDefault="006E6A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524AF" w14:textId="77777777" w:rsidR="006E6A8F" w:rsidRDefault="006E6A8F">
      <w:r>
        <w:separator/>
      </w:r>
    </w:p>
  </w:footnote>
  <w:footnote w:type="continuationSeparator" w:id="0">
    <w:p w14:paraId="2DC6BADB" w14:textId="77777777" w:rsidR="006E6A8F" w:rsidRDefault="006E6A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C46A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66B0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27923040">
    <w:abstractNumId w:val="0"/>
  </w:num>
  <w:num w:numId="2" w16cid:durableId="993417376">
    <w:abstractNumId w:val="1"/>
  </w:num>
  <w:num w:numId="3" w16cid:durableId="1743794231">
    <w:abstractNumId w:val="1"/>
  </w:num>
  <w:num w:numId="4" w16cid:durableId="1089473372">
    <w:abstractNumId w:val="1"/>
  </w:num>
  <w:num w:numId="5" w16cid:durableId="278604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361F"/>
    <w:rsid w:val="006E6A8F"/>
    <w:rsid w:val="007C05B8"/>
    <w:rsid w:val="00A55BC0"/>
    <w:rsid w:val="00B00A6C"/>
    <w:rsid w:val="00CD1DCF"/>
    <w:rsid w:val="00CE361F"/>
    <w:rsid w:val="00D6246E"/>
    <w:rsid w:val="00DE1D4B"/>
    <w:rsid w:val="00DF072B"/>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EE16"/>
  <w15:docId w15:val="{BCA4F0D3-5D9B-4D52-8E1E-17ABC2DE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E1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32223.01445" TargetMode="External"/><Relationship Id="rId3" Type="http://schemas.openxmlformats.org/officeDocument/2006/relationships/settings" Target="settings.xml"/><Relationship Id="rId7" Type="http://schemas.openxmlformats.org/officeDocument/2006/relationships/hyperlink" Target="mailto:debiprasadghos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2819</Words>
  <Characters>16070</Characters>
  <Application>Microsoft Office Word</Application>
  <DocSecurity>0</DocSecurity>
  <Lines>133</Lines>
  <Paragraphs>37</Paragraphs>
  <ScaleCrop>false</ScaleCrop>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5</cp:revision>
  <dcterms:created xsi:type="dcterms:W3CDTF">2026-07-09T07:26:00Z</dcterms:created>
  <dcterms:modified xsi:type="dcterms:W3CDTF">2026-07-16T18:00:00Z</dcterms:modified>
</cp:coreProperties>
</file>