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37D42" w14:textId="38CD7877" w:rsidR="009C46FB" w:rsidRPr="009C46FB" w:rsidRDefault="00000000" w:rsidP="009C46FB">
      <w:pPr>
        <w:pStyle w:val="Title"/>
      </w:pPr>
      <w:r>
        <w:t>Project-Basis Decision Concordance of Global Buckling Models for Movable Segmental-Erection Equipment</w:t>
      </w:r>
    </w:p>
    <w:p w14:paraId="06292373" w14:textId="77777777" w:rsidR="009C46FB" w:rsidRDefault="009C46FB" w:rsidP="009C46FB">
      <w:pPr>
        <w:jc w:val="center"/>
      </w:pPr>
      <w:r w:rsidRPr="006B4CC5">
        <w:t xml:space="preserve">Debi Prasad Ghosh, </w:t>
      </w:r>
      <w:hyperlink r:id="rId7" w:history="1">
        <w:r w:rsidRPr="006B4CC5">
          <w:rPr>
            <w:rStyle w:val="Hyperlink"/>
          </w:rPr>
          <w:t>debiprasadghosh@lntecc.com</w:t>
        </w:r>
      </w:hyperlink>
      <w:r>
        <w:t xml:space="preserve"> </w:t>
      </w:r>
      <w:r>
        <w:rPr>
          <w:noProof/>
        </w:rPr>
        <w:drawing>
          <wp:inline distT="0" distB="0" distL="0" distR="0" wp14:anchorId="0F982912" wp14:editId="5B6C48D7">
            <wp:extent cx="133067" cy="133067"/>
            <wp:effectExtent l="0" t="0" r="635" b="635"/>
            <wp:docPr id="1305915393" name="Picture 7">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7341AE6B" w14:textId="77777777" w:rsidR="009C46FB" w:rsidRPr="006B4CC5" w:rsidRDefault="009C46FB" w:rsidP="009C46FB">
      <w:pPr>
        <w:jc w:val="center"/>
      </w:pPr>
      <w:r>
        <w:t>CTO, AI &amp;</w:t>
      </w:r>
      <w:r w:rsidRPr="006B4CC5">
        <w:t xml:space="preserve"> Automation</w:t>
      </w:r>
    </w:p>
    <w:p w14:paraId="51F65429" w14:textId="32A969B8" w:rsidR="00627AA9" w:rsidRDefault="009C46FB" w:rsidP="009C46FB">
      <w:pPr>
        <w:jc w:val="center"/>
      </w:pPr>
      <w:r w:rsidRPr="00F5609C">
        <w:t>Engineering Design &amp; Research Center, Larsen &amp; Toubro Construction (M&amp;M) Kolkata, India</w:t>
      </w:r>
    </w:p>
    <w:p w14:paraId="17D22FEE" w14:textId="5B13FF4A" w:rsidR="009C46FB" w:rsidRPr="00627AA9" w:rsidRDefault="00C57060" w:rsidP="009C46FB">
      <w:pPr>
        <w:jc w:val="center"/>
      </w:pPr>
      <w:hyperlink r:id="rId10" w:history="1">
        <w:r w:rsidRPr="00445D66">
          <w:rPr>
            <w:rStyle w:val="Hyperlink"/>
          </w:rPr>
          <w:t>https://doi.org/10.13140/RG.2.2.35271.05283</w:t>
        </w:r>
      </w:hyperlink>
      <w:r>
        <w:t xml:space="preserve"> </w:t>
      </w:r>
    </w:p>
    <w:p w14:paraId="58267AEB" w14:textId="77777777" w:rsidR="00246B56" w:rsidRDefault="00000000">
      <w:pPr>
        <w:pStyle w:val="Heading2"/>
      </w:pPr>
      <w:bookmarkStart w:id="0" w:name="abstract"/>
      <w:r>
        <w:t>Abstract</w:t>
      </w:r>
    </w:p>
    <w:p w14:paraId="57465F76" w14:textId="77777777" w:rsidR="00246B56" w:rsidRDefault="00000000">
      <w:pPr>
        <w:pStyle w:val="FirstParagraph"/>
      </w:pPr>
      <w:r>
        <w:t xml:space="preserve">Large movable erection equipment used in segmental viaduct construction — launching girders, straddle carriers, and girder transporters — is assembled from individually code-compliant members, yet its stability is a property of the assembled system, its supports, its payload, and its operating configuration. A common but incorrect motivation for using advanced finite-element software on such equipment is that design codes and conventional structural-analysis programs “do not perform global buckling analysis.” They do: IS 800, EN 1993, and ANSI/AISC 360 all contain system-level second-order and stability provisions, and general-purpose programs such as STAAD.Pro provide both iterative and eigenvalue buckling procedures. The defensible question is therefore not one of capability but of the </w:t>
      </w:r>
      <w:r>
        <w:rPr>
          <w:i/>
          <w:iCs/>
        </w:rPr>
        <w:t>range of validity of the structural idealisation</w:t>
      </w:r>
      <w:r>
        <w:t xml:space="preserve"> on which each procedure operates. This paper reframes the problem as one of </w:t>
      </w:r>
      <w:r>
        <w:rPr>
          <w:b/>
          <w:bCs/>
        </w:rPr>
        <w:t>model adequacy for a specified engineering decision</w:t>
      </w:r>
      <w:r>
        <w:t xml:space="preserve">. Rather than asking whether a higher-fidelity model changes the calculated buckling factor by more than an arbitrary margin, it asks whether a conventional frame model and an enriched shell–support nonlinear model produce the </w:t>
      </w:r>
      <w:r>
        <w:rPr>
          <w:b/>
          <w:bCs/>
        </w:rPr>
        <w:t>same pass/fail decision</w:t>
      </w:r>
      <w:r>
        <w:t xml:space="preserve">, evaluated under the acceptance rule that the governing project basis assigns to each analysis method, across the admissible operating configurations, simultaneous load combinations, and a declared non-probabilistic ignorance set. Model detail is treated as distinct from predictive accuracy; in the absence of physical validation data, refinement is not equated with truth. The framework contributes: a uniform path-based definition of the calculated stability multiplier; a decision margin referenced to a method-specific required multiplier; a symmetric capacity-divergence measure separated from a </w:t>
      </w:r>
      <w:r>
        <w:rPr>
          <w:i/>
          <w:iCs/>
        </w:rPr>
        <w:t>signed</w:t>
      </w:r>
      <w:r>
        <w:t xml:space="preserve"> safety-direction classification that isolates frame-relative optimism; an info-gap robustness analysis whose flip boundary becomes an instrumentation specification; automatic detection and subspace treatment of interacting (compound) buckling modes; an honest accounting of worst-case imperfection searches as upper bounds on the unknown worst case; and a precedence-constrained Shapley attribution of the decision margin among modelling features. The launching girder at maximum cantilever is the primary demonstrator; the straddle carrier and girder transporter are contrast cases admitted only after a limit-state relevance gate. The strongest admissible conclusion without physical data is decision concordance — or a mapped decision-flip boundary — not a claim of demonstrated reliability.</w:t>
      </w:r>
    </w:p>
    <w:p w14:paraId="5CE0A1BD" w14:textId="77777777" w:rsidR="00246B56" w:rsidRDefault="00000000">
      <w:pPr>
        <w:pStyle w:val="Heading2"/>
      </w:pPr>
      <w:bookmarkStart w:id="1" w:name="scope-semantics-and-the-reading-contract"/>
      <w:bookmarkStart w:id="2" w:name="prerequisite"/>
      <w:bookmarkStart w:id="3" w:name="introduction"/>
      <w:bookmarkEnd w:id="0"/>
      <w:bookmarkEnd w:id="1"/>
      <w:bookmarkEnd w:id="2"/>
      <w:r>
        <w:lastRenderedPageBreak/>
        <w:t>Prerequisite</w:t>
      </w:r>
    </w:p>
    <w:p w14:paraId="30A9B185" w14:textId="77777777" w:rsidR="00246B56" w:rsidRPr="00EC28C7" w:rsidRDefault="00000000">
      <w:pPr>
        <w:pStyle w:val="Heading3"/>
        <w:rPr>
          <w:sz w:val="22"/>
          <w:szCs w:val="22"/>
        </w:rPr>
      </w:pPr>
      <w:r w:rsidRPr="00EC28C7">
        <w:rPr>
          <w:sz w:val="22"/>
          <w:szCs w:val="22"/>
        </w:rPr>
        <w:t>Scope, semantics, and the reading contract</w:t>
      </w:r>
    </w:p>
    <w:p w14:paraId="790BF755" w14:textId="77777777" w:rsidR="00246B56" w:rsidRPr="00EC28C7" w:rsidRDefault="00000000">
      <w:pPr>
        <w:pStyle w:val="FirstParagraph"/>
        <w:rPr>
          <w:sz w:val="20"/>
          <w:szCs w:val="20"/>
        </w:rPr>
      </w:pPr>
      <w:r w:rsidRPr="00EC28C7">
        <w:rPr>
          <w:sz w:val="20"/>
          <w:szCs w:val="20"/>
        </w:rPr>
        <w:t>This section is a prerequisite in the literal sense. It fixes the meaning of the quantities, decisions, and claims used throughout the paper before the mechanics is introduced. It is not an executive summary and it does not replace the derivations that follow. Rather, it states the conditions under which those derivations may be interpreted. The paper compares analysis methods—each method being a structural idealisation together with its associated design treatment—not merely two meshes produced by different finite-element programs.</w:t>
      </w:r>
    </w:p>
    <w:p w14:paraId="5B1C64AC" w14:textId="77777777" w:rsidR="00246B56" w:rsidRPr="00EC28C7" w:rsidRDefault="00000000">
      <w:pPr>
        <w:pStyle w:val="Heading3"/>
        <w:rPr>
          <w:sz w:val="22"/>
          <w:szCs w:val="22"/>
        </w:rPr>
      </w:pPr>
      <w:r w:rsidRPr="00EC28C7">
        <w:rPr>
          <w:sz w:val="22"/>
          <w:szCs w:val="22"/>
        </w:rPr>
        <w:t>Governing commitments</w:t>
      </w:r>
    </w:p>
    <w:p w14:paraId="6B4F10CB" w14:textId="77777777" w:rsidR="00246B56" w:rsidRPr="00EC28C7" w:rsidRDefault="00000000">
      <w:pPr>
        <w:pStyle w:val="BodyText"/>
        <w:rPr>
          <w:sz w:val="20"/>
          <w:szCs w:val="20"/>
        </w:rPr>
      </w:pPr>
      <w:r w:rsidRPr="00EC28C7">
        <w:rPr>
          <w:b/>
          <w:sz w:val="20"/>
          <w:szCs w:val="20"/>
        </w:rPr>
        <w:t xml:space="preserve">1. Model detail is not predictive accuracy. </w:t>
      </w:r>
      <w:r w:rsidRPr="00EC28C7">
        <w:rPr>
          <w:sz w:val="20"/>
          <w:szCs w:val="20"/>
        </w:rPr>
        <w:t>A shell–contact nonlinear model represents kinematics, support transitions, and instability mechanisms that a beam-element model cannot resolve. It may nevertheless be further from the physical machine if its bearing stiffness, friction law, penalty parameter, contact regularisation, connection law, or imperfection field is mis-specified. Refinement increases the mechanisms represented; it does not, by itself, establish proximity to reality.</w:t>
      </w:r>
    </w:p>
    <w:p w14:paraId="534434AE" w14:textId="77777777" w:rsidR="00246B56" w:rsidRPr="00EC28C7" w:rsidRDefault="00000000">
      <w:pPr>
        <w:pStyle w:val="BodyText"/>
        <w:rPr>
          <w:sz w:val="20"/>
          <w:szCs w:val="20"/>
        </w:rPr>
      </w:pPr>
      <w:r w:rsidRPr="00EC28C7">
        <w:rPr>
          <w:b/>
          <w:sz w:val="20"/>
          <w:szCs w:val="20"/>
        </w:rPr>
        <w:t xml:space="preserve">2. The paper studies project-basis decision concordance, not equal reliability and not which model is correct. </w:t>
      </w:r>
      <w:r w:rsidRPr="00EC28C7">
        <w:rPr>
          <w:sz w:val="20"/>
          <w:szCs w:val="20"/>
        </w:rPr>
        <w:t>The primary question is whether the frame and enriched analysis methods reach the same pass/fail classification under the acceptance rule assigned to each method by the governing project basis. A common decision does not prove that both methods achieve the same reliability index. A disagreement does not prove that the enriched model is correct; it establishes that the adequacy of the economical method cannot be assumed without resolving the conflict by evidence.</w:t>
      </w:r>
    </w:p>
    <w:p w14:paraId="7AA5D7A4" w14:textId="77777777" w:rsidR="00246B56" w:rsidRPr="00EC28C7" w:rsidRDefault="00000000">
      <w:pPr>
        <w:pStyle w:val="BodyText"/>
        <w:rPr>
          <w:sz w:val="20"/>
          <w:szCs w:val="20"/>
        </w:rPr>
      </w:pPr>
      <w:r w:rsidRPr="00EC28C7">
        <w:rPr>
          <w:b/>
          <w:sz w:val="20"/>
          <w:szCs w:val="20"/>
        </w:rPr>
        <w:t xml:space="preserve">3. Acceptance is method-specific. </w:t>
      </w:r>
      <w:r w:rsidRPr="00EC28C7">
        <w:rPr>
          <w:sz w:val="20"/>
          <w:szCs w:val="20"/>
        </w:rPr>
        <w:t>A required multiplier is not automatically a universal constant. In calibrated design-by-analysis, omissions in one method may be compensated by notional imperfections, reduction factors, model factors, or a larger required reserve, whereas an analysis that includes geometric and material knockdowns explicitly may be assigned a different treatment. Accordingly, the fundamental object is the method-specific acceptance functional. The special form α_M ≥ α_req,M is used only when the project basis expresses acceptance through a stability multiplier. Eurocode LA/LBA/GMNA/GMNIA routes illustrate why analysis sophistication and reliability treatment cannot generally be separated [13,14].</w:t>
      </w:r>
    </w:p>
    <w:p w14:paraId="474EA604" w14:textId="77777777" w:rsidR="00246B56" w:rsidRPr="00EC28C7" w:rsidRDefault="00000000">
      <w:pPr>
        <w:pStyle w:val="BodyText"/>
        <w:rPr>
          <w:sz w:val="20"/>
          <w:szCs w:val="20"/>
        </w:rPr>
      </w:pPr>
      <w:r w:rsidRPr="00EC28C7">
        <w:rPr>
          <w:b/>
          <w:sz w:val="20"/>
          <w:szCs w:val="20"/>
        </w:rPr>
        <w:t xml:space="preserve">4. A common threshold supports only a common-threshold claim. </w:t>
      </w:r>
      <w:r w:rsidRPr="00EC28C7">
        <w:rPr>
          <w:sz w:val="20"/>
          <w:szCs w:val="20"/>
        </w:rPr>
        <w:t>When the project basis explicitly imposes one α_req on both methods, or when the paper deliberately performs a controlled screening comparison at one threshold, the conclusion is common-threshold decision concordance. It is not a demonstration of reliability equivalence. A reliability claim would require distributions, correlations, model bias, model-form scatter, and calibration to a target reliability index—information not supplied by the present deterministic and non-probabilistic framework.</w:t>
      </w:r>
    </w:p>
    <w:p w14:paraId="2F43AF9C" w14:textId="77777777" w:rsidR="00246B56" w:rsidRPr="00EC28C7" w:rsidRDefault="00000000">
      <w:pPr>
        <w:pStyle w:val="BodyText"/>
        <w:rPr>
          <w:sz w:val="20"/>
          <w:szCs w:val="20"/>
        </w:rPr>
      </w:pPr>
      <w:r w:rsidRPr="00EC28C7">
        <w:rPr>
          <w:b/>
          <w:sz w:val="20"/>
          <w:szCs w:val="20"/>
        </w:rPr>
        <w:t xml:space="preserve">5. Numerical proximity is neither necessary nor sufficient for decision agreement. </w:t>
      </w:r>
      <w:r w:rsidRPr="00EC28C7">
        <w:rPr>
          <w:sz w:val="20"/>
          <w:szCs w:val="20"/>
        </w:rPr>
        <w:t>If α_F = 5.0, α_E = 3.6, and α_req = 1.5, the capacity predictions differ substantially but both methods pass. If α_F = 1.55, α_E = 1.48, and α_req = 1.5, the predictions are numerically close but the decisions are opposite. Therefore a percentage difference between multipliers is only a reserve-discrepancy diagnostic. Decision adequacy is defined by position relative to the applicable acceptance boundary.</w:t>
      </w:r>
    </w:p>
    <w:p w14:paraId="52B4CA70" w14:textId="77777777" w:rsidR="00246B56" w:rsidRPr="00EC28C7" w:rsidRDefault="00000000">
      <w:pPr>
        <w:pStyle w:val="BodyText"/>
        <w:rPr>
          <w:sz w:val="20"/>
          <w:szCs w:val="20"/>
        </w:rPr>
      </w:pPr>
      <w:r w:rsidRPr="00EC28C7">
        <w:rPr>
          <w:b/>
          <w:sz w:val="20"/>
          <w:szCs w:val="20"/>
        </w:rPr>
        <w:t xml:space="preserve">6. The direction of disagreement is safety-relevant. </w:t>
      </w:r>
      <w:r w:rsidRPr="00EC28C7">
        <w:rPr>
          <w:sz w:val="20"/>
          <w:szCs w:val="20"/>
        </w:rPr>
        <w:t>Unsigned divergence answers whether two predictions differ. Signed divergence records whether the frame model reports more or less reserve than the enriched model. A frame-pass/enriched-fail conflict is classified as frame-relative optimism and receives priority because the economical method accepts a condition rejected by the enriched method. The converse is frame-relative conservatism. These labels remain relative: without validation, neither establishes the behaviour of the physical machine.</w:t>
      </w:r>
    </w:p>
    <w:p w14:paraId="7CC71190" w14:textId="77777777" w:rsidR="00246B56" w:rsidRPr="00EC28C7" w:rsidRDefault="00000000">
      <w:pPr>
        <w:pStyle w:val="BodyText"/>
        <w:rPr>
          <w:sz w:val="20"/>
          <w:szCs w:val="20"/>
        </w:rPr>
      </w:pPr>
      <w:r w:rsidRPr="00EC28C7">
        <w:rPr>
          <w:b/>
          <w:sz w:val="20"/>
          <w:szCs w:val="20"/>
        </w:rPr>
        <w:lastRenderedPageBreak/>
        <w:t xml:space="preserve">7. The calculated multiplier has one operational meaning throughout the hierarchy. </w:t>
      </w:r>
      <w:r w:rsidRPr="00EC28C7">
        <w:rPr>
          <w:sz w:val="20"/>
          <w:szCs w:val="20"/>
        </w:rPr>
        <w:t>For every model, α_M is the load-parameter value at the first loss of an admissible stable equilibrium along a prescribed loading history and a mechanically reachable branch. Fixed actions and scalable actions are separated explicitly. Contact opening, closure, stick–slip transitions, lift-off, branch switching, limit points, and tangent bifurcations are monitored. A conventional linear eigenvalue multiplier may be reported as an industrial benchmark, but it is not silently substituted for the path-based capacity in the primary decision comparison.</w:t>
      </w:r>
    </w:p>
    <w:p w14:paraId="7BF9AA35" w14:textId="77777777" w:rsidR="00246B56" w:rsidRPr="00EC28C7" w:rsidRDefault="00000000">
      <w:pPr>
        <w:pStyle w:val="BodyText"/>
        <w:rPr>
          <w:sz w:val="20"/>
          <w:szCs w:val="20"/>
        </w:rPr>
      </w:pPr>
      <w:r w:rsidRPr="00EC28C7">
        <w:rPr>
          <w:b/>
          <w:sz w:val="20"/>
          <w:szCs w:val="20"/>
        </w:rPr>
        <w:t xml:space="preserve">8. The capacity convention excludes post-buckling reserve unless the design basis permits it. </w:t>
      </w:r>
      <w:r w:rsidRPr="00EC28C7">
        <w:rPr>
          <w:sz w:val="20"/>
          <w:szCs w:val="20"/>
        </w:rPr>
        <w:t>For the temporary-works application, the default capacity is the first loss of stable pre-buckling equilibrium. Stable post-buckling reserve is ignored unless the governing basis explicitly authorises its use and specifies acceptable deformation, strain, ductility, and damage limits. This is conservative for structures possessing usable post-buckling strength, but the conservatism is declared rather than hidden inside the definition.</w:t>
      </w:r>
    </w:p>
    <w:p w14:paraId="3403BED9" w14:textId="77777777" w:rsidR="00246B56" w:rsidRPr="00EC28C7" w:rsidRDefault="00000000">
      <w:pPr>
        <w:pStyle w:val="BodyText"/>
        <w:rPr>
          <w:sz w:val="20"/>
          <w:szCs w:val="20"/>
        </w:rPr>
      </w:pPr>
      <w:r w:rsidRPr="00EC28C7">
        <w:rPr>
          <w:b/>
          <w:sz w:val="20"/>
          <w:szCs w:val="20"/>
        </w:rPr>
        <w:t xml:space="preserve">9. Robustness is conditional on the geometry of the ignorance set. </w:t>
      </w:r>
      <w:r w:rsidRPr="00EC28C7">
        <w:rPr>
          <w:sz w:val="20"/>
          <w:szCs w:val="20"/>
        </w:rPr>
        <w:t>The uncertain quantities occupy a declared non-probabilistic admissibility set, not a probability distribution. A box, ellipsoid, polytope, or dependence-constrained set encodes different statements about which joint parameter combinations are plausible. The least-favourable point, the robustness horizon, and the decision-flip boundary therefore depend on that geometry. The paper reports the active constraints at the infimum and tests more than one defensible set geometry, so a decision controlled by one measurable parameter is distinguished from one reversed only by a conspiratorial joint corner [8].</w:t>
      </w:r>
    </w:p>
    <w:p w14:paraId="0EBD4D99" w14:textId="77777777" w:rsidR="00246B56" w:rsidRPr="00EC28C7" w:rsidRDefault="00000000">
      <w:pPr>
        <w:pStyle w:val="BodyText"/>
        <w:rPr>
          <w:sz w:val="20"/>
          <w:szCs w:val="20"/>
        </w:rPr>
      </w:pPr>
      <w:r w:rsidRPr="00EC28C7">
        <w:rPr>
          <w:b/>
          <w:sz w:val="20"/>
          <w:szCs w:val="20"/>
        </w:rPr>
        <w:t xml:space="preserve">10. Universal statements require certified coverage of continuous domains. </w:t>
      </w:r>
      <w:r w:rsidRPr="00EC28C7">
        <w:rPr>
          <w:sz w:val="20"/>
          <w:szCs w:val="20"/>
        </w:rPr>
        <w:t>Launching position, payload location, wind direction, eccentricity, support properties, and imperfection coefficients form continuous domains. A finite grid establishes only the minimum of the sampled points. A statement covering every admissible configuration or combination requires interval or branch-and-bound certification, or an adaptive surrogate equipped with a defensible error envelope. Surrogate uncertainty enters the same accounting as discretisation, contact, and solver uncertainty; average cross-validation accuracy is not a domain-wide bound.</w:t>
      </w:r>
    </w:p>
    <w:p w14:paraId="0F5693FE" w14:textId="77777777" w:rsidR="00246B56" w:rsidRPr="00EC28C7" w:rsidRDefault="00000000">
      <w:pPr>
        <w:pStyle w:val="BodyText"/>
        <w:rPr>
          <w:sz w:val="20"/>
          <w:szCs w:val="20"/>
        </w:rPr>
      </w:pPr>
      <w:r w:rsidRPr="00EC28C7">
        <w:rPr>
          <w:b/>
          <w:sz w:val="20"/>
          <w:szCs w:val="20"/>
        </w:rPr>
        <w:t xml:space="preserve">11. Compound buckling is treated as a subspace problem. </w:t>
      </w:r>
      <w:r w:rsidRPr="00EC28C7">
        <w:rPr>
          <w:sz w:val="20"/>
          <w:szCs w:val="20"/>
        </w:rPr>
        <w:t>When relevant multipliers cluster, the governing object is an interacting eigenspace rather than one selected eigenvector. Mode comparison switches to principal-angle or subspace correlation, shell distortion is measured over the full cluster, and imperfections span combinations of the interacting modes with variable weights and signs. A high single-mode MAC cannot certify modal equivalence when an unresolved distortional direction exists inside the clustered subspace.</w:t>
      </w:r>
    </w:p>
    <w:p w14:paraId="07782D9A" w14:textId="77777777" w:rsidR="00246B56" w:rsidRPr="00EC28C7" w:rsidRDefault="00000000">
      <w:pPr>
        <w:pStyle w:val="BodyText"/>
        <w:rPr>
          <w:sz w:val="20"/>
          <w:szCs w:val="20"/>
        </w:rPr>
      </w:pPr>
      <w:r w:rsidRPr="00EC28C7">
        <w:rPr>
          <w:b/>
          <w:sz w:val="20"/>
          <w:szCs w:val="20"/>
        </w:rPr>
        <w:t xml:space="preserve">12. A numerical imperfection search does not automatically find the true worst case. </w:t>
      </w:r>
      <w:r w:rsidRPr="00EC28C7">
        <w:rPr>
          <w:sz w:val="20"/>
          <w:szCs w:val="20"/>
        </w:rPr>
        <w:t>The limit-load surface over imperfection shapes, modal weights, signs, contact parameters, and support properties is generally non-convex. The lowest capacity returned by a finite multi-start search is an upper bound on the unknown worst-case capacity unless global optimality is certified. It is reported as the lowest capacity found. One verified failing realisation is a valid counterexample to robust passage; many successful runs do not certify robust passage without a lower bound.</w:t>
      </w:r>
    </w:p>
    <w:p w14:paraId="287A1482" w14:textId="77777777" w:rsidR="00246B56" w:rsidRPr="00EC28C7" w:rsidRDefault="00000000">
      <w:pPr>
        <w:pStyle w:val="BodyText"/>
        <w:rPr>
          <w:sz w:val="20"/>
          <w:szCs w:val="20"/>
        </w:rPr>
      </w:pPr>
      <w:r w:rsidRPr="00EC28C7">
        <w:rPr>
          <w:b/>
          <w:sz w:val="20"/>
          <w:szCs w:val="20"/>
        </w:rPr>
        <w:t xml:space="preserve">13. Buckling is admitted only after a limit-state relevance gate. </w:t>
      </w:r>
      <w:r w:rsidRPr="00EC28C7">
        <w:rPr>
          <w:sz w:val="20"/>
          <w:szCs w:val="20"/>
        </w:rPr>
        <w:t>For a launching girder, structural instability may plausibly govern. For a straddle carrier or girder transporter, overturning, wheel unloading, braking stability, bearing capacity, contact loss, or serviceability may govern earlier. Applying a sophisticated buckling hierarchy to a non-governing mechanism does not improve the design decision. A finding that buckling is screened out is a valid negative result.</w:t>
      </w:r>
    </w:p>
    <w:p w14:paraId="6E719577" w14:textId="77777777" w:rsidR="00246B56" w:rsidRPr="00EC28C7" w:rsidRDefault="00000000">
      <w:pPr>
        <w:pStyle w:val="BodyText"/>
        <w:rPr>
          <w:sz w:val="20"/>
          <w:szCs w:val="20"/>
        </w:rPr>
      </w:pPr>
      <w:r w:rsidRPr="00EC28C7">
        <w:rPr>
          <w:b/>
          <w:sz w:val="20"/>
          <w:szCs w:val="20"/>
        </w:rPr>
        <w:t xml:space="preserve">14. Verification and validation remain separate. </w:t>
      </w:r>
      <w:r w:rsidRPr="00EC28C7">
        <w:rPr>
          <w:sz w:val="20"/>
          <w:szCs w:val="20"/>
        </w:rPr>
        <w:t>Analytical benchmarks, patch tests, limiting cases, mesh refinement, solver comparisons, equilibrium residuals, and event-location tolerances establish calculation verification and numerical credibility. They do not establish that the model predicts the physical machine. Validation requires relevant physical evidence—measured geometry, support properties, proof-load response, strains, reactions, or commissioning observations—and only supports the quantities and operating range actually observed [6,7,9].</w:t>
      </w:r>
    </w:p>
    <w:p w14:paraId="167FF90F" w14:textId="77777777" w:rsidR="00246B56" w:rsidRPr="00EC28C7" w:rsidRDefault="00000000">
      <w:pPr>
        <w:pStyle w:val="Heading3"/>
        <w:rPr>
          <w:sz w:val="22"/>
          <w:szCs w:val="22"/>
        </w:rPr>
      </w:pPr>
      <w:r w:rsidRPr="00EC28C7">
        <w:rPr>
          <w:sz w:val="22"/>
          <w:szCs w:val="22"/>
        </w:rPr>
        <w:lastRenderedPageBreak/>
        <w:t>Core objects fixed before analysis</w:t>
      </w:r>
    </w:p>
    <w:p w14:paraId="46826D9F" w14:textId="77777777" w:rsidR="00246B56" w:rsidRPr="00EC28C7" w:rsidRDefault="00000000">
      <w:pPr>
        <w:pStyle w:val="BodyText"/>
        <w:rPr>
          <w:sz w:val="20"/>
          <w:szCs w:val="20"/>
        </w:rPr>
      </w:pPr>
      <w:r w:rsidRPr="00EC28C7">
        <w:rPr>
          <w:b/>
          <w:sz w:val="20"/>
          <w:szCs w:val="20"/>
        </w:rPr>
        <w:t xml:space="preserve">Project basis, B. </w:t>
      </w:r>
      <w:r w:rsidRPr="00EC28C7">
        <w:rPr>
          <w:sz w:val="20"/>
          <w:szCs w:val="20"/>
        </w:rPr>
        <w:t>The stated temporary-works or project design basis that assigns the acceptance rule, load convention, allowable use of post-buckling reserve, and any method-specific requirement.</w:t>
      </w:r>
    </w:p>
    <w:p w14:paraId="14B436F2" w14:textId="77777777" w:rsidR="00246B56" w:rsidRPr="00EC28C7" w:rsidRDefault="00000000">
      <w:pPr>
        <w:pStyle w:val="BodyText"/>
        <w:rPr>
          <w:sz w:val="20"/>
          <w:szCs w:val="20"/>
        </w:rPr>
      </w:pPr>
      <w:r w:rsidRPr="00EC28C7">
        <w:rPr>
          <w:b/>
          <w:sz w:val="20"/>
          <w:szCs w:val="20"/>
        </w:rPr>
        <w:t xml:space="preserve">Analysis method, M. </w:t>
      </w:r>
      <w:r w:rsidRPr="00EC28C7">
        <w:rPr>
          <w:sz w:val="20"/>
          <w:szCs w:val="20"/>
        </w:rPr>
        <w:t>A modelling idealisation together with its associated design treatment. M_F denotes the economical frame route and M_E the enriched shell–support nonlinear route; neither label asserts correctness.</w:t>
      </w:r>
    </w:p>
    <w:p w14:paraId="60AC8EA5" w14:textId="77777777" w:rsidR="00246B56" w:rsidRPr="00EC28C7" w:rsidRDefault="00000000">
      <w:pPr>
        <w:pStyle w:val="BodyText"/>
        <w:rPr>
          <w:sz w:val="20"/>
          <w:szCs w:val="20"/>
        </w:rPr>
      </w:pPr>
      <w:r w:rsidRPr="00EC28C7">
        <w:rPr>
          <w:b/>
          <w:sz w:val="20"/>
          <w:szCs w:val="20"/>
        </w:rPr>
        <w:t xml:space="preserve">Calculated stability multiplier, α_M(c, ℓ, θ; H). </w:t>
      </w:r>
      <w:r w:rsidRPr="00EC28C7">
        <w:rPr>
          <w:sz w:val="20"/>
          <w:szCs w:val="20"/>
        </w:rPr>
        <w:t>The load-parameter value at first loss of admissible stable equilibrium for configuration c, simultaneous load combination ℓ, uncertain-parameter realisation θ, and prescribed operational history H.</w:t>
      </w:r>
    </w:p>
    <w:p w14:paraId="56E93AA3" w14:textId="77777777" w:rsidR="00246B56" w:rsidRPr="00EC28C7" w:rsidRDefault="00000000">
      <w:pPr>
        <w:pStyle w:val="BodyText"/>
        <w:rPr>
          <w:sz w:val="20"/>
          <w:szCs w:val="20"/>
        </w:rPr>
      </w:pPr>
      <w:r w:rsidRPr="00EC28C7">
        <w:rPr>
          <w:b/>
          <w:sz w:val="20"/>
          <w:szCs w:val="20"/>
        </w:rPr>
        <w:t xml:space="preserve">Required multiplier, α_req,M^B(c, ℓ). </w:t>
      </w:r>
      <w:r w:rsidRPr="00EC28C7">
        <w:rPr>
          <w:sz w:val="20"/>
          <w:szCs w:val="20"/>
        </w:rPr>
        <w:t>The minimum multiplier applicable to method M under basis B when the basis uses a multiplier threshold. It may differ between methods.</w:t>
      </w:r>
    </w:p>
    <w:p w14:paraId="4C7B723B" w14:textId="77777777" w:rsidR="00246B56" w:rsidRPr="00EC28C7" w:rsidRDefault="00000000">
      <w:pPr>
        <w:pStyle w:val="BodyText"/>
        <w:rPr>
          <w:sz w:val="20"/>
          <w:szCs w:val="20"/>
        </w:rPr>
      </w:pPr>
      <w:r w:rsidRPr="00EC28C7">
        <w:rPr>
          <w:b/>
          <w:sz w:val="20"/>
          <w:szCs w:val="20"/>
        </w:rPr>
        <w:t xml:space="preserve">Decision margin, g_M^B. </w:t>
      </w:r>
      <w:r w:rsidRPr="00EC28C7">
        <w:rPr>
          <w:sz w:val="20"/>
          <w:szCs w:val="20"/>
        </w:rPr>
        <w:t>The logarithmic reserve g_M^B = ln(α_M/α_req,M^B). A positive margin predicts pass, a negative margin predicts fail, and zero is the acceptance boundary.</w:t>
      </w:r>
    </w:p>
    <w:p w14:paraId="36DA144E" w14:textId="77777777" w:rsidR="00246B56" w:rsidRPr="00EC28C7" w:rsidRDefault="00000000">
      <w:pPr>
        <w:pStyle w:val="BodyText"/>
        <w:rPr>
          <w:sz w:val="20"/>
          <w:szCs w:val="20"/>
        </w:rPr>
      </w:pPr>
      <w:r w:rsidRPr="00EC28C7">
        <w:rPr>
          <w:b/>
          <w:sz w:val="20"/>
          <w:szCs w:val="20"/>
        </w:rPr>
        <w:t xml:space="preserve">Robust governing margin, G_M^B. </w:t>
      </w:r>
      <w:r w:rsidRPr="00EC28C7">
        <w:rPr>
          <w:sz w:val="20"/>
          <w:szCs w:val="20"/>
        </w:rPr>
        <w:t>The infimum of the decision margin over the claimed configuration, simultaneous-action, and ignorance domains. A robust pass requires a defensible lower bound on G_M^B that is non-negative.</w:t>
      </w:r>
    </w:p>
    <w:p w14:paraId="6749CA20" w14:textId="77777777" w:rsidR="00246B56" w:rsidRPr="00EC28C7" w:rsidRDefault="00000000">
      <w:pPr>
        <w:pStyle w:val="BodyText"/>
        <w:rPr>
          <w:sz w:val="20"/>
          <w:szCs w:val="20"/>
        </w:rPr>
      </w:pPr>
      <w:r w:rsidRPr="00EC28C7">
        <w:rPr>
          <w:b/>
          <w:sz w:val="20"/>
          <w:szCs w:val="20"/>
        </w:rPr>
        <w:t xml:space="preserve">Signed relative divergence, Δ_F/E. </w:t>
      </w:r>
      <w:r w:rsidRPr="00EC28C7">
        <w:rPr>
          <w:sz w:val="20"/>
          <w:szCs w:val="20"/>
        </w:rPr>
        <w:t>The signed difference in model margins or capacities, retained alongside its magnitude. Positive capacity divergence means the frame model predicts more capacity; negative divergence means it predicts less.</w:t>
      </w:r>
    </w:p>
    <w:p w14:paraId="14DC2D02" w14:textId="77777777" w:rsidR="00246B56" w:rsidRPr="00EC28C7" w:rsidRDefault="00000000">
      <w:pPr>
        <w:pStyle w:val="BodyText"/>
        <w:rPr>
          <w:sz w:val="20"/>
          <w:szCs w:val="20"/>
        </w:rPr>
      </w:pPr>
      <w:r w:rsidRPr="00EC28C7">
        <w:rPr>
          <w:b/>
          <w:sz w:val="20"/>
          <w:szCs w:val="20"/>
        </w:rPr>
        <w:t xml:space="preserve">Decision outcome. </w:t>
      </w:r>
      <w:r w:rsidRPr="00EC28C7">
        <w:rPr>
          <w:sz w:val="20"/>
          <w:szCs w:val="20"/>
        </w:rPr>
        <w:t>Each method is classified as robust pass, robust fail, or indeterminate. Decision concordance requires the same determinate classification. If either method is indeterminate, adequacy is unresolved rather than certified.</w:t>
      </w:r>
    </w:p>
    <w:p w14:paraId="5DB7511C" w14:textId="77777777" w:rsidR="00246B56" w:rsidRPr="00EC28C7" w:rsidRDefault="00000000">
      <w:pPr>
        <w:pStyle w:val="Heading3"/>
        <w:rPr>
          <w:sz w:val="22"/>
          <w:szCs w:val="22"/>
        </w:rPr>
      </w:pPr>
      <w:r w:rsidRPr="00EC28C7">
        <w:rPr>
          <w:sz w:val="22"/>
          <w:szCs w:val="22"/>
        </w:rPr>
        <w:t>Interpretation of the possible outcomes</w:t>
      </w:r>
    </w:p>
    <w:p w14:paraId="5CAF7F87" w14:textId="77777777" w:rsidR="00246B56" w:rsidRPr="00EC28C7" w:rsidRDefault="00000000">
      <w:pPr>
        <w:pStyle w:val="BodyText"/>
        <w:rPr>
          <w:sz w:val="20"/>
          <w:szCs w:val="20"/>
        </w:rPr>
      </w:pPr>
      <w:r w:rsidRPr="00EC28C7">
        <w:rPr>
          <w:b/>
          <w:sz w:val="20"/>
          <w:szCs w:val="20"/>
        </w:rPr>
        <w:t xml:space="preserve">Robust concordance. </w:t>
      </w:r>
      <w:r w:rsidRPr="00EC28C7">
        <w:rPr>
          <w:sz w:val="20"/>
          <w:szCs w:val="20"/>
        </w:rPr>
        <w:t>Both methods produce the same determinate pass/fail classification over the declared domains. The frame method is decision-adequate for that project basis, equipment item, configuration and action domain. This is a local adequacy statement, not a universal validation of the model.</w:t>
      </w:r>
    </w:p>
    <w:p w14:paraId="53BC4E82" w14:textId="77777777" w:rsidR="00246B56" w:rsidRPr="00EC28C7" w:rsidRDefault="00000000">
      <w:pPr>
        <w:pStyle w:val="BodyText"/>
        <w:rPr>
          <w:sz w:val="20"/>
          <w:szCs w:val="20"/>
        </w:rPr>
      </w:pPr>
      <w:r w:rsidRPr="00EC28C7">
        <w:rPr>
          <w:b/>
          <w:sz w:val="20"/>
          <w:szCs w:val="20"/>
        </w:rPr>
        <w:t xml:space="preserve">Robust conflict. </w:t>
      </w:r>
      <w:r w:rsidRPr="00EC28C7">
        <w:rPr>
          <w:sz w:val="20"/>
          <w:szCs w:val="20"/>
        </w:rPr>
        <w:t>The methods produce opposite determinate decisions. The conflict is mapped by configuration and load combination and classified by direction. A frame-pass/enriched-fail case blocks unqualified acceptance of the frame method until the disagreement is resolved.</w:t>
      </w:r>
    </w:p>
    <w:p w14:paraId="7A1CC3B7" w14:textId="77777777" w:rsidR="00246B56" w:rsidRPr="00EC28C7" w:rsidRDefault="00000000">
      <w:pPr>
        <w:pStyle w:val="BodyText"/>
        <w:rPr>
          <w:sz w:val="20"/>
          <w:szCs w:val="20"/>
        </w:rPr>
      </w:pPr>
      <w:r w:rsidRPr="00EC28C7">
        <w:rPr>
          <w:b/>
          <w:sz w:val="20"/>
          <w:szCs w:val="20"/>
        </w:rPr>
        <w:t xml:space="preserve">Indeterminate. </w:t>
      </w:r>
      <w:r w:rsidRPr="00EC28C7">
        <w:rPr>
          <w:sz w:val="20"/>
          <w:szCs w:val="20"/>
        </w:rPr>
        <w:t>The acceptance boundary is crossed within the numerical or physical uncertainty set, the continuous-domain search is not certified, or the imperfection search lacks a lower bound. The correct output is the flip boundary and the measurement, model improvement, or operational restriction needed to settle it—not a forced pass or fail.</w:t>
      </w:r>
    </w:p>
    <w:p w14:paraId="3C8D324D" w14:textId="77777777" w:rsidR="00246B56" w:rsidRPr="00EC28C7" w:rsidRDefault="00000000">
      <w:pPr>
        <w:pStyle w:val="BodyText"/>
        <w:rPr>
          <w:sz w:val="20"/>
          <w:szCs w:val="20"/>
        </w:rPr>
      </w:pPr>
      <w:r w:rsidRPr="00EC28C7">
        <w:rPr>
          <w:b/>
          <w:sz w:val="20"/>
          <w:szCs w:val="20"/>
        </w:rPr>
        <w:t xml:space="preserve">Large reserve difference with decision agreement. </w:t>
      </w:r>
      <w:r w:rsidRPr="00EC28C7">
        <w:rPr>
          <w:sz w:val="20"/>
          <w:szCs w:val="20"/>
        </w:rPr>
        <w:t>This is a capacity-model discrepancy that may matter for economy, future modifications, or reserve assessment, but it does not by itself invalidate the present pass/fail decision.</w:t>
      </w:r>
    </w:p>
    <w:p w14:paraId="0FCF8054" w14:textId="77777777" w:rsidR="00246B56" w:rsidRPr="00EC28C7" w:rsidRDefault="00000000">
      <w:pPr>
        <w:pStyle w:val="BodyText"/>
        <w:rPr>
          <w:sz w:val="20"/>
          <w:szCs w:val="20"/>
        </w:rPr>
      </w:pPr>
      <w:r w:rsidRPr="00EC28C7">
        <w:rPr>
          <w:b/>
          <w:sz w:val="20"/>
          <w:szCs w:val="20"/>
        </w:rPr>
        <w:t xml:space="preserve">Mode disagreement with decision agreement. </w:t>
      </w:r>
      <w:r w:rsidRPr="00EC28C7">
        <w:rPr>
          <w:sz w:val="20"/>
          <w:szCs w:val="20"/>
        </w:rPr>
        <w:t>Different mechanisms can lead to the same present decision. The discrepancy remains diagnostically important, especially near future configurations or load changes, but modal difference alone does not overturn a decision that is robustly on the same side of the applicable boundary.</w:t>
      </w:r>
    </w:p>
    <w:p w14:paraId="267ACD84" w14:textId="77777777" w:rsidR="00246B56" w:rsidRPr="00EC28C7" w:rsidRDefault="00000000">
      <w:pPr>
        <w:pStyle w:val="Heading3"/>
        <w:rPr>
          <w:sz w:val="22"/>
          <w:szCs w:val="22"/>
        </w:rPr>
      </w:pPr>
      <w:r w:rsidRPr="00EC28C7">
        <w:rPr>
          <w:sz w:val="22"/>
          <w:szCs w:val="22"/>
        </w:rPr>
        <w:lastRenderedPageBreak/>
        <w:t>Claims intentionally excluded</w:t>
      </w:r>
    </w:p>
    <w:p w14:paraId="502B00DE" w14:textId="77777777" w:rsidR="00246B56" w:rsidRPr="00EC28C7" w:rsidRDefault="00000000">
      <w:pPr>
        <w:pStyle w:val="BodyText"/>
        <w:rPr>
          <w:sz w:val="20"/>
          <w:szCs w:val="20"/>
        </w:rPr>
      </w:pPr>
      <w:r w:rsidRPr="00EC28C7">
        <w:rPr>
          <w:b/>
          <w:sz w:val="20"/>
          <w:szCs w:val="20"/>
        </w:rPr>
        <w:t xml:space="preserve">The paper does not claim equal target reliability. </w:t>
      </w:r>
      <w:r w:rsidRPr="00EC28C7">
        <w:rPr>
          <w:sz w:val="20"/>
          <w:szCs w:val="20"/>
        </w:rPr>
        <w:t>That conclusion requires probabilistic input, model-bias data, and method calibration not supplied here.</w:t>
      </w:r>
    </w:p>
    <w:p w14:paraId="1CCD1C2B" w14:textId="77777777" w:rsidR="00246B56" w:rsidRPr="00EC28C7" w:rsidRDefault="00000000">
      <w:pPr>
        <w:pStyle w:val="BodyText"/>
        <w:rPr>
          <w:sz w:val="20"/>
          <w:szCs w:val="20"/>
        </w:rPr>
      </w:pPr>
      <w:r w:rsidRPr="00EC28C7">
        <w:rPr>
          <w:b/>
          <w:sz w:val="20"/>
          <w:szCs w:val="20"/>
        </w:rPr>
        <w:t xml:space="preserve">The paper does not claim that refinement establishes truth. </w:t>
      </w:r>
      <w:r w:rsidRPr="00EC28C7">
        <w:rPr>
          <w:sz w:val="20"/>
          <w:szCs w:val="20"/>
        </w:rPr>
        <w:t>An enriched model may reveal a mechanism omitted by a frame model while still misrepresenting the physical support or imperfection state.</w:t>
      </w:r>
    </w:p>
    <w:p w14:paraId="03BE5718" w14:textId="77777777" w:rsidR="00246B56" w:rsidRPr="00EC28C7" w:rsidRDefault="00000000">
      <w:pPr>
        <w:pStyle w:val="BodyText"/>
        <w:rPr>
          <w:sz w:val="20"/>
          <w:szCs w:val="20"/>
        </w:rPr>
      </w:pPr>
      <w:r w:rsidRPr="00EC28C7">
        <w:rPr>
          <w:b/>
          <w:sz w:val="20"/>
          <w:szCs w:val="20"/>
        </w:rPr>
        <w:t xml:space="preserve">The paper does not claim domain-wide robustness from an unqualified sample. </w:t>
      </w:r>
      <w:r w:rsidRPr="00EC28C7">
        <w:rPr>
          <w:sz w:val="20"/>
          <w:szCs w:val="20"/>
        </w:rPr>
        <w:t>Finite sampling is reported as a search unless a certified error envelope or interval bound closes the gaps between samples.</w:t>
      </w:r>
    </w:p>
    <w:p w14:paraId="381FF369" w14:textId="77777777" w:rsidR="00246B56" w:rsidRPr="00EC28C7" w:rsidRDefault="00000000">
      <w:pPr>
        <w:pStyle w:val="BodyText"/>
        <w:rPr>
          <w:sz w:val="20"/>
          <w:szCs w:val="20"/>
        </w:rPr>
      </w:pPr>
      <w:r w:rsidRPr="00EC28C7">
        <w:rPr>
          <w:b/>
          <w:sz w:val="20"/>
          <w:szCs w:val="20"/>
        </w:rPr>
        <w:t xml:space="preserve">The paper does not claim that the true worst-case imperfection has been found. </w:t>
      </w:r>
      <w:r w:rsidRPr="00EC28C7">
        <w:rPr>
          <w:sz w:val="20"/>
          <w:szCs w:val="20"/>
        </w:rPr>
        <w:t>The phrase is reserved for a globally certified optimization or a proven lower-bounding construction.</w:t>
      </w:r>
    </w:p>
    <w:p w14:paraId="3CC9C5C2" w14:textId="77777777" w:rsidR="00246B56" w:rsidRPr="00EC28C7" w:rsidRDefault="00000000">
      <w:pPr>
        <w:pStyle w:val="BodyText"/>
        <w:rPr>
          <w:sz w:val="20"/>
          <w:szCs w:val="20"/>
        </w:rPr>
      </w:pPr>
      <w:r w:rsidRPr="00EC28C7">
        <w:rPr>
          <w:b/>
          <w:sz w:val="20"/>
          <w:szCs w:val="20"/>
        </w:rPr>
        <w:t xml:space="preserve">The paper does not claim equipment safety from buckling alone. </w:t>
      </w:r>
      <w:r w:rsidRPr="00EC28C7">
        <w:rPr>
          <w:sz w:val="20"/>
          <w:szCs w:val="20"/>
        </w:rPr>
        <w:t>The overall design decision also requires the independent strength, overturning, contact, support, fatigue, serviceability, and operational checks required by the governing basis.</w:t>
      </w:r>
    </w:p>
    <w:p w14:paraId="5B38E0A0" w14:textId="1501E50F" w:rsidR="00246B56" w:rsidRPr="00EC28C7" w:rsidRDefault="00000000" w:rsidP="00EC28C7">
      <w:pPr>
        <w:pStyle w:val="BodyText"/>
        <w:rPr>
          <w:sz w:val="20"/>
          <w:szCs w:val="20"/>
        </w:rPr>
      </w:pPr>
      <w:r w:rsidRPr="00EC28C7">
        <w:rPr>
          <w:sz w:val="20"/>
          <w:szCs w:val="20"/>
        </w:rPr>
        <w:t>Only after these commitments are accepted should the introduction be read. The introduction explains why movable segmental-erection equipment can exceed the modelling domain of conventional frame idealisations; it does not relax the method-specific acceptance rules, uncertainty bounds, branch definitions, evidentiary asymmetry, or claim limits fixed here.</w:t>
      </w:r>
      <w:r w:rsidR="00EC28C7" w:rsidRPr="00EC28C7">
        <w:rPr>
          <w:sz w:val="20"/>
          <w:szCs w:val="20"/>
        </w:rPr>
        <w:tab/>
      </w:r>
    </w:p>
    <w:p w14:paraId="300E4DAA" w14:textId="77777777" w:rsidR="00246B56" w:rsidRDefault="00000000">
      <w:pPr>
        <w:pStyle w:val="Heading2"/>
      </w:pPr>
      <w:r>
        <w:t>1. Introduction</w:t>
      </w:r>
    </w:p>
    <w:p w14:paraId="2FC6500B" w14:textId="77777777" w:rsidR="00246B56" w:rsidRDefault="00000000">
      <w:pPr>
        <w:pStyle w:val="FirstParagraph"/>
      </w:pPr>
      <w:r>
        <w:t xml:space="preserve">Structural instability arises at distinct levels: buckling of an individual plate or panel; flexural, torsional, or flexural–torsional buckling of a member; instability of a structural subassembly; and loss of stability of the complete load-carrying system. It is a persistent misconception that steel design standards address only the first two of these. They do not. IS 800:2007, EN 1993-1-1, and ANSI/AISC 360 each contain provisions for second-order response, sway amplification, geometric imperfections, effective lengths, and — in the case of AISC — a Direct Analysis Method that requires stability to be provided for the structure as a whole with explicit consideration of global </w:t>
      </w:r>
      <m:oMath>
        <m:r>
          <w:rPr>
            <w:rFonts w:ascii="Cambria Math" w:hAnsi="Cambria Math"/>
          </w:rPr>
          <m:t>P</m:t>
        </m:r>
        <m:r>
          <m:rPr>
            <m:nor/>
          </m:rPr>
          <m:t>-</m:t>
        </m:r>
        <m:r>
          <w:rPr>
            <w:rFonts w:ascii="Cambria Math" w:hAnsi="Cambria Math"/>
          </w:rPr>
          <m:t>Δ</m:t>
        </m:r>
      </m:oMath>
      <w:r>
        <w:t xml:space="preserve"> effects, member </w:t>
      </w:r>
      <m:oMath>
        <m:r>
          <w:rPr>
            <w:rFonts w:ascii="Cambria Math" w:hAnsi="Cambria Math"/>
          </w:rPr>
          <m:t>P</m:t>
        </m:r>
        <m:r>
          <m:rPr>
            <m:nor/>
          </m:rPr>
          <m:t>-</m:t>
        </m:r>
        <m:r>
          <w:rPr>
            <w:rFonts w:ascii="Cambria Math" w:hAnsi="Cambria Math"/>
          </w:rPr>
          <m:t>δ</m:t>
        </m:r>
      </m:oMath>
      <w:r>
        <w:t xml:space="preserve"> effects, imperfections, connection and component deformations, and stiffness reductions [11,12,15]. The Eurocode organises the decision to perform second-order analysis around the elastic critical factor </w:t>
      </w:r>
      <m:oMath>
        <m:sSub>
          <m:sSubPr>
            <m:ctrlPr>
              <w:rPr>
                <w:rFonts w:ascii="Cambria Math" w:hAnsi="Cambria Math"/>
              </w:rPr>
            </m:ctrlPr>
          </m:sSubPr>
          <m:e>
            <m:r>
              <w:rPr>
                <w:rFonts w:ascii="Cambria Math" w:hAnsi="Cambria Math"/>
              </w:rPr>
              <m:t>α</m:t>
            </m:r>
          </m:e>
          <m:sub>
            <m:r>
              <m:rPr>
                <m:sty m:val="p"/>
              </m:rPr>
              <w:rPr>
                <w:rFonts w:ascii="Cambria Math" w:hAnsi="Cambria Math"/>
              </w:rPr>
              <m:t>cr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cr</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Ed</m:t>
            </m:r>
          </m:sub>
        </m:sSub>
      </m:oMath>
      <w:r>
        <w:t xml:space="preserve">, the load amplifier at which the structure reaches a </w:t>
      </w:r>
      <w:r>
        <w:rPr>
          <w:i/>
          <w:iCs/>
        </w:rPr>
        <w:t>global</w:t>
      </w:r>
      <w:r>
        <w:t xml:space="preserve"> instability mode [12]. It is therefore inaccurate to characterise codal stability design as restricted to independent member checks.</w:t>
      </w:r>
    </w:p>
    <w:p w14:paraId="65F9954E" w14:textId="77777777" w:rsidR="00246B56" w:rsidRDefault="00000000">
      <w:pPr>
        <w:pStyle w:val="BodyText"/>
      </w:pPr>
      <w:r>
        <w:t xml:space="preserve">General-purpose structural-analysis software likewise provides legitimate global stability capability. STAAD.Pro, for example, computes the multiplier by which the loads in a case must be increased to produce global buckling of the structure, through an iterative procedure that includes both large- and small-displacement effects and through an eigenvalue procedure that returns buckling factors and normalised mode shapes; it additionally offers direct analysis to AISC 360, geometric-imperfection analysis, and, under an advanced licence, a geometric-nonlinear solution. Its defensible limitations are specific rather than categorical: its geometric-stiffness contributions are formed for frame members and plate elements but not for solid elements or curved members; its eigenvalue extraction is capped at a small number of factors; its eigenvalue procedure is restricted to a single primary load case, with combinations represented through repeated loading; and its geometric-nonlinear procedure does not </w:t>
      </w:r>
      <w:r>
        <w:lastRenderedPageBreak/>
        <w:t xml:space="preserve">support gaps, multilinear or tension-only springs, follower loads, or member post-buckling stiffness. These are limitations of </w:t>
      </w:r>
      <w:r>
        <w:rPr>
          <w:i/>
          <w:iCs/>
        </w:rPr>
        <w:t>idealisation and formulation</w:t>
      </w:r>
      <w:r>
        <w:t>, not an absence of buckling analysis.</w:t>
      </w:r>
    </w:p>
    <w:p w14:paraId="32E1ACF9" w14:textId="77777777" w:rsidR="00246B56" w:rsidRDefault="00000000">
      <w:pPr>
        <w:pStyle w:val="BodyText"/>
      </w:pPr>
      <w:r>
        <w:t>The engineering problem is thus the range of validity of the structural idealisations on which codal and conventional procedures operate. For fixed-geometry building and plant frames, beam-element models with codal second-order provisions are frequently appropriate: members, supports, load paths, and geometry are well represented by one-dimensional formulations and prescribed boundary conditions. Movable segmental-erection equipment presents a different stability problem in four respects.</w:t>
      </w:r>
    </w:p>
    <w:p w14:paraId="16B5ABEB" w14:textId="77777777" w:rsidR="00246B56" w:rsidRDefault="00000000">
      <w:pPr>
        <w:pStyle w:val="BodyText"/>
      </w:pPr>
      <w:r>
        <w:rPr>
          <w:i/>
          <w:iCs/>
        </w:rPr>
        <w:t>First</w:t>
      </w:r>
      <w:r>
        <w:t xml:space="preserve">, the governing instability may contain shell-level deformation. Web distortion, flange rotation, diaphragm flexibility, launching-nose deformation, or local panel buckling may couple with global sway or torsion. A centreline model represents sectional stiffness but cannot independently resolve a mode whose existence depends on the distribution of displacement through a plated cross-section. </w:t>
      </w:r>
      <w:r>
        <w:rPr>
          <w:i/>
          <w:iCs/>
        </w:rPr>
        <w:t>Second</w:t>
      </w:r>
      <w:r>
        <w:t xml:space="preserve">, the support condition may be state-dependent. Wheels, bogies, temporary bearings, sliding interfaces, and support stools possess finite stiffness, redistribute reaction, and may lose and regain contact; the active contact state can be part of the equilibrium solution that determines the instability, not a boundary condition selectable in advance. </w:t>
      </w:r>
      <w:r>
        <w:rPr>
          <w:i/>
          <w:iCs/>
        </w:rPr>
        <w:t>Third</w:t>
      </w:r>
      <w:r>
        <w:t xml:space="preserve">, the structure changes configuration during operation. The critical state of a launching girder may occur during maximum cantilever projection rather than in a parked or fully supported condition, and a stability factor computed for one geometry cannot be transferred to another. </w:t>
      </w:r>
      <w:r>
        <w:rPr>
          <w:i/>
          <w:iCs/>
        </w:rPr>
        <w:t>Fourth</w:t>
      </w:r>
      <w:r>
        <w:t>, the design resistance may depend on the nonlinear equilibrium path: linear eigenvalue buckling identifies bifurcation modes of an idealised tangent system and does not determine the imperfection-sensitive limit load of a structure exhibiting large deformation, changing contact, yielding, or support redistribution [19].</w:t>
      </w:r>
    </w:p>
    <w:p w14:paraId="52911995" w14:textId="77777777" w:rsidR="00246B56" w:rsidRDefault="00000000">
      <w:pPr>
        <w:pStyle w:val="BodyText"/>
      </w:pPr>
      <w:r>
        <w:t xml:space="preserve">Three classes of equipment motivate the study. The </w:t>
      </w:r>
      <w:r>
        <w:rPr>
          <w:b/>
          <w:bCs/>
        </w:rPr>
        <w:t>launching girder</w:t>
      </w:r>
      <w:r>
        <w:t xml:space="preserve"> at maximum cantilever is the primary demonstrator, because its stability can plausibly be controlled by structural deformation and configuration-dependent stiffness. The </w:t>
      </w:r>
      <w:r>
        <w:rPr>
          <w:b/>
          <w:bCs/>
        </w:rPr>
        <w:t>straddle carrier</w:t>
      </w:r>
      <w:r>
        <w:t xml:space="preserve"> and the </w:t>
      </w:r>
      <w:r>
        <w:rPr>
          <w:b/>
          <w:bCs/>
        </w:rPr>
        <w:t>girder transporter</w:t>
      </w:r>
      <w:r>
        <w:t xml:space="preserve"> are treated as contrast cases, admitted to the full buckling hierarchy only after a limit-state relevance gate (Section 16) confirms that elastic or inelastic buckling — rather than overturning, wheel or bearing capacity, or braking stability — is plausibly an active governing mechanism. A negative result at that gate is itself a valid engineering conclusion.</w:t>
      </w:r>
    </w:p>
    <w:p w14:paraId="238F4059" w14:textId="77777777" w:rsidR="00246B56" w:rsidRDefault="00000000">
      <w:pPr>
        <w:pStyle w:val="BodyText"/>
      </w:pPr>
      <w:r>
        <w:t>The remainder of the paper develops a decision-concordance framework. Section 2 fixes the decision semantics and the reliability boundary. Sections 3 and 4 define the load parameterisation, the uniform stability multiplier, and the model hierarchy. Sections 5–8 develop the robust decision margin over simultaneous load combinations, the geometry of the ignorance set, and the certified search over continuous domains. Sections 9–13 treat the operational capacity definition, signed safety-direction classification, compound buckling, the status of worst-case imperfection searches, and decision-centred feature attribution. Sections 14–17 give the verification programme and validation boundary, the outcome matrix and hypotheses, the case-study programme, and the claim boundary.</w:t>
      </w:r>
    </w:p>
    <w:p w14:paraId="4128BF6B" w14:textId="77777777" w:rsidR="00246B56" w:rsidRDefault="00000000">
      <w:pPr>
        <w:pStyle w:val="Heading2"/>
      </w:pPr>
      <w:bookmarkStart w:id="4" w:name="Xd558de71d31240bbc324cec558f97581225392a"/>
      <w:bookmarkEnd w:id="3"/>
      <w:r>
        <w:lastRenderedPageBreak/>
        <w:t>2. Decision semantics, reliability boundary, and scope of the claim</w:t>
      </w:r>
    </w:p>
    <w:p w14:paraId="53445359" w14:textId="77777777" w:rsidR="00246B56" w:rsidRDefault="00000000">
      <w:pPr>
        <w:pStyle w:val="Heading3"/>
      </w:pPr>
      <w:bookmarkStart w:id="5" w:name="analysis-method-and-acceptance-rule"/>
      <w:r>
        <w:t>2.1 Analysis method and acceptance rule</w:t>
      </w:r>
    </w:p>
    <w:p w14:paraId="7F3E5140" w14:textId="77777777" w:rsidR="00246B56" w:rsidRDefault="00000000">
      <w:pPr>
        <w:pStyle w:val="FirstParagraph"/>
      </w:pPr>
      <w:r>
        <w:t xml:space="preserve">Let </w:t>
      </w:r>
      <m:oMath>
        <m:r>
          <w:rPr>
            <w:rFonts w:ascii="Cambria Math" w:hAnsi="Cambria Math"/>
          </w:rPr>
          <m:t>M</m:t>
        </m:r>
      </m:oMath>
      <w:r>
        <w:t xml:space="preserve"> denote an </w:t>
      </w:r>
      <w:r>
        <w:rPr>
          <w:i/>
          <w:iCs/>
        </w:rPr>
        <w:t>analysis method</w:t>
      </w:r>
      <w:r>
        <w:t xml:space="preserve"> — a modelling idealisation together with its associated design treatment — rather than merely a finite-element mesh. For a project design basis </w:t>
      </w:r>
      <m:oMath>
        <m:r>
          <w:rPr>
            <w:rFonts w:ascii="Cambria Math" w:hAnsi="Cambria Math"/>
          </w:rPr>
          <m:t>B</m:t>
        </m:r>
      </m:oMath>
      <w:r>
        <w:t xml:space="preserve">, each method carries an </w:t>
      </w:r>
      <w:r>
        <w:rPr>
          <w:b/>
          <w:bCs/>
        </w:rPr>
        <w:t>acceptance functional</w:t>
      </w:r>
    </w:p>
    <w:p w14:paraId="14BFEEE0"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B</m:t>
              </m:r>
            </m:sup>
          </m:sSubSup>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M</m:t>
                  </m:r>
                </m:sub>
              </m:sSub>
            </m:e>
          </m:d>
          <m:r>
            <m:rPr>
              <m:sty m:val="p"/>
            </m:rPr>
            <w:rPr>
              <w:rFonts w:ascii="Cambria Math" w:hAnsi="Cambria Math"/>
            </w:rPr>
            <m:t>,</m:t>
          </m:r>
        </m:oMath>
      </m:oMathPara>
    </w:p>
    <w:p w14:paraId="223BCD23" w14:textId="77777777" w:rsidR="00246B56" w:rsidRDefault="00000000">
      <w:pPr>
        <w:pStyle w:val="FirstParagraph"/>
      </w:pPr>
      <w:r>
        <w:t xml:space="preserve">where </w:t>
      </w:r>
      <m:oMath>
        <m:sSub>
          <m:sSubPr>
            <m:ctrlPr>
              <w:rPr>
                <w:rFonts w:ascii="Cambria Math" w:hAnsi="Cambria Math"/>
              </w:rPr>
            </m:ctrlPr>
          </m:sSubPr>
          <m:e>
            <m:r>
              <m:rPr>
                <m:sty m:val="b"/>
              </m:rPr>
              <w:rPr>
                <w:rFonts w:ascii="Cambria Math" w:hAnsi="Cambria Math"/>
              </w:rPr>
              <m:t>y</m:t>
            </m:r>
          </m:e>
          <m:sub>
            <m:r>
              <w:rPr>
                <w:rFonts w:ascii="Cambria Math" w:hAnsi="Cambria Math"/>
              </w:rPr>
              <m:t>M</m:t>
            </m:r>
          </m:sub>
        </m:sSub>
      </m:oMath>
      <w:r>
        <w:t xml:space="preserve"> collects the quantities that method requires: a critical multiplier, an ultimate resistance, a member or system reduction factor, a model factor, an imperfection prescription, a material partial factor, a deformation or strain limit, or another method-specific design quantity. The decision predicted by the method is</w:t>
      </w:r>
    </w:p>
    <w:p w14:paraId="6B396F4F"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M</m:t>
              </m:r>
            </m:sub>
            <m:sup>
              <m:r>
                <w:rPr>
                  <w:rFonts w:ascii="Cambria Math" w:hAnsi="Cambria Math"/>
                </w:rPr>
                <m:t>B</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pass</m:t>
                    </m:r>
                    <m:r>
                      <m:rPr>
                        <m:sty m:val="p"/>
                      </m:rPr>
                      <w:rPr>
                        <w:rFonts w:ascii="Cambria Math" w:hAnsi="Cambria Math"/>
                      </w:rPr>
                      <m:t>,</m:t>
                    </m:r>
                  </m:e>
                  <m:e>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B</m:t>
                        </m:r>
                      </m:sup>
                    </m:sSubSup>
                    <m:r>
                      <m:rPr>
                        <m:sty m:val="p"/>
                      </m:rPr>
                      <w:rPr>
                        <w:rFonts w:ascii="Cambria Math" w:hAnsi="Cambria Math"/>
                      </w:rPr>
                      <m:t>≥</m:t>
                    </m:r>
                    <m:r>
                      <w:rPr>
                        <w:rFonts w:ascii="Cambria Math" w:hAnsi="Cambria Math"/>
                      </w:rPr>
                      <m:t>0</m:t>
                    </m:r>
                    <m:r>
                      <m:rPr>
                        <m:sty m:val="p"/>
                      </m:rPr>
                      <w:rPr>
                        <w:rFonts w:ascii="Cambria Math" w:hAnsi="Cambria Math"/>
                      </w:rPr>
                      <m:t>,</m:t>
                    </m:r>
                  </m:e>
                </m:mr>
                <m:mr>
                  <m:e>
                    <m:r>
                      <m:rPr>
                        <m:nor/>
                      </m:rPr>
                      <m:t>fail</m:t>
                    </m:r>
                    <m:r>
                      <m:rPr>
                        <m:sty m:val="p"/>
                      </m:rPr>
                      <w:rPr>
                        <w:rFonts w:ascii="Cambria Math" w:hAnsi="Cambria Math"/>
                      </w:rPr>
                      <m:t>,</m:t>
                    </m:r>
                  </m:e>
                  <m:e>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B</m:t>
                        </m:r>
                      </m:sup>
                    </m:sSubSup>
                    <m:r>
                      <m:rPr>
                        <m:sty m:val="p"/>
                      </m:rPr>
                      <w:rPr>
                        <w:rFonts w:ascii="Cambria Math" w:hAnsi="Cambria Math"/>
                      </w:rPr>
                      <m:t>&lt;</m:t>
                    </m:r>
                    <m:r>
                      <w:rPr>
                        <w:rFonts w:ascii="Cambria Math" w:hAnsi="Cambria Math"/>
                      </w:rPr>
                      <m:t>0</m:t>
                    </m:r>
                    <m:r>
                      <m:rPr>
                        <m:sty m:val="p"/>
                      </m:rPr>
                      <w:rPr>
                        <w:rFonts w:ascii="Cambria Math" w:hAnsi="Cambria Math"/>
                      </w:rPr>
                      <m:t>.</m:t>
                    </m:r>
                  </m:e>
                </m:mr>
              </m:m>
            </m:e>
          </m:d>
        </m:oMath>
      </m:oMathPara>
    </w:p>
    <w:p w14:paraId="1570215D" w14:textId="77777777" w:rsidR="00246B56" w:rsidRDefault="00000000">
      <w:pPr>
        <w:pStyle w:val="FirstParagraph"/>
      </w:pPr>
      <w:r>
        <w:t>The acceptance functional, not a universal buckling-factor threshold, is the fundamental object.</w:t>
      </w:r>
    </w:p>
    <w:p w14:paraId="09BCA369" w14:textId="77777777" w:rsidR="00246B56" w:rsidRDefault="00000000">
      <w:pPr>
        <w:pStyle w:val="Heading3"/>
      </w:pPr>
      <w:bookmarkStart w:id="6" w:name="the-multiplier-threshold-special-case"/>
      <w:bookmarkEnd w:id="5"/>
      <w:r>
        <w:t>2.2 The multiplier-threshold special case</w:t>
      </w:r>
    </w:p>
    <w:p w14:paraId="24D5B695" w14:textId="77777777" w:rsidR="00246B56" w:rsidRDefault="00000000">
      <w:pPr>
        <w:pStyle w:val="FirstParagraph"/>
      </w:pPr>
      <w:r>
        <w:t>Where the basis expresses acceptance through a required stability multiplier, the acceptance functional reduces to the logarithmic decision margin</w:t>
      </w:r>
    </w:p>
    <w:p w14:paraId="35CA37E3"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Ψ</m:t>
              </m:r>
            </m:e>
            <m:sub>
              <m:r>
                <w:rPr>
                  <w:rFonts w:ascii="Cambria Math" w:hAnsi="Cambria Math"/>
                </w:rPr>
                <m:t>M</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M</m:t>
              </m:r>
            </m:sub>
            <m:sup>
              <m:r>
                <w:rPr>
                  <w:rFonts w:ascii="Cambria Math" w:hAnsi="Cambria Math"/>
                </w:rPr>
                <m:t>B</m:t>
              </m:r>
            </m:sup>
          </m:sSubSup>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M</m:t>
                  </m:r>
                </m:sub>
              </m:sSub>
            </m:num>
            <m:den>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M</m:t>
                  </m:r>
                </m:sub>
                <m:sup>
                  <m:r>
                    <w:rPr>
                      <w:rFonts w:ascii="Cambria Math" w:hAnsi="Cambria Math"/>
                    </w:rPr>
                    <m:t>B</m:t>
                  </m:r>
                </m:sup>
              </m:sSubSup>
            </m:den>
          </m:f>
          <m:r>
            <m:rPr>
              <m:sty m:val="p"/>
            </m:rPr>
            <w:rPr>
              <w:rFonts w:ascii="Cambria Math" w:hAnsi="Cambria Math"/>
            </w:rPr>
            <m:t>,</m:t>
          </m:r>
        </m:oMath>
      </m:oMathPara>
    </w:p>
    <w:p w14:paraId="29CEDD6D" w14:textId="77777777" w:rsidR="00246B56" w:rsidRDefault="00000000">
      <w:pPr>
        <w:pStyle w:val="FirstParagraph"/>
      </w:pPr>
      <w:r>
        <w:t xml:space="preserve">in which </w:t>
      </w:r>
      <m:oMath>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M</m:t>
            </m:r>
          </m:sub>
          <m:sup>
            <m:r>
              <w:rPr>
                <w:rFonts w:ascii="Cambria Math" w:hAnsi="Cambria Math"/>
              </w:rPr>
              <m:t>B</m:t>
            </m:r>
          </m:sup>
        </m:sSubSup>
      </m:oMath>
      <w:r>
        <w:t xml:space="preserve"> is the required multiplier applicable to method </w:t>
      </w:r>
      <m:oMath>
        <m:r>
          <w:rPr>
            <w:rFonts w:ascii="Cambria Math" w:hAnsi="Cambria Math"/>
          </w:rPr>
          <m:t>M</m:t>
        </m:r>
      </m:oMath>
      <w:r>
        <w:t xml:space="preserve"> under basis </w:t>
      </w:r>
      <m:oMath>
        <m:r>
          <w:rPr>
            <w:rFonts w:ascii="Cambria Math" w:hAnsi="Cambria Math"/>
          </w:rPr>
          <m:t>B</m:t>
        </m:r>
      </m:oMath>
      <w:r>
        <w:t>. The requirement may be method-dependent,</w:t>
      </w:r>
    </w:p>
    <w:p w14:paraId="00116FE6"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F</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E</m:t>
              </m:r>
            </m:sub>
            <m:sup>
              <m:r>
                <w:rPr>
                  <w:rFonts w:ascii="Cambria Math" w:hAnsi="Cambria Math"/>
                </w:rPr>
                <m:t>B</m:t>
              </m:r>
            </m:sup>
          </m:sSubSup>
          <m:r>
            <m:rPr>
              <m:sty m:val="p"/>
            </m:rPr>
            <w:rPr>
              <w:rFonts w:ascii="Cambria Math" w:hAnsi="Cambria Math"/>
            </w:rPr>
            <m:t>,</m:t>
          </m:r>
        </m:oMath>
      </m:oMathPara>
    </w:p>
    <w:p w14:paraId="37FE811A" w14:textId="77777777" w:rsidR="00246B56" w:rsidRDefault="00000000">
      <w:pPr>
        <w:pStyle w:val="FirstParagraph"/>
      </w:pPr>
      <w:r>
        <w:t xml:space="preserve">when the frame procedure </w:t>
      </w:r>
      <m:oMath>
        <m:r>
          <w:rPr>
            <w:rFonts w:ascii="Cambria Math" w:hAnsi="Cambria Math"/>
          </w:rPr>
          <m:t>F</m:t>
        </m:r>
      </m:oMath>
      <w:r>
        <w:t xml:space="preserve"> omits physical effects that are covered indirectly through codal reduction factors, notional imperfections, amplified actions, or effective lengths, while the enriched method </w:t>
      </w:r>
      <m:oMath>
        <m:r>
          <w:rPr>
            <w:rFonts w:ascii="Cambria Math" w:hAnsi="Cambria Math"/>
          </w:rPr>
          <m:t>E</m:t>
        </m:r>
      </m:oMath>
      <w:r>
        <w:t xml:space="preserve"> incorporates some of those effects explicitly. Decision concordance is therefore defined by agreement of </w:t>
      </w:r>
      <w:r>
        <w:rPr>
          <w:i/>
          <w:iCs/>
        </w:rPr>
        <w:t>sign</w:t>
      </w:r>
      <w:r>
        <w:t>,</w:t>
      </w:r>
    </w:p>
    <w:p w14:paraId="39ABA547" w14:textId="77777777" w:rsidR="00246B56" w:rsidRDefault="00000000">
      <w:pPr>
        <w:pStyle w:val="BodyText"/>
      </w:pPr>
      <m:oMathPara>
        <m:oMathParaPr>
          <m:jc m:val="center"/>
        </m:oMathParaPr>
        <m:oMath>
          <m:r>
            <m:rPr>
              <m:sty m:val="p"/>
            </m:rPr>
            <w:rPr>
              <w:rFonts w:ascii="Cambria Math" w:hAnsi="Cambria Math"/>
            </w:rPr>
            <m:t>sign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B</m:t>
                  </m:r>
                </m:sup>
              </m:sSubSup>
            </m:e>
          </m:d>
          <m:r>
            <m:rPr>
              <m:sty m:val="p"/>
            </m:rPr>
            <w:rPr>
              <w:rFonts w:ascii="Cambria Math" w:hAnsi="Cambria Math"/>
            </w:rPr>
            <m:t>=sign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E</m:t>
                  </m:r>
                </m:sub>
                <m:sup>
                  <m:r>
                    <w:rPr>
                      <w:rFonts w:ascii="Cambria Math" w:hAnsi="Cambria Math"/>
                    </w:rPr>
                    <m:t>B</m:t>
                  </m:r>
                </m:sup>
              </m:sSubSup>
            </m:e>
          </m:d>
          <m:r>
            <m:rPr>
              <m:sty m:val="p"/>
            </m:rPr>
            <w:rPr>
              <w:rFonts w:ascii="Cambria Math" w:hAnsi="Cambria Math"/>
            </w:rPr>
            <m:t>,</m:t>
          </m:r>
        </m:oMath>
      </m:oMathPara>
    </w:p>
    <w:p w14:paraId="08F06C50" w14:textId="77777777" w:rsidR="00246B56" w:rsidRDefault="00000000">
      <w:pPr>
        <w:pStyle w:val="FirstParagraph"/>
      </w:pPr>
      <w:r>
        <w:t>and not by comparing the two calculated multipliers against an automatically common requirement.</w:t>
      </w:r>
    </w:p>
    <w:p w14:paraId="0A77F289" w14:textId="77777777" w:rsidR="00246B56" w:rsidRDefault="00000000">
      <w:pPr>
        <w:pStyle w:val="Heading3"/>
      </w:pPr>
      <w:bookmarkStart w:id="7" w:name="common-threshold-versus-reliability"/>
      <w:bookmarkEnd w:id="6"/>
      <w:r>
        <w:t>2.3 Common threshold versus reliability</w:t>
      </w:r>
    </w:p>
    <w:p w14:paraId="36A03176" w14:textId="77777777" w:rsidR="00246B56" w:rsidRDefault="00000000">
      <w:pPr>
        <w:pStyle w:val="FirstParagraph"/>
      </w:pPr>
      <w:r>
        <w:t xml:space="preserve">A common threshold </w:t>
      </w:r>
      <m:oMath>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F</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E</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req</m:t>
            </m:r>
          </m:sub>
          <m:sup>
            <m:r>
              <w:rPr>
                <w:rFonts w:ascii="Cambria Math" w:hAnsi="Cambria Math"/>
              </w:rPr>
              <m:t>B</m:t>
            </m:r>
          </m:sup>
        </m:sSubSup>
      </m:oMath>
      <w:r>
        <w:t xml:space="preserve"> may be adopted only when the project basis explicitly requires the same multiplier of both routes, when the comparison is deliberately performed as a controlled common-basis experiment, or when the threshold is used as an operational screening boundary rather than a reliability-calibrated design rule. The resulting conclusion must be described as </w:t>
      </w:r>
      <w:r>
        <w:rPr>
          <w:i/>
          <w:iCs/>
        </w:rPr>
        <w:t xml:space="preserve">common-threshold </w:t>
      </w:r>
      <w:r>
        <w:rPr>
          <w:i/>
          <w:iCs/>
        </w:rPr>
        <w:lastRenderedPageBreak/>
        <w:t>decision concordance under the stated basis</w:t>
      </w:r>
      <w:r>
        <w:t>, never as a demonstration that both methods achieve the same target reliability.</w:t>
      </w:r>
    </w:p>
    <w:p w14:paraId="3A963E7B" w14:textId="77777777" w:rsidR="00246B56" w:rsidRDefault="00000000">
      <w:pPr>
        <w:pStyle w:val="BodyText"/>
      </w:pPr>
      <w:r>
        <w:t>A reliability-consistent comparison would instead require, for each method,</w:t>
      </w:r>
    </w:p>
    <w:p w14:paraId="30E7BA85"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target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f</m:t>
              </m:r>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r>
                <m:rPr>
                  <m:sty m:val="p"/>
                </m:rPr>
                <w:rPr>
                  <w:rFonts w:ascii="Cambria Math" w:hAnsi="Cambria Math"/>
                </w:rPr>
                <m:t>,target</m:t>
              </m:r>
            </m:sub>
          </m:sSub>
          <m:r>
            <m:rPr>
              <m:sty m:val="p"/>
            </m:rPr>
            <w:rPr>
              <w:rFonts w:ascii="Cambria Math" w:hAnsi="Cambria Math"/>
            </w:rPr>
            <m:t>,</m:t>
          </m:r>
        </m:oMath>
      </m:oMathPara>
    </w:p>
    <w:p w14:paraId="44EB3EE2" w14:textId="77777777" w:rsidR="00246B56" w:rsidRDefault="00000000">
      <w:pPr>
        <w:pStyle w:val="FirstParagraph"/>
      </w:pPr>
      <w:r>
        <w:t>which demands action distributions, material and geometric variability, model bias, model-form scatter, manufacturing tolerances, support-property distributions, correlation among uncertain quantities, and calibration of the method-specific resistance format. Modern design-by-analysis practice makes precisely this coupling explicit: the Eurocode shell and plated-element routes distinguish linear, linear-buckling, geometrically nonlinear, and geometrically-and-materially nonlinear analyses with imperfections (LA, LBA, GMNA, GMNIA), and apply differentiated resistance and model-factor treatments so that a uniform reliability level is maintained across analysis sophistication [13,14]. Analysis sophistication and reliability treatment cannot, in general, be separated. The inputs required for a reliability claim are supplied neither by a deterministic model comparison nor by a non-probabilistic ignorance set.</w:t>
      </w:r>
    </w:p>
    <w:p w14:paraId="0FD83148" w14:textId="77777777" w:rsidR="00246B56" w:rsidRDefault="00000000">
      <w:pPr>
        <w:pStyle w:val="Heading3"/>
      </w:pPr>
      <w:bookmarkStart w:id="8" w:name="position-adopted"/>
      <w:bookmarkEnd w:id="7"/>
      <w:r>
        <w:t>2.4 Position adopted</w:t>
      </w:r>
    </w:p>
    <w:p w14:paraId="73E74E13" w14:textId="77777777" w:rsidR="00246B56" w:rsidRDefault="00000000">
      <w:pPr>
        <w:pStyle w:val="FirstParagraph"/>
      </w:pPr>
      <w:r>
        <w:t xml:space="preserve">This paper adopts a non-probabilistic, project-basis decision-concordance position. Its principal question is: </w:t>
      </w:r>
      <w:r>
        <w:rPr>
          <w:i/>
          <w:iCs/>
        </w:rPr>
        <w:t>under the acceptance rule assigned to each analysis method by the stated project design basis, do the frame and enriched models produce the same pass/fail classification over the declared configurations, simultaneous action combinations, and ignorance sets?</w:t>
      </w:r>
      <w:r>
        <w:t xml:space="preserve"> The paper does not claim that concordance proves equal reliability, and it does not assume that a refined model is automatically entitled to the acceptance threshold of a simplified model.</w:t>
      </w:r>
    </w:p>
    <w:p w14:paraId="420CC70A" w14:textId="77777777" w:rsidR="00246B56" w:rsidRDefault="00000000">
      <w:pPr>
        <w:pStyle w:val="Heading2"/>
      </w:pPr>
      <w:bookmarkStart w:id="9" w:name="X57091837669a45662c86ec23fad2395ac67a9d0"/>
      <w:bookmarkEnd w:id="4"/>
      <w:bookmarkEnd w:id="8"/>
      <w:r>
        <w:t>3. Fixed and scalable loading; the uniform stability multiplier</w:t>
      </w:r>
    </w:p>
    <w:p w14:paraId="7F3CAA17" w14:textId="77777777" w:rsidR="00246B56" w:rsidRDefault="00000000">
      <w:pPr>
        <w:pStyle w:val="FirstParagraph"/>
      </w:pPr>
      <w:r>
        <w:t xml:space="preserve">A reported buckling multiplier is meaningful only when the scaled load has a physical interpretation. The load in configuration </w:t>
      </w:r>
      <m:oMath>
        <m:r>
          <w:rPr>
            <w:rFonts w:ascii="Cambria Math" w:hAnsi="Cambria Math"/>
          </w:rPr>
          <m:t>c</m:t>
        </m:r>
      </m:oMath>
      <w:r>
        <w:t xml:space="preserve"> under combination </w:t>
      </w:r>
      <m:oMath>
        <m:r>
          <m:rPr>
            <m:scr m:val="script"/>
            <m:sty m:val="p"/>
          </m:rPr>
          <w:rPr>
            <w:rFonts w:ascii="Cambria Math" w:hAnsi="Cambria Math"/>
          </w:rPr>
          <m:t>l</m:t>
        </m:r>
      </m:oMath>
      <w:r>
        <w:t xml:space="preserve"> is separated into a fixed part and a scalable part,</w:t>
      </w:r>
    </w:p>
    <w:p w14:paraId="55561DEE" w14:textId="77777777" w:rsidR="00246B56" w:rsidRDefault="00000000">
      <w:pPr>
        <w:pStyle w:val="BodyText"/>
      </w:pPr>
      <m:oMathPara>
        <m:oMathParaPr>
          <m:jc m:val="center"/>
        </m:oMathParaPr>
        <m:oMath>
          <m:r>
            <m:rPr>
              <m:sty m:val="b"/>
            </m:rPr>
            <w:rPr>
              <w:rFonts w:ascii="Cambria Math" w:hAnsi="Cambria Math"/>
            </w:rPr>
            <m:t>f</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c</m:t>
              </m:r>
              <m:r>
                <m:rPr>
                  <m:scr m:val="script"/>
                  <m:sty m:val="p"/>
                </m:rPr>
                <w:rPr>
                  <w:rFonts w:ascii="Cambria Math" w:hAnsi="Cambria Math"/>
                </w:rPr>
                <m:t>,l</m:t>
              </m:r>
            </m:e>
          </m:d>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c</m:t>
              </m:r>
              <m:r>
                <m:rPr>
                  <m:scr m:val="script"/>
                  <m:sty m:val="p"/>
                </m:rPr>
                <w:rPr>
                  <w:rFonts w:ascii="Cambria Math" w:hAnsi="Cambria Math"/>
                </w:rPr>
                <m:t>,l</m:t>
              </m:r>
            </m:e>
          </m:d>
          <m:r>
            <m:rPr>
              <m:sty m:val="p"/>
            </m:rPr>
            <w:rPr>
              <w:rFonts w:ascii="Cambria Math" w:hAnsi="Cambria Math"/>
            </w:rPr>
            <m:t>+</m:t>
          </m:r>
          <m:r>
            <w:rPr>
              <w:rFonts w:ascii="Cambria Math" w:hAnsi="Cambria Math"/>
            </w:rPr>
            <m:t>α </m:t>
          </m:r>
          <m:sSub>
            <m:sSubPr>
              <m:ctrlPr>
                <w:rPr>
                  <w:rFonts w:ascii="Cambria Math" w:hAnsi="Cambria Math"/>
                </w:rPr>
              </m:ctrlPr>
            </m:sSubPr>
            <m:e>
              <m:r>
                <m:rPr>
                  <m:sty m:val="b"/>
                </m:rPr>
                <w:rPr>
                  <w:rFonts w:ascii="Cambria Math" w:hAnsi="Cambria Math"/>
                </w:rPr>
                <m:t>f</m:t>
              </m:r>
            </m:e>
            <m:sub>
              <m:r>
                <w:rPr>
                  <w:rFonts w:ascii="Cambria Math" w:hAnsi="Cambria Math"/>
                </w:rPr>
                <m:t>v</m:t>
              </m:r>
            </m:sub>
          </m:sSub>
          <m:d>
            <m:dPr>
              <m:ctrlPr>
                <w:rPr>
                  <w:rFonts w:ascii="Cambria Math" w:hAnsi="Cambria Math"/>
                </w:rPr>
              </m:ctrlPr>
            </m:dPr>
            <m:e>
              <m:r>
                <w:rPr>
                  <w:rFonts w:ascii="Cambria Math" w:hAnsi="Cambria Math"/>
                </w:rPr>
                <m:t>c</m:t>
              </m:r>
              <m:r>
                <m:rPr>
                  <m:scr m:val="script"/>
                  <m:sty m:val="p"/>
                </m:rPr>
                <w:rPr>
                  <w:rFonts w:ascii="Cambria Math" w:hAnsi="Cambria Math"/>
                </w:rPr>
                <m:t>,l</m:t>
              </m:r>
            </m:e>
          </m:d>
          <m:r>
            <m:rPr>
              <m:sty m:val="p"/>
            </m:rPr>
            <w:rPr>
              <w:rFonts w:ascii="Cambria Math" w:hAnsi="Cambria Math"/>
            </w:rPr>
            <m:t>,</m:t>
          </m:r>
        </m:oMath>
      </m:oMathPara>
    </w:p>
    <w:p w14:paraId="63C70AC0" w14:textId="77777777" w:rsidR="00246B56" w:rsidRDefault="00000000">
      <w:pPr>
        <w:pStyle w:val="FirstParagraph"/>
      </w:pPr>
      <w:r>
        <w:t xml:space="preserve">where </w:t>
      </w:r>
      <m:oMath>
        <m:sSub>
          <m:sSubPr>
            <m:ctrlPr>
              <w:rPr>
                <w:rFonts w:ascii="Cambria Math" w:hAnsi="Cambria Math"/>
              </w:rPr>
            </m:ctrlPr>
          </m:sSubPr>
          <m:e>
            <m:r>
              <m:rPr>
                <m:sty m:val="b"/>
              </m:rPr>
              <w:rPr>
                <w:rFonts w:ascii="Cambria Math" w:hAnsi="Cambria Math"/>
              </w:rPr>
              <m:t>f</m:t>
            </m:r>
          </m:e>
          <m:sub>
            <m:r>
              <w:rPr>
                <w:rFonts w:ascii="Cambria Math" w:hAnsi="Cambria Math"/>
              </w:rPr>
              <m:t>0</m:t>
            </m:r>
          </m:sub>
        </m:sSub>
      </m:oMath>
      <w:r>
        <w:t xml:space="preserve"> contains actions that remain fixed during the investigated operation, including self-weight and permanently present equipment weight, and </w:t>
      </w:r>
      <m:oMath>
        <m:sSub>
          <m:sSubPr>
            <m:ctrlPr>
              <w:rPr>
                <w:rFonts w:ascii="Cambria Math" w:hAnsi="Cambria Math"/>
              </w:rPr>
            </m:ctrlPr>
          </m:sSubPr>
          <m:e>
            <m:r>
              <m:rPr>
                <m:sty m:val="b"/>
              </m:rPr>
              <w:rPr>
                <w:rFonts w:ascii="Cambria Math" w:hAnsi="Cambria Math"/>
              </w:rPr>
              <m:t>f</m:t>
            </m:r>
          </m:e>
          <m:sub>
            <m:r>
              <w:rPr>
                <w:rFonts w:ascii="Cambria Math" w:hAnsi="Cambria Math"/>
              </w:rPr>
              <m:t>v</m:t>
            </m:r>
          </m:sub>
        </m:sSub>
      </m:oMath>
      <w:r>
        <w:t xml:space="preserve"> is the variable action whose stability margin is under study. Scaling the entire applied load — self-weight included — answers an unphysical question, since self-weight is not a scalable action; the multiplier of interest is the one on the specified variable pattern. The fixed–scalable split shall be reported for every critical multiplier, and multipliers obtained under different splits are not directly comparable.</w:t>
      </w:r>
    </w:p>
    <w:p w14:paraId="65F4590A" w14:textId="77777777" w:rsidR="00246B56" w:rsidRDefault="00000000">
      <w:pPr>
        <w:pStyle w:val="BodyText"/>
      </w:pPr>
      <w:r>
        <w:t>For every model the calculated multiplier is defined uniformly as the load-parameter value at the first loss of an admissible stable equilibrium branch,</w:t>
      </w:r>
    </w:p>
    <w:p w14:paraId="6A08C70C"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r>
            <m:rPr>
              <m:sty m:val="p"/>
            </m:rPr>
            <w:rPr>
              <w:rFonts w:ascii="Cambria Math" w:hAnsi="Cambria Math"/>
            </w:rPr>
            <m:t>=inf</m:t>
          </m:r>
          <m:d>
            <m:dPr>
              <m:begChr m:val="{"/>
              <m:endChr m:val="}"/>
              <m:ctrlPr>
                <w:rPr>
                  <w:rFonts w:ascii="Cambria Math" w:hAnsi="Cambria Math"/>
                </w:rPr>
              </m:ctrlPr>
            </m:dPr>
            <m:e>
              <m:r>
                <w:rPr>
                  <w:rFonts w:ascii="Cambria Math" w:hAnsi="Cambria Math"/>
                </w:rPr>
                <m:t>α</m:t>
              </m:r>
              <m:r>
                <m:rPr>
                  <m:sty m:val="p"/>
                </m:rPr>
                <w:rPr>
                  <w:rFonts w:ascii="Cambria Math" w:hAnsi="Cambria Math"/>
                </w:rPr>
                <m:t>&gt;</m:t>
              </m:r>
              <m:r>
                <w:rPr>
                  <w:rFonts w:ascii="Cambria Math" w:hAnsi="Cambria Math"/>
                </w:rPr>
                <m:t>0</m:t>
              </m:r>
              <m:r>
                <m:rPr>
                  <m:sty m:val="p"/>
                </m:rPr>
                <w:rPr>
                  <w:rFonts w:ascii="Cambria Math" w:hAnsi="Cambria Math"/>
                </w:rPr>
                <m:t>:</m:t>
              </m:r>
              <m:r>
                <m:rPr>
                  <m:nor/>
                </m:rPr>
                <m:t>the admissible stable equilibrium branch loses stability</m:t>
              </m:r>
            </m:e>
          </m:d>
          <m:r>
            <m:rPr>
              <m:sty m:val="p"/>
            </m:rPr>
            <w:rPr>
              <w:rFonts w:ascii="Cambria Math" w:hAnsi="Cambria Math"/>
            </w:rPr>
            <m:t>,</m:t>
          </m:r>
        </m:oMath>
      </m:oMathPara>
    </w:p>
    <w:p w14:paraId="6DC8FF35" w14:textId="77777777" w:rsidR="00246B56" w:rsidRDefault="00000000">
      <w:pPr>
        <w:pStyle w:val="FirstParagraph"/>
      </w:pPr>
      <w:r>
        <w:t xml:space="preserve">with loss of stability identified by a limit point, a bifurcation detected from the tangent operator, a prescribed loss-of-positive-stiffness criterion, or another pre-registered criterion appropriate to the model </w:t>
      </w:r>
      <w:r>
        <w:lastRenderedPageBreak/>
        <w:t>(Section 9). For a linear pre-buckling system with fixed dead load, the corresponding perturbation problem retains the fixed contribution in the base state,</w:t>
      </w:r>
    </w:p>
    <w:p w14:paraId="52F38B04" w14:textId="77777777" w:rsidR="00246B56" w:rsidRDefault="00000000">
      <w:pPr>
        <w:pStyle w:val="BodyText"/>
      </w:pPr>
      <m:oMathPara>
        <m:oMathParaPr>
          <m:jc m:val="center"/>
        </m:oMathParaPr>
        <m:oMath>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m:t>
              </m:r>
              <m:sSub>
                <m:sSubPr>
                  <m:ctrlPr>
                    <w:rPr>
                      <w:rFonts w:ascii="Cambria Math" w:hAnsi="Cambria Math"/>
                    </w:rPr>
                  </m:ctrlPr>
                </m:sSubPr>
                <m:e>
                  <m:r>
                    <m:rPr>
                      <m:sty m:val="b"/>
                    </m:rPr>
                    <w:rPr>
                      <w:rFonts w:ascii="Cambria Math" w:hAnsi="Cambria Math"/>
                    </w:rPr>
                    <m:t>K</m:t>
                  </m:r>
                </m:e>
                <m:sub>
                  <m:r>
                    <w:rPr>
                      <w:rFonts w:ascii="Cambria Math" w:hAnsi="Cambria Math"/>
                    </w:rPr>
                    <m:t>G</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v</m:t>
                      </m:r>
                    </m:sub>
                  </m:sSub>
                </m:e>
              </m:d>
            </m:e>
          </m:d>
          <m:sSub>
            <m:sSubPr>
              <m:ctrlPr>
                <w:rPr>
                  <w:rFonts w:ascii="Cambria Math" w:hAnsi="Cambria Math"/>
                </w:rPr>
              </m:ctrlPr>
            </m:sSubPr>
            <m:e>
              <m:r>
                <m:rPr>
                  <m:sty m:val="b"/>
                </m:rPr>
                <w:rPr>
                  <w:rFonts w:ascii="Cambria Math" w:hAnsi="Cambria Math"/>
                </w:rPr>
                <m:t>ϕ</m:t>
              </m:r>
            </m:e>
            <m:sub>
              <m:r>
                <w:rPr>
                  <w:rFonts w:ascii="Cambria Math" w:hAnsi="Cambria Math"/>
                </w:rPr>
                <m:t>i</m:t>
              </m:r>
            </m:sub>
          </m:sSub>
          <m:r>
            <m:rPr>
              <m:sty m:val="p"/>
            </m:rPr>
            <w:rPr>
              <w:rFonts w:ascii="Cambria Math" w:hAnsi="Cambria Math"/>
            </w:rPr>
            <m:t>=</m:t>
          </m:r>
          <m:r>
            <m:rPr>
              <m:sty m:val="b"/>
            </m:rPr>
            <w:rPr>
              <w:rFonts w:ascii="Cambria Math" w:hAnsi="Cambria Math"/>
            </w:rPr>
            <m:t>0</m:t>
          </m:r>
          <m:r>
            <m:rPr>
              <m:sty m:val="p"/>
            </m:rPr>
            <w:rPr>
              <w:rFonts w:ascii="Cambria Math" w:hAnsi="Cambria Math"/>
            </w:rPr>
            <m:t>,</m:t>
          </m:r>
        </m:oMath>
      </m:oMathPara>
    </w:p>
    <w:p w14:paraId="6428EE8B" w14:textId="77777777" w:rsidR="00246B56" w:rsidRDefault="00000000">
      <w:pPr>
        <w:pStyle w:val="FirstParagraph"/>
      </w:pPr>
      <w:r>
        <w:t xml:space="preserve">so that the critical quantity is the multiplier on the specified variable action, not on the entire load state. A conventional linear eigenvalue multiplier may still be reported as an industrial benchmark, but it is a different kind of quantity from a path-based limit and is not mixed directly into the primary adequacy test; the difference between the two is measured separately as a procedure effect (Section 14). This uniform definition makes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xml:space="preserve"> comparable across the fidelity hierarchy — the necessary precondition for any statement that two models “agree.”</w:t>
      </w:r>
    </w:p>
    <w:p w14:paraId="68107A3A" w14:textId="77777777" w:rsidR="00246B56" w:rsidRDefault="00000000">
      <w:pPr>
        <w:pStyle w:val="Heading2"/>
      </w:pPr>
      <w:bookmarkStart w:id="10" w:name="the-model-hierarchy"/>
      <w:bookmarkEnd w:id="9"/>
      <w:r>
        <w:t>4. The model hierarchy</w:t>
      </w:r>
    </w:p>
    <w:p w14:paraId="5B2DE4ED" w14:textId="77777777" w:rsidR="00246B56" w:rsidRDefault="00000000">
      <w:pPr>
        <w:pStyle w:val="FirstParagraph"/>
      </w:pPr>
      <w:r>
        <w:t>The model family is organised as a sequence of increasing fidelity. Geometric nonlinearity is treated as part of the common computational operator rather than as an optional refinement, so the baseline itself possesses a finite path-based limit.</w:t>
      </w:r>
    </w:p>
    <w:p w14:paraId="0AB43A7B" w14:textId="77777777" w:rsidR="00246B56" w:rsidRDefault="00000000">
      <w:pPr>
        <w:pStyle w:val="BodyText"/>
      </w:pPr>
      <w:r>
        <w:t xml:space="preserve">The </w:t>
      </w:r>
      <w:r>
        <w:rPr>
          <w:b/>
          <w:bCs/>
        </w:rPr>
        <w:t>frame model</w:t>
      </w:r>
      <w:r>
        <w:t xml:space="preserve">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represents principal members by beam, truss, rigid-link, and spring elements; cross-sectional deformation is not independently resolved, and supports are prescribed restraints or pre-selected linear springs. This model corresponds most closely to conventional practice. The </w:t>
      </w:r>
      <w:r>
        <w:rPr>
          <w:b/>
          <w:bCs/>
        </w:rPr>
        <w:t>shell model</w:t>
      </w:r>
      <w:r>
        <w:t xml:space="preserve">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resolves the webs, flanges, diaphragms, stiffeners, and box walls that may participate in cross-sectional distortion or local–global interaction, while retaining the support idealisation of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the step </w:t>
      </w: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therefore isolates the effect of shell kinematics as far as practicable. The </w:t>
      </w:r>
      <w:r>
        <w:rPr>
          <w:b/>
          <w:bCs/>
        </w:rPr>
        <w:t>shell–support model</w:t>
      </w:r>
      <w:r>
        <w:t xml:space="preserve"> </w:t>
      </w:r>
      <m:oMath>
        <m:sSub>
          <m:sSubPr>
            <m:ctrlPr>
              <w:rPr>
                <w:rFonts w:ascii="Cambria Math" w:hAnsi="Cambria Math"/>
              </w:rPr>
            </m:ctrlPr>
          </m:sSubPr>
          <m:e>
            <m:r>
              <w:rPr>
                <w:rFonts w:ascii="Cambria Math" w:hAnsi="Cambria Math"/>
              </w:rPr>
              <m:t>M</m:t>
            </m:r>
          </m:e>
          <m:sub>
            <m:r>
              <w:rPr>
                <w:rFonts w:ascii="Cambria Math" w:hAnsi="Cambria Math"/>
              </w:rPr>
              <m:t>C</m:t>
            </m:r>
          </m:sub>
        </m:sSub>
      </m:oMath>
      <w:r>
        <w:t xml:space="preserve"> combines the shell representation with an enriched support law — finite bearing stiffness, unilateral contact, wheel or bogie redistribution, lift-off, gaps, sliding interfaces, support-pad compression, and friction where mechanically justified. The description “contact model” does not imply accuracy; its constitutive parameters and limiting behaviour must be verified and subjected to uncertainty analysis.</w:t>
      </w:r>
    </w:p>
    <w:p w14:paraId="3F34471E" w14:textId="77777777" w:rsidR="00246B56" w:rsidRDefault="00000000">
      <w:pPr>
        <w:pStyle w:val="BodyText"/>
      </w:pPr>
      <w:r>
        <w:t xml:space="preserve">Two nonlinear levels complete the hierarchy. The </w:t>
      </w:r>
      <w:r>
        <w:rPr>
          <w:b/>
          <w:bCs/>
        </w:rPr>
        <w:t>perfect nonlinear model</w:t>
      </w:r>
      <w:r>
        <w:t xml:space="preserve"> </w:t>
      </w:r>
      <m:oMath>
        <m:sSub>
          <m:sSubPr>
            <m:ctrlPr>
              <w:rPr>
                <w:rFonts w:ascii="Cambria Math" w:hAnsi="Cambria Math"/>
              </w:rPr>
            </m:ctrlPr>
          </m:sSubPr>
          <m:e>
            <m:r>
              <w:rPr>
                <w:rFonts w:ascii="Cambria Math" w:hAnsi="Cambria Math"/>
              </w:rPr>
              <m:t>M</m:t>
            </m:r>
          </m:e>
          <m:sub>
            <m:r>
              <w:rPr>
                <w:rFonts w:ascii="Cambria Math" w:hAnsi="Cambria Math"/>
              </w:rPr>
              <m:t>N0</m:t>
            </m:r>
          </m:sub>
        </m:sSub>
      </m:oMath>
      <w:r>
        <w:t xml:space="preserve"> contains the nonlinear mechanisms selected for the intended use — large displacement, nonlinear contact, material yielding, connection nonlinearity, load-path redistribution — but with nominally perfect initial geometry, giving a perfect-geometry limit multiplier </w:t>
      </w:r>
      <m:oMath>
        <m:sSub>
          <m:sSubPr>
            <m:ctrlPr>
              <w:rPr>
                <w:rFonts w:ascii="Cambria Math" w:hAnsi="Cambria Math"/>
              </w:rPr>
            </m:ctrlPr>
          </m:sSubPr>
          <m:e>
            <m:r>
              <w:rPr>
                <w:rFonts w:ascii="Cambria Math" w:hAnsi="Cambria Math"/>
              </w:rPr>
              <m:t>α</m:t>
            </m:r>
          </m:e>
          <m:sub>
            <m:r>
              <w:rPr>
                <w:rFonts w:ascii="Cambria Math" w:hAnsi="Cambria Math"/>
              </w:rPr>
              <m:t>N0</m:t>
            </m:r>
          </m:sub>
        </m:sSub>
      </m:oMath>
      <w:r>
        <w:t xml:space="preserve">. The </w:t>
      </w:r>
      <w:r>
        <w:rPr>
          <w:b/>
          <w:bCs/>
        </w:rPr>
        <w:t>imperfect nonlinear model</w:t>
      </w:r>
      <w:r>
        <w:t xml:space="preserve"> </w:t>
      </w:r>
      <m:oMath>
        <m:sSub>
          <m:sSubPr>
            <m:ctrlPr>
              <w:rPr>
                <w:rFonts w:ascii="Cambria Math" w:hAnsi="Cambria Math"/>
              </w:rPr>
            </m:ctrlPr>
          </m:sSubPr>
          <m:e>
            <m:r>
              <w:rPr>
                <w:rFonts w:ascii="Cambria Math" w:hAnsi="Cambria Math"/>
              </w:rPr>
              <m:t>M</m:t>
            </m:r>
          </m:e>
          <m:sub>
            <m:r>
              <w:rPr>
                <w:rFonts w:ascii="Cambria Math" w:hAnsi="Cambria Math"/>
              </w:rPr>
              <m:t>N</m:t>
            </m:r>
          </m:sub>
        </m:sSub>
        <m:d>
          <m:dPr>
            <m:ctrlPr>
              <w:rPr>
                <w:rFonts w:ascii="Cambria Math" w:hAnsi="Cambria Math"/>
              </w:rPr>
            </m:ctrlPr>
          </m:dPr>
          <m:e>
            <m:r>
              <w:rPr>
                <w:rFonts w:ascii="Cambria Math" w:hAnsi="Cambria Math"/>
              </w:rPr>
              <m:t>a</m:t>
            </m:r>
          </m:e>
        </m:d>
      </m:oMath>
      <w:r>
        <w:t xml:space="preserve"> adds an initial imperfection field of amplitude </w:t>
      </w:r>
      <m:oMath>
        <m:r>
          <w:rPr>
            <w:rFonts w:ascii="Cambria Math" w:hAnsi="Cambria Math"/>
          </w:rPr>
          <m:t>a</m:t>
        </m:r>
      </m:oMath>
      <w:r>
        <w:t xml:space="preserve">, giving </w:t>
      </w:r>
      <m:oMath>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a</m:t>
            </m:r>
          </m:e>
        </m:d>
      </m:oMath>
      <w:r>
        <w:t xml:space="preserve">. The insertion of </w:t>
      </w:r>
      <m:oMath>
        <m:sSub>
          <m:sSubPr>
            <m:ctrlPr>
              <w:rPr>
                <w:rFonts w:ascii="Cambria Math" w:hAnsi="Cambria Math"/>
              </w:rPr>
            </m:ctrlPr>
          </m:sSubPr>
          <m:e>
            <m:r>
              <w:rPr>
                <w:rFonts w:ascii="Cambria Math" w:hAnsi="Cambria Math"/>
              </w:rPr>
              <m:t>M</m:t>
            </m:r>
          </m:e>
          <m:sub>
            <m:r>
              <w:rPr>
                <w:rFonts w:ascii="Cambria Math" w:hAnsi="Cambria Math"/>
              </w:rPr>
              <m:t>N0</m:t>
            </m:r>
          </m:sub>
        </m:sSub>
      </m:oMath>
      <w:r>
        <w:t xml:space="preserve"> is essential: without it, the reduction from an eigenvalue prediction to a nonlinear limit and the reduction due to imperfection are confounded. With it, the two effects separate exactly in logarithmic form,</w:t>
      </w:r>
    </w:p>
    <w:p w14:paraId="539919D9" w14:textId="77777777" w:rsidR="00246B56" w:rsidRDefault="00000000">
      <w:pPr>
        <w:pStyle w:val="BodyText"/>
        <w:jc w:val="center"/>
      </w:pPr>
      <w:r>
        <w:rPr>
          <w:rFonts w:ascii="Cambria Math" w:hAnsi="Cambria Math"/>
        </w:rPr>
        <w:t>ln[α_N(a)/α_eig] = ln(α_N0/α_eig) + ln[α_N(a)/α_N0]</w:t>
      </w:r>
    </w:p>
    <w:p w14:paraId="33816C67" w14:textId="77777777" w:rsidR="00246B56" w:rsidRDefault="00000000">
      <w:pPr>
        <w:pStyle w:val="FirstParagraph"/>
      </w:pPr>
      <w:r>
        <w:t xml:space="preserve">and the imperfection-sensitivity function </w:t>
      </w:r>
      <m:oMath>
        <m:sSub>
          <m:sSubPr>
            <m:ctrlPr>
              <w:rPr>
                <w:rFonts w:ascii="Cambria Math" w:hAnsi="Cambria Math"/>
              </w:rPr>
            </m:ctrlPr>
          </m:sSubPr>
          <m:e>
            <m:r>
              <w:rPr>
                <w:rFonts w:ascii="Cambria Math" w:hAnsi="Cambria Math"/>
              </w:rPr>
              <m:t>S</m:t>
            </m:r>
          </m:e>
          <m:sub>
            <m:r>
              <m:rPr>
                <m:sty m:val="p"/>
              </m:rPr>
              <w:rPr>
                <w:rFonts w:ascii="Cambria Math" w:hAnsi="Cambria Math"/>
              </w:rPr>
              <m:t>imp</m:t>
            </m:r>
          </m:sub>
        </m:sSub>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N0</m:t>
            </m:r>
          </m:sub>
        </m:sSub>
      </m:oMath>
      <w:r>
        <w:t xml:space="preserve"> satisfies </w:t>
      </w:r>
      <m:oMath>
        <m:sSub>
          <m:sSubPr>
            <m:ctrlPr>
              <w:rPr>
                <w:rFonts w:ascii="Cambria Math" w:hAnsi="Cambria Math"/>
              </w:rPr>
            </m:ctrlPr>
          </m:sSubPr>
          <m:e>
            <m:r>
              <w:rPr>
                <w:rFonts w:ascii="Cambria Math" w:hAnsi="Cambria Math"/>
              </w:rPr>
              <m:t>S</m:t>
            </m:r>
          </m:e>
          <m:sub>
            <m:r>
              <m:rPr>
                <m:sty m:val="p"/>
              </m:rPr>
              <w:rPr>
                <w:rFonts w:ascii="Cambria Math" w:hAnsi="Cambria Math"/>
              </w:rPr>
              <m:t>imp</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oMath>
      <w:r>
        <w:t xml:space="preserve">, measuring only the reduction attributable to the introduced imperfection. No common imperfection sensitivity is assumed across equipment classes; each structure and configuration yields its own </w:t>
      </w:r>
      <m:oMath>
        <m:sSub>
          <m:sSubPr>
            <m:ctrlPr>
              <w:rPr>
                <w:rFonts w:ascii="Cambria Math" w:hAnsi="Cambria Math"/>
              </w:rPr>
            </m:ctrlPr>
          </m:sSubPr>
          <m:e>
            <m:r>
              <w:rPr>
                <w:rFonts w:ascii="Cambria Math" w:hAnsi="Cambria Math"/>
              </w:rPr>
              <m:t>S</m:t>
            </m:r>
          </m:e>
          <m:sub>
            <m:r>
              <m:rPr>
                <m:sty m:val="p"/>
              </m:rPr>
              <w:rPr>
                <w:rFonts w:ascii="Cambria Math" w:hAnsi="Cambria Math"/>
              </w:rPr>
              <m:t>imp</m:t>
            </m:r>
          </m:sub>
        </m:sSub>
        <m:d>
          <m:dPr>
            <m:ctrlPr>
              <w:rPr>
                <w:rFonts w:ascii="Cambria Math" w:hAnsi="Cambria Math"/>
              </w:rPr>
            </m:ctrlPr>
          </m:dPr>
          <m:e>
            <m:r>
              <w:rPr>
                <w:rFonts w:ascii="Cambria Math" w:hAnsi="Cambria Math"/>
              </w:rPr>
              <m:t>a</m:t>
            </m:r>
          </m:e>
        </m:d>
      </m:oMath>
      <w:r>
        <w:t>.</w:t>
      </w:r>
    </w:p>
    <w:p w14:paraId="39843B87" w14:textId="77777777" w:rsidR="00246B56" w:rsidRDefault="00000000">
      <w:pPr>
        <w:pStyle w:val="Heading2"/>
      </w:pPr>
      <w:bookmarkStart w:id="11" w:name="X6dfc5853e62b958d3465c310700c1b21ca1feb2"/>
      <w:bookmarkEnd w:id="10"/>
      <w:r>
        <w:t>5. The simultaneous load-combination envelope</w:t>
      </w:r>
    </w:p>
    <w:p w14:paraId="20EC7A4B" w14:textId="77777777" w:rsidR="00246B56" w:rsidRDefault="00000000">
      <w:pPr>
        <w:pStyle w:val="FirstParagraph"/>
      </w:pPr>
      <w:r>
        <w:t xml:space="preserve">Stability governance is a property of concurrent actions, not of one variable pattern in isolation. For configuration </w:t>
      </w:r>
      <m:oMath>
        <m:r>
          <w:rPr>
            <w:rFonts w:ascii="Cambria Math" w:hAnsi="Cambria Math"/>
          </w:rPr>
          <m:t>c</m:t>
        </m:r>
      </m:oMath>
      <w:r>
        <w:t xml:space="preserve">, let </w:t>
      </w:r>
      <m:oMath>
        <m:r>
          <m:rPr>
            <m:scr m:val="script"/>
            <m:sty m:val="p"/>
          </m:rPr>
          <w:rPr>
            <w:rFonts w:ascii="Cambria Math" w:hAnsi="Cambria Math"/>
          </w:rPr>
          <m:t>L</m:t>
        </m:r>
        <m:d>
          <m:dPr>
            <m:ctrlPr>
              <w:rPr>
                <w:rFonts w:ascii="Cambria Math" w:hAnsi="Cambria Math"/>
              </w:rPr>
            </m:ctrlPr>
          </m:dPr>
          <m:e>
            <m:r>
              <w:rPr>
                <w:rFonts w:ascii="Cambria Math" w:hAnsi="Cambria Math"/>
              </w:rPr>
              <m:t>c</m:t>
            </m:r>
          </m:e>
        </m:d>
      </m:oMath>
      <w:r>
        <w:t xml:space="preserve"> be the project-defined set of admissible simultaneous actions, which may </w:t>
      </w:r>
      <w:r>
        <w:lastRenderedPageBreak/>
        <w:t>combine self-weight, transported or suspended payload, payload eccentricity, launching-stage reactions, wind magnitude and direction, braking or acceleration, steering or transverse inertia, construction tolerances, and support settlement or differential wheel level. For a fixed parameter realisation the governing margin and governing combination are</w:t>
      </w:r>
    </w:p>
    <w:p w14:paraId="2B1C5754" w14:textId="77777777" w:rsidR="00246B56" w:rsidRDefault="00000000">
      <w:pPr>
        <w:pStyle w:val="BodyText"/>
        <w:jc w:val="center"/>
      </w:pPr>
      <w:r>
        <w:rPr>
          <w:rFonts w:ascii="Cambria Math" w:hAnsi="Cambria Math"/>
        </w:rPr>
        <w:t>G_M(c, θ) = min_[ℓ ∈ L(c)] g_M(c, ℓ, θ),    ℓ_M* = arg min_[ℓ ∈ L(c)] g_M(c, ℓ, θ).</w:t>
      </w:r>
    </w:p>
    <w:p w14:paraId="794F0150" w14:textId="77777777" w:rsidR="00246B56" w:rsidRDefault="00000000">
      <w:pPr>
        <w:pStyle w:val="FirstParagraph"/>
      </w:pPr>
      <w:r>
        <w:t xml:space="preserve">The frame and enriched models need not share a governing combination, </w:t>
      </w:r>
      <w:r>
        <w:rPr>
          <w:rFonts w:ascii="Cambria Math" w:hAnsi="Cambria Math"/>
        </w:rPr>
        <w:t>ℓ_F* ≠ ℓ_E*</w:t>
      </w:r>
      <w:r>
        <w:t>, because they carry different modes and different sensitivities. The study shall therefore not compare the models only at one model’s governing combination. At minimum it reports the cross-evaluation of each model at both governing combinations,</w:t>
      </w:r>
    </w:p>
    <w:tbl>
      <w:tblPr>
        <w:tblStyle w:val="Table"/>
        <w:tblW w:w="0" w:type="auto"/>
        <w:jc w:val="center"/>
        <w:tblLook w:val="0020" w:firstRow="1" w:lastRow="0" w:firstColumn="0" w:lastColumn="0" w:noHBand="0" w:noVBand="0"/>
      </w:tblPr>
      <w:tblGrid>
        <w:gridCol w:w="1310"/>
        <w:gridCol w:w="1123"/>
        <w:gridCol w:w="1132"/>
      </w:tblGrid>
      <w:tr w:rsidR="00246B56" w14:paraId="201D75B3" w14:textId="77777777" w:rsidTr="00EA6309">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Pr>
          <w:p w14:paraId="66F2450F" w14:textId="77777777" w:rsidR="00246B56" w:rsidRDefault="00000000">
            <w:pPr>
              <w:pStyle w:val="Compact"/>
              <w:keepNext/>
              <w:keepLines/>
              <w:jc w:val="left"/>
            </w:pPr>
            <w:r>
              <w:t>Evaluated at</w:t>
            </w:r>
          </w:p>
        </w:tc>
        <w:tc>
          <w:tcPr>
            <w:tcW w:w="0" w:type="auto"/>
          </w:tcPr>
          <w:p w14:paraId="775038F9" w14:textId="77777777" w:rsidR="00246B56" w:rsidRDefault="00000000">
            <w:pPr>
              <w:pStyle w:val="Compact"/>
              <w:keepNext/>
              <w:keepLines/>
              <w:jc w:val="center"/>
            </w:pPr>
            <w:r>
              <w:rPr>
                <w:rFonts w:ascii="Cambria Math" w:hAnsi="Cambria Math"/>
              </w:rPr>
              <w:t>ℓ_F*</w:t>
            </w:r>
          </w:p>
        </w:tc>
        <w:tc>
          <w:tcPr>
            <w:tcW w:w="0" w:type="auto"/>
          </w:tcPr>
          <w:p w14:paraId="5BA69135" w14:textId="77777777" w:rsidR="00246B56" w:rsidRDefault="00000000">
            <w:pPr>
              <w:pStyle w:val="Compact"/>
              <w:keepNext/>
              <w:keepLines/>
              <w:jc w:val="center"/>
            </w:pPr>
            <w:r>
              <w:rPr>
                <w:rFonts w:ascii="Cambria Math" w:hAnsi="Cambria Math"/>
              </w:rPr>
              <w:t>ℓ_E*</w:t>
            </w:r>
          </w:p>
        </w:tc>
      </w:tr>
      <w:tr w:rsidR="00246B56" w14:paraId="2E9A167C" w14:textId="77777777" w:rsidTr="00EA6309">
        <w:trPr>
          <w:cantSplit/>
          <w:jc w:val="center"/>
        </w:trPr>
        <w:tc>
          <w:tcPr>
            <w:tcW w:w="0" w:type="auto"/>
          </w:tcPr>
          <w:p w14:paraId="25390688" w14:textId="77777777" w:rsidR="00246B56" w:rsidRDefault="00000000">
            <w:pPr>
              <w:pStyle w:val="Compact"/>
              <w:keepNext/>
              <w:keepLines/>
              <w:jc w:val="left"/>
            </w:pPr>
            <w:r>
              <w:rPr>
                <w:rFonts w:ascii="Cambria Math" w:hAnsi="Cambria Math"/>
              </w:rPr>
              <w:t>M_F</w:t>
            </w:r>
          </w:p>
        </w:tc>
        <w:tc>
          <w:tcPr>
            <w:tcW w:w="0" w:type="auto"/>
          </w:tcPr>
          <w:p w14:paraId="17BC5338" w14:textId="77777777" w:rsidR="00246B56" w:rsidRDefault="00000000">
            <w:pPr>
              <w:pStyle w:val="Compact"/>
              <w:keepNext/>
              <w:keepLines/>
              <w:jc w:val="center"/>
            </w:pPr>
            <w:r>
              <w:rPr>
                <w:rFonts w:ascii="Cambria Math" w:hAnsi="Cambria Math"/>
              </w:rPr>
              <w:t>g_F(ℓ_F*)</w:t>
            </w:r>
          </w:p>
        </w:tc>
        <w:tc>
          <w:tcPr>
            <w:tcW w:w="0" w:type="auto"/>
          </w:tcPr>
          <w:p w14:paraId="2ED14D95" w14:textId="77777777" w:rsidR="00246B56" w:rsidRDefault="00000000">
            <w:pPr>
              <w:pStyle w:val="Compact"/>
              <w:keepNext/>
              <w:keepLines/>
              <w:jc w:val="center"/>
            </w:pPr>
            <w:r>
              <w:rPr>
                <w:rFonts w:ascii="Cambria Math" w:hAnsi="Cambria Math"/>
              </w:rPr>
              <w:t>g_F(ℓ_E*)</w:t>
            </w:r>
          </w:p>
        </w:tc>
      </w:tr>
      <w:tr w:rsidR="00246B56" w14:paraId="1AA2D1FD" w14:textId="77777777" w:rsidTr="00EA6309">
        <w:trPr>
          <w:cantSplit/>
          <w:jc w:val="center"/>
        </w:trPr>
        <w:tc>
          <w:tcPr>
            <w:tcW w:w="0" w:type="auto"/>
          </w:tcPr>
          <w:p w14:paraId="685D6637" w14:textId="77777777" w:rsidR="00246B56" w:rsidRDefault="00000000">
            <w:pPr>
              <w:pStyle w:val="Compact"/>
              <w:keepLines/>
              <w:jc w:val="left"/>
            </w:pPr>
            <w:r>
              <w:rPr>
                <w:rFonts w:ascii="Cambria Math" w:hAnsi="Cambria Math"/>
              </w:rPr>
              <w:t>M_E</w:t>
            </w:r>
          </w:p>
        </w:tc>
        <w:tc>
          <w:tcPr>
            <w:tcW w:w="0" w:type="auto"/>
          </w:tcPr>
          <w:p w14:paraId="62273DA5" w14:textId="77777777" w:rsidR="00246B56" w:rsidRDefault="00000000">
            <w:pPr>
              <w:pStyle w:val="Compact"/>
              <w:keepLines/>
              <w:jc w:val="center"/>
            </w:pPr>
            <w:r>
              <w:rPr>
                <w:rFonts w:ascii="Cambria Math" w:hAnsi="Cambria Math"/>
              </w:rPr>
              <w:t>g_E(ℓ_F*)</w:t>
            </w:r>
          </w:p>
        </w:tc>
        <w:tc>
          <w:tcPr>
            <w:tcW w:w="0" w:type="auto"/>
          </w:tcPr>
          <w:p w14:paraId="1674D1D7" w14:textId="77777777" w:rsidR="00246B56" w:rsidRDefault="00000000">
            <w:pPr>
              <w:pStyle w:val="Compact"/>
              <w:keepLines/>
              <w:jc w:val="center"/>
            </w:pPr>
            <w:r>
              <w:rPr>
                <w:rFonts w:ascii="Cambria Math" w:hAnsi="Cambria Math"/>
              </w:rPr>
              <w:t>g_E(ℓ_E*)</w:t>
            </w:r>
          </w:p>
        </w:tc>
      </w:tr>
    </w:tbl>
    <w:p w14:paraId="735EA92E" w14:textId="77777777" w:rsidR="00246B56" w:rsidRDefault="00000000">
      <w:pPr>
        <w:pStyle w:val="BodyText"/>
      </w:pPr>
      <w:r>
        <w:t xml:space="preserve">and performs the final decision assessment over the common admissible set </w:t>
      </w:r>
      <m:oMath>
        <m:r>
          <m:rPr>
            <m:scr m:val="script"/>
            <m:sty m:val="p"/>
          </m:rPr>
          <w:rPr>
            <w:rFonts w:ascii="Cambria Math" w:hAnsi="Cambria Math"/>
          </w:rPr>
          <m:t>L</m:t>
        </m:r>
        <m:d>
          <m:dPr>
            <m:ctrlPr>
              <w:rPr>
                <w:rFonts w:ascii="Cambria Math" w:hAnsi="Cambria Math"/>
              </w:rPr>
            </m:ctrlPr>
          </m:dPr>
          <m:e>
            <m:r>
              <w:rPr>
                <w:rFonts w:ascii="Cambria Math" w:hAnsi="Cambria Math"/>
              </w:rPr>
              <m:t>c</m:t>
            </m:r>
          </m:e>
        </m:d>
      </m:oMath>
      <w:r>
        <w:t xml:space="preserve">. Comparing the two methods at </w:t>
      </w:r>
      <w:r>
        <w:rPr>
          <w:i/>
          <w:iCs/>
        </w:rPr>
        <w:t>different</w:t>
      </w:r>
      <w:r>
        <w:t xml:space="preserve"> governing cases would silently compare different physical problems.</w:t>
      </w:r>
    </w:p>
    <w:p w14:paraId="71234CBD" w14:textId="77777777" w:rsidR="00246B56" w:rsidRDefault="00000000">
      <w:pPr>
        <w:pStyle w:val="Heading2"/>
      </w:pPr>
      <w:bookmarkStart w:id="12" w:name="method-specific-robust-decision-margins"/>
      <w:bookmarkEnd w:id="11"/>
      <w:r>
        <w:t>6. Method-specific robust decision margins</w:t>
      </w:r>
    </w:p>
    <w:p w14:paraId="7243EABD" w14:textId="77777777" w:rsidR="00246B56" w:rsidRDefault="00000000">
      <w:pPr>
        <w:pStyle w:val="FirstParagraph"/>
      </w:pPr>
      <w:r>
        <w:t xml:space="preserve">Collecting the load-combination envelope of Section 5 with the ignorance set of Section 7, the governing margin for method </w:t>
      </w:r>
      <m:oMath>
        <m:r>
          <w:rPr>
            <w:rFonts w:ascii="Cambria Math" w:hAnsi="Cambria Math"/>
          </w:rPr>
          <m:t>M</m:t>
        </m:r>
      </m:oMath>
      <w:r>
        <w:t xml:space="preserve"> under basis </w:t>
      </w:r>
      <m:oMath>
        <m:r>
          <w:rPr>
            <w:rFonts w:ascii="Cambria Math" w:hAnsi="Cambria Math"/>
          </w:rPr>
          <m:t>B</m:t>
        </m:r>
      </m:oMath>
      <w:r>
        <w:t xml:space="preserve"> is</w:t>
      </w:r>
    </w:p>
    <w:p w14:paraId="32914D12"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M</m:t>
              </m:r>
            </m:sub>
            <m:sup>
              <m:r>
                <w:rPr>
                  <w:rFonts w:ascii="Cambria Math" w:hAnsi="Cambria Math"/>
                </w:rPr>
                <m:t>B</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m>
                <m:mPr>
                  <m:plcHide m:val="1"/>
                  <m:mcs>
                    <m:mc>
                      <m:mcPr>
                        <m:count m:val="1"/>
                        <m:mcJc m:val="center"/>
                      </m:mcPr>
                    </m:mc>
                  </m:mcs>
                  <m:ctrlPr>
                    <w:rPr>
                      <w:rFonts w:ascii="Cambria Math" w:hAnsi="Cambria Math"/>
                    </w:rPr>
                  </m:ctrlPr>
                </m:mPr>
                <m:mr>
                  <m:e>
                    <m:r>
                      <w:rPr>
                        <w:rFonts w:ascii="Cambria Math" w:hAnsi="Cambria Math"/>
                      </w:rPr>
                      <m:t>c</m:t>
                    </m:r>
                    <m:r>
                      <m:rPr>
                        <m:scr m:val="script"/>
                        <m:sty m:val="p"/>
                      </m:rPr>
                      <w:rPr>
                        <w:rFonts w:ascii="Cambria Math" w:hAnsi="Cambria Math"/>
                      </w:rPr>
                      <m:t>∈C</m:t>
                    </m:r>
                  </m:e>
                </m:mr>
                <m:mr>
                  <m:e>
                    <m:r>
                      <m:rPr>
                        <m:scr m:val="script"/>
                        <m:sty m:val="p"/>
                      </m:rPr>
                      <w:rPr>
                        <w:rFonts w:ascii="Cambria Math" w:hAnsi="Cambria Math"/>
                      </w:rPr>
                      <m:t>l∈L</m:t>
                    </m:r>
                    <m:d>
                      <m:dPr>
                        <m:ctrlPr>
                          <w:rPr>
                            <w:rFonts w:ascii="Cambria Math" w:hAnsi="Cambria Math"/>
                          </w:rPr>
                        </m:ctrlPr>
                      </m:dPr>
                      <m:e>
                        <m:r>
                          <w:rPr>
                            <w:rFonts w:ascii="Cambria Math" w:hAnsi="Cambria Math"/>
                          </w:rPr>
                          <m:t>c</m:t>
                        </m:r>
                      </m:e>
                    </m:d>
                  </m:e>
                </m:mr>
                <m:mr>
                  <m:e>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e>
                </m:mr>
              </m:m>
            </m:lim>
          </m:limLow>
          <m:sSubSup>
            <m:sSubSupPr>
              <m:ctrlPr>
                <w:rPr>
                  <w:rFonts w:ascii="Cambria Math" w:hAnsi="Cambria Math"/>
                </w:rPr>
              </m:ctrlPr>
            </m:sSubSupPr>
            <m:e>
              <m:r>
                <w:rPr>
                  <w:rFonts w:ascii="Cambria Math" w:hAnsi="Cambria Math"/>
                </w:rPr>
                <m:t>g</m:t>
              </m:r>
            </m:e>
            <m:sub>
              <m:r>
                <w:rPr>
                  <w:rFonts w:ascii="Cambria Math" w:hAnsi="Cambria Math"/>
                </w:rPr>
                <m:t>M</m:t>
              </m:r>
            </m:sub>
            <m:sup>
              <m:r>
                <w:rPr>
                  <w:rFonts w:ascii="Cambria Math" w:hAnsi="Cambria Math"/>
                </w:rPr>
                <m:t>B</m:t>
              </m:r>
            </m:sup>
          </m:sSubSup>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M</m:t>
              </m:r>
            </m:sub>
            <m:sup>
              <m:r>
                <w:rPr>
                  <w:rFonts w:ascii="Cambria Math" w:hAnsi="Cambria Math"/>
                </w:rPr>
                <m:t>B</m:t>
              </m:r>
            </m:sup>
          </m:sSubSup>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num>
            <m:den>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M</m:t>
                  </m:r>
                </m:sub>
                <m:sup>
                  <m:r>
                    <w:rPr>
                      <w:rFonts w:ascii="Cambria Math" w:hAnsi="Cambria Math"/>
                    </w:rPr>
                    <m:t>B</m:t>
                  </m:r>
                </m:sup>
              </m:sSubSup>
              <m:d>
                <m:dPr>
                  <m:ctrlPr>
                    <w:rPr>
                      <w:rFonts w:ascii="Cambria Math" w:hAnsi="Cambria Math"/>
                    </w:rPr>
                  </m:ctrlPr>
                </m:dPr>
                <m:e>
                  <m:r>
                    <w:rPr>
                      <w:rFonts w:ascii="Cambria Math" w:hAnsi="Cambria Math"/>
                    </w:rPr>
                    <m:t>c</m:t>
                  </m:r>
                  <m:r>
                    <m:rPr>
                      <m:scr m:val="script"/>
                      <m:sty m:val="p"/>
                    </m:rPr>
                    <w:rPr>
                      <w:rFonts w:ascii="Cambria Math" w:hAnsi="Cambria Math"/>
                    </w:rPr>
                    <m:t>,l</m:t>
                  </m:r>
                </m:e>
              </m:d>
            </m:den>
          </m:f>
          <m:r>
            <m:rPr>
              <m:sty m:val="p"/>
            </m:rPr>
            <w:rPr>
              <w:rFonts w:ascii="Cambria Math" w:hAnsi="Cambria Math"/>
            </w:rPr>
            <m:t>.</m:t>
          </m:r>
        </m:oMath>
      </m:oMathPara>
    </w:p>
    <w:p w14:paraId="0B46817C" w14:textId="77777777" w:rsidR="00246B56" w:rsidRDefault="00000000">
      <w:pPr>
        <w:pStyle w:val="FirstParagraph"/>
      </w:pPr>
      <w:r>
        <w:t xml:space="preserve">The method predicts a robust pass only if </w:t>
      </w:r>
      <m:oMath>
        <m:sSubSup>
          <m:sSubSupPr>
            <m:ctrlPr>
              <w:rPr>
                <w:rFonts w:ascii="Cambria Math" w:hAnsi="Cambria Math"/>
              </w:rPr>
            </m:ctrlPr>
          </m:sSubSupPr>
          <m:e>
            <m:r>
              <w:rPr>
                <w:rFonts w:ascii="Cambria Math" w:hAnsi="Cambria Math"/>
              </w:rPr>
              <m:t>G</m:t>
            </m:r>
          </m:e>
          <m:sub>
            <m:r>
              <w:rPr>
                <w:rFonts w:ascii="Cambria Math" w:hAnsi="Cambria Math"/>
              </w:rPr>
              <m:t>M</m:t>
            </m:r>
          </m:sub>
          <m:sup>
            <m:r>
              <w:rPr>
                <w:rFonts w:ascii="Cambria Math" w:hAnsi="Cambria Math"/>
              </w:rPr>
              <m:t>B</m:t>
            </m:r>
          </m:sup>
        </m:sSubSup>
        <m:r>
          <m:rPr>
            <m:sty m:val="p"/>
          </m:rPr>
          <w:rPr>
            <w:rFonts w:ascii="Cambria Math" w:hAnsi="Cambria Math"/>
          </w:rPr>
          <m:t>≥</m:t>
        </m:r>
        <m:r>
          <w:rPr>
            <w:rFonts w:ascii="Cambria Math" w:hAnsi="Cambria Math"/>
          </w:rPr>
          <m:t>0</m:t>
        </m:r>
      </m:oMath>
      <w:r>
        <w:t>, and decision concordance requires</w:t>
      </w:r>
    </w:p>
    <w:p w14:paraId="2AE232A3" w14:textId="77777777" w:rsidR="00246B56" w:rsidRDefault="00000000">
      <w:pPr>
        <w:pStyle w:val="BodyText"/>
      </w:pPr>
      <m:oMathPara>
        <m:oMathParaPr>
          <m:jc m:val="center"/>
        </m:oMathParaPr>
        <m:oMath>
          <m:r>
            <m:rPr>
              <m:sty m:val="p"/>
            </m:rPr>
            <w:rPr>
              <w:rFonts w:ascii="Cambria Math" w:hAnsi="Cambria Math"/>
            </w:rPr>
            <m:t>sign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B</m:t>
                  </m:r>
                </m:sup>
              </m:sSubSup>
            </m:e>
          </m:d>
          <m:r>
            <m:rPr>
              <m:sty m:val="p"/>
            </m:rPr>
            <w:rPr>
              <w:rFonts w:ascii="Cambria Math" w:hAnsi="Cambria Math"/>
            </w:rPr>
            <m:t>=sign</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E</m:t>
                  </m:r>
                </m:sub>
                <m:sup>
                  <m:r>
                    <w:rPr>
                      <w:rFonts w:ascii="Cambria Math" w:hAnsi="Cambria Math"/>
                    </w:rPr>
                    <m:t>B</m:t>
                  </m:r>
                </m:sup>
              </m:sSubSup>
            </m:e>
          </m:d>
          <m:r>
            <m:rPr>
              <m:sty m:val="p"/>
            </m:rPr>
            <w:rPr>
              <w:rFonts w:ascii="Cambria Math" w:hAnsi="Cambria Math"/>
            </w:rPr>
            <m:t>,</m:t>
          </m:r>
        </m:oMath>
      </m:oMathPara>
    </w:p>
    <w:p w14:paraId="42BD60B8" w14:textId="77777777" w:rsidR="00246B56" w:rsidRDefault="00000000">
      <w:pPr>
        <w:pStyle w:val="FirstParagraph"/>
      </w:pPr>
      <w:r>
        <w:t xml:space="preserve">provided both governing margins have been bounded with sufficient computational credibility. It is essential to distinguish two divergences that need not point in the same direction. The </w:t>
      </w:r>
      <w:r>
        <w:rPr>
          <w:b/>
          <w:bCs/>
        </w:rPr>
        <w:t>signed capacity divergence</w:t>
      </w:r>
      <w:r>
        <w:t xml:space="preserve"> compares the raw multipliers,</w:t>
      </w:r>
    </w:p>
    <w:p w14:paraId="763453F3"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F</m:t>
              </m:r>
              <m:r>
                <m:rPr>
                  <m:sty m:val="p"/>
                </m:rPr>
                <w:rPr>
                  <w:rFonts w:ascii="Cambria Math" w:hAnsi="Cambria Math"/>
                </w:rPr>
                <m:t>/</m:t>
              </m:r>
              <m:r>
                <w:rPr>
                  <w:rFonts w:ascii="Cambria Math" w:hAnsi="Cambria Math"/>
                </w:rPr>
                <m:t>E</m:t>
              </m:r>
            </m:sub>
          </m:sSub>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F</m:t>
                  </m:r>
                </m:sub>
              </m:sSub>
            </m:num>
            <m:den>
              <m:sSub>
                <m:sSubPr>
                  <m:ctrlPr>
                    <w:rPr>
                      <w:rFonts w:ascii="Cambria Math" w:hAnsi="Cambria Math"/>
                    </w:rPr>
                  </m:ctrlPr>
                </m:sSubPr>
                <m:e>
                  <m:r>
                    <w:rPr>
                      <w:rFonts w:ascii="Cambria Math" w:hAnsi="Cambria Math"/>
                    </w:rPr>
                    <m:t>α</m:t>
                  </m:r>
                </m:e>
                <m:sub>
                  <m:r>
                    <w:rPr>
                      <w:rFonts w:ascii="Cambria Math" w:hAnsi="Cambria Math"/>
                    </w:rPr>
                    <m:t>E</m:t>
                  </m:r>
                </m:sub>
              </m:sSub>
            </m:den>
          </m:f>
          <m:r>
            <m:rPr>
              <m:sty m:val="p"/>
            </m:rPr>
            <w:rPr>
              <w:rFonts w:ascii="Cambria Math" w:hAnsi="Cambria Math"/>
            </w:rPr>
            <m:t>,</m:t>
          </m:r>
        </m:oMath>
      </m:oMathPara>
    </w:p>
    <w:p w14:paraId="50857AB3" w14:textId="77777777" w:rsidR="00246B56" w:rsidRDefault="00000000">
      <w:pPr>
        <w:pStyle w:val="FirstParagraph"/>
      </w:pPr>
      <w:r>
        <w:t xml:space="preserve">whereas the </w:t>
      </w:r>
      <w:r>
        <w:rPr>
          <w:b/>
          <w:bCs/>
        </w:rPr>
        <w:t>decision-margin divergence</w:t>
      </w:r>
      <w:r>
        <w:t xml:space="preserve"> compares the design margins and therefore carries the difference in method requirements,</w:t>
      </w:r>
    </w:p>
    <w:p w14:paraId="2BC114BF"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F</m:t>
              </m:r>
            </m:sub>
            <m:sup>
              <m:r>
                <w:rPr>
                  <w:rFonts w:ascii="Cambria Math" w:hAnsi="Cambria Math"/>
                </w:rPr>
                <m:t>B</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E</m:t>
              </m:r>
            </m:sub>
            <m:sup>
              <m:r>
                <w:rPr>
                  <w:rFonts w:ascii="Cambria Math" w:hAnsi="Cambria Math"/>
                </w:rPr>
                <m:t>B</m:t>
              </m:r>
            </m:sup>
          </m:sSubSup>
          <m:r>
            <m:rPr>
              <m:sty m:val="p"/>
            </m:rPr>
            <w:rPr>
              <w:rFonts w:ascii="Cambria Math" w:hAnsi="Cambria Math"/>
            </w:rPr>
            <m:t>=ln</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F</m:t>
                  </m:r>
                </m:sub>
              </m:sSub>
            </m:num>
            <m:den>
              <m:sSub>
                <m:sSubPr>
                  <m:ctrlPr>
                    <w:rPr>
                      <w:rFonts w:ascii="Cambria Math" w:hAnsi="Cambria Math"/>
                    </w:rPr>
                  </m:ctrlPr>
                </m:sSubPr>
                <m:e>
                  <m:r>
                    <w:rPr>
                      <w:rFonts w:ascii="Cambria Math" w:hAnsi="Cambria Math"/>
                    </w:rPr>
                    <m:t>α</m:t>
                  </m:r>
                </m:e>
                <m:sub>
                  <m:r>
                    <w:rPr>
                      <w:rFonts w:ascii="Cambria Math" w:hAnsi="Cambria Math"/>
                    </w:rPr>
                    <m:t>E</m:t>
                  </m:r>
                </m:sub>
              </m:sSub>
            </m:den>
          </m:f>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F</m:t>
                  </m:r>
                </m:sub>
                <m:sup>
                  <m:r>
                    <w:rPr>
                      <w:rFonts w:ascii="Cambria Math" w:hAnsi="Cambria Math"/>
                    </w:rPr>
                    <m:t>B</m:t>
                  </m:r>
                </m:sup>
              </m:sSubSup>
            </m:num>
            <m:den>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E</m:t>
                  </m:r>
                </m:sub>
                <m:sup>
                  <m:r>
                    <w:rPr>
                      <w:rFonts w:ascii="Cambria Math" w:hAnsi="Cambria Math"/>
                    </w:rPr>
                    <m:t>B</m:t>
                  </m:r>
                </m:sup>
              </m:sSubSup>
            </m:den>
          </m:f>
          <m:r>
            <m:rPr>
              <m:sty m:val="p"/>
            </m:rPr>
            <w:rPr>
              <w:rFonts w:ascii="Cambria Math" w:hAnsi="Cambria Math"/>
            </w:rPr>
            <m:t>.</m:t>
          </m:r>
        </m:oMath>
      </m:oMathPara>
    </w:p>
    <w:p w14:paraId="2945B68F" w14:textId="77777777" w:rsidR="00246B56" w:rsidRDefault="00000000">
      <w:pPr>
        <w:pStyle w:val="FirstParagraph"/>
      </w:pPr>
      <w:r>
        <w:t>When the methods have different acceptance requirements, capacity divergence and design-margin divergence may have opposite signs. The former is a diagnostic of predicted reserve; the latter bears on the decision.</w:t>
      </w:r>
    </w:p>
    <w:p w14:paraId="72795740" w14:textId="77777777" w:rsidR="00246B56" w:rsidRDefault="00000000">
      <w:pPr>
        <w:pStyle w:val="BodyText"/>
      </w:pPr>
      <w:r>
        <w:lastRenderedPageBreak/>
        <w:t xml:space="preserve">The earlier fixed-percentage capacity criterion — flagging </w:t>
      </w:r>
      <w:r>
        <w:rPr>
          <w:rFonts w:ascii="Cambria Math" w:hAnsi="Cambria Math"/>
        </w:rPr>
        <w:t>|ln(α_F/α_E)| &gt; ln(1.15)</w:t>
      </w:r>
      <w:r>
        <w:t xml:space="preserve"> — is removed from the primary adequacy test and retained only as a </w:t>
      </w:r>
      <w:r>
        <w:rPr>
          <w:i/>
        </w:rPr>
        <w:t>secondary capacity-discrepancy flag</w:t>
      </w:r>
      <w:r>
        <w:t>. It answers whether the models predict materially different reserve; it does not answer whether they reach different decisions. Two multipliers differing by a factor well above the flag can produce the identical decision when both lie far above the requirement, and two nearly equal multipliers can produce opposite decisions when they straddle it. These are not pathological cases but the generic behaviour that motivates referencing the decision to α_req rather than to model-to-model proximity.</w:t>
      </w:r>
    </w:p>
    <w:p w14:paraId="29A55BB0" w14:textId="77777777" w:rsidR="00246B56" w:rsidRDefault="00000000">
      <w:pPr>
        <w:pStyle w:val="Heading2"/>
      </w:pPr>
      <w:bookmarkStart w:id="13" w:name="geometry-of-the-ignorance-set"/>
      <w:bookmarkEnd w:id="12"/>
      <w:r>
        <w:t>7. Geometry of the ignorance set</w:t>
      </w:r>
    </w:p>
    <w:p w14:paraId="47BB4135" w14:textId="77777777" w:rsidR="00246B56" w:rsidRDefault="00000000">
      <w:pPr>
        <w:pStyle w:val="Heading3"/>
      </w:pPr>
      <w:bookmarkStart w:id="14" w:name="set-geometry-is-a-modelling-assumption"/>
      <w:r>
        <w:t>7.1 Set geometry is a modelling assumption</w:t>
      </w:r>
    </w:p>
    <w:p w14:paraId="75C17906" w14:textId="77777777" w:rsidR="00246B56" w:rsidRDefault="00000000">
      <w:pPr>
        <w:pStyle w:val="FirstParagraph"/>
      </w:pPr>
      <w:r>
        <w:t xml:space="preserve">The unvalidated quantities — bearing and wheel stiffness, unilateral-contact parameters, friction, gap dimensions, support-pad compliance, material properties, imperfection amplitude and modal weights, connection stiffness, and payload eccentricity — occupy a non-probabilistic domain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G</m:t>
            </m:r>
          </m:sub>
        </m:sSub>
        <m:d>
          <m:dPr>
            <m:ctrlPr>
              <w:rPr>
                <w:rFonts w:ascii="Cambria Math" w:hAnsi="Cambria Math"/>
              </w:rPr>
            </m:ctrlPr>
          </m:dPr>
          <m:e>
            <m:r>
              <w:rPr>
                <w:rFonts w:ascii="Cambria Math" w:hAnsi="Cambria Math"/>
              </w:rPr>
              <m:t>h</m:t>
            </m:r>
          </m:e>
        </m:d>
      </m:oMath>
      <w:r>
        <w:t xml:space="preserve">, a nested family of admissibility sets of size </w:t>
      </w:r>
      <m:oMath>
        <m:r>
          <w:rPr>
            <w:rFonts w:ascii="Cambria Math" w:hAnsi="Cambria Math"/>
          </w:rPr>
          <m:t>h</m:t>
        </m:r>
      </m:oMath>
      <w:r>
        <w:t xml:space="preserve"> (the departure from the nominal description) whose geometry </w:t>
      </w:r>
      <m:oMath>
        <m:r>
          <m:rPr>
            <m:scr m:val="script"/>
            <m:sty m:val="p"/>
          </m:rPr>
          <w:rPr>
            <w:rFonts w:ascii="Cambria Math" w:hAnsi="Cambria Math"/>
          </w:rPr>
          <m:t>G</m:t>
        </m:r>
      </m:oMath>
      <w:r>
        <w:t xml:space="preserve"> is an explicit assumption: an axis-aligned box, a weighted ellipsoid, a polytope defined by physical compatibility constraints, a norm-bounded functional set, or a family carrying explicit dependence constraints [8]. The intent is not to assign probabilities where none are justified, but to determine whether the engineering decision is invariant over a stated plausible set. Because an info-gap model has no probability or likelihood measure, its geometry must be chosen to match the available information rather than treated as neutral.</w:t>
      </w:r>
    </w:p>
    <w:p w14:paraId="1A4CD52A" w14:textId="77777777" w:rsidR="00246B56" w:rsidRDefault="00000000">
      <w:pPr>
        <w:pStyle w:val="Heading3"/>
      </w:pPr>
      <w:bookmarkStart w:id="15" w:name="active-constraints-and-the-flip-boundary"/>
      <w:bookmarkEnd w:id="14"/>
      <w:r>
        <w:t>7.2 Active constraints and the flip boundary</w:t>
      </w:r>
    </w:p>
    <w:p w14:paraId="109A7B03" w14:textId="77777777" w:rsidR="00246B56" w:rsidRDefault="00000000">
      <w:pPr>
        <w:pStyle w:val="FirstParagraph"/>
      </w:pPr>
      <w:r>
        <w:t xml:space="preserve">For model </w:t>
      </w:r>
      <m:oMath>
        <m:r>
          <w:rPr>
            <w:rFonts w:ascii="Cambria Math" w:hAnsi="Cambria Math"/>
          </w:rPr>
          <m:t>M</m:t>
        </m:r>
      </m:oMath>
      <w:r>
        <w:t xml:space="preserve"> the robust governing-margin bounds are the infimum and supremum of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over the set, and the model-level decision has three outcomes. A </w:t>
      </w:r>
      <w:r>
        <w:rPr>
          <w:b/>
          <w:bCs/>
        </w:rPr>
        <w:t>robust pass</w:t>
      </w:r>
      <w:r>
        <w:t xml:space="preserve"> holds when</w:t>
      </w:r>
    </w:p>
    <w:p w14:paraId="116DD1E6" w14:textId="77777777" w:rsidR="00246B56" w:rsidRDefault="00000000">
      <w:pPr>
        <w:pStyle w:val="BodyText"/>
      </w:pPr>
      <m:oMathPara>
        <m:oMathParaPr>
          <m:jc m:val="center"/>
        </m:oMathParaPr>
        <m:oMath>
          <m:sSub>
            <m:sSubPr>
              <m:ctrlPr>
                <w:rPr>
                  <w:rFonts w:ascii="Cambria Math" w:hAnsi="Cambria Math"/>
                </w:rPr>
              </m:ctrlPr>
            </m:sSubPr>
            <m:e>
              <m:bar>
                <m:barPr>
                  <m:ctrlPr>
                    <w:rPr>
                      <w:rFonts w:ascii="Cambria Math" w:hAnsi="Cambria Math"/>
                    </w:rPr>
                  </m:ctrlPr>
                </m:barPr>
                <m:e>
                  <m:r>
                    <w:rPr>
                      <w:rFonts w:ascii="Cambria Math" w:hAnsi="Cambria Math"/>
                    </w:rPr>
                    <m:t>G</m:t>
                  </m:r>
                </m:e>
              </m:bar>
            </m:e>
            <m:sub>
              <m:r>
                <w:rPr>
                  <w:rFonts w:ascii="Cambria Math" w:hAnsi="Cambria Math"/>
                </w:rPr>
                <m:t>M</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h</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m:rPr>
                      <m:scr m:val="script"/>
                      <m:sty m:val="p"/>
                    </m:rPr>
                    <w:rPr>
                      <w:rFonts w:ascii="Cambria Math" w:hAnsi="Cambria Math"/>
                    </w:rPr>
                    <m:t>G</m:t>
                  </m:r>
                </m:sub>
              </m:sSub>
              <m:d>
                <m:dPr>
                  <m:ctrlPr>
                    <w:rPr>
                      <w:rFonts w:ascii="Cambria Math" w:hAnsi="Cambria Math"/>
                    </w:rPr>
                  </m:ctrlPr>
                </m:dPr>
                <m:e>
                  <m:r>
                    <w:rPr>
                      <w:rFonts w:ascii="Cambria Math" w:hAnsi="Cambria Math"/>
                    </w:rPr>
                    <m:t>h</m:t>
                  </m:r>
                </m:e>
              </m:d>
            </m:lim>
          </m:limLow>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θ</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3D1A13AF" w14:textId="77777777" w:rsidR="00246B56" w:rsidRDefault="00000000">
      <w:pPr>
        <w:pStyle w:val="FirstParagraph"/>
      </w:pPr>
      <w:r>
        <w:t xml:space="preserve">so that every admissible realisation satisfies every required combination. A </w:t>
      </w:r>
      <w:r>
        <w:rPr>
          <w:b/>
          <w:bCs/>
        </w:rPr>
        <w:t>robust fail</w:t>
      </w:r>
      <w:r>
        <w:t xml:space="preserve"> holds when the supremum is negative. Otherwise the decision is </w:t>
      </w:r>
      <w:r>
        <w:rPr>
          <w:b/>
          <w:bCs/>
        </w:rPr>
        <w:t>parameter-sensitive</w:t>
      </w:r>
      <w:r>
        <w:t xml:space="preserve">: it depends on quantities not sufficiently established, and the flip boundary </w:t>
      </w:r>
      <m:oMath>
        <m:sSub>
          <m:sSubPr>
            <m:ctrlPr>
              <w:rPr>
                <w:rFonts w:ascii="Cambria Math" w:hAnsi="Cambria Math"/>
              </w:rPr>
            </m:ctrlPr>
          </m:sSubPr>
          <m:e>
            <m:r>
              <w:rPr>
                <w:rFonts w:ascii="Cambria Math" w:hAnsi="Cambria Math"/>
              </w:rPr>
              <m:t>G</m:t>
            </m:r>
          </m:e>
          <m:sub>
            <m:r>
              <w:rPr>
                <w:rFonts w:ascii="Cambria Math" w:hAnsi="Cambria Math"/>
              </w:rPr>
              <m:t>M</m:t>
            </m:r>
          </m:sub>
        </m:sSub>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θ</m:t>
            </m:r>
          </m:e>
        </m:d>
        <m:r>
          <m:rPr>
            <m:sty m:val="p"/>
          </m:rPr>
          <w:rPr>
            <w:rFonts w:ascii="Cambria Math" w:hAnsi="Cambria Math"/>
          </w:rPr>
          <m:t>=</m:t>
        </m:r>
        <m:r>
          <w:rPr>
            <w:rFonts w:ascii="Cambria Math" w:hAnsi="Cambria Math"/>
          </w:rPr>
          <m:t>0</m:t>
        </m:r>
      </m:oMath>
      <w:r>
        <w:t xml:space="preserve"> identifies the values that change it — the bearing stiffness that must be measured, the maximum acceptable gap, the friction range requiring testing, the imperfection amplitude to be surveyed, or the eccentricity to be controlled operationally. The infimum over a nested set is attained on its boundary, and for a box that boundary is the joint worst corner — the simultaneous conjunction of individually-credible extremes. The study shall therefore report the </w:t>
      </w:r>
      <w:r>
        <w:rPr>
          <w:b/>
          <w:bCs/>
        </w:rPr>
        <w:t>active constraint set</w:t>
      </w:r>
      <w:r>
        <w:t xml:space="preserve"> at the least-favourable point,</w:t>
      </w:r>
    </w:p>
    <w:p w14:paraId="2C720415" w14:textId="77777777" w:rsidR="00246B56" w:rsidRDefault="00000000">
      <w:pPr>
        <w:pStyle w:val="BodyText"/>
        <w:jc w:val="center"/>
      </w:pPr>
      <w:r>
        <w:rPr>
          <w:rFonts w:ascii="Cambria Math" w:hAnsi="Cambria Math"/>
        </w:rPr>
        <w:t>A* = { j : θ_j* lies on an active boundary of Θ_G(h) }</w:t>
      </w:r>
    </w:p>
    <w:p w14:paraId="2D135580" w14:textId="77777777" w:rsidR="00246B56" w:rsidRDefault="00000000">
      <w:pPr>
        <w:pStyle w:val="FirstParagraph"/>
      </w:pPr>
      <w:r>
        <w:t xml:space="preserve">which distinguishes a decision controlled by one measurable parameter from one controlled by several coupled parameters or reversed only at an extreme joint corner. The active set </w:t>
      </w:r>
      <w:r>
        <w:rPr>
          <w:i/>
          <w:iCs/>
        </w:rPr>
        <w:t>is</w:t>
      </w:r>
      <w:r>
        <w:t xml:space="preserve"> the instrumentation specification.</w:t>
      </w:r>
    </w:p>
    <w:p w14:paraId="59C3C7FF" w14:textId="77777777" w:rsidR="00246B56" w:rsidRDefault="00000000">
      <w:pPr>
        <w:pStyle w:val="Heading3"/>
      </w:pPr>
      <w:bookmarkStart w:id="16" w:name="Xbe2e80a1b87fb9d272b16b8f7804e07b23e2a15"/>
      <w:bookmarkEnd w:id="15"/>
      <w:r>
        <w:lastRenderedPageBreak/>
        <w:t>7.3 Geometry sensitivity and the robustness horizon</w:t>
      </w:r>
    </w:p>
    <w:p w14:paraId="46DC59D4" w14:textId="77777777" w:rsidR="00246B56" w:rsidRDefault="00000000">
      <w:pPr>
        <w:pStyle w:val="FirstParagraph"/>
      </w:pPr>
      <w:r>
        <w:t xml:space="preserve">Robustness shall be evaluated under more than one defensible geometry — at minimum a box </w:t>
      </w:r>
      <m:oMath>
        <m:sSub>
          <m:sSubPr>
            <m:ctrlPr>
              <w:rPr>
                <w:rFonts w:ascii="Cambria Math" w:hAnsi="Cambria Math"/>
              </w:rPr>
            </m:ctrlPr>
          </m:sSubPr>
          <m:e>
            <m:r>
              <w:rPr>
                <w:rFonts w:ascii="Cambria Math" w:hAnsi="Cambria Math"/>
              </w:rPr>
              <m:t>Θ</m:t>
            </m:r>
          </m:e>
          <m:sub>
            <m:r>
              <m:rPr>
                <m:sty m:val="p"/>
              </m:rPr>
              <w:rPr>
                <w:rFonts w:ascii="Cambria Math" w:hAnsi="Cambria Math"/>
              </w:rPr>
              <m:t>box</m:t>
            </m:r>
          </m:sub>
        </m:sSub>
        <m:d>
          <m:dPr>
            <m:ctrlPr>
              <w:rPr>
                <w:rFonts w:ascii="Cambria Math" w:hAnsi="Cambria Math"/>
              </w:rPr>
            </m:ctrlPr>
          </m:dPr>
          <m:e>
            <m:r>
              <w:rPr>
                <w:rFonts w:ascii="Cambria Math" w:hAnsi="Cambria Math"/>
              </w:rPr>
              <m:t>h</m:t>
            </m:r>
          </m:e>
        </m:d>
      </m:oMath>
      <w:r>
        <w:t xml:space="preserve"> and a physically coupled set </w:t>
      </w:r>
      <m:oMath>
        <m:sSub>
          <m:sSubPr>
            <m:ctrlPr>
              <w:rPr>
                <w:rFonts w:ascii="Cambria Math" w:hAnsi="Cambria Math"/>
              </w:rPr>
            </m:ctrlPr>
          </m:sSubPr>
          <m:e>
            <m:r>
              <w:rPr>
                <w:rFonts w:ascii="Cambria Math" w:hAnsi="Cambria Math"/>
              </w:rPr>
              <m:t>Θ</m:t>
            </m:r>
          </m:e>
          <m:sub>
            <m:r>
              <m:rPr>
                <m:sty m:val="p"/>
              </m:rPr>
              <w:rPr>
                <w:rFonts w:ascii="Cambria Math" w:hAnsi="Cambria Math"/>
              </w:rPr>
              <m:t>coupled</m:t>
            </m:r>
          </m:sub>
        </m:sSub>
        <m:d>
          <m:dPr>
            <m:ctrlPr>
              <w:rPr>
                <w:rFonts w:ascii="Cambria Math" w:hAnsi="Cambria Math"/>
              </w:rPr>
            </m:ctrlPr>
          </m:dPr>
          <m:e>
            <m:r>
              <w:rPr>
                <w:rFonts w:ascii="Cambria Math" w:hAnsi="Cambria Math"/>
              </w:rPr>
              <m:t>h</m:t>
            </m:r>
          </m:e>
        </m:d>
      </m:oMath>
      <w:r>
        <w:t xml:space="preserve"> — not to select whichever gives the preferred result, but to expose how strongly the decision depends on assumptions about joint admissibility. A pass robust under several plausible geometries is stronger than one surviving only after adverse joint combinations are excluded, and a failure occurring only at a single restrictive corner is reported differently from one produced by a broad region of the parameter space. The </w:t>
      </w:r>
      <w:r>
        <w:rPr>
          <w:b/>
          <w:bCs/>
        </w:rPr>
        <w:t>robustness horizon</w:t>
      </w:r>
    </w:p>
    <w:p w14:paraId="0E6EEBD7" w14:textId="77777777" w:rsidR="00246B56" w:rsidRDefault="00000000">
      <w:pPr>
        <w:pStyle w:val="BodyText"/>
        <w:jc w:val="center"/>
      </w:pPr>
      <w:r>
        <w:rPr>
          <w:rFonts w:ascii="Cambria Math" w:hAnsi="Cambria Math"/>
        </w:rPr>
        <w:t>h*_(M,G)(c) = sup { h : G_M^B(c; h) ≥ 0 }</w:t>
      </w:r>
    </w:p>
    <w:p w14:paraId="505A5811" w14:textId="77777777" w:rsidR="00246B56" w:rsidRDefault="00000000">
      <w:pPr>
        <w:pStyle w:val="FirstParagraph"/>
      </w:pPr>
      <w:r>
        <w:t>reports how much ignorance can be tolerated while preserving a pass, and is itself geometry-dependent and reported as such. A small horizon indicates a conclusion strongly dependent on uncertain inputs; a large horizon indicates insensitivity over a broad range.</w:t>
      </w:r>
    </w:p>
    <w:p w14:paraId="2D76912F" w14:textId="77777777" w:rsidR="00246B56" w:rsidRDefault="00000000">
      <w:pPr>
        <w:pStyle w:val="Heading2"/>
      </w:pPr>
      <w:bookmarkStart w:id="17" w:name="Xc1168054ded7a7283e597380b899ba56e91e9ec"/>
      <w:bookmarkEnd w:id="13"/>
      <w:bookmarkEnd w:id="16"/>
      <w:r>
        <w:t>8. Continuous configuration and loading domains</w:t>
      </w:r>
    </w:p>
    <w:p w14:paraId="38AC7D02" w14:textId="77777777" w:rsidR="00246B56" w:rsidRDefault="00000000">
      <w:pPr>
        <w:pStyle w:val="FirstParagraph"/>
      </w:pPr>
      <w:r>
        <w:t xml:space="preserve">The formal domain </w:t>
      </w:r>
      <m:oMath>
        <m:r>
          <m:rPr>
            <m:scr m:val="script"/>
            <m:sty m:val="p"/>
          </m:rPr>
          <w:rPr>
            <w:rFonts w:ascii="Cambria Math" w:hAnsi="Cambria Math"/>
          </w:rPr>
          <m:t>X={</m:t>
        </m:r>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r>
          <m:rPr>
            <m:sty m:val="p"/>
          </m:rPr>
          <w:rPr>
            <w:rFonts w:ascii="Cambria Math" w:hAnsi="Cambria Math"/>
          </w:rPr>
          <m:t>}</m:t>
        </m:r>
      </m:oMath>
      <w:r>
        <w:t xml:space="preserve"> is generally continuous: launching position, eccentricity, wind direction, support stiffness, gap, friction, and imperfection coefficients are not naturally restricted to a finite list. Consequently the minimum of a finite set of sampled calculations is not automatically a certified lower bound on the infimum over </w:t>
      </w:r>
      <m:oMath>
        <m:r>
          <m:rPr>
            <m:scr m:val="script"/>
            <m:sty m:val="p"/>
          </m:rPr>
          <w:rPr>
            <w:rFonts w:ascii="Cambria Math" w:hAnsi="Cambria Math"/>
          </w:rPr>
          <m:t>X</m:t>
        </m:r>
      </m:oMath>
      <w:r>
        <w:t xml:space="preserve">, and no universal statement over all configurations and actions shall be made from an unqualified grid search. In particular, the critical configuration is not assumed to be a named stage: the governing overhang of a launching girder is </w:t>
      </w:r>
      <w:r>
        <w:rPr>
          <w:i/>
          <w:iCs/>
        </w:rPr>
        <w:t>found</w:t>
      </w:r>
      <w:r>
        <w:t xml:space="preserve"> by searching the launching sweep, not asserted to coincide with maximum cantilever.</w:t>
      </w:r>
    </w:p>
    <w:p w14:paraId="4C4493C3" w14:textId="77777777" w:rsidR="00246B56" w:rsidRDefault="00000000">
      <w:pPr>
        <w:pStyle w:val="BodyText"/>
      </w:pPr>
      <w:r>
        <w:t xml:space="preserve">The practical computation uses an adaptive surrogate focused on the decision boundary </w:t>
      </w:r>
      <w:r>
        <w:rPr>
          <w:rFonts w:ascii="Cambria Math" w:hAnsi="Cambria Math"/>
        </w:rPr>
        <w:t>g_M^B(x) = 0</w:t>
      </w:r>
      <w:r>
        <w:t xml:space="preserve">. Let </w:t>
      </w:r>
      <w:r>
        <w:rPr>
          <w:rFonts w:ascii="Cambria Math" w:hAnsi="Cambria Math"/>
        </w:rPr>
        <w:t>ĝ_M(x)</w:t>
      </w:r>
      <w:r>
        <w:t xml:space="preserve"> be a surrogate and </w:t>
      </w:r>
      <w:r>
        <w:rPr>
          <w:rFonts w:ascii="Cambria Math" w:hAnsi="Cambria Math"/>
        </w:rPr>
        <w:t>ε_M(x)</w:t>
      </w:r>
      <w:r>
        <w:t xml:space="preserve"> a defensible error envelope satisfying </w:t>
      </w:r>
      <w:r>
        <w:rPr>
          <w:rFonts w:ascii="Cambria Math" w:hAnsi="Cambria Math"/>
        </w:rPr>
        <w:t>−ε_M(x) ≤ g_M^B(x) − ĝ_M(x) ≤ ε_M(x)</w:t>
      </w:r>
      <w:r>
        <w:t xml:space="preserve"> over the claimed domain. Define the lower and upper envelopes </w:t>
      </w:r>
      <w:r>
        <w:rPr>
          <w:rFonts w:ascii="Cambria Math" w:hAnsi="Cambria Math"/>
        </w:rPr>
        <w:t>g_M^−(x) = ĝ_M(x) − ε_M(x)</w:t>
      </w:r>
      <w:r>
        <w:t xml:space="preserve"> and </w:t>
      </w:r>
      <w:r>
        <w:rPr>
          <w:rFonts w:ascii="Cambria Math" w:hAnsi="Cambria Math"/>
        </w:rPr>
        <w:t>g_M^+(x) = ĝ_M(x) + ε_M(x)</w:t>
      </w:r>
      <w:r>
        <w:t>. A robust pass is certified only if</w:t>
      </w:r>
    </w:p>
    <w:p w14:paraId="7DE5781A" w14:textId="77777777" w:rsidR="00246B56"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inf</m:t>
              </m:r>
            </m:e>
            <m:lim>
              <m:r>
                <w:rPr>
                  <w:rFonts w:ascii="Cambria Math" w:hAnsi="Cambria Math"/>
                </w:rPr>
                <m:t>x</m:t>
              </m:r>
              <m:r>
                <m:rPr>
                  <m:scr m:val="script"/>
                  <m:sty m:val="p"/>
                </m:rPr>
                <w:rPr>
                  <w:rFonts w:ascii="Cambria Math" w:hAnsi="Cambria Math"/>
                </w:rPr>
                <m:t>∈X</m:t>
              </m:r>
            </m:lim>
          </m:limLow>
          <m:sSubSup>
            <m:sSubSupPr>
              <m:ctrlPr>
                <w:rPr>
                  <w:rFonts w:ascii="Cambria Math" w:hAnsi="Cambria Math"/>
                </w:rPr>
              </m:ctrlPr>
            </m:sSubSupPr>
            <m:e>
              <m:r>
                <w:rPr>
                  <w:rFonts w:ascii="Cambria Math" w:hAnsi="Cambria Math"/>
                </w:rPr>
                <m:t>g</m:t>
              </m:r>
            </m:e>
            <m:sub>
              <m:r>
                <w:rPr>
                  <w:rFonts w:ascii="Cambria Math" w:hAnsi="Cambria Math"/>
                </w:rPr>
                <m:t>M</m:t>
              </m:r>
            </m:sub>
            <m:sup>
              <m:r>
                <m:rPr>
                  <m:sty m:val="p"/>
                </m:rPr>
                <w:rPr>
                  <w:rFonts w:ascii="Cambria Math" w:hAnsi="Cambria Math"/>
                </w:rPr>
                <m:t>-</m:t>
              </m:r>
            </m:sup>
          </m:sSub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673D7C99" w14:textId="77777777" w:rsidR="00246B56" w:rsidRDefault="00000000">
      <w:pPr>
        <w:pStyle w:val="FirstParagraph"/>
      </w:pPr>
      <w:r>
        <w:t xml:space="preserve">a robust fail is established if a verified point or region satisfies </w:t>
      </w:r>
      <w:r>
        <w:rPr>
          <w:rFonts w:ascii="Cambria Math" w:hAnsi="Cambria Math"/>
        </w:rPr>
        <w:t>g_M^+(x) &lt; 0</w:t>
      </w:r>
      <w:r>
        <w:t>, and where the envelopes straddle zero, further high-fidelity evaluations are placed adaptively. A surrogate supported only by average cross-validation error does not provide a uniform guarantee; without a defensible envelope the result is described as an adaptive search, not a certified domain-wide bound — and the envelope’s contribution then enters the uncertainty accounting on the same footing as every other source. The frame and enriched models are searched independently, and both minimisers are cross-evaluated in both models, so that the frame-model governing stage is never presumed to govern the enriched model.</w:t>
      </w:r>
    </w:p>
    <w:p w14:paraId="3FE2D79D" w14:textId="77777777" w:rsidR="00246B56" w:rsidRDefault="00000000">
      <w:pPr>
        <w:pStyle w:val="Heading2"/>
      </w:pPr>
      <w:bookmarkStart w:id="18" w:name="Xefcbfc2acdbfa14703c1f626f1d92498bf51420"/>
      <w:bookmarkEnd w:id="17"/>
      <w:r>
        <w:t>9. Operational definition of stability capacity</w:t>
      </w:r>
    </w:p>
    <w:p w14:paraId="7C7666E4" w14:textId="77777777" w:rsidR="00246B56" w:rsidRDefault="00000000">
      <w:pPr>
        <w:pStyle w:val="FirstParagraph"/>
      </w:pPr>
      <w:r>
        <w:t xml:space="preserve">The capacity definition is completed by a pre-declared operational history </w:t>
      </w:r>
      <m:oMath>
        <m:r>
          <m:rPr>
            <m:scr m:val="script"/>
            <m:sty m:val="p"/>
          </m:rPr>
          <w:rPr>
            <w:rFonts w:ascii="Cambria Math" w:hAnsi="Cambria Math"/>
          </w:rPr>
          <m:t>H</m:t>
        </m:r>
      </m:oMath>
      <w:r>
        <w:t xml:space="preserve"> — initial state, load sequence, control mode, support motions, and contact initialisation — together with the set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M</m:t>
            </m:r>
          </m:sub>
        </m:sSub>
        <m:d>
          <m:dPr>
            <m:ctrlPr>
              <w:rPr>
                <w:rFonts w:ascii="Cambria Math" w:hAnsi="Cambria Math"/>
              </w:rPr>
            </m:ctrlPr>
          </m:dPr>
          <m:e>
            <m:r>
              <m:rPr>
                <m:scr m:val="script"/>
                <m:sty m:val="p"/>
              </m:rPr>
              <w:rPr>
                <w:rFonts w:ascii="Cambria Math" w:hAnsi="Cambria Math"/>
              </w:rPr>
              <m:t>H</m:t>
            </m:r>
          </m:e>
        </m:d>
      </m:oMath>
      <w:r>
        <w:t xml:space="preserve"> of equilibrium branches mechanically reachable under that history and the declared perturbation or imperfection class. The reported multiplier is the infimum of the loss multiplier over admissible branches,</w:t>
      </w:r>
    </w:p>
    <w:p w14:paraId="65563642"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b</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M</m:t>
                  </m:r>
                </m:sub>
              </m:sSub>
              <m:d>
                <m:dPr>
                  <m:ctrlPr>
                    <w:rPr>
                      <w:rFonts w:ascii="Cambria Math" w:hAnsi="Cambria Math"/>
                    </w:rPr>
                  </m:ctrlPr>
                </m:dPr>
                <m:e>
                  <m:r>
                    <m:rPr>
                      <m:scr m:val="script"/>
                      <m:sty m:val="p"/>
                    </m:rPr>
                    <w:rPr>
                      <w:rFonts w:ascii="Cambria Math" w:hAnsi="Cambria Math"/>
                    </w:rPr>
                    <m:t>H</m:t>
                  </m:r>
                </m:e>
              </m:d>
            </m:lim>
          </m:limLow>
          <m:sSub>
            <m:sSubPr>
              <m:ctrlPr>
                <w:rPr>
                  <w:rFonts w:ascii="Cambria Math" w:hAnsi="Cambria Math"/>
                </w:rPr>
              </m:ctrlPr>
            </m:sSubPr>
            <m:e>
              <m:r>
                <w:rPr>
                  <w:rFonts w:ascii="Cambria Math" w:hAnsi="Cambria Math"/>
                </w:rPr>
                <m:t>α</m:t>
              </m:r>
            </m:e>
            <m:sub>
              <m:r>
                <m:rPr>
                  <m:sty m:val="p"/>
                </m:rPr>
                <w:rPr>
                  <w:rFonts w:ascii="Cambria Math" w:hAnsi="Cambria Math"/>
                </w:rPr>
                <m:t>loss</m:t>
              </m:r>
            </m:sub>
          </m:sSub>
          <m:d>
            <m:dPr>
              <m:ctrlPr>
                <w:rPr>
                  <w:rFonts w:ascii="Cambria Math" w:hAnsi="Cambria Math"/>
                </w:rPr>
              </m:ctrlPr>
            </m:dPr>
            <m:e>
              <m:r>
                <w:rPr>
                  <w:rFonts w:ascii="Cambria Math" w:hAnsi="Cambria Math"/>
                </w:rPr>
                <m:t>b</m:t>
              </m:r>
            </m:e>
          </m:d>
          <m:r>
            <m:rPr>
              <m:sty m:val="p"/>
            </m:rPr>
            <w:rPr>
              <w:rFonts w:ascii="Cambria Math" w:hAnsi="Cambria Math"/>
            </w:rPr>
            <m:t>,</m:t>
          </m:r>
        </m:oMath>
      </m:oMathPara>
    </w:p>
    <w:p w14:paraId="376C5E84" w14:textId="77777777" w:rsidR="00246B56" w:rsidRDefault="00000000">
      <w:pPr>
        <w:pStyle w:val="FirstParagraph"/>
      </w:pPr>
      <w:r>
        <w:t>subject to a branch-selection protocol stated before analysis, so that a solver-selected continuation path is not mistaken for the operationally relevant one. Contact problems admit several admissible branches — stick versus slip, contact versus lift-off — and continuation can jump between them; admissibility is therefore determined from the operating history and the contact law, not from numerical convergence alone. The continuation monitors contact opening and closure, stick–slip transitions, wheel or bearing lift-off, changes in the active support set, branch switching, limit points, and bifurcation indicators.</w:t>
      </w:r>
    </w:p>
    <w:p w14:paraId="5372ADF1" w14:textId="77777777" w:rsidR="00246B56" w:rsidRDefault="00000000">
      <w:pPr>
        <w:pStyle w:val="BodyText"/>
      </w:pPr>
      <w:r>
        <w:t xml:space="preserve">Bifurcation detection is not optional. At every accepted continuation step a stability indicator is evaluated — the lowest relevant tangent eigenvalue, a determinant or inertia change, or a bordered-system singularity indicator — and when it changes sign or crosses tolerance the event is bracketed and refined in the load parameter, with the event-location tolerance carried into the uncertainty budget for </w:t>
      </w:r>
      <m:oMath>
        <m:sSub>
          <m:sSubPr>
            <m:ctrlPr>
              <w:rPr>
                <w:rFonts w:ascii="Cambria Math" w:hAnsi="Cambria Math"/>
              </w:rPr>
            </m:ctrlPr>
          </m:sSubPr>
          <m:e>
            <m:r>
              <w:rPr>
                <w:rFonts w:ascii="Cambria Math" w:hAnsi="Cambria Math"/>
              </w:rPr>
              <m:t>α</m:t>
            </m:r>
          </m:e>
          <m:sub>
            <m:r>
              <w:rPr>
                <w:rFonts w:ascii="Cambria Math" w:hAnsi="Cambria Math"/>
              </w:rPr>
              <m:t>M</m:t>
            </m:r>
          </m:sub>
        </m:sSub>
      </m:oMath>
      <w:r>
        <w:t>. Without such monitoring a continuation may step through a bifurcation unrecorded and report the wrong limit. For the temporary-works application considered here the default capacity is the first loss of stable pre-buckling equilibrium; stable post-buckling reserve is excluded unless the governing basis explicitly permits its use and provides acceptable deformation, strain, ductility, and damage criteria. This choice is conservative for structures possessing usable post-buckling strength, but it is visible and basis-dependent rather than concealed within the numerical definition.</w:t>
      </w:r>
    </w:p>
    <w:p w14:paraId="030495FC" w14:textId="77777777" w:rsidR="00246B56" w:rsidRDefault="00000000">
      <w:pPr>
        <w:pStyle w:val="Heading2"/>
      </w:pPr>
      <w:bookmarkStart w:id="19" w:name="Xfdd9a8bf03d4e101a7e91d83cf8560e43f20cf7"/>
      <w:bookmarkEnd w:id="18"/>
      <w:r>
        <w:t>10. Signed divergence and safety-direction classification</w:t>
      </w:r>
    </w:p>
    <w:p w14:paraId="61FAA49C" w14:textId="77777777" w:rsidR="00246B56" w:rsidRDefault="00000000">
      <w:pPr>
        <w:pStyle w:val="FirstParagraph"/>
      </w:pPr>
      <w:r>
        <w:t xml:space="preserve">The magnitude of divergence answers “do the models differ”; the </w:t>
      </w:r>
      <w:r>
        <w:rPr>
          <w:i/>
        </w:rPr>
        <w:t>sign</w:t>
      </w:r>
      <w:r>
        <w:t xml:space="preserve"> answers the safety-relevant question of </w:t>
      </w:r>
      <w:r>
        <w:rPr>
          <w:i/>
        </w:rPr>
        <w:t>how</w:t>
      </w:r>
      <w:r>
        <w:t xml:space="preserve">. For a common configuration, combination, and physically corresponding realisation, the signed divergence </w:t>
      </w:r>
      <w:r>
        <w:rPr>
          <w:rFonts w:ascii="Cambria Math" w:hAnsi="Cambria Math"/>
        </w:rPr>
        <w:t>Δ_F/E = g_F − g_E</w:t>
      </w:r>
      <w:r>
        <w:t xml:space="preserve"> is positive when the frame model predicts the larger margin — the frame model is </w:t>
      </w:r>
      <w:r>
        <w:rPr>
          <w:b/>
        </w:rPr>
        <w:t>relatively optimistic</w:t>
      </w:r>
      <w:r>
        <w:t xml:space="preserve"> — and negative when it predicts the smaller margin — </w:t>
      </w:r>
      <w:r>
        <w:rPr>
          <w:b/>
        </w:rPr>
        <w:t>relatively conservative</w:t>
      </w:r>
      <w:r>
        <w:t xml:space="preserve">. These terms describe the direction of disagreement between models; absent validation evidence, “relatively optimistic” does not prove the physical machine unsafe, and “relatively conservative” does not prove the enriched model correct. The unsigned magnitude </w:t>
      </w:r>
      <w:r>
        <w:rPr>
          <w:rFonts w:ascii="Cambria Math" w:hAnsi="Cambria Math"/>
        </w:rPr>
        <w:t>d_F/E = |Δ_F/E|</w:t>
      </w:r>
      <w:r>
        <w:t xml:space="preserve"> remains useful for capacity comparison, sensitivity studies, and feature attribution, but is not the primary decision criterion.</w:t>
      </w:r>
    </w:p>
    <w:p w14:paraId="6789DA20" w14:textId="77777777" w:rsidR="00246B56" w:rsidRDefault="00000000">
      <w:pPr>
        <w:pStyle w:val="BodyText"/>
      </w:pPr>
      <w:r>
        <w:t>The safety-critical information is contained in two conflict sets,</w:t>
      </w:r>
    </w:p>
    <w:p w14:paraId="2E81EC38" w14:textId="77777777" w:rsidR="00246B56" w:rsidRDefault="00000000">
      <w:pPr>
        <w:pStyle w:val="BodyText"/>
      </w:pPr>
      <m:oMathPara>
        <m:oMathParaPr>
          <m:jc m:val="center"/>
        </m:oMathParaPr>
        <m:oMath>
          <m:r>
            <m:rPr>
              <m:scr m:val="script"/>
              <m:sty m:val="p"/>
            </m:rPr>
            <w:rPr>
              <w:rFonts w:ascii="Cambria Math" w:hAnsi="Cambria Math"/>
            </w:rPr>
            <m:t>O=</m:t>
          </m:r>
          <m:d>
            <m:dPr>
              <m:begChr m:val="{"/>
              <m:endChr m:val="}"/>
              <m:ctrlPr>
                <w:rPr>
                  <w:rFonts w:ascii="Cambria Math" w:hAnsi="Cambria Math"/>
                </w:rPr>
              </m:ctrlPr>
            </m:dPr>
            <m:e>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&lt;</m:t>
              </m:r>
              <m:r>
                <w:rPr>
                  <w:rFonts w:ascii="Cambria Math" w:hAnsi="Cambria Math"/>
                </w:rPr>
                <m:t>0</m:t>
              </m:r>
            </m:e>
          </m:d>
          <m:r>
            <m:rPr>
              <m:sty m:val="p"/>
            </m:rPr>
            <w:rPr>
              <w:rFonts w:ascii="Cambria Math" w:hAnsi="Cambria Math"/>
            </w:rPr>
            <m:t>,</m:t>
          </m:r>
          <m:r>
            <w:rPr>
              <w:rFonts w:ascii="Cambria Math" w:hAnsi="Cambria Math"/>
            </w:rPr>
            <m:t>  </m:t>
          </m:r>
          <m:r>
            <m:rPr>
              <m:scr m:val="script"/>
              <m:sty m:val="p"/>
            </m:rPr>
            <w:rPr>
              <w:rFonts w:ascii="Cambria Math" w:hAnsi="Cambria Math"/>
            </w:rPr>
            <m:t>C=</m:t>
          </m:r>
          <m:d>
            <m:dPr>
              <m:begChr m:val="{"/>
              <m:endChr m:val="}"/>
              <m:ctrlPr>
                <w:rPr>
                  <w:rFonts w:ascii="Cambria Math" w:hAnsi="Cambria Math"/>
                </w:rPr>
              </m:ctrlPr>
            </m:dPr>
            <m:e>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E</m:t>
                  </m:r>
                </m:sub>
              </m:sSub>
              <m:r>
                <m:rPr>
                  <m:sty m:val="p"/>
                </m:rPr>
                <w:rPr>
                  <w:rFonts w:ascii="Cambria Math" w:hAnsi="Cambria Math"/>
                </w:rPr>
                <m:t>≥</m:t>
              </m:r>
              <m:r>
                <w:rPr>
                  <w:rFonts w:ascii="Cambria Math" w:hAnsi="Cambria Math"/>
                </w:rPr>
                <m:t>0</m:t>
              </m:r>
            </m:e>
          </m:d>
          <m:r>
            <m:rPr>
              <m:sty m:val="p"/>
            </m:rPr>
            <w:rPr>
              <w:rFonts w:ascii="Cambria Math" w:hAnsi="Cambria Math"/>
            </w:rPr>
            <m:t>.</m:t>
          </m:r>
        </m:oMath>
      </m:oMathPara>
    </w:p>
    <w:p w14:paraId="494FFE14" w14:textId="77777777" w:rsidR="00246B56" w:rsidRDefault="00000000">
      <w:pPr>
        <w:pStyle w:val="FirstParagraph"/>
      </w:pPr>
      <w:r>
        <w:t xml:space="preserve">The set </w:t>
      </w:r>
      <m:oMath>
        <m:r>
          <m:rPr>
            <m:scr m:val="script"/>
            <m:sty m:val="p"/>
          </m:rPr>
          <w:rPr>
            <w:rFonts w:ascii="Cambria Math" w:hAnsi="Cambria Math"/>
          </w:rPr>
          <m:t>O</m:t>
        </m:r>
      </m:oMath>
      <w:r>
        <w:t xml:space="preserve"> collects </w:t>
      </w:r>
      <w:r>
        <w:rPr>
          <w:i/>
          <w:iCs/>
        </w:rPr>
        <w:t>frame-pass / enriched-fail</w:t>
      </w:r>
      <w:r>
        <w:t xml:space="preserve"> conflicts — the economical model accepts a condition the enriched model rejects — and is the safety-critical relative-optimism set; </w:t>
      </w:r>
      <m:oMath>
        <m:r>
          <m:rPr>
            <m:scr m:val="script"/>
            <m:sty m:val="p"/>
          </m:rPr>
          <w:rPr>
            <w:rFonts w:ascii="Cambria Math" w:hAnsi="Cambria Math"/>
          </w:rPr>
          <m:t>C</m:t>
        </m:r>
      </m:oMath>
      <w:r>
        <w:t xml:space="preserve"> collects the converse relative-conservatism cases. The primary safety output is therefore a configuration map,</w:t>
      </w:r>
    </w:p>
    <w:p w14:paraId="1CD32806" w14:textId="77777777" w:rsidR="00246B56" w:rsidRDefault="00000000">
      <w:pPr>
        <w:pStyle w:val="BodyText"/>
      </w:pPr>
      <m:oMathPara>
        <m:oMathParaPr>
          <m:jc m:val="center"/>
        </m:oMathParaPr>
        <m:oMath>
          <m:r>
            <w:rPr>
              <w:rFonts w:ascii="Cambria Math" w:hAnsi="Cambria Math"/>
            </w:rPr>
            <m:t>c</m:t>
          </m:r>
          <m:r>
            <m:rPr>
              <m:sty m:val="p"/>
            </m:rPr>
            <w:rPr>
              <w:rFonts w:ascii="Cambria Math" w:hAnsi="Cambria Math"/>
            </w:rPr>
            <m:t>↦{</m:t>
          </m:r>
          <m:r>
            <m:rPr>
              <m:nor/>
            </m:rPr>
            <m:t>agreement</m:t>
          </m:r>
          <m:r>
            <m:rPr>
              <m:sty m:val="p"/>
            </m:rPr>
            <w:rPr>
              <w:rFonts w:ascii="Cambria Math" w:hAnsi="Cambria Math"/>
            </w:rPr>
            <m:t>,</m:t>
          </m:r>
          <m:r>
            <w:rPr>
              <w:rFonts w:ascii="Cambria Math" w:hAnsi="Cambria Math"/>
            </w:rPr>
            <m:t> </m:t>
          </m:r>
          <m:r>
            <m:rPr>
              <m:nor/>
            </m:rPr>
            <m:t>relative optimism</m:t>
          </m:r>
          <m:r>
            <m:rPr>
              <m:sty m:val="p"/>
            </m:rPr>
            <w:rPr>
              <w:rFonts w:ascii="Cambria Math" w:hAnsi="Cambria Math"/>
            </w:rPr>
            <m:t>,</m:t>
          </m:r>
          <m:r>
            <w:rPr>
              <w:rFonts w:ascii="Cambria Math" w:hAnsi="Cambria Math"/>
            </w:rPr>
            <m:t> </m:t>
          </m:r>
          <m:r>
            <m:rPr>
              <m:nor/>
            </m:rPr>
            <m:t>relative conservatism</m:t>
          </m:r>
          <m:r>
            <m:rPr>
              <m:sty m:val="p"/>
            </m:rPr>
            <w:rPr>
              <w:rFonts w:ascii="Cambria Math" w:hAnsi="Cambria Math"/>
            </w:rPr>
            <m:t>,</m:t>
          </m:r>
          <m:r>
            <w:rPr>
              <w:rFonts w:ascii="Cambria Math" w:hAnsi="Cambria Math"/>
            </w:rPr>
            <m:t> </m:t>
          </m:r>
          <m:r>
            <m:rPr>
              <m:nor/>
            </m:rPr>
            <m:t>indeterminate</m:t>
          </m:r>
          <m:r>
            <m:rPr>
              <m:sty m:val="p"/>
            </m:rPr>
            <w:rPr>
              <w:rFonts w:ascii="Cambria Math" w:hAnsi="Cambria Math"/>
            </w:rPr>
            <m:t>},</m:t>
          </m:r>
        </m:oMath>
      </m:oMathPara>
    </w:p>
    <w:p w14:paraId="6BB33117" w14:textId="77777777" w:rsidR="00246B56" w:rsidRDefault="00000000">
      <w:pPr>
        <w:pStyle w:val="FirstParagraph"/>
      </w:pPr>
      <w:r>
        <w:t xml:space="preserve">not a single scalar verdict. Because shell action, contact take-up, lift-off, membrane stiffening, and distortional softening act in opposing directions, the sign of </w:t>
      </w:r>
      <m:oMath>
        <m:sSub>
          <m:sSubPr>
            <m:ctrlPr>
              <w:rPr>
                <w:rFonts w:ascii="Cambria Math" w:hAnsi="Cambria Math"/>
              </w:rPr>
            </m:ctrlPr>
          </m:sSubPr>
          <m:e>
            <m:r>
              <w:rPr>
                <w:rFonts w:ascii="Cambria Math" w:hAnsi="Cambria Math"/>
              </w:rPr>
              <m:t>Δ</m:t>
            </m:r>
          </m:e>
          <m:sub>
            <m:r>
              <w:rPr>
                <w:rFonts w:ascii="Cambria Math" w:hAnsi="Cambria Math"/>
              </w:rPr>
              <m:t>F</m:t>
            </m:r>
            <m:r>
              <m:rPr>
                <m:sty m:val="p"/>
              </m:rPr>
              <w:rPr>
                <w:rFonts w:ascii="Cambria Math" w:hAnsi="Cambria Math"/>
              </w:rPr>
              <m:t>/</m:t>
            </m:r>
            <m:r>
              <w:rPr>
                <w:rFonts w:ascii="Cambria Math" w:hAnsi="Cambria Math"/>
              </w:rPr>
              <m:t>E</m:t>
            </m:r>
          </m:sub>
        </m:sSub>
      </m:oMath>
      <w:r>
        <w:t xml:space="preserve"> is not assumed constant across operating stages; a model may be conservative at one overhang and optimistic at another, and only a map can represent that.</w:t>
      </w:r>
    </w:p>
    <w:p w14:paraId="46543742" w14:textId="77777777" w:rsidR="00246B56" w:rsidRDefault="00000000">
      <w:pPr>
        <w:pStyle w:val="Heading2"/>
      </w:pPr>
      <w:bookmarkStart w:id="20" w:name="modal-clustering-and-compound-buckling"/>
      <w:bookmarkEnd w:id="19"/>
      <w:r>
        <w:lastRenderedPageBreak/>
        <w:t>11. Modal clustering and compound buckling</w:t>
      </w:r>
    </w:p>
    <w:p w14:paraId="27D8ADA7" w14:textId="77777777" w:rsidR="00246B56" w:rsidRDefault="00000000">
      <w:pPr>
        <w:pStyle w:val="FirstParagraph"/>
      </w:pPr>
      <w:r>
        <w:t xml:space="preserve">Single-mode comparison is admissible only when the governing multiplier is sufficiently separated from the remainder of the spectrum. Let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oMath>
      <w:r>
        <w:t xml:space="preserve"> be the relevant tangent-bifurcation multipliers at a specified equilibrium state, and define the candidate interacting cluster</w:t>
      </w:r>
    </w:p>
    <w:p w14:paraId="3E8AAEDE" w14:textId="77777777" w:rsidR="00246B56" w:rsidRDefault="00000000">
      <w:pPr>
        <w:pStyle w:val="BodyText"/>
      </w:pPr>
      <m:oMathPara>
        <m:oMathParaPr>
          <m:jc m:val="center"/>
        </m:oMathParaPr>
        <m:oMath>
          <m:r>
            <m:rPr>
              <m:scr m:val="script"/>
              <m:sty m:val="p"/>
            </m:rPr>
            <w:rPr>
              <w:rFonts w:ascii="Cambria Math" w:hAnsi="Cambria Math"/>
            </w:rPr>
            <m:t>I=</m:t>
          </m:r>
          <m:d>
            <m:dPr>
              <m:begChr m:val="{"/>
              <m:endChr m:val="}"/>
              <m:ctrlPr>
                <w:rPr>
                  <w:rFonts w:ascii="Cambria Math" w:hAnsi="Cambria Math"/>
                </w:rPr>
              </m:ctrlPr>
            </m:dPr>
            <m:e>
              <m:r>
                <w:rPr>
                  <w:rFonts w:ascii="Cambria Math" w:hAnsi="Cambria Math"/>
                </w:rPr>
                <m:t>j</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j</m:t>
                      </m:r>
                    </m:sub>
                  </m:sSub>
                </m:num>
                <m:den>
                  <m:sSub>
                    <m:sSubPr>
                      <m:ctrlPr>
                        <w:rPr>
                          <w:rFonts w:ascii="Cambria Math" w:hAnsi="Cambria Math"/>
                        </w:rPr>
                      </m:ctrlPr>
                    </m:sSubPr>
                    <m:e>
                      <m:r>
                        <w:rPr>
                          <w:rFonts w:ascii="Cambria Math" w:hAnsi="Cambria Math"/>
                        </w:rPr>
                        <m:t>α</m:t>
                      </m:r>
                    </m:e>
                    <m:sub>
                      <m:r>
                        <w:rPr>
                          <w:rFonts w:ascii="Cambria Math" w:hAnsi="Cambria Math"/>
                        </w:rPr>
                        <m:t>1</m:t>
                      </m:r>
                    </m:sub>
                  </m:sSub>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cl</m:t>
                  </m:r>
                </m:sub>
              </m:sSub>
            </m:e>
          </m:d>
          <m:r>
            <m:rPr>
              <m:sty m:val="p"/>
            </m:rPr>
            <w:rPr>
              <w:rFonts w:ascii="Cambria Math" w:hAnsi="Cambria Math"/>
            </w:rPr>
            <m:t>,</m:t>
          </m:r>
        </m:oMath>
      </m:oMathPara>
    </w:p>
    <w:p w14:paraId="69635443" w14:textId="77777777" w:rsidR="00246B56" w:rsidRDefault="00000000">
      <w:pPr>
        <w:pStyle w:val="FirstParagraph"/>
      </w:pPr>
      <w:r>
        <w:t xml:space="preserve">with a conservative pre-registration such as </w:t>
      </w:r>
      <w:r>
        <w:rPr>
          <w:rFonts w:ascii="Cambria Math" w:hAnsi="Cambria Math"/>
        </w:rPr>
        <w:t>τ_cl = 0.10</w:t>
      </w:r>
      <w:r>
        <w:t xml:space="preserve">, or the requirement that interaction analysis be triggered whenever the uncertainty intervals of two multipliers overlap; sensitivity to alternative triggers (for example 5% and 15%) is reported. When </w:t>
      </w:r>
      <w:r>
        <w:rPr>
          <w:rFonts w:ascii="Cambria Math" w:hAnsi="Cambria Math"/>
        </w:rPr>
        <w:t>card(I) &gt; 1</w:t>
      </w:r>
      <w:r>
        <w:t xml:space="preserve"> the analysis switches automatically from individual-mode to clustered-subspace treatment. This is not an edge case: the deepest knockdowns and the strongest imperfection sensitivity occur under modal interaction, where two buckling modes at nearby multipliers couple in the post-buckling range [1,2,4], and a slender launching cantilever is a natural host, with global lateral–torsional and local nose-panel modes able to land close and to fail below either alone.</w:t>
      </w:r>
    </w:p>
    <w:p w14:paraId="22A47179" w14:textId="77777777" w:rsidR="00246B56" w:rsidRDefault="00000000">
      <w:pPr>
        <w:pStyle w:val="BodyText"/>
      </w:pPr>
      <w:r>
        <w:t xml:space="preserve">Let </w:t>
      </w:r>
      <m:oMath>
        <m:sSub>
          <m:sSubPr>
            <m:ctrlPr>
              <w:rPr>
                <w:rFonts w:ascii="Cambria Math" w:hAnsi="Cambria Math"/>
              </w:rPr>
            </m:ctrlPr>
          </m:sSubPr>
          <m:e>
            <m:r>
              <m:rPr>
                <m:sty m:val="b"/>
              </m:rPr>
              <w:rPr>
                <w:rFonts w:ascii="Cambria Math" w:hAnsi="Cambria Math"/>
              </w:rPr>
              <m:t>Φ</m:t>
            </m:r>
          </m:e>
          <m:sub>
            <m:r>
              <w:rPr>
                <w:rFonts w:ascii="Cambria Math" w:hAnsi="Cambria Math"/>
              </w:rPr>
              <m:t>F</m:t>
            </m:r>
          </m:sub>
        </m:sSub>
      </m:oMath>
      <w:r>
        <w:t xml:space="preserve"> and </w:t>
      </w:r>
      <m:oMath>
        <m:sSub>
          <m:sSubPr>
            <m:ctrlPr>
              <w:rPr>
                <w:rFonts w:ascii="Cambria Math" w:hAnsi="Cambria Math"/>
              </w:rPr>
            </m:ctrlPr>
          </m:sSubPr>
          <m:e>
            <m:r>
              <m:rPr>
                <m:sty m:val="b"/>
              </m:rPr>
              <w:rPr>
                <w:rFonts w:ascii="Cambria Math" w:hAnsi="Cambria Math"/>
              </w:rPr>
              <m:t>Φ</m:t>
            </m:r>
          </m:e>
          <m:sub>
            <m:r>
              <w:rPr>
                <w:rFonts w:ascii="Cambria Math" w:hAnsi="Cambria Math"/>
              </w:rPr>
              <m:t>E</m:t>
            </m:r>
          </m:sub>
        </m:sSub>
      </m:oMath>
      <w:r>
        <w:t xml:space="preserve"> span the clustered modal subspaces after mapping to compatible coordinates. Their similarity is measured through principal angles rather than through any single eigenvector pairing: the minimum squared canonical correlation</w:t>
      </w:r>
    </w:p>
    <w:p w14:paraId="19A1EE59"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w:rPr>
                  <w:rFonts w:ascii="Cambria Math" w:hAnsi="Cambria Math"/>
                </w:rPr>
                <m:t>2</m:t>
              </m:r>
            </m:sup>
          </m:sSubSup>
          <m:r>
            <w:rPr>
              <w:rFonts w:ascii="Cambria Math" w:hAnsi="Cambria Math"/>
            </w:rPr>
            <m:t>​</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Q</m:t>
                  </m:r>
                </m:e>
                <m:sub>
                  <m:r>
                    <w:rPr>
                      <w:rFonts w:ascii="Cambria Math" w:hAnsi="Cambria Math"/>
                    </w:rPr>
                    <m:t>F</m:t>
                  </m:r>
                </m:sub>
                <m:sup>
                  <m:r>
                    <m:rPr>
                      <m:scr m:val="sans-serif"/>
                      <m:sty m:val="p"/>
                    </m:rPr>
                    <w:rPr>
                      <w:rFonts w:ascii="Cambria Math" w:hAnsi="Cambria Math"/>
                    </w:rPr>
                    <m:t>T</m:t>
                  </m:r>
                </m:sup>
              </m:sSubSup>
              <m:r>
                <m:rPr>
                  <m:sty m:val="b"/>
                </m:rPr>
                <w:rPr>
                  <w:rFonts w:ascii="Cambria Math" w:hAnsi="Cambria Math"/>
                </w:rPr>
                <m:t>W</m:t>
              </m:r>
              <m:r>
                <w:rPr>
                  <w:rFonts w:ascii="Cambria Math" w:hAnsi="Cambria Math"/>
                </w:rPr>
                <m:t> </m:t>
              </m:r>
              <m:sSub>
                <m:sSubPr>
                  <m:ctrlPr>
                    <w:rPr>
                      <w:rFonts w:ascii="Cambria Math" w:hAnsi="Cambria Math"/>
                    </w:rPr>
                  </m:ctrlPr>
                </m:sSubPr>
                <m:e>
                  <m:r>
                    <m:rPr>
                      <m:sty m:val="b"/>
                    </m:rPr>
                    <w:rPr>
                      <w:rFonts w:ascii="Cambria Math" w:hAnsi="Cambria Math"/>
                    </w:rPr>
                    <m:t>Q</m:t>
                  </m:r>
                </m:e>
                <m:sub>
                  <m:r>
                    <w:rPr>
                      <w:rFonts w:ascii="Cambria Math" w:hAnsi="Cambria Math"/>
                    </w:rPr>
                    <m:t>E</m:t>
                  </m:r>
                </m:sub>
              </m:sSub>
            </m:e>
          </m:d>
          <m:r>
            <m:rPr>
              <m:sty m:val="p"/>
            </m:rPr>
            <w:rPr>
              <w:rFonts w:ascii="Cambria Math" w:hAnsi="Cambria Math"/>
            </w:rPr>
            <m:t>,</m:t>
          </m:r>
        </m:oMath>
      </m:oMathPara>
    </w:p>
    <w:p w14:paraId="7441996E" w14:textId="77777777" w:rsidR="00246B56" w:rsidRDefault="00000000">
      <w:pPr>
        <w:pStyle w:val="FirstParagraph"/>
      </w:pPr>
      <w:r>
        <w:t xml:space="preserve">with </w:t>
      </w:r>
      <m:oMath>
        <m:sSub>
          <m:sSubPr>
            <m:ctrlPr>
              <w:rPr>
                <w:rFonts w:ascii="Cambria Math" w:hAnsi="Cambria Math"/>
              </w:rPr>
            </m:ctrlPr>
          </m:sSubPr>
          <m:e>
            <m:r>
              <m:rPr>
                <m:sty m:val="b"/>
              </m:rP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Q</m:t>
            </m:r>
          </m:e>
          <m:sub>
            <m:r>
              <w:rPr>
                <w:rFonts w:ascii="Cambria Math" w:hAnsi="Cambria Math"/>
              </w:rPr>
              <m:t>E</m:t>
            </m:r>
          </m:sub>
        </m:sSub>
      </m:oMath>
      <w:r>
        <w:t xml:space="preserve"> appropriately orthonormalised modal bases, reports the least-correlated direction within the compared subspaces; a high correlation of one selected vector is not sufficient when another direction differs materially. Distortional content is likewise assessed over the subspace, not a single mode. With </w:t>
      </w:r>
      <m:oMath>
        <m:sSub>
          <m:sSubPr>
            <m:ctrlPr>
              <w:rPr>
                <w:rFonts w:ascii="Cambria Math" w:hAnsi="Cambria Math"/>
              </w:rPr>
            </m:ctrlPr>
          </m:sSubPr>
          <m:e>
            <m:r>
              <m:rPr>
                <m:sty m:val="b"/>
              </m:rPr>
              <w:rPr>
                <w:rFonts w:ascii="Cambria Math" w:hAnsi="Cambria Math"/>
              </w:rPr>
              <m:t>P</m:t>
            </m:r>
          </m:e>
          <m:sub>
            <m:r>
              <w:rPr>
                <w:rFonts w:ascii="Cambria Math" w:hAnsi="Cambria Math"/>
              </w:rPr>
              <m:t>K</m:t>
            </m:r>
          </m:sub>
        </m:sSub>
      </m:oMath>
      <w:r>
        <w:t xml:space="preserve"> the stiffness-orthogonal projector onto the frame-resolvable shell subspace — a genuine </w:t>
      </w:r>
      <m:oMath>
        <m:r>
          <m:rPr>
            <m:sty m:val="b"/>
          </m:rPr>
          <w:rPr>
            <w:rFonts w:ascii="Cambria Math" w:hAnsi="Cambria Math"/>
          </w:rPr>
          <m:t>K</m:t>
        </m:r>
      </m:oMath>
      <w:r>
        <w:t xml:space="preserve">-orthogonal projector, so that skeleton and distortional energies decompose additively — and </w:t>
      </w:r>
      <m:oMath>
        <m:sSub>
          <m:sSubPr>
            <m:ctrlPr>
              <w:rPr>
                <w:rFonts w:ascii="Cambria Math" w:hAnsi="Cambria Math"/>
              </w:rPr>
            </m:ctrlPr>
          </m:sSubPr>
          <m:e>
            <m:r>
              <m:rPr>
                <m:sty m:val="b"/>
              </m:rPr>
              <w:rPr>
                <w:rFonts w:ascii="Cambria Math" w:hAnsi="Cambria Math"/>
              </w:rPr>
              <m:t>Q</m:t>
            </m:r>
          </m:e>
          <m:sub>
            <m:r>
              <w:rPr>
                <w:rFonts w:ascii="Cambria Math" w:hAnsi="Cambria Math"/>
              </w:rPr>
              <m:t>D</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b"/>
                  </m:rP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e>
            </m:d>
          </m:e>
          <m:sup>
            <m:r>
              <m:rPr>
                <m:scr m:val="sans-serif"/>
                <m:sty m:val="p"/>
              </m:rPr>
              <w:rPr>
                <w:rFonts w:ascii="Cambria Math" w:hAnsi="Cambria Math"/>
              </w:rPr>
              <m:t>T</m:t>
            </m:r>
          </m:sup>
        </m:sSup>
        <m:r>
          <m:rPr>
            <m:sty m:val="b"/>
          </m:rPr>
          <w:rPr>
            <w:rFonts w:ascii="Cambria Math" w:hAnsi="Cambria Math"/>
          </w:rPr>
          <m:t>K</m:t>
        </m:r>
        <m:d>
          <m:dPr>
            <m:ctrlPr>
              <w:rPr>
                <w:rFonts w:ascii="Cambria Math" w:hAnsi="Cambria Math"/>
              </w:rPr>
            </m:ctrlPr>
          </m:dPr>
          <m:e>
            <m:r>
              <m:rPr>
                <m:sty m:val="b"/>
              </m:rPr>
              <w:rPr>
                <w:rFonts w:ascii="Cambria Math" w:hAnsi="Cambria Math"/>
              </w:rPr>
              <m:t>I</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K</m:t>
                </m:r>
              </m:sub>
            </m:sSub>
          </m:e>
        </m:d>
      </m:oMath>
      <w:r>
        <w:t>, the maximum unresolved distortional fraction within the interacting subspace is</w:t>
      </w:r>
    </w:p>
    <w:p w14:paraId="13A80DA5"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m:rPr>
                      <m:sty m:val="b"/>
                    </m:rPr>
                    <w:rPr>
                      <w:rFonts w:ascii="Cambria Math" w:hAnsi="Cambria Math"/>
                    </w:rPr>
                    <m:t>Φ</m:t>
                  </m:r>
                </m:e>
                <m:sub>
                  <m:r>
                    <w:rPr>
                      <w:rFonts w:ascii="Cambria Math" w:hAnsi="Cambria Math"/>
                    </w:rPr>
                    <m:t>E</m:t>
                  </m:r>
                </m:sub>
                <m:sup>
                  <m:r>
                    <m:rPr>
                      <m:scr m:val="sans-serif"/>
                      <m:sty m:val="p"/>
                    </m:rPr>
                    <w:rPr>
                      <w:rFonts w:ascii="Cambria Math" w:hAnsi="Cambria Math"/>
                    </w:rPr>
                    <m:t>T</m:t>
                  </m:r>
                </m:sup>
              </m:sSubSup>
              <m:sSub>
                <m:sSubPr>
                  <m:ctrlPr>
                    <w:rPr>
                      <w:rFonts w:ascii="Cambria Math" w:hAnsi="Cambria Math"/>
                    </w:rPr>
                  </m:ctrlPr>
                </m:sSubPr>
                <m:e>
                  <m:r>
                    <m:rPr>
                      <m:sty m:val="b"/>
                    </m:rPr>
                    <w:rPr>
                      <w:rFonts w:ascii="Cambria Math" w:hAnsi="Cambria Math"/>
                    </w:rPr>
                    <m:t>Q</m:t>
                  </m:r>
                </m:e>
                <m:sub>
                  <m:r>
                    <w:rPr>
                      <w:rFonts w:ascii="Cambria Math" w:hAnsi="Cambria Math"/>
                    </w:rPr>
                    <m:t>D</m:t>
                  </m:r>
                </m:sub>
              </m:sSub>
              <m:r>
                <w:rPr>
                  <w:rFonts w:ascii="Cambria Math" w:hAnsi="Cambria Math"/>
                </w:rPr>
                <m:t> </m:t>
              </m:r>
              <m:sSub>
                <m:sSubPr>
                  <m:ctrlPr>
                    <w:rPr>
                      <w:rFonts w:ascii="Cambria Math" w:hAnsi="Cambria Math"/>
                    </w:rPr>
                  </m:ctrlPr>
                </m:sSubPr>
                <m:e>
                  <m:r>
                    <m:rPr>
                      <m:sty m:val="b"/>
                    </m:rPr>
                    <w:rPr>
                      <w:rFonts w:ascii="Cambria Math" w:hAnsi="Cambria Math"/>
                    </w:rPr>
                    <m:t>Φ</m:t>
                  </m:r>
                </m:e>
                <m:sub>
                  <m:r>
                    <w:rPr>
                      <w:rFonts w:ascii="Cambria Math" w:hAnsi="Cambria Math"/>
                    </w:rPr>
                    <m:t>E</m:t>
                  </m:r>
                </m:sub>
              </m:sSub>
            </m:e>
          </m:d>
          <m:r>
            <m:rPr>
              <m:sty m:val="p"/>
            </m:rPr>
            <w:rPr>
              <w:rFonts w:ascii="Cambria Math" w:hAnsi="Cambria Math"/>
            </w:rPr>
            <m:t>,</m:t>
          </m:r>
        </m:oMath>
      </m:oMathPara>
    </w:p>
    <w:p w14:paraId="31203002" w14:textId="77777777" w:rsidR="00246B56" w:rsidRDefault="00000000">
      <w:pPr>
        <w:pStyle w:val="FirstParagraph"/>
      </w:pPr>
      <w:r>
        <w:t xml:space="preserve">which asks whether </w:t>
      </w:r>
      <w:r>
        <w:rPr>
          <w:i/>
          <w:iCs/>
        </w:rPr>
        <w:t>any</w:t>
      </w:r>
      <w:r>
        <w:t xml:space="preserve"> combination of modes in the relevant eigenspace contains substantial shell deformation invisible to the frame skeleton. A high skeleton correlation does not establish modal equivalence when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t xml:space="preserve"> exceeds its pre-registered tolerance. It should be noted that these mode metrics are diagnostic of the </w:t>
      </w:r>
      <w:r>
        <w:rPr>
          <w:i/>
          <w:iCs/>
        </w:rPr>
        <w:t>mechanism</w:t>
      </w:r>
      <w:r>
        <w:t>; whether a mode difference gates the decision depends on whether it moves the multiplier relative to the requirement, which the decision-margin machinery of Sections 6 and 10 determines.</w:t>
      </w:r>
    </w:p>
    <w:p w14:paraId="3ADE97FD" w14:textId="77777777" w:rsidR="00246B56" w:rsidRDefault="00000000">
      <w:pPr>
        <w:pStyle w:val="BodyText"/>
      </w:pPr>
      <w:r>
        <w:t xml:space="preserve">When a cluster is detected, the initial imperfection is defined over the complete interacting subspace, </w:t>
      </w:r>
      <m:oMath>
        <m:sSub>
          <m:sSubPr>
            <m:ctrlPr>
              <w:rPr>
                <w:rFonts w:ascii="Cambria Math" w:hAnsi="Cambria Math"/>
              </w:rPr>
            </m:ctrlPr>
          </m:sSubPr>
          <m:e>
            <m:r>
              <m:rPr>
                <m:sty m:val="b"/>
              </m:rPr>
              <w:rPr>
                <w:rFonts w:ascii="Cambria Math" w:hAnsi="Cambria Math"/>
              </w:rPr>
              <m:t>u</m:t>
            </m:r>
          </m:e>
          <m:sub>
            <m:r>
              <m:rPr>
                <m:sty m:val="p"/>
              </m:rPr>
              <w:rPr>
                <w:rFonts w:ascii="Cambria Math" w:hAnsi="Cambria Math"/>
              </w:rPr>
              <m:t>imp</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u</m:t>
            </m:r>
          </m:e>
          <m:sub>
            <m:r>
              <m:rPr>
                <m:sty m:val="p"/>
              </m:rPr>
              <w:rPr>
                <w:rFonts w:ascii="Cambria Math" w:hAnsi="Cambria Math"/>
              </w:rPr>
              <m:t>survey</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Φ</m:t>
            </m:r>
          </m:e>
          <m:sub>
            <m:r>
              <w:rPr>
                <w:rFonts w:ascii="Cambria Math" w:hAnsi="Cambria Math"/>
              </w:rPr>
              <m:t>E</m:t>
            </m:r>
          </m:sub>
        </m:sSub>
        <m:r>
          <m:rPr>
            <m:sty m:val="b"/>
          </m:rPr>
          <w:rPr>
            <w:rFonts w:ascii="Cambria Math" w:hAnsi="Cambria Math"/>
          </w:rPr>
          <m:t>a</m:t>
        </m:r>
      </m:oMath>
      <w:r>
        <w:t xml:space="preserve">, with </w:t>
      </w:r>
      <m:oMath>
        <m:r>
          <m:rPr>
            <m:sty m:val="b"/>
          </m:rPr>
          <w:rPr>
            <w:rFonts w:ascii="Cambria Math" w:hAnsi="Cambria Math"/>
          </w:rPr>
          <m:t>a</m:t>
        </m:r>
      </m:oMath>
      <w:r>
        <w:t xml:space="preserve"> the relative modal amplitudes and signs, and the worst-case limit multiplier over an admissible imperfection bound </w:t>
      </w:r>
      <m:oMath>
        <m:sSup>
          <m:sSupPr>
            <m:ctrlPr>
              <w:rPr>
                <w:rFonts w:ascii="Cambria Math" w:hAnsi="Cambria Math"/>
              </w:rPr>
            </m:ctrlPr>
          </m:sSupPr>
          <m:e>
            <m:r>
              <m:rPr>
                <m:sty m:val="b"/>
              </m:rPr>
              <w:rPr>
                <w:rFonts w:ascii="Cambria Math" w:hAnsi="Cambria Math"/>
              </w:rPr>
              <m:t>a</m:t>
            </m:r>
          </m:e>
          <m:sup>
            <m:r>
              <m:rPr>
                <m:scr m:val="sans-serif"/>
                <m:sty m:val="p"/>
              </m:rPr>
              <w:rPr>
                <w:rFonts w:ascii="Cambria Math" w:hAnsi="Cambria Math"/>
              </w:rPr>
              <m:t>T</m:t>
            </m:r>
          </m:sup>
        </m:sSup>
        <m:sSub>
          <m:sSubPr>
            <m:ctrlPr>
              <w:rPr>
                <w:rFonts w:ascii="Cambria Math" w:hAnsi="Cambria Math"/>
              </w:rPr>
            </m:ctrlPr>
          </m:sSubPr>
          <m:e>
            <m:r>
              <m:rPr>
                <m:sty m:val="b"/>
              </m:rPr>
              <w:rPr>
                <w:rFonts w:ascii="Cambria Math" w:hAnsi="Cambria Math"/>
              </w:rPr>
              <m:t>W</m:t>
            </m:r>
          </m:e>
          <m:sub>
            <m:r>
              <w:rPr>
                <w:rFonts w:ascii="Cambria Math" w:hAnsi="Cambria Math"/>
              </w:rPr>
              <m:t>a</m:t>
            </m:r>
          </m:sub>
        </m:sSub>
        <m:r>
          <m:rPr>
            <m:sty m:val="b"/>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is</w:t>
      </w:r>
    </w:p>
    <w:p w14:paraId="0879A7E5"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m:rPr>
                  <m:sty m:val="p"/>
                </m:rPr>
                <w:rPr>
                  <w:rFonts w:ascii="Cambria Math" w:hAnsi="Cambria Math"/>
                </w:rPr>
                <m:t>wc</m:t>
              </m:r>
            </m:sub>
          </m:sSub>
          <m:d>
            <m:dPr>
              <m:ctrlPr>
                <w:rPr>
                  <w:rFonts w:ascii="Cambria Math" w:hAnsi="Cambria Math"/>
                </w:rPr>
              </m:ctrlPr>
            </m:dPr>
            <m:e>
              <m:r>
                <w:rPr>
                  <w:rFonts w:ascii="Cambria Math" w:hAnsi="Cambria Math"/>
                </w:rPr>
                <m:t>A</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m>
                <m:mPr>
                  <m:plcHide m:val="1"/>
                  <m:mcs>
                    <m:mc>
                      <m:mcPr>
                        <m:count m:val="1"/>
                        <m:mcJc m:val="center"/>
                      </m:mcPr>
                    </m:mc>
                  </m:mcs>
                  <m:ctrlPr>
                    <w:rPr>
                      <w:rFonts w:ascii="Cambria Math" w:hAnsi="Cambria Math"/>
                    </w:rPr>
                  </m:ctrlPr>
                </m:mPr>
                <m:mr>
                  <m:e>
                    <m:sSup>
                      <m:sSupPr>
                        <m:ctrlPr>
                          <w:rPr>
                            <w:rFonts w:ascii="Cambria Math" w:hAnsi="Cambria Math"/>
                          </w:rPr>
                        </m:ctrlPr>
                      </m:sSupPr>
                      <m:e>
                        <m:r>
                          <m:rPr>
                            <m:sty m:val="b"/>
                          </m:rPr>
                          <w:rPr>
                            <w:rFonts w:ascii="Cambria Math" w:hAnsi="Cambria Math"/>
                          </w:rPr>
                          <m:t>a</m:t>
                        </m:r>
                      </m:e>
                      <m:sup>
                        <m:r>
                          <m:rPr>
                            <m:scr m:val="sans-serif"/>
                            <m:sty m:val="p"/>
                          </m:rPr>
                          <w:rPr>
                            <w:rFonts w:ascii="Cambria Math" w:hAnsi="Cambria Math"/>
                          </w:rPr>
                          <m:t>T</m:t>
                        </m:r>
                      </m:sup>
                    </m:sSup>
                    <m:sSub>
                      <m:sSubPr>
                        <m:ctrlPr>
                          <w:rPr>
                            <w:rFonts w:ascii="Cambria Math" w:hAnsi="Cambria Math"/>
                          </w:rPr>
                        </m:ctrlPr>
                      </m:sSubPr>
                      <m:e>
                        <m:r>
                          <m:rPr>
                            <m:sty m:val="b"/>
                          </m:rPr>
                          <w:rPr>
                            <w:rFonts w:ascii="Cambria Math" w:hAnsi="Cambria Math"/>
                          </w:rPr>
                          <m:t>W</m:t>
                        </m:r>
                      </m:e>
                      <m:sub>
                        <m:r>
                          <w:rPr>
                            <w:rFonts w:ascii="Cambria Math" w:hAnsi="Cambria Math"/>
                          </w:rPr>
                          <m:t>a</m:t>
                        </m:r>
                      </m:sub>
                    </m:sSub>
                    <m:r>
                      <m:rPr>
                        <m:sty m:val="b"/>
                      </m:rP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e>
                </m:mr>
                <m:mr>
                  <m:e>
                    <m:r>
                      <m:rPr>
                        <m:sty m:val="b"/>
                      </m:rPr>
                      <w:rPr>
                        <w:rFonts w:ascii="Cambria Math" w:hAnsi="Cambria Math"/>
                      </w:rPr>
                      <m:t>θ</m:t>
                    </m:r>
                    <m:r>
                      <m:rPr>
                        <m:sty m:val="p"/>
                      </m:rPr>
                      <w:rPr>
                        <w:rFonts w:ascii="Cambria Math" w:hAnsi="Cambria Math"/>
                      </w:rPr>
                      <m:t>∈</m:t>
                    </m:r>
                    <m:r>
                      <w:rPr>
                        <w:rFonts w:ascii="Cambria Math" w:hAnsi="Cambria Math"/>
                      </w:rPr>
                      <m:t>Θ</m:t>
                    </m:r>
                  </m:e>
                </m:mr>
              </m:m>
            </m:lim>
          </m:limLow>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θ</m:t>
              </m:r>
            </m:e>
          </m:d>
          <m:r>
            <m:rPr>
              <m:sty m:val="p"/>
            </m:rPr>
            <w:rPr>
              <w:rFonts w:ascii="Cambria Math" w:hAnsi="Cambria Math"/>
            </w:rPr>
            <m:t>,</m:t>
          </m:r>
        </m:oMath>
      </m:oMathPara>
    </w:p>
    <w:p w14:paraId="3E2AADA5" w14:textId="77777777" w:rsidR="00246B56" w:rsidRDefault="00000000">
      <w:pPr>
        <w:pStyle w:val="FirstParagraph"/>
      </w:pPr>
      <w:r>
        <w:lastRenderedPageBreak/>
        <w:t xml:space="preserve">the optimisation varying modal weights, signs, amplitude, and relevant support and contact parameters. A single scaled first eigenmode is insufficient once a coupled cluster is present, because the worst case is a </w:t>
      </w:r>
      <w:r>
        <w:rPr>
          <w:i/>
          <w:iCs/>
        </w:rPr>
        <w:t>combination</w:t>
      </w:r>
      <w:r>
        <w:t xml:space="preserve"> of the interacting modes.</w:t>
      </w:r>
    </w:p>
    <w:p w14:paraId="6F318E16" w14:textId="77777777" w:rsidR="00246B56" w:rsidRDefault="00000000">
      <w:pPr>
        <w:pStyle w:val="Heading2"/>
      </w:pPr>
      <w:bookmarkStart w:id="21" w:name="Xbc625ef6788ad5a04a72f850f290ff009a9d279"/>
      <w:bookmarkEnd w:id="20"/>
      <w:r>
        <w:t>12. Status of worst-case imperfection searches</w:t>
      </w:r>
    </w:p>
    <w:p w14:paraId="5B24CC77" w14:textId="77777777" w:rsidR="00246B56" w:rsidRDefault="00000000">
      <w:pPr>
        <w:pStyle w:val="FirstParagraph"/>
      </w:pPr>
      <w:r>
        <w:t>The worst-case-imperfection optimisation of Section 11 requires an honest evidentiary accounting, because it is the one place in the framework where the default error direction is unconservative. The mathematical worst-case capacity is the true infimum</w:t>
      </w:r>
    </w:p>
    <w:p w14:paraId="2DC4CF6B"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m:rPr>
                  <m:sty m:val="p"/>
                </m:rPr>
                <w:rPr>
                  <w:rFonts w:ascii="Cambria Math" w:hAnsi="Cambria Math"/>
                </w:rPr>
                <m:t>wc</m:t>
              </m:r>
            </m:sub>
            <m:sup>
              <m:r>
                <m:rPr>
                  <m:sty m:val="p"/>
                </m:rPr>
                <w:rPr>
                  <w:rFonts w:ascii="Cambria Math" w:hAnsi="Cambria Math"/>
                </w:rPr>
                <m:t>true</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m>
                <m:mPr>
                  <m:plcHide m:val="1"/>
                  <m:mcs>
                    <m:mc>
                      <m:mcPr>
                        <m:count m:val="1"/>
                        <m:mcJc m:val="center"/>
                      </m:mcPr>
                    </m:mc>
                  </m:mcs>
                  <m:ctrlPr>
                    <w:rPr>
                      <w:rFonts w:ascii="Cambria Math" w:hAnsi="Cambria Math"/>
                    </w:rPr>
                  </m:ctrlPr>
                </m:mPr>
                <m:mr>
                  <m:e>
                    <m:r>
                      <m:rPr>
                        <m:sty m:val="b"/>
                      </m:rPr>
                      <w:rPr>
                        <w:rFonts w:ascii="Cambria Math" w:hAnsi="Cambria Math"/>
                      </w:rPr>
                      <m:t>a</m:t>
                    </m:r>
                    <m:r>
                      <m:rPr>
                        <m:scr m:val="script"/>
                        <m:sty m:val="p"/>
                      </m:rPr>
                      <w:rPr>
                        <w:rFonts w:ascii="Cambria Math" w:hAnsi="Cambria Math"/>
                      </w:rPr>
                      <m:t>∈A</m:t>
                    </m:r>
                  </m:e>
                </m:mr>
                <m:mr>
                  <m:e>
                    <m:r>
                      <m:rPr>
                        <m:sty m:val="b"/>
                      </m:rPr>
                      <w:rPr>
                        <w:rFonts w:ascii="Cambria Math" w:hAnsi="Cambria Math"/>
                      </w:rPr>
                      <m:t>θ</m:t>
                    </m:r>
                    <m:r>
                      <m:rPr>
                        <m:sty m:val="p"/>
                      </m:rPr>
                      <w:rPr>
                        <w:rFonts w:ascii="Cambria Math" w:hAnsi="Cambria Math"/>
                      </w:rPr>
                      <m:t>∈</m:t>
                    </m:r>
                    <m:r>
                      <w:rPr>
                        <w:rFonts w:ascii="Cambria Math" w:hAnsi="Cambria Math"/>
                      </w:rPr>
                      <m:t>Θ</m:t>
                    </m:r>
                  </m:e>
                </m:mr>
              </m:m>
            </m:lim>
          </m:limLow>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r>
                <m:rPr>
                  <m:sty m:val="b"/>
                </m:rPr>
                <w:rPr>
                  <w:rFonts w:ascii="Cambria Math" w:hAnsi="Cambria Math"/>
                </w:rPr>
                <m:t>a</m:t>
              </m:r>
              <m:r>
                <m:rPr>
                  <m:sty m:val="p"/>
                </m:rPr>
                <w:rPr>
                  <w:rFonts w:ascii="Cambria Math" w:hAnsi="Cambria Math"/>
                </w:rPr>
                <m:t>,</m:t>
              </m:r>
              <m:r>
                <m:rPr>
                  <m:sty m:val="b"/>
                </m:rPr>
                <w:rPr>
                  <w:rFonts w:ascii="Cambria Math" w:hAnsi="Cambria Math"/>
                </w:rPr>
                <m:t>θ</m:t>
              </m:r>
            </m:e>
          </m:d>
          <m:r>
            <m:rPr>
              <m:sty m:val="p"/>
            </m:rPr>
            <w:rPr>
              <w:rFonts w:ascii="Cambria Math" w:hAnsi="Cambria Math"/>
            </w:rPr>
            <m:t>,</m:t>
          </m:r>
        </m:oMath>
      </m:oMathPara>
    </w:p>
    <w:p w14:paraId="7255FBB5" w14:textId="77777777" w:rsidR="00246B56" w:rsidRDefault="00000000">
      <w:pPr>
        <w:pStyle w:val="FirstParagraph"/>
      </w:pPr>
      <w:r>
        <w:t xml:space="preserve">whereas any numerical optimisation returns the lowest value found over its finite search, </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α</m:t>
                </m:r>
              </m:e>
            </m:bar>
          </m:e>
          <m:sub>
            <m:r>
              <m:rPr>
                <m:sty m:val="p"/>
              </m:rPr>
              <w:rPr>
                <w:rFonts w:ascii="Cambria Math" w:hAnsi="Cambria Math"/>
              </w:rPr>
              <m:t>wc</m:t>
            </m:r>
          </m:sub>
          <m:sup>
            <m:r>
              <m:rPr>
                <m:sty m:val="p"/>
              </m:rPr>
              <w:rPr>
                <w:rFonts w:ascii="Cambria Math" w:hAnsi="Cambria Math"/>
              </w:rPr>
              <m:t>search</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w:rPr>
                    <w:rFonts w:ascii="Cambria Math" w:hAnsi="Cambria Math"/>
                  </w:rPr>
                  <m:t>k</m:t>
                </m:r>
              </m:sub>
            </m:sSub>
          </m:e>
        </m:d>
      </m:oMath>
      <w:r>
        <w:t xml:space="preserve">. Since the objective is a minimisation of a non-convex FE limit load — different imperfection shapes trigger different failure mechanisms, so the response surface has many local minima and each evaluation is a full nonlinear solve — the computed minimum bounds the truth from </w:t>
      </w:r>
      <w:r>
        <w:rPr>
          <w:i/>
          <w:iCs/>
        </w:rPr>
        <w:t>above</w:t>
      </w:r>
      <w:r>
        <w:t>,</w:t>
      </w:r>
    </w:p>
    <w:p w14:paraId="67A645AA" w14:textId="77777777" w:rsidR="00246B5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α</m:t>
              </m:r>
            </m:e>
            <m:sub>
              <m:r>
                <m:rPr>
                  <m:sty m:val="p"/>
                </m:rPr>
                <w:rPr>
                  <w:rFonts w:ascii="Cambria Math" w:hAnsi="Cambria Math"/>
                </w:rPr>
                <m:t>wc</m:t>
              </m:r>
            </m:sub>
            <m:sup>
              <m:r>
                <m:rPr>
                  <m:sty m:val="p"/>
                </m:rPr>
                <w:rPr>
                  <w:rFonts w:ascii="Cambria Math" w:hAnsi="Cambria Math"/>
                </w:rPr>
                <m:t>true</m:t>
              </m:r>
            </m:sup>
          </m:sSubSup>
          <m:r>
            <m:rPr>
              <m:sty m:val="p"/>
            </m:rPr>
            <w:rPr>
              <w:rFonts w:ascii="Cambria Math" w:hAnsi="Cambria Math"/>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rPr>
                    <m:t>α</m:t>
                  </m:r>
                </m:e>
              </m:bar>
            </m:e>
            <m:sub>
              <m:r>
                <m:rPr>
                  <m:sty m:val="p"/>
                </m:rPr>
                <w:rPr>
                  <w:rFonts w:ascii="Cambria Math" w:hAnsi="Cambria Math"/>
                </w:rPr>
                <m:t>wc</m:t>
              </m:r>
            </m:sub>
            <m:sup>
              <m:r>
                <m:rPr>
                  <m:sty m:val="p"/>
                </m:rPr>
                <w:rPr>
                  <w:rFonts w:ascii="Cambria Math" w:hAnsi="Cambria Math"/>
                </w:rPr>
                <m:t>search</m:t>
              </m:r>
            </m:sup>
          </m:sSubSup>
          <m:r>
            <m:rPr>
              <m:sty m:val="p"/>
            </m:rPr>
            <w:rPr>
              <w:rFonts w:ascii="Cambria Math" w:hAnsi="Cambria Math"/>
            </w:rPr>
            <m:t>,</m:t>
          </m:r>
        </m:oMath>
      </m:oMathPara>
    </w:p>
    <w:p w14:paraId="70CB6EC9" w14:textId="77777777" w:rsidR="00246B56" w:rsidRDefault="00000000">
      <w:pPr>
        <w:pStyle w:val="FirstParagraph"/>
      </w:pPr>
      <w:r>
        <w:t xml:space="preserve">unless global optimality has been certified. It shall accordingly be reported as </w:t>
      </w:r>
      <w:r>
        <w:rPr>
          <w:i/>
          <w:iCs/>
        </w:rPr>
        <w:t>the lowest capacity found in the prescribed search</w:t>
      </w:r>
      <w:r>
        <w:t xml:space="preserve">, not as </w:t>
      </w:r>
      <w:r>
        <w:rPr>
          <w:i/>
          <w:iCs/>
        </w:rPr>
        <w:t>the worst-case capacity</w:t>
      </w:r>
      <w:r>
        <w:t>, with the optimisation algorithm, the number and generation of starting points, the modal and sign combinations explored, the parameter ranges, the distinct failure mechanisms found, the stopping rules, and the repeatability across strategies all disclosed.</w:t>
      </w:r>
    </w:p>
    <w:p w14:paraId="476601AA" w14:textId="77777777" w:rsidR="00246B56" w:rsidRDefault="00000000">
      <w:pPr>
        <w:pStyle w:val="BodyText"/>
      </w:pPr>
      <w:r>
        <w:t xml:space="preserve">The evidentiary consequences are asymmetric. A discovered realisation with </w:t>
      </w:r>
      <m:oMath>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&lt;</m:t>
        </m:r>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N</m:t>
            </m:r>
          </m:sub>
          <m:sup>
            <m:r>
              <w:rPr>
                <w:rFonts w:ascii="Cambria Math" w:hAnsi="Cambria Math"/>
              </w:rPr>
              <m:t>B</m:t>
            </m:r>
          </m:sup>
        </m:sSubSup>
      </m:oMath>
      <w:r>
        <w:t xml:space="preserve"> is a valid counterexample to robust passage over any set containing it. Finding many satisfactory realisations, by contrast, does not certify robust passage; certification requires a </w:t>
      </w:r>
      <w:r>
        <w:rPr>
          <w:i/>
          <w:iCs/>
        </w:rPr>
        <w:t>lower</w:t>
      </w:r>
      <w:r>
        <w:t xml:space="preserve"> bound </w:t>
      </w:r>
      <m:oMath>
        <m:sSubSup>
          <m:sSubSupPr>
            <m:ctrlPr>
              <w:rPr>
                <w:rFonts w:ascii="Cambria Math" w:hAnsi="Cambria Math"/>
              </w:rPr>
            </m:ctrlPr>
          </m:sSubSupPr>
          <m:e>
            <m:bar>
              <m:barPr>
                <m:ctrlPr>
                  <w:rPr>
                    <w:rFonts w:ascii="Cambria Math" w:hAnsi="Cambria Math"/>
                  </w:rPr>
                </m:ctrlPr>
              </m:barPr>
              <m:e>
                <m:r>
                  <w:rPr>
                    <w:rFonts w:ascii="Cambria Math" w:hAnsi="Cambria Math"/>
                  </w:rPr>
                  <m:t>α</m:t>
                </m:r>
              </m:e>
            </m:bar>
          </m:e>
          <m:sub>
            <m:r>
              <m:rPr>
                <m:sty m:val="p"/>
              </m:rPr>
              <w:rPr>
                <w:rFonts w:ascii="Cambria Math" w:hAnsi="Cambria Math"/>
              </w:rPr>
              <m:t>wc</m:t>
            </m:r>
          </m:sub>
          <m:sup>
            <m:r>
              <m:rPr>
                <m:sty m:val="p"/>
              </m:rPr>
              <w:rPr>
                <w:rFonts w:ascii="Cambria Math" w:hAnsi="Cambria Math"/>
              </w:rPr>
              <m:t>cert</m:t>
            </m:r>
          </m:sup>
        </m:sSubSup>
        <m:r>
          <m:rPr>
            <m:sty m:val="p"/>
          </m:rPr>
          <w:rPr>
            <w:rFonts w:ascii="Cambria Math" w:hAnsi="Cambria Math"/>
          </w:rPr>
          <m:t>≥</m:t>
        </m:r>
        <m:sSubSup>
          <m:sSubSupPr>
            <m:ctrlPr>
              <w:rPr>
                <w:rFonts w:ascii="Cambria Math" w:hAnsi="Cambria Math"/>
              </w:rPr>
            </m:ctrlPr>
          </m:sSubSupPr>
          <m:e>
            <m:r>
              <w:rPr>
                <w:rFonts w:ascii="Cambria Math" w:hAnsi="Cambria Math"/>
              </w:rPr>
              <m:t>α</m:t>
            </m:r>
          </m:e>
          <m:sub>
            <m:r>
              <m:rPr>
                <m:sty m:val="p"/>
              </m:rPr>
              <w:rPr>
                <w:rFonts w:ascii="Cambria Math" w:hAnsi="Cambria Math"/>
              </w:rPr>
              <m:t>req,</m:t>
            </m:r>
            <m:r>
              <w:rPr>
                <w:rFonts w:ascii="Cambria Math" w:hAnsi="Cambria Math"/>
              </w:rPr>
              <m:t>N</m:t>
            </m:r>
          </m:sub>
          <m:sup>
            <m:r>
              <w:rPr>
                <w:rFonts w:ascii="Cambria Math" w:hAnsi="Cambria Math"/>
              </w:rPr>
              <m:t>B</m:t>
            </m:r>
          </m:sup>
        </m:sSubSup>
      </m:oMath>
      <w:r>
        <w:t>. A conservative reduced-stiffness or perturbation-load construction may serve as an engineering comparator and may be called a mathematical lower bound only where its conservatism for the present model class has been established. Where a certified lower bound is unavailable, the result is one-sided and robust passage cannot be claimed from the optimisation search alone.</w:t>
      </w:r>
    </w:p>
    <w:p w14:paraId="476915E8" w14:textId="77777777" w:rsidR="00246B56" w:rsidRDefault="00000000">
      <w:pPr>
        <w:pStyle w:val="Heading2"/>
      </w:pPr>
      <w:bookmarkStart w:id="22" w:name="decision-centred-feature-attribution"/>
      <w:bookmarkEnd w:id="21"/>
      <w:r>
        <w:t>13. Decision-centred feature attribution</w:t>
      </w:r>
    </w:p>
    <w:p w14:paraId="257A3C93" w14:textId="77777777" w:rsidR="00246B56" w:rsidRDefault="00000000">
      <w:pPr>
        <w:pStyle w:val="FirstParagraph"/>
      </w:pPr>
      <w:r>
        <w:t>The change from the baseline to the fully enriched model is produced by interacting features, and one-at-a-time differences are order-dependent and do not allocate interaction effects consistently. Because geometric path tracing is present in every coalition (Section 4), the model-feature set is</w:t>
      </w:r>
    </w:p>
    <w:p w14:paraId="5D729E54" w14:textId="77777777" w:rsidR="00246B56" w:rsidRDefault="00000000">
      <w:pPr>
        <w:pStyle w:val="BodyText"/>
      </w:pPr>
      <m:oMathPara>
        <m:oMathParaPr>
          <m:jc m:val="center"/>
        </m:oMathParaPr>
        <m:oMath>
          <m:r>
            <m:rPr>
              <m:scr m:val="script"/>
              <m:sty m:val="p"/>
            </m:rPr>
            <w:rPr>
              <w:rFonts w:ascii="Cambria Math" w:hAnsi="Cambria Math"/>
            </w:rPr>
            <m:t>F={</m:t>
          </m:r>
          <m:r>
            <w:rPr>
              <w:rFonts w:ascii="Cambria Math" w:hAnsi="Cambria Math"/>
            </w:rPr>
            <m:t>S</m:t>
          </m:r>
          <m:r>
            <m:rPr>
              <m:sty m:val="p"/>
            </m:rPr>
            <w:rPr>
              <w:rFonts w:ascii="Cambria Math" w:hAnsi="Cambria Math"/>
            </w:rPr>
            <m:t>,</m:t>
          </m:r>
          <m:r>
            <w:rPr>
              <w:rFonts w:ascii="Cambria Math" w:hAnsi="Cambria Math"/>
            </w:rPr>
            <m:t> C</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 I</m:t>
          </m:r>
          <m:r>
            <m:rPr>
              <m:sty m:val="p"/>
            </m:rPr>
            <w:rPr>
              <w:rFonts w:ascii="Cambria Math" w:hAnsi="Cambria Math"/>
            </w:rPr>
            <m:t>},</m:t>
          </m:r>
        </m:oMath>
      </m:oMathPara>
    </w:p>
    <w:p w14:paraId="1130EEEF" w14:textId="77777777" w:rsidR="00246B56" w:rsidRDefault="00000000">
      <w:pPr>
        <w:pStyle w:val="FirstParagraph"/>
      </w:pPr>
      <w:r>
        <w:t xml:space="preserve">with </w:t>
      </w:r>
      <m:oMath>
        <m:r>
          <w:rPr>
            <w:rFonts w:ascii="Cambria Math" w:hAnsi="Cambria Math"/>
          </w:rPr>
          <m:t>S</m:t>
        </m:r>
      </m:oMath>
      <w:r>
        <w:t xml:space="preserve"> shell or distortional kinematics, </w:t>
      </w:r>
      <m:oMath>
        <m:r>
          <w:rPr>
            <w:rFonts w:ascii="Cambria Math" w:hAnsi="Cambria Math"/>
          </w:rPr>
          <m:t>C</m:t>
        </m:r>
      </m:oMath>
      <w:r>
        <w:t xml:space="preserve"> the enriched support and unilateral-contact representation, </w:t>
      </w:r>
      <m:oMath>
        <m:r>
          <w:rPr>
            <w:rFonts w:ascii="Cambria Math" w:hAnsi="Cambria Math"/>
          </w:rPr>
          <m:t>P</m:t>
        </m:r>
      </m:oMath>
      <w:r>
        <w:t xml:space="preserve"> material or connection nonlinearity, and </w:t>
      </w:r>
      <m:oMath>
        <m:r>
          <w:rPr>
            <w:rFonts w:ascii="Cambria Math" w:hAnsi="Cambria Math"/>
          </w:rPr>
          <m:t>I</m:t>
        </m:r>
      </m:oMath>
      <w:r>
        <w:t xml:space="preserve"> geometric imperfection. Configuration and load combination are external physical indices, not interchangeable features: a parked and a maximum-cantilever configuration are different physical problems, not two fidelity levels. Precedence constraints are stated explicitly — a contact representation requiring shell surfaces imposes </w:t>
      </w:r>
      <m:oMath>
        <m:r>
          <w:rPr>
            <w:rFonts w:ascii="Cambria Math" w:hAnsi="Cambria Math"/>
          </w:rPr>
          <m:t>S</m:t>
        </m:r>
        <m:r>
          <m:rPr>
            <m:sty m:val="p"/>
          </m:rPr>
          <w:rPr>
            <w:rFonts w:ascii="Cambria Math" w:hAnsi="Cambria Math"/>
          </w:rPr>
          <m:t>≺</m:t>
        </m:r>
        <m:r>
          <w:rPr>
            <w:rFonts w:ascii="Cambria Math" w:hAnsi="Cambria Math"/>
          </w:rPr>
          <m:t>C</m:t>
        </m:r>
      </m:oMath>
      <w:r>
        <w:t xml:space="preserve">, and were geometric nonlinearity retained as an optional feature </w:t>
      </w:r>
      <m:oMath>
        <m:r>
          <w:rPr>
            <w:rFonts w:ascii="Cambria Math" w:hAnsi="Cambria Math"/>
          </w:rPr>
          <m:t>G</m:t>
        </m:r>
      </m:oMath>
      <w:r>
        <w:t xml:space="preserve"> rather than placed in the baseline, imperfection would </w:t>
      </w:r>
      <w:r>
        <w:lastRenderedPageBreak/>
        <w:t xml:space="preserve">require </w:t>
      </w:r>
      <m:oMath>
        <m:r>
          <w:rPr>
            <w:rFonts w:ascii="Cambria Math" w:hAnsi="Cambria Math"/>
          </w:rPr>
          <m:t>G</m:t>
        </m:r>
        <m:r>
          <m:rPr>
            <m:sty m:val="p"/>
          </m:rPr>
          <w:rPr>
            <w:rFonts w:ascii="Cambria Math" w:hAnsi="Cambria Math"/>
          </w:rPr>
          <m:t>≺</m:t>
        </m:r>
        <m:r>
          <w:rPr>
            <w:rFonts w:ascii="Cambria Math" w:hAnsi="Cambria Math"/>
          </w:rPr>
          <m:t>I</m:t>
        </m:r>
      </m:oMath>
      <w:r>
        <w:t>, since a linear eigenvalue load is imperfection-independent and imperfection would otherwise contribute a mass of structural zeros or, under a constrained variant, a distorted allocation. The baseline is stated as the geometrically-nonlinear frame with elastic material, nominal geometry, and idealised bilateral supports, whose limit is defined by the same first-loss criterion as every enriched model.</w:t>
      </w:r>
    </w:p>
    <w:p w14:paraId="1D4B0850" w14:textId="77777777" w:rsidR="00246B56" w:rsidRDefault="00000000">
      <w:pPr>
        <w:pStyle w:val="BodyText"/>
      </w:pPr>
      <w:r>
        <w:t xml:space="preserve">The feature game is defined on the decision margin rather than on the raw multiplier, so that the attribution carries the safety-relevant direction. For a fixed configuration and combination, </w:t>
      </w:r>
      <m:oMath>
        <m:sSub>
          <m:sSubPr>
            <m:ctrlPr>
              <w:rPr>
                <w:rFonts w:ascii="Cambria Math" w:hAnsi="Cambria Math"/>
              </w:rPr>
            </m:ctrlPr>
          </m:sSubPr>
          <m:e>
            <m:r>
              <w:rPr>
                <w:rFonts w:ascii="Cambria Math" w:hAnsi="Cambria Math"/>
              </w:rPr>
              <m:t>v</m:t>
            </m:r>
          </m:e>
          <m:sub>
            <m:r>
              <w:rPr>
                <w:rFonts w:ascii="Cambria Math" w:hAnsi="Cambria Math"/>
              </w:rPr>
              <m:t>c</m:t>
            </m:r>
            <m:r>
              <m:rPr>
                <m:scr m:val="script"/>
                <m:sty m:val="p"/>
              </m:rPr>
              <w:rPr>
                <w:rFonts w:ascii="Cambria Math" w:hAnsi="Cambria Math"/>
              </w:rPr>
              <m:t>,l</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M</m:t>
                </m:r>
              </m:e>
              <m:sub>
                <m:r>
                  <w:rPr>
                    <w:rFonts w:ascii="Cambria Math" w:hAnsi="Cambria Math"/>
                  </w:rPr>
                  <m:t>A</m:t>
                </m:r>
              </m:sub>
            </m:sSub>
          </m:sub>
        </m:sSub>
        <m:d>
          <m:dPr>
            <m:ctrlPr>
              <w:rPr>
                <w:rFonts w:ascii="Cambria Math" w:hAnsi="Cambria Math"/>
              </w:rPr>
            </m:ctrlPr>
          </m:dPr>
          <m:e>
            <m:r>
              <w:rPr>
                <w:rFonts w:ascii="Cambria Math" w:hAnsi="Cambria Math"/>
              </w:rPr>
              <m:t>c</m:t>
            </m:r>
            <m:r>
              <m:rPr>
                <m:scr m:val="script"/>
                <m:sty m:val="p"/>
              </m:rPr>
              <w:rPr>
                <w:rFonts w:ascii="Cambria Math" w:hAnsi="Cambria Math"/>
              </w:rPr>
              <m:t>,l</m:t>
            </m:r>
          </m:e>
        </m:d>
      </m:oMath>
      <w:r>
        <w:t xml:space="preserve"> for </w:t>
      </w:r>
      <m:oMath>
        <m:r>
          <w:rPr>
            <w:rFonts w:ascii="Cambria Math" w:hAnsi="Cambria Math"/>
          </w:rPr>
          <m:t>A</m:t>
        </m:r>
        <m:r>
          <m:rPr>
            <m:scr m:val="script"/>
            <m:sty m:val="p"/>
          </m:rPr>
          <w:rPr>
            <w:rFonts w:ascii="Cambria Math" w:hAnsi="Cambria Math"/>
          </w:rPr>
          <m:t>⊆F</m:t>
        </m:r>
      </m:oMath>
      <w:r>
        <w:t xml:space="preserve">; a second, safety-oriented game is defined on the robust governing margin, </w:t>
      </w:r>
      <m:oMath>
        <m:sSub>
          <m:sSubPr>
            <m:ctrlPr>
              <w:rPr>
                <w:rFonts w:ascii="Cambria Math" w:hAnsi="Cambria Math"/>
              </w:rPr>
            </m:ctrlPr>
          </m:sSubPr>
          <m:e>
            <m:r>
              <w:rPr>
                <w:rFonts w:ascii="Cambria Math" w:hAnsi="Cambria Math"/>
              </w:rPr>
              <m:t>v</m:t>
            </m:r>
          </m:e>
          <m:sub>
            <m:r>
              <m:rPr>
                <m:sty m:val="p"/>
              </m:rPr>
              <w:rPr>
                <w:rFonts w:ascii="Cambria Math" w:hAnsi="Cambria Math"/>
              </w:rPr>
              <m:t>gov</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m:rPr>
                <m:sty m:val="p"/>
              </m:rPr>
              <w:rPr>
                <w:rFonts w:ascii="Cambria Math" w:hAnsi="Cambria Math"/>
              </w:rPr>
              <m:t>inf</m:t>
            </m:r>
          </m:e>
          <m:sub>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A</m:t>
                </m:r>
              </m:sub>
            </m:sSub>
          </m:sub>
        </m:sSub>
        <m:sSub>
          <m:sSubPr>
            <m:ctrlPr>
              <w:rPr>
                <w:rFonts w:ascii="Cambria Math" w:hAnsi="Cambria Math"/>
              </w:rPr>
            </m:ctrlPr>
          </m:sSubPr>
          <m:e>
            <m:r>
              <m:rPr>
                <m:sty m:val="p"/>
              </m:rPr>
              <w:rPr>
                <w:rFonts w:ascii="Cambria Math" w:hAnsi="Cambria Math"/>
              </w:rPr>
              <m:t>min</m:t>
            </m:r>
          </m:e>
          <m:sub>
            <m:r>
              <m:rPr>
                <m:scr m:val="script"/>
                <m:sty m:val="p"/>
              </m:rPr>
              <w:rPr>
                <w:rFonts w:ascii="Cambria Math" w:hAnsi="Cambria Math"/>
              </w:rPr>
              <m:t>l∈L</m:t>
            </m:r>
            <m:d>
              <m:dPr>
                <m:ctrlPr>
                  <w:rPr>
                    <w:rFonts w:ascii="Cambria Math" w:hAnsi="Cambria Math"/>
                  </w:rPr>
                </m:ctrlPr>
              </m:dPr>
              <m:e>
                <m:r>
                  <w:rPr>
                    <w:rFonts w:ascii="Cambria Math" w:hAnsi="Cambria Math"/>
                  </w:rPr>
                  <m:t>c</m:t>
                </m:r>
              </m:e>
            </m:d>
          </m:sub>
        </m:sSub>
        <m:sSub>
          <m:sSubPr>
            <m:ctrlPr>
              <w:rPr>
                <w:rFonts w:ascii="Cambria Math" w:hAnsi="Cambria Math"/>
              </w:rPr>
            </m:ctrlPr>
          </m:sSubPr>
          <m:e>
            <m:r>
              <w:rPr>
                <w:rFonts w:ascii="Cambria Math" w:hAnsi="Cambria Math"/>
              </w:rPr>
              <m:t>g</m:t>
            </m:r>
          </m:e>
          <m:sub>
            <m:sSub>
              <m:sSubPr>
                <m:ctrlPr>
                  <w:rPr>
                    <w:rFonts w:ascii="Cambria Math" w:hAnsi="Cambria Math"/>
                  </w:rPr>
                </m:ctrlPr>
              </m:sSubPr>
              <m:e>
                <m:r>
                  <w:rPr>
                    <w:rFonts w:ascii="Cambria Math" w:hAnsi="Cambria Math"/>
                  </w:rPr>
                  <m:t>M</m:t>
                </m:r>
              </m:e>
              <m:sub>
                <m:r>
                  <w:rPr>
                    <w:rFonts w:ascii="Cambria Math" w:hAnsi="Cambria Math"/>
                  </w:rPr>
                  <m:t>A</m:t>
                </m:r>
              </m:sub>
            </m:sSub>
          </m:sub>
        </m:sSub>
        <m:d>
          <m:dPr>
            <m:ctrlPr>
              <w:rPr>
                <w:rFonts w:ascii="Cambria Math" w:hAnsi="Cambria Math"/>
              </w:rPr>
            </m:ctrlPr>
          </m:dPr>
          <m:e>
            <m:r>
              <w:rPr>
                <w:rFonts w:ascii="Cambria Math" w:hAnsi="Cambria Math"/>
              </w:rPr>
              <m:t>c</m:t>
            </m:r>
            <m:r>
              <m:rPr>
                <m:scr m:val="script"/>
                <m:sty m:val="p"/>
              </m:rPr>
              <w:rPr>
                <w:rFonts w:ascii="Cambria Math" w:hAnsi="Cambria Math"/>
              </w:rPr>
              <m:t>,l,</m:t>
            </m:r>
            <m:r>
              <m:rPr>
                <m:sty m:val="b"/>
              </m:rPr>
              <w:rPr>
                <w:rFonts w:ascii="Cambria Math" w:hAnsi="Cambria Math"/>
              </w:rPr>
              <m:t>θ</m:t>
            </m:r>
          </m:e>
        </m:d>
      </m:oMath>
      <w:r>
        <w:t xml:space="preserve">, which explains movement of the worst-case design margin including any change of governing combination. The Shapley contribution of feature </w:t>
      </w:r>
      <m:oMath>
        <m:r>
          <w:rPr>
            <w:rFonts w:ascii="Cambria Math" w:hAnsi="Cambria Math"/>
          </w:rPr>
          <m:t>j</m:t>
        </m:r>
      </m:oMath>
      <w:r>
        <w:t xml:space="preserve"> is the average marginal contribution over all orderings,</w:t>
      </w:r>
    </w:p>
    <w:p w14:paraId="628AB575" w14:textId="77777777" w:rsidR="00246B56" w:rsidRDefault="00000000">
      <w:pPr>
        <w:pStyle w:val="BodyText"/>
        <w:jc w:val="center"/>
      </w:pPr>
      <w:r>
        <w:rPr>
          <w:rFonts w:ascii="Cambria Math" w:hAnsi="Cambria Math"/>
        </w:rPr>
        <w:t>Φ_j = Σ_[S ⊆ F \ {j}] { |S|!(k − |S| − 1)! / k! } · [ v(S ∪ {j}) − v(S) ]</w:t>
      </w:r>
    </w:p>
    <w:p w14:paraId="7E6045E2" w14:textId="77777777" w:rsidR="00246B56" w:rsidRDefault="00000000">
      <w:pPr>
        <w:pStyle w:val="FirstParagraph"/>
      </w:pPr>
      <w:r>
        <w:t xml:space="preserve">and in the unconstrained game the contributions are efficient,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Φ</m:t>
                </m:r>
              </m:e>
              <m:sub>
                <m:r>
                  <w:rPr>
                    <w:rFonts w:ascii="Cambria Math" w:hAnsi="Cambria Math"/>
                  </w:rPr>
                  <m:t>j</m:t>
                </m:r>
              </m:sub>
            </m:sSub>
          </m:e>
        </m:nary>
        <m:r>
          <m:rPr>
            <m:sty m:val="p"/>
          </m:rPr>
          <w:rPr>
            <w:rFonts w:ascii="Cambria Math" w:hAnsi="Cambria Math"/>
          </w:rPr>
          <m:t>=</m:t>
        </m:r>
        <m:r>
          <w:rPr>
            <w:rFonts w:ascii="Cambria Math" w:hAnsi="Cambria Math"/>
          </w:rPr>
          <m:t>v</m:t>
        </m:r>
        <m:d>
          <m:dPr>
            <m:ctrlPr>
              <w:rPr>
                <w:rFonts w:ascii="Cambria Math" w:hAnsi="Cambria Math"/>
              </w:rPr>
            </m:ctrlPr>
          </m:dPr>
          <m:e>
            <m:r>
              <m:rPr>
                <m:scr m:val="script"/>
                <m:sty m:val="p"/>
              </m:rPr>
              <w:rPr>
                <w:rFonts w:ascii="Cambria Math" w:hAnsi="Cambria Math"/>
              </w:rPr>
              <m:t>F</m:t>
            </m:r>
          </m:e>
        </m:d>
        <m:r>
          <m:rPr>
            <m:sty m:val="p"/>
          </m:rPr>
          <w:rPr>
            <w:rFonts w:ascii="Cambria Math" w:hAnsi="Cambria Math"/>
          </w:rPr>
          <m:t>-</m:t>
        </m:r>
        <m:r>
          <w:rPr>
            <w:rFonts w:ascii="Cambria Math" w:hAnsi="Cambria Math"/>
          </w:rPr>
          <m:t>v</m:t>
        </m:r>
        <m:d>
          <m:dPr>
            <m:ctrlPr>
              <w:rPr>
                <w:rFonts w:ascii="Cambria Math" w:hAnsi="Cambria Math"/>
              </w:rPr>
            </m:ctrlPr>
          </m:dPr>
          <m:e>
            <m:r>
              <m:rPr>
                <m:sty m:val="p"/>
              </m:rPr>
              <w:rPr>
                <w:rFonts w:ascii="Cambria Math" w:hAnsi="Cambria Math"/>
              </w:rPr>
              <m:t>⌀</m:t>
            </m:r>
          </m:e>
        </m:d>
      </m:oMath>
      <w:r>
        <w:t xml:space="preserve">, so they sum exactly to the total change in the decision margin between baseline and full model. A contribution may be positive or negative, recording whether a feature increases or reduces the predicted margin. Where precedence restrictions apply, a formally defined precedence-constrained allocation is used, and the unrestricted Shapley axioms are not claimed for mechanically undefined coalitions; the paper states which constrained variant is adopted and whether efficiency is preserved under it. The allocation describes contributions to the change in </w:t>
      </w:r>
      <w:r>
        <w:rPr>
          <w:i/>
          <w:iCs/>
        </w:rPr>
        <w:t>model output</w:t>
      </w:r>
      <w:r>
        <w:t xml:space="preserve">; it does not identify physical causality and does not determine which model is correct. Where all </w:t>
      </w:r>
      <m:oMath>
        <m:sSup>
          <m:sSupPr>
            <m:ctrlPr>
              <w:rPr>
                <w:rFonts w:ascii="Cambria Math" w:hAnsi="Cambria Math"/>
              </w:rPr>
            </m:ctrlPr>
          </m:sSupPr>
          <m:e>
            <m:r>
              <w:rPr>
                <w:rFonts w:ascii="Cambria Math" w:hAnsi="Cambria Math"/>
              </w:rPr>
              <m:t>2</m:t>
            </m:r>
          </m:e>
          <m:sup>
            <m:r>
              <w:rPr>
                <w:rFonts w:ascii="Cambria Math" w:hAnsi="Cambria Math"/>
              </w:rPr>
              <m:t>k</m:t>
            </m:r>
          </m:sup>
        </m:sSup>
      </m:oMath>
      <w:r>
        <w:t xml:space="preserve"> evaluations are impractical, the values are estimated by sampled orderings with antithetic permutations and a reported sampling variance.</w:t>
      </w:r>
    </w:p>
    <w:p w14:paraId="34DCF4A4" w14:textId="77777777" w:rsidR="00246B56" w:rsidRDefault="00000000">
      <w:pPr>
        <w:pStyle w:val="Heading2"/>
      </w:pPr>
      <w:bookmarkStart w:id="23" w:name="X31cf8f6c5bf69731299c39191dae57f651cb2ae"/>
      <w:bookmarkEnd w:id="22"/>
      <w:r>
        <w:t>14. Verification and the verification–validation boundary</w:t>
      </w:r>
    </w:p>
    <w:p w14:paraId="1BA1F9AB" w14:textId="77777777" w:rsidR="00246B56" w:rsidRDefault="00000000">
      <w:pPr>
        <w:pStyle w:val="FirstParagraph"/>
      </w:pPr>
      <w:r>
        <w:t>No single analytical benchmark verifies the complete contact-coupled buckling problem, so verification is hierarchical. Element and solver components are tested separately through beam-column and plate-buckling benchmarks, shell patch and membrane-bending tests, rigid-punch or elastic-contact benchmarks, gap-closure and lift-off tests, spring and support-stiffness limiting cases, and reaction and energy-balance checks. The integrated model is then subjected to metamorphic and limiting-case tests: contact stiffness tending to a large value should approach the fixed-support model; a permanently closed unilateral interface should approach its active linearised support law; removal of lift-off should recover the bilateral-support solution; vanishing friction should approach the frictionless-contact solution; and shell constraints suppressing distortion should approach the beam-like response. Integrated calculation verification includes mesh and contact-mesh refinement, penalty-parameter studies, load-step refinement, equilibrium residuals, and comparison between independent contact formulations or solvers [6,7,9].</w:t>
      </w:r>
    </w:p>
    <w:p w14:paraId="2FF3D08A" w14:textId="77777777" w:rsidR="00246B56" w:rsidRDefault="00000000">
      <w:pPr>
        <w:pStyle w:val="BodyText"/>
      </w:pPr>
      <w:r>
        <w:t xml:space="preserve">A limitation of this programme must be stated plainly. The limiting-case tests confirm the model where it </w:t>
      </w:r>
      <w:r>
        <w:rPr>
          <w:i/>
          <w:iCs/>
        </w:rPr>
        <w:t>reduces</w:t>
      </w:r>
      <w:r>
        <w:t xml:space="preserve"> to something known; they constrain it at the boundaries of its parameter space but cannot verify the </w:t>
      </w:r>
      <w:r>
        <w:rPr>
          <w:i/>
          <w:iCs/>
        </w:rPr>
        <w:t>interior</w:t>
      </w:r>
      <w:r>
        <w:t xml:space="preserve"> — partial contact, incipient lift-off, finite bearing stiffness — which is precisely the regime that governs the buckling case of interest. A model can be exact at both ends of a parameter and wrong between them, and two formulations wrong in the same way will still agree. Interior confidence therefore rests on convergence and inter-formulation agreement alone, which is weaker than verification against a </w:t>
      </w:r>
      <w:r>
        <w:lastRenderedPageBreak/>
        <w:t>known solution; the contact model is, in this specific sense, the least verifiable link in the chain, and the “verified” claim for it is accordingly qualified as verified at the boundary and convergent in the interior.</w:t>
      </w:r>
    </w:p>
    <w:p w14:paraId="3794198C" w14:textId="77777777" w:rsidR="00246B56" w:rsidRDefault="00000000">
      <w:pPr>
        <w:pStyle w:val="BodyText"/>
      </w:pPr>
      <w:r>
        <w:t>The verification–validation boundary is the paper’s central epistemic commitment. The numerical programme establishes calculation verification and model-to-model divergence; it does not establish predictive validity for the physical equipment unless independent measurements are introduced. Agreement between models does not prove both correct; disagreement does not prove the refined model correct; mesh convergence does not validate a support law; a realistic-looking mode is not validation; and a proof-load or field-response comparison validates only the quantities and operating range actually observed [6]. Candidate validation evidence — measured geometry and imperfection survey, support and bearing properties, proof-load displacement histories, strains, wheel or bearing reactions, and commissioning observations — is named so that the path from a verified methodology to a validated capability is explicit, even though it lies outside the present work.</w:t>
      </w:r>
    </w:p>
    <w:p w14:paraId="1A5BE416" w14:textId="77777777" w:rsidR="00246B56" w:rsidRDefault="00000000">
      <w:pPr>
        <w:pStyle w:val="Heading2"/>
      </w:pPr>
      <w:bookmarkStart w:id="24" w:name="X3bd9d28de6131587d941b87cbd25f669b33149f"/>
      <w:bookmarkEnd w:id="23"/>
      <w:r>
        <w:t>15. Decision-centred outcomes and primary hypotheses</w:t>
      </w:r>
    </w:p>
    <w:p w14:paraId="5249CFB9" w14:textId="77777777" w:rsidR="00246B56" w:rsidRDefault="00000000">
      <w:pPr>
        <w:pStyle w:val="FirstParagraph"/>
      </w:pPr>
      <w:r>
        <w:t>For each configuration the study reports one decision-centred outcome, in which capacity divergence is deliberately subordinate to decision agreement.</w:t>
      </w:r>
    </w:p>
    <w:tbl>
      <w:tblPr>
        <w:tblStyle w:val="Table"/>
        <w:tblW w:w="5000" w:type="pct"/>
        <w:tblLook w:val="0020" w:firstRow="1" w:lastRow="0" w:firstColumn="0" w:lastColumn="0" w:noHBand="0" w:noVBand="0"/>
      </w:tblPr>
      <w:tblGrid>
        <w:gridCol w:w="1446"/>
        <w:gridCol w:w="1625"/>
        <w:gridCol w:w="6505"/>
      </w:tblGrid>
      <w:tr w:rsidR="00246B56" w14:paraId="22480B17" w14:textId="77777777" w:rsidTr="00246B56">
        <w:trPr>
          <w:cnfStyle w:val="100000000000" w:firstRow="1" w:lastRow="0" w:firstColumn="0" w:lastColumn="0" w:oddVBand="0" w:evenVBand="0" w:oddHBand="0" w:evenHBand="0" w:firstRowFirstColumn="0" w:firstRowLastColumn="0" w:lastRowFirstColumn="0" w:lastRowLastColumn="0"/>
          <w:tblHeader/>
        </w:trPr>
        <w:tc>
          <w:tcPr>
            <w:tcW w:w="0" w:type="auto"/>
          </w:tcPr>
          <w:p w14:paraId="74B2BABB" w14:textId="77777777" w:rsidR="00246B56" w:rsidRDefault="00000000">
            <w:pPr>
              <w:pStyle w:val="Compact"/>
              <w:jc w:val="left"/>
            </w:pPr>
            <w:r>
              <w:t>Frame model</w:t>
            </w:r>
          </w:p>
        </w:tc>
        <w:tc>
          <w:tcPr>
            <w:tcW w:w="0" w:type="auto"/>
          </w:tcPr>
          <w:p w14:paraId="07B27F90" w14:textId="77777777" w:rsidR="00246B56" w:rsidRDefault="00000000">
            <w:pPr>
              <w:pStyle w:val="Compact"/>
              <w:jc w:val="left"/>
            </w:pPr>
            <w:r>
              <w:t>Enriched model</w:t>
            </w:r>
          </w:p>
        </w:tc>
        <w:tc>
          <w:tcPr>
            <w:tcW w:w="0" w:type="auto"/>
          </w:tcPr>
          <w:p w14:paraId="65D472E1" w14:textId="77777777" w:rsidR="00246B56" w:rsidRDefault="00000000">
            <w:pPr>
              <w:pStyle w:val="Compact"/>
              <w:jc w:val="left"/>
            </w:pPr>
            <w:r>
              <w:t>Interpretation</w:t>
            </w:r>
          </w:p>
        </w:tc>
      </w:tr>
      <w:tr w:rsidR="00246B56" w14:paraId="0BDF63E9" w14:textId="77777777">
        <w:tc>
          <w:tcPr>
            <w:tcW w:w="0" w:type="auto"/>
          </w:tcPr>
          <w:p w14:paraId="40DE33AB" w14:textId="77777777" w:rsidR="00246B56" w:rsidRDefault="00000000">
            <w:pPr>
              <w:pStyle w:val="Compact"/>
              <w:jc w:val="left"/>
            </w:pPr>
            <w:r>
              <w:t>Robust pass</w:t>
            </w:r>
          </w:p>
        </w:tc>
        <w:tc>
          <w:tcPr>
            <w:tcW w:w="0" w:type="auto"/>
          </w:tcPr>
          <w:p w14:paraId="2770F772" w14:textId="77777777" w:rsidR="00246B56" w:rsidRDefault="00000000">
            <w:pPr>
              <w:pStyle w:val="Compact"/>
              <w:jc w:val="left"/>
            </w:pPr>
            <w:r>
              <w:t>Robust pass</w:t>
            </w:r>
          </w:p>
        </w:tc>
        <w:tc>
          <w:tcPr>
            <w:tcW w:w="0" w:type="auto"/>
          </w:tcPr>
          <w:p w14:paraId="33D19F77" w14:textId="77777777" w:rsidR="00246B56" w:rsidRDefault="00000000">
            <w:pPr>
              <w:pStyle w:val="Compact"/>
              <w:jc w:val="left"/>
            </w:pPr>
            <w:r>
              <w:t>Decision agreement — frame model adequate for the pass/fail decision</w:t>
            </w:r>
          </w:p>
        </w:tc>
      </w:tr>
      <w:tr w:rsidR="00246B56" w14:paraId="4F26ACA7" w14:textId="77777777">
        <w:tc>
          <w:tcPr>
            <w:tcW w:w="0" w:type="auto"/>
          </w:tcPr>
          <w:p w14:paraId="1408A6A8" w14:textId="77777777" w:rsidR="00246B56" w:rsidRDefault="00000000">
            <w:pPr>
              <w:pStyle w:val="Compact"/>
              <w:jc w:val="left"/>
            </w:pPr>
            <w:r>
              <w:t>Robust fail</w:t>
            </w:r>
          </w:p>
        </w:tc>
        <w:tc>
          <w:tcPr>
            <w:tcW w:w="0" w:type="auto"/>
          </w:tcPr>
          <w:p w14:paraId="2AEE39AC" w14:textId="77777777" w:rsidR="00246B56" w:rsidRDefault="00000000">
            <w:pPr>
              <w:pStyle w:val="Compact"/>
              <w:jc w:val="left"/>
            </w:pPr>
            <w:r>
              <w:t>Robust fail</w:t>
            </w:r>
          </w:p>
        </w:tc>
        <w:tc>
          <w:tcPr>
            <w:tcW w:w="0" w:type="auto"/>
          </w:tcPr>
          <w:p w14:paraId="10274FA2" w14:textId="77777777" w:rsidR="00246B56" w:rsidRDefault="00000000">
            <w:pPr>
              <w:pStyle w:val="Compact"/>
              <w:jc w:val="left"/>
            </w:pPr>
            <w:r>
              <w:t>Decision agreement — frame model adequate for screening failure</w:t>
            </w:r>
          </w:p>
        </w:tc>
      </w:tr>
      <w:tr w:rsidR="00246B56" w14:paraId="477D09F4" w14:textId="77777777">
        <w:tc>
          <w:tcPr>
            <w:tcW w:w="0" w:type="auto"/>
          </w:tcPr>
          <w:p w14:paraId="19BA625B" w14:textId="77777777" w:rsidR="00246B56" w:rsidRDefault="00000000">
            <w:pPr>
              <w:pStyle w:val="Compact"/>
              <w:jc w:val="left"/>
            </w:pPr>
            <w:r>
              <w:t>Robust pass</w:t>
            </w:r>
          </w:p>
        </w:tc>
        <w:tc>
          <w:tcPr>
            <w:tcW w:w="0" w:type="auto"/>
          </w:tcPr>
          <w:p w14:paraId="1E5BEED0" w14:textId="77777777" w:rsidR="00246B56" w:rsidRDefault="00000000">
            <w:pPr>
              <w:pStyle w:val="Compact"/>
              <w:jc w:val="left"/>
            </w:pPr>
            <w:r>
              <w:t>Robust fail</w:t>
            </w:r>
          </w:p>
        </w:tc>
        <w:tc>
          <w:tcPr>
            <w:tcW w:w="0" w:type="auto"/>
          </w:tcPr>
          <w:p w14:paraId="47E56C6A" w14:textId="77777777" w:rsidR="00246B56" w:rsidRDefault="00000000">
            <w:pPr>
              <w:pStyle w:val="Compact"/>
              <w:jc w:val="left"/>
            </w:pPr>
            <w:r>
              <w:t>Safety-critical relative optimism — adequacy rejected</w:t>
            </w:r>
          </w:p>
        </w:tc>
      </w:tr>
      <w:tr w:rsidR="00246B56" w14:paraId="6A8C9225" w14:textId="77777777">
        <w:tc>
          <w:tcPr>
            <w:tcW w:w="0" w:type="auto"/>
          </w:tcPr>
          <w:p w14:paraId="22F3C19D" w14:textId="77777777" w:rsidR="00246B56" w:rsidRDefault="00000000">
            <w:pPr>
              <w:pStyle w:val="Compact"/>
              <w:jc w:val="left"/>
            </w:pPr>
            <w:r>
              <w:t>Robust fail</w:t>
            </w:r>
          </w:p>
        </w:tc>
        <w:tc>
          <w:tcPr>
            <w:tcW w:w="0" w:type="auto"/>
          </w:tcPr>
          <w:p w14:paraId="7C57740E" w14:textId="77777777" w:rsidR="00246B56" w:rsidRDefault="00000000">
            <w:pPr>
              <w:pStyle w:val="Compact"/>
              <w:jc w:val="left"/>
            </w:pPr>
            <w:r>
              <w:t>Robust pass</w:t>
            </w:r>
          </w:p>
        </w:tc>
        <w:tc>
          <w:tcPr>
            <w:tcW w:w="0" w:type="auto"/>
          </w:tcPr>
          <w:p w14:paraId="420C3CFD" w14:textId="77777777" w:rsidR="00246B56" w:rsidRDefault="00000000">
            <w:pPr>
              <w:pStyle w:val="Compact"/>
              <w:jc w:val="left"/>
            </w:pPr>
            <w:r>
              <w:t>Relative conservatism — frame model possibly over-restrictive</w:t>
            </w:r>
          </w:p>
        </w:tc>
      </w:tr>
      <w:tr w:rsidR="00246B56" w14:paraId="5706D641" w14:textId="77777777">
        <w:tc>
          <w:tcPr>
            <w:tcW w:w="0" w:type="auto"/>
          </w:tcPr>
          <w:p w14:paraId="2DCF8649" w14:textId="77777777" w:rsidR="00246B56" w:rsidRDefault="00000000">
            <w:pPr>
              <w:pStyle w:val="Compact"/>
              <w:jc w:val="left"/>
            </w:pPr>
            <w:r>
              <w:t>Determinate</w:t>
            </w:r>
          </w:p>
        </w:tc>
        <w:tc>
          <w:tcPr>
            <w:tcW w:w="0" w:type="auto"/>
          </w:tcPr>
          <w:p w14:paraId="0D5F6721" w14:textId="77777777" w:rsidR="00246B56" w:rsidRDefault="00000000">
            <w:pPr>
              <w:pStyle w:val="Compact"/>
              <w:jc w:val="left"/>
            </w:pPr>
            <w:r>
              <w:t>Indeterminate</w:t>
            </w:r>
          </w:p>
        </w:tc>
        <w:tc>
          <w:tcPr>
            <w:tcW w:w="0" w:type="auto"/>
          </w:tcPr>
          <w:p w14:paraId="200410D7" w14:textId="77777777" w:rsidR="00246B56" w:rsidRDefault="00000000">
            <w:pPr>
              <w:pStyle w:val="Compact"/>
              <w:jc w:val="left"/>
            </w:pPr>
            <w:r>
              <w:t>Enriched-model uncertainty must be resolved</w:t>
            </w:r>
          </w:p>
        </w:tc>
      </w:tr>
      <w:tr w:rsidR="00246B56" w14:paraId="4F17E5B4" w14:textId="77777777">
        <w:tc>
          <w:tcPr>
            <w:tcW w:w="0" w:type="auto"/>
          </w:tcPr>
          <w:p w14:paraId="3C5666C3" w14:textId="77777777" w:rsidR="00246B56" w:rsidRDefault="00000000">
            <w:pPr>
              <w:pStyle w:val="Compact"/>
              <w:jc w:val="left"/>
            </w:pPr>
            <w:r>
              <w:t>Indeterminate</w:t>
            </w:r>
          </w:p>
        </w:tc>
        <w:tc>
          <w:tcPr>
            <w:tcW w:w="0" w:type="auto"/>
          </w:tcPr>
          <w:p w14:paraId="59B116F0" w14:textId="77777777" w:rsidR="00246B56" w:rsidRDefault="00000000">
            <w:pPr>
              <w:pStyle w:val="Compact"/>
              <w:jc w:val="left"/>
            </w:pPr>
            <w:r>
              <w:t>Determinate</w:t>
            </w:r>
          </w:p>
        </w:tc>
        <w:tc>
          <w:tcPr>
            <w:tcW w:w="0" w:type="auto"/>
          </w:tcPr>
          <w:p w14:paraId="79C9D5B1" w14:textId="77777777" w:rsidR="00246B56" w:rsidRDefault="00000000">
            <w:pPr>
              <w:pStyle w:val="Compact"/>
              <w:jc w:val="left"/>
            </w:pPr>
            <w:r>
              <w:t>Frame-model decision not robust</w:t>
            </w:r>
          </w:p>
        </w:tc>
      </w:tr>
      <w:tr w:rsidR="00246B56" w14:paraId="7DD5556F" w14:textId="77777777">
        <w:tc>
          <w:tcPr>
            <w:tcW w:w="0" w:type="auto"/>
          </w:tcPr>
          <w:p w14:paraId="62D414B6" w14:textId="77777777" w:rsidR="00246B56" w:rsidRDefault="00000000">
            <w:pPr>
              <w:pStyle w:val="Compact"/>
              <w:jc w:val="left"/>
            </w:pPr>
            <w:r>
              <w:t>Indeterminate</w:t>
            </w:r>
          </w:p>
        </w:tc>
        <w:tc>
          <w:tcPr>
            <w:tcW w:w="0" w:type="auto"/>
          </w:tcPr>
          <w:p w14:paraId="7D2B80A6" w14:textId="77777777" w:rsidR="00246B56" w:rsidRDefault="00000000">
            <w:pPr>
              <w:pStyle w:val="Compact"/>
              <w:jc w:val="left"/>
            </w:pPr>
            <w:r>
              <w:t>Indeterminate</w:t>
            </w:r>
          </w:p>
        </w:tc>
        <w:tc>
          <w:tcPr>
            <w:tcW w:w="0" w:type="auto"/>
          </w:tcPr>
          <w:p w14:paraId="08F36E26" w14:textId="77777777" w:rsidR="00246B56" w:rsidRDefault="00000000">
            <w:pPr>
              <w:pStyle w:val="Compact"/>
              <w:jc w:val="left"/>
            </w:pPr>
            <w:r>
              <w:t>No defensible adequacy conclusion</w:t>
            </w:r>
          </w:p>
        </w:tc>
      </w:tr>
    </w:tbl>
    <w:p w14:paraId="7C3B74EA" w14:textId="77777777" w:rsidR="00246B56" w:rsidRDefault="00000000">
      <w:pPr>
        <w:pStyle w:val="BodyText"/>
      </w:pPr>
      <w:r>
        <w:t xml:space="preserve">A separate diagnostic table reports the capacity divergence </w:t>
      </w:r>
      <m:oMath>
        <m:sSub>
          <m:sSubPr>
            <m:ctrlPr>
              <w:rPr>
                <w:rFonts w:ascii="Cambria Math" w:hAnsi="Cambria Math"/>
              </w:rPr>
            </m:ctrlPr>
          </m:sSubPr>
          <m:e>
            <m:r>
              <w:rPr>
                <w:rFonts w:ascii="Cambria Math" w:hAnsi="Cambria Math"/>
              </w:rPr>
              <m:t>Δ</m:t>
            </m:r>
          </m:e>
          <m:sub>
            <m:r>
              <w:rPr>
                <w:rFonts w:ascii="Cambria Math" w:hAnsi="Cambria Math"/>
              </w:rPr>
              <m:t>F</m:t>
            </m:r>
            <m:r>
              <m:rPr>
                <m:sty m:val="p"/>
              </m:rPr>
              <w:rPr>
                <w:rFonts w:ascii="Cambria Math" w:hAnsi="Cambria Math"/>
              </w:rPr>
              <m:t>/</m:t>
            </m:r>
            <m:r>
              <w:rPr>
                <w:rFonts w:ascii="Cambria Math" w:hAnsi="Cambria Math"/>
              </w:rPr>
              <m:t>E</m:t>
            </m:r>
          </m:sub>
        </m:sSub>
      </m:oMath>
      <w:r>
        <w:t xml:space="preserve">, the decision-margin divergence </w:t>
      </w:r>
      <m:oMath>
        <m:sSub>
          <m:sSubPr>
            <m:ctrlPr>
              <w:rPr>
                <w:rFonts w:ascii="Cambria Math" w:hAnsi="Cambria Math"/>
              </w:rPr>
            </m:ctrlPr>
          </m:sSubPr>
          <m:e>
            <m:r>
              <w:rPr>
                <w:rFonts w:ascii="Cambria Math" w:hAnsi="Cambria Math"/>
              </w:rPr>
              <m:t>Δ</m:t>
            </m:r>
          </m:e>
          <m:sub>
            <m:r>
              <w:rPr>
                <w:rFonts w:ascii="Cambria Math" w:hAnsi="Cambria Math"/>
              </w:rPr>
              <m:t>g</m:t>
            </m:r>
          </m:sub>
        </m:sSub>
      </m:oMath>
      <w:r>
        <w:t xml:space="preserve">, governing load combinations, active ignorance-set constraints, and modal classifications; these explain agreement or conflict but do not replace the decision outcome. The primary hypotheses follow. The </w:t>
      </w:r>
      <w:r>
        <w:rPr>
          <w:b/>
          <w:bCs/>
        </w:rPr>
        <w:t>decision-adequacy hypothesis</w:t>
      </w:r>
      <w:r>
        <w:t xml:space="preserve"> is</w:t>
      </w:r>
    </w:p>
    <w:p w14:paraId="10011CF0"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d>
            <m:dPr>
              <m:ctrlPr>
                <w:rPr>
                  <w:rFonts w:ascii="Cambria Math" w:hAnsi="Cambria Math"/>
                </w:rPr>
              </m:ctrlPr>
            </m:dPr>
            <m:e>
              <m:r>
                <w:rPr>
                  <w:rFonts w:ascii="Cambria Math" w:hAnsi="Cambria Math"/>
                </w:rPr>
                <m:t>c</m:t>
              </m:r>
            </m:e>
          </m:d>
          <m:r>
            <m:rPr>
              <m:sty m:val="p"/>
            </m:rPr>
            <w:rPr>
              <w:rFonts w:ascii="Cambria Math" w:hAnsi="Cambria Math"/>
            </w:rPr>
            <m:t>∈{</m:t>
          </m:r>
          <m:r>
            <m:rPr>
              <m:nor/>
            </m:rPr>
            <m:t>robust pass</m:t>
          </m:r>
          <m:r>
            <m:rPr>
              <m:sty m:val="p"/>
            </m:rPr>
            <w:rPr>
              <w:rFonts w:ascii="Cambria Math" w:hAnsi="Cambria Math"/>
            </w:rPr>
            <m:t>,</m:t>
          </m:r>
          <m:r>
            <w:rPr>
              <w:rFonts w:ascii="Cambria Math" w:hAnsi="Cambria Math"/>
            </w:rPr>
            <m:t> </m:t>
          </m:r>
          <m:r>
            <m:rPr>
              <m:nor/>
            </m:rPr>
            <m:t>robust fail</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c</m:t>
          </m:r>
          <m:r>
            <m:rPr>
              <m:scr m:val="script"/>
              <m:sty m:val="p"/>
            </m:rPr>
            <w:rPr>
              <w:rFonts w:ascii="Cambria Math" w:hAnsi="Cambria Math"/>
            </w:rPr>
            <m:t>∈C,</m:t>
          </m:r>
        </m:oMath>
      </m:oMathPara>
    </w:p>
    <w:p w14:paraId="15BFD445" w14:textId="77777777" w:rsidR="00246B56" w:rsidRDefault="00000000">
      <w:pPr>
        <w:pStyle w:val="FirstParagraph"/>
      </w:pPr>
      <w:r>
        <w:t xml:space="preserve">which fails if the models produce opposite robust decisions, if either is indeterminate, or if a frame-pass/enriched-fail conflict exists in the declared domain. The safety-critical </w:t>
      </w:r>
      <w:r>
        <w:rPr>
          <w:b/>
          <w:bCs/>
        </w:rPr>
        <w:t>relative-optimism hypothesis</w:t>
      </w:r>
      <w:r>
        <w:t xml:space="preserve"> is</w:t>
      </w:r>
    </w:p>
    <w:p w14:paraId="7B3F0D91" w14:textId="77777777" w:rsidR="00246B56"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O</m:t>
              </m:r>
            </m:sub>
          </m:sSub>
          <m:r>
            <m:rPr>
              <m:sty m:val="p"/>
            </m:rPr>
            <w:rPr>
              <w:rFonts w:ascii="Cambria Math" w:hAnsi="Cambria Math"/>
            </w:rPr>
            <m:t>:</m:t>
          </m:r>
          <m:r>
            <w:rPr>
              <w:rFonts w:ascii="Cambria Math" w:hAnsi="Cambria Math"/>
            </w:rPr>
            <m:t> </m:t>
          </m:r>
          <m:r>
            <m:rPr>
              <m:scr m:val="script"/>
              <m:sty m:val="p"/>
            </m:rPr>
            <w:rPr>
              <w:rFonts w:ascii="Cambria Math" w:hAnsi="Cambria Math"/>
            </w:rPr>
            <m:t>O=⌀,</m:t>
          </m:r>
        </m:oMath>
      </m:oMathPara>
    </w:p>
    <w:p w14:paraId="3CF85DDA" w14:textId="77777777" w:rsidR="00246B56" w:rsidRDefault="00000000">
      <w:pPr>
        <w:pStyle w:val="FirstParagraph"/>
      </w:pPr>
      <w:r>
        <w:t xml:space="preserve">whose rejection identifies at least one configuration, combination, or plausible realisation for which the frame model passes while the enriched model fails — establishing not that the enriched model is physically correct, but that accepting the frame model without resolving the disagreement is not defensible. A </w:t>
      </w:r>
      <w:r>
        <w:rPr>
          <w:b/>
          <w:bCs/>
        </w:rPr>
        <w:t>modal-adequacy</w:t>
      </w:r>
      <w:r>
        <w:t xml:space="preserve"> condition supports the diagnosis: for a well-separated governing mode it </w:t>
      </w:r>
      <w:r>
        <w:lastRenderedPageBreak/>
        <w:t xml:space="preserve">requires </w:t>
      </w:r>
      <m:oMath>
        <m:sSub>
          <m:sSubPr>
            <m:ctrlPr>
              <w:rPr>
                <w:rFonts w:ascii="Cambria Math" w:hAnsi="Cambria Math"/>
              </w:rPr>
            </m:ctrlPr>
          </m:sSubPr>
          <m:e>
            <m:r>
              <m:rPr>
                <m:sty m:val="p"/>
              </m:rPr>
              <w:rPr>
                <w:rFonts w:ascii="Cambria Math" w:hAnsi="Cambria Math"/>
              </w:rPr>
              <m:t>MAC</m:t>
            </m:r>
          </m:e>
          <m:sub>
            <m:r>
              <m:rPr>
                <m:sty m:val="p"/>
              </m:rPr>
              <w:rPr>
                <w:rFonts w:ascii="Cambria Math" w:hAnsi="Cambria Math"/>
              </w:rPr>
              <m:t>sk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MAC</m:t>
            </m:r>
          </m:sub>
        </m:sSub>
      </m:oMath>
      <w:r>
        <w:t xml:space="preserve"> and </w:t>
      </w:r>
      <m:oMath>
        <m:sSub>
          <m:sSubPr>
            <m:ctrlPr>
              <w:rPr>
                <w:rFonts w:ascii="Cambria Math" w:hAnsi="Cambria Math"/>
              </w:rPr>
            </m:ctrlPr>
          </m:sSubPr>
          <m:e>
            <m:r>
              <w:rPr>
                <w:rFonts w:ascii="Cambria Math" w:hAnsi="Cambria Math"/>
              </w:rPr>
              <m:t>D</m:t>
            </m:r>
          </m:e>
          <m:sub>
            <m:r>
              <m:rPr>
                <m:sty m:val="p"/>
              </m:rPr>
              <w:rPr>
                <w:rFonts w:ascii="Cambria Math" w:hAnsi="Cambria Math"/>
              </w:rPr>
              <m:t>dist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dist</m:t>
            </m:r>
          </m:sub>
        </m:sSub>
      </m:oMath>
      <w:r>
        <w:t xml:space="preserve">, and for a clustered spectrum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sub</m:t>
            </m:r>
          </m:sub>
        </m:sSub>
      </m:oMath>
      <w:r>
        <w:t xml:space="preserve"> and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dist</m:t>
            </m:r>
          </m:sub>
        </m:sSub>
      </m:oMath>
      <w:r>
        <w:t>; modal adequacy is diagnostic, since two models may carry different mechanisms while retaining the same current decision.</w:t>
      </w:r>
    </w:p>
    <w:p w14:paraId="1F353682" w14:textId="77777777" w:rsidR="00246B56" w:rsidRDefault="00000000">
      <w:pPr>
        <w:pStyle w:val="BodyText"/>
      </w:pPr>
      <w:r>
        <w:t xml:space="preserve">A deterministic finite-element calculation does not supply the repeated random observations required for a classical statistical equivalence test, so the primary certification is set-based — robust passage </w:t>
      </w:r>
      <m:oMath>
        <m:sSub>
          <m:sSubPr>
            <m:ctrlPr>
              <w:rPr>
                <w:rFonts w:ascii="Cambria Math" w:hAnsi="Cambria Math"/>
              </w:rPr>
            </m:ctrlPr>
          </m:sSubPr>
          <m:e>
            <m:bar>
              <m:barPr>
                <m:ctrlPr>
                  <w:rPr>
                    <w:rFonts w:ascii="Cambria Math" w:hAnsi="Cambria Math"/>
                  </w:rPr>
                </m:ctrlPr>
              </m:barPr>
              <m:e>
                <m:r>
                  <w:rPr>
                    <w:rFonts w:ascii="Cambria Math" w:hAnsi="Cambria Math"/>
                  </w:rPr>
                  <m:t>G</m:t>
                </m:r>
              </m:e>
            </m:bar>
          </m:e>
          <m:sub>
            <m:r>
              <w:rPr>
                <w:rFonts w:ascii="Cambria Math" w:hAnsi="Cambria Math"/>
              </w:rPr>
              <m:t>M</m:t>
            </m:r>
          </m:sub>
        </m:sSub>
        <m:r>
          <m:rPr>
            <m:sty m:val="p"/>
          </m:rPr>
          <w:rPr>
            <w:rFonts w:ascii="Cambria Math" w:hAnsi="Cambria Math"/>
          </w:rPr>
          <m:t>≥</m:t>
        </m:r>
        <m:r>
          <w:rPr>
            <w:rFonts w:ascii="Cambria Math" w:hAnsi="Cambria Math"/>
          </w:rPr>
          <m:t>0</m:t>
        </m:r>
      </m:oMath>
      <w:r>
        <w:t xml:space="preserve"> over a fully declared uncertainty set, together with verified numerical bounds — providing a deterministic guarantee relative to the stated parameter box, the searched load domain, the adopted error bounds, and the declared stability criterion. A two-one-sided-tests procedure becomes appropriate only where a defensible sampling distribution exists, from repeated physical tests, measured support-property samples, probabilistic manufacturing data, or statistically characterised surrogate error [10]; it was developed to test equivalence between population quantities, not to replace deterministic uncertainty bounding of one solver output. Where statistical data are available, the dangerous error — falsely certifying decision equivalence when the comparison is not equivalent — is controlled explicitly, and the equivalence region is defined in terms of the decision margin </w:t>
      </w:r>
      <m:oMath>
        <m:r>
          <w:rPr>
            <w:rFonts w:ascii="Cambria Math" w:hAnsi="Cambria Math"/>
          </w:rPr>
          <m:t>g</m:t>
        </m:r>
      </m:oMath>
      <w:r>
        <w:t xml:space="preserve">, not an arbitrary percentage difference in </w:t>
      </w:r>
      <m:oMath>
        <m:r>
          <w:rPr>
            <w:rFonts w:ascii="Cambria Math" w:hAnsi="Cambria Math"/>
          </w:rPr>
          <m:t>α</m:t>
        </m:r>
      </m:oMath>
      <w:r>
        <w:t>.</w:t>
      </w:r>
    </w:p>
    <w:p w14:paraId="54A49545" w14:textId="77777777" w:rsidR="00246B56" w:rsidRDefault="00000000">
      <w:pPr>
        <w:pStyle w:val="Heading2"/>
      </w:pPr>
      <w:bookmarkStart w:id="25" w:name="case-study-programme"/>
      <w:bookmarkEnd w:id="24"/>
      <w:r>
        <w:t>16. Case-study programme</w:t>
      </w:r>
    </w:p>
    <w:p w14:paraId="48FF6A1B" w14:textId="77777777" w:rsidR="00246B56" w:rsidRDefault="00000000">
      <w:pPr>
        <w:pStyle w:val="FirstParagraph"/>
      </w:pPr>
      <w:r>
        <w:t xml:space="preserve">Before the full buckling hierarchy is applied to any item, a </w:t>
      </w:r>
      <w:r>
        <w:rPr>
          <w:b/>
          <w:bCs/>
        </w:rPr>
        <w:t>limit-state relevance gate</w:t>
      </w:r>
      <w:r>
        <w:t xml:space="preserve"> screens whether structural buckling is plausibly an active governing mechanism, by comparing reserve factors for elastic or inelastic buckling, yielding or strength, rigid-body overturning, wheel, bogie, bearing, or support capacity, contact loss, serviceability displacement, and local plate failure. The gate acknowledges that for movable equipment the dominant field mechanisms are frequently overturning and support capacity rather than elastic buckling.</w:t>
      </w:r>
    </w:p>
    <w:p w14:paraId="0996792F" w14:textId="77777777" w:rsidR="00246B56" w:rsidRDefault="00000000">
      <w:pPr>
        <w:pStyle w:val="BodyText"/>
      </w:pPr>
      <w:r>
        <w:t xml:space="preserve">The </w:t>
      </w:r>
      <w:r>
        <w:rPr>
          <w:b/>
          <w:bCs/>
        </w:rPr>
        <w:t>launching girder at maximum cantilever</w:t>
      </w:r>
      <w:r>
        <w:t xml:space="preserve"> is retained as the primary demonstrator, its governing overhang located by the configuration search of Section 8 rather than assumed, because its stability can plausibly be controlled by structural deformation and configuration-dependent stiffness and because it is the natural host for the compound-mode interaction of Section 11. The </w:t>
      </w:r>
      <w:r>
        <w:rPr>
          <w:b/>
          <w:bCs/>
        </w:rPr>
        <w:t>straddle carrier</w:t>
      </w:r>
      <w:r>
        <w:t xml:space="preserve"> and the </w:t>
      </w:r>
      <w:r>
        <w:rPr>
          <w:b/>
          <w:bCs/>
        </w:rPr>
        <w:t>girder transporter</w:t>
      </w:r>
      <w:r>
        <w:t xml:space="preserve"> are treated as contrast cases: for each, the gate compares frame buckling against overturning, eccentric lifting or placement, wheel or tyre unloading, braking or suspension redistribution, and support capacity. If a non-buckling limit state governs well before structural buckling, the study reports that buckling is not the active mechanism, and the model hierarchy is then used only to establish that a simpler stability model suffices to screen buckling out of the governing design set. This yields two useful classes of finding — “the frame model is insufficiently supported for this launching stage” and “buckling refinement does not alter the decision because another limit state governs” — and a negative buckling result is a valid engineering conclusion rather than a failed experiment.</w:t>
      </w:r>
    </w:p>
    <w:p w14:paraId="46A846A0" w14:textId="77777777" w:rsidR="00246B56" w:rsidRDefault="00000000">
      <w:pPr>
        <w:pStyle w:val="Heading2"/>
      </w:pPr>
      <w:bookmarkStart w:id="26" w:name="claim-boundary-and-conclusions"/>
      <w:bookmarkEnd w:id="25"/>
      <w:r>
        <w:t>17. Claim boundary and conclusions</w:t>
      </w:r>
    </w:p>
    <w:p w14:paraId="40AA415D" w14:textId="77777777" w:rsidR="00246B56" w:rsidRDefault="00000000">
      <w:pPr>
        <w:pStyle w:val="FirstParagraph"/>
      </w:pPr>
      <w:r>
        <w:t xml:space="preserve">The framework separates two layers that are routinely conflated. </w:t>
      </w:r>
      <w:r>
        <w:rPr>
          <w:i/>
          <w:iCs/>
        </w:rPr>
        <w:t>Project-basis decision concordance</w:t>
      </w:r>
      <w:r>
        <w:t xml:space="preserve"> — whether two analysis methods reach the same pass/fail decision under the acceptance rule assigned to each by the governing basis, across configurations, simultaneous combinations, and a declared ignorance set — is the subject of this paper. </w:t>
      </w:r>
      <w:r>
        <w:rPr>
          <w:i/>
          <w:iCs/>
        </w:rPr>
        <w:t>Method-calibrated target reliability</w:t>
      </w:r>
      <w:r>
        <w:t xml:space="preserve"> — whether either method attains an intended reliability index — lies explicitly outside it, because it requires probability and model-bias information that a deterministic model comparison and a non-probabilistic ignorance set do not supply.</w:t>
      </w:r>
    </w:p>
    <w:p w14:paraId="5E9A736F" w14:textId="77777777" w:rsidR="00246B56" w:rsidRDefault="00000000">
      <w:pPr>
        <w:pStyle w:val="BodyText"/>
      </w:pPr>
      <w:r>
        <w:lastRenderedPageBreak/>
        <w:t>Within the first layer, the paper may claim that under the method-specific acceptance rules of the declared basis the frame and enriched analyses produce concordant, conflicting, or unresolved decisions over the investigated domains, and may additionally identify frame-relative optimism or conservatism, governing parameter combinations, active ignorance-set constraints, decision-flip boundaries, modal-interaction mechanisms, and the lowest capacities found through multimode imperfection searches. Its strongest positive result is that the engineering decision is robust to the unresolved modelling parameters over the declared ignorance set; its strongest negative result is that the decision changes within the plausible parameter or model-form domain, with the flip boundary identifying the physical quantity that must be measured before acceptance.</w:t>
      </w:r>
    </w:p>
    <w:p w14:paraId="664B63AE" w14:textId="77777777" w:rsidR="00246B56" w:rsidRDefault="00000000">
      <w:pPr>
        <w:pStyle w:val="BodyText"/>
      </w:pPr>
      <w:r>
        <w:t>Three claims are excluded without further evidence. Without reliability calibration, the paper does not claim that both methods achieve the same target reliability. Without a certified continuous-domain bound, it does not claim that a result holds for every configuration and load combination. Without certified global optimisation or a proven lower-bounding method, it does not claim that the true worst-case imperfection capacity has been found. It does not, under any circumstances, claim that the enriched model is more accurate merely because it contains more detail.</w:t>
      </w:r>
    </w:p>
    <w:p w14:paraId="753BFBCD" w14:textId="77777777" w:rsidR="00246B56" w:rsidRDefault="00000000">
      <w:pPr>
        <w:pStyle w:val="BodyText"/>
      </w:pPr>
      <w:r>
        <w:t>Two principles summarise the position. First, computational refinement does not prove accuracy; it tests whether a cheaper idealisation remains adequate for a specified engineering decision. Second, and governing the evidentiary logic throughout: a single verified counterexample can disprove robust passage, whereas a finite collection of successful nonlinear analyses cannot certify it. Codal member checks certify components; a verified, uncertainty-characterised system analysis tests the stability decision of the assembled machine — and does so honestly only when it reports, alongside any verdict, the boundary at which that verdict would change and the measurement that would settle it.</w:t>
      </w:r>
    </w:p>
    <w:p w14:paraId="0D1C5380" w14:textId="77777777" w:rsidR="00246B56" w:rsidRDefault="00000000">
      <w:pPr>
        <w:pStyle w:val="Heading2"/>
      </w:pPr>
      <w:bookmarkStart w:id="27" w:name="references"/>
      <w:bookmarkEnd w:id="26"/>
      <w:r>
        <w:t>References</w:t>
      </w:r>
    </w:p>
    <w:p w14:paraId="12BC0801" w14:textId="77777777" w:rsidR="00246B56" w:rsidRPr="00EC28C7" w:rsidRDefault="00000000">
      <w:pPr>
        <w:pStyle w:val="Compact"/>
        <w:numPr>
          <w:ilvl w:val="0"/>
          <w:numId w:val="2"/>
        </w:numPr>
        <w:rPr>
          <w:sz w:val="20"/>
          <w:szCs w:val="20"/>
        </w:rPr>
      </w:pPr>
      <w:r w:rsidRPr="00EC28C7">
        <w:rPr>
          <w:sz w:val="20"/>
          <w:szCs w:val="20"/>
        </w:rPr>
        <w:t xml:space="preserve">Koiter, W. T. </w:t>
      </w:r>
      <w:r w:rsidRPr="00EC28C7">
        <w:rPr>
          <w:i/>
          <w:iCs/>
          <w:sz w:val="20"/>
          <w:szCs w:val="20"/>
        </w:rPr>
        <w:t>On the Stability of Elastic Equilibrium.</w:t>
      </w:r>
      <w:r w:rsidRPr="00EC28C7">
        <w:rPr>
          <w:sz w:val="20"/>
          <w:szCs w:val="20"/>
        </w:rPr>
        <w:t xml:space="preserve"> PhD thesis, Delft, 1945; English translation NASA TT F-10833, 1967.</w:t>
      </w:r>
    </w:p>
    <w:p w14:paraId="528BD22C" w14:textId="77777777" w:rsidR="00246B56" w:rsidRPr="00EC28C7" w:rsidRDefault="00000000">
      <w:pPr>
        <w:pStyle w:val="Compact"/>
        <w:numPr>
          <w:ilvl w:val="0"/>
          <w:numId w:val="2"/>
        </w:numPr>
        <w:rPr>
          <w:sz w:val="20"/>
          <w:szCs w:val="20"/>
        </w:rPr>
      </w:pPr>
      <w:r w:rsidRPr="00EC28C7">
        <w:rPr>
          <w:sz w:val="20"/>
          <w:szCs w:val="20"/>
        </w:rPr>
        <w:t xml:space="preserve">Thompson, J. M. T., and Hunt, G. W. </w:t>
      </w:r>
      <w:r w:rsidRPr="00EC28C7">
        <w:rPr>
          <w:i/>
          <w:iCs/>
          <w:sz w:val="20"/>
          <w:szCs w:val="20"/>
        </w:rPr>
        <w:t>A General Theory of Elastic Stability.</w:t>
      </w:r>
      <w:r w:rsidRPr="00EC28C7">
        <w:rPr>
          <w:sz w:val="20"/>
          <w:szCs w:val="20"/>
        </w:rPr>
        <w:t xml:space="preserve"> Wiley, London, 1973.</w:t>
      </w:r>
    </w:p>
    <w:p w14:paraId="590ACA95" w14:textId="77777777" w:rsidR="00246B56" w:rsidRPr="00EC28C7" w:rsidRDefault="00000000">
      <w:pPr>
        <w:pStyle w:val="Compact"/>
        <w:numPr>
          <w:ilvl w:val="0"/>
          <w:numId w:val="2"/>
        </w:numPr>
        <w:rPr>
          <w:sz w:val="20"/>
          <w:szCs w:val="20"/>
        </w:rPr>
      </w:pPr>
      <w:r w:rsidRPr="00EC28C7">
        <w:rPr>
          <w:sz w:val="20"/>
          <w:szCs w:val="20"/>
        </w:rPr>
        <w:t xml:space="preserve">Timoshenko, S. P., and Gere, J. M. </w:t>
      </w:r>
      <w:r w:rsidRPr="00EC28C7">
        <w:rPr>
          <w:i/>
          <w:iCs/>
          <w:sz w:val="20"/>
          <w:szCs w:val="20"/>
        </w:rPr>
        <w:t>Theory of Elastic Stability.</w:t>
      </w:r>
      <w:r w:rsidRPr="00EC28C7">
        <w:rPr>
          <w:sz w:val="20"/>
          <w:szCs w:val="20"/>
        </w:rPr>
        <w:t xml:space="preserve"> 2nd ed., McGraw-Hill, New York, 1961.</w:t>
      </w:r>
    </w:p>
    <w:p w14:paraId="0E0AA5DA" w14:textId="77777777" w:rsidR="00246B56" w:rsidRPr="00EC28C7" w:rsidRDefault="00000000">
      <w:pPr>
        <w:pStyle w:val="Compact"/>
        <w:numPr>
          <w:ilvl w:val="0"/>
          <w:numId w:val="2"/>
        </w:numPr>
        <w:rPr>
          <w:sz w:val="20"/>
          <w:szCs w:val="20"/>
        </w:rPr>
      </w:pPr>
      <w:r w:rsidRPr="00EC28C7">
        <w:rPr>
          <w:sz w:val="20"/>
          <w:szCs w:val="20"/>
        </w:rPr>
        <w:t xml:space="preserve">van der Neut, A. “The interaction of local buckling and column failure of thin-walled compression members.” </w:t>
      </w:r>
      <w:r w:rsidRPr="00EC28C7">
        <w:rPr>
          <w:i/>
          <w:iCs/>
          <w:sz w:val="20"/>
          <w:szCs w:val="20"/>
        </w:rPr>
        <w:t>Proceedings of the 12th International Congress of Applied Mechanics,</w:t>
      </w:r>
      <w:r w:rsidRPr="00EC28C7">
        <w:rPr>
          <w:sz w:val="20"/>
          <w:szCs w:val="20"/>
        </w:rPr>
        <w:t xml:space="preserve"> Springer, 1969, pp. 389–399.</w:t>
      </w:r>
    </w:p>
    <w:p w14:paraId="49894901" w14:textId="77777777" w:rsidR="00246B56" w:rsidRPr="00EC28C7" w:rsidRDefault="00000000">
      <w:pPr>
        <w:pStyle w:val="Compact"/>
        <w:numPr>
          <w:ilvl w:val="0"/>
          <w:numId w:val="2"/>
        </w:numPr>
        <w:rPr>
          <w:sz w:val="20"/>
          <w:szCs w:val="20"/>
        </w:rPr>
      </w:pPr>
      <w:r w:rsidRPr="00EC28C7">
        <w:rPr>
          <w:sz w:val="20"/>
          <w:szCs w:val="20"/>
        </w:rPr>
        <w:t xml:space="preserve">Allemang, R. J., and Brown, D. L. “A correlation coefficient for modal vector analysis.” </w:t>
      </w:r>
      <w:r w:rsidRPr="00EC28C7">
        <w:rPr>
          <w:i/>
          <w:iCs/>
          <w:sz w:val="20"/>
          <w:szCs w:val="20"/>
        </w:rPr>
        <w:t>Proceedings of the 1st International Modal Analysis Conference (IMAC),</w:t>
      </w:r>
      <w:r w:rsidRPr="00EC28C7">
        <w:rPr>
          <w:sz w:val="20"/>
          <w:szCs w:val="20"/>
        </w:rPr>
        <w:t xml:space="preserve"> 1982, pp. 110–116.</w:t>
      </w:r>
    </w:p>
    <w:p w14:paraId="32C276AB" w14:textId="77777777" w:rsidR="00246B56" w:rsidRPr="00EC28C7" w:rsidRDefault="00000000">
      <w:pPr>
        <w:pStyle w:val="Compact"/>
        <w:numPr>
          <w:ilvl w:val="0"/>
          <w:numId w:val="2"/>
        </w:numPr>
        <w:rPr>
          <w:sz w:val="20"/>
          <w:szCs w:val="20"/>
        </w:rPr>
      </w:pPr>
      <w:r w:rsidRPr="00EC28C7">
        <w:rPr>
          <w:sz w:val="20"/>
          <w:szCs w:val="20"/>
        </w:rPr>
        <w:t xml:space="preserve">ASME V&amp;V 10-2006. </w:t>
      </w:r>
      <w:r w:rsidRPr="00EC28C7">
        <w:rPr>
          <w:i/>
          <w:iCs/>
          <w:sz w:val="20"/>
          <w:szCs w:val="20"/>
        </w:rPr>
        <w:t>Guide for Verification and Validation in Computational Solid Mechanics.</w:t>
      </w:r>
      <w:r w:rsidRPr="00EC28C7">
        <w:rPr>
          <w:sz w:val="20"/>
          <w:szCs w:val="20"/>
        </w:rPr>
        <w:t xml:space="preserve"> American Society of Mechanical Engineers.</w:t>
      </w:r>
    </w:p>
    <w:p w14:paraId="694F46A6" w14:textId="77777777" w:rsidR="00246B56" w:rsidRPr="00EC28C7" w:rsidRDefault="00000000">
      <w:pPr>
        <w:pStyle w:val="Compact"/>
        <w:numPr>
          <w:ilvl w:val="0"/>
          <w:numId w:val="2"/>
        </w:numPr>
        <w:rPr>
          <w:sz w:val="20"/>
          <w:szCs w:val="20"/>
        </w:rPr>
      </w:pPr>
      <w:r w:rsidRPr="00EC28C7">
        <w:rPr>
          <w:sz w:val="20"/>
          <w:szCs w:val="20"/>
        </w:rPr>
        <w:t xml:space="preserve">ASME V&amp;V 10.1-2012. </w:t>
      </w:r>
      <w:r w:rsidRPr="00EC28C7">
        <w:rPr>
          <w:i/>
          <w:iCs/>
          <w:sz w:val="20"/>
          <w:szCs w:val="20"/>
        </w:rPr>
        <w:t>An Illustration of the Concepts of Verification and Validation in Computational Solid Mechanics.</w:t>
      </w:r>
      <w:r w:rsidRPr="00EC28C7">
        <w:rPr>
          <w:sz w:val="20"/>
          <w:szCs w:val="20"/>
        </w:rPr>
        <w:t xml:space="preserve"> American Society of Mechanical Engineers.</w:t>
      </w:r>
    </w:p>
    <w:p w14:paraId="215647EA" w14:textId="77777777" w:rsidR="00246B56" w:rsidRPr="00EC28C7" w:rsidRDefault="00000000">
      <w:pPr>
        <w:pStyle w:val="Compact"/>
        <w:numPr>
          <w:ilvl w:val="0"/>
          <w:numId w:val="2"/>
        </w:numPr>
        <w:rPr>
          <w:sz w:val="20"/>
          <w:szCs w:val="20"/>
        </w:rPr>
      </w:pPr>
      <w:r w:rsidRPr="00EC28C7">
        <w:rPr>
          <w:sz w:val="20"/>
          <w:szCs w:val="20"/>
        </w:rPr>
        <w:t xml:space="preserve">Ben-Haim, Y. </w:t>
      </w:r>
      <w:r w:rsidRPr="00EC28C7">
        <w:rPr>
          <w:i/>
          <w:iCs/>
          <w:sz w:val="20"/>
          <w:szCs w:val="20"/>
        </w:rPr>
        <w:t>Info-Gap Decision Theory: Decisions Under Severe Uncertainty.</w:t>
      </w:r>
      <w:r w:rsidRPr="00EC28C7">
        <w:rPr>
          <w:sz w:val="20"/>
          <w:szCs w:val="20"/>
        </w:rPr>
        <w:t xml:space="preserve"> 2nd ed., Academic Press, Oxford, 2006.</w:t>
      </w:r>
    </w:p>
    <w:p w14:paraId="0611AE48" w14:textId="77777777" w:rsidR="00246B56" w:rsidRPr="00EC28C7" w:rsidRDefault="00000000">
      <w:pPr>
        <w:pStyle w:val="Compact"/>
        <w:numPr>
          <w:ilvl w:val="0"/>
          <w:numId w:val="2"/>
        </w:numPr>
        <w:rPr>
          <w:sz w:val="20"/>
          <w:szCs w:val="20"/>
        </w:rPr>
      </w:pPr>
      <w:r w:rsidRPr="00EC28C7">
        <w:rPr>
          <w:sz w:val="20"/>
          <w:szCs w:val="20"/>
        </w:rPr>
        <w:t xml:space="preserve">Roache, P. J. </w:t>
      </w:r>
      <w:r w:rsidRPr="00EC28C7">
        <w:rPr>
          <w:i/>
          <w:iCs/>
          <w:sz w:val="20"/>
          <w:szCs w:val="20"/>
        </w:rPr>
        <w:t>Verification and Validation in Computational Science and Engineering.</w:t>
      </w:r>
      <w:r w:rsidRPr="00EC28C7">
        <w:rPr>
          <w:sz w:val="20"/>
          <w:szCs w:val="20"/>
        </w:rPr>
        <w:t xml:space="preserve"> Hermosa Publishers, Albuquerque, 1998.</w:t>
      </w:r>
    </w:p>
    <w:p w14:paraId="6F57C490" w14:textId="77777777" w:rsidR="00246B56" w:rsidRPr="00EC28C7" w:rsidRDefault="00000000">
      <w:pPr>
        <w:pStyle w:val="Compact"/>
        <w:numPr>
          <w:ilvl w:val="0"/>
          <w:numId w:val="2"/>
        </w:numPr>
        <w:rPr>
          <w:sz w:val="20"/>
          <w:szCs w:val="20"/>
        </w:rPr>
      </w:pPr>
      <w:r w:rsidRPr="00EC28C7">
        <w:rPr>
          <w:sz w:val="20"/>
          <w:szCs w:val="20"/>
        </w:rPr>
        <w:t xml:space="preserve">Schuirmann, D. J. “A comparison of the two one-sided tests procedure and the power approach for assessing the equivalence of average bioavailability.” </w:t>
      </w:r>
      <w:r w:rsidRPr="00EC28C7">
        <w:rPr>
          <w:i/>
          <w:iCs/>
          <w:sz w:val="20"/>
          <w:szCs w:val="20"/>
        </w:rPr>
        <w:t>Journal of Pharmacokinetics and Biopharmaceutics,</w:t>
      </w:r>
      <w:r w:rsidRPr="00EC28C7">
        <w:rPr>
          <w:sz w:val="20"/>
          <w:szCs w:val="20"/>
        </w:rPr>
        <w:t xml:space="preserve"> vol. 15, no. 6, 1987, pp. 657–680.</w:t>
      </w:r>
    </w:p>
    <w:p w14:paraId="151CC24C" w14:textId="77777777" w:rsidR="00246B56" w:rsidRPr="00EC28C7" w:rsidRDefault="00000000">
      <w:pPr>
        <w:pStyle w:val="Compact"/>
        <w:numPr>
          <w:ilvl w:val="0"/>
          <w:numId w:val="2"/>
        </w:numPr>
        <w:rPr>
          <w:sz w:val="20"/>
          <w:szCs w:val="20"/>
        </w:rPr>
      </w:pPr>
      <w:r w:rsidRPr="00EC28C7">
        <w:rPr>
          <w:sz w:val="20"/>
          <w:szCs w:val="20"/>
        </w:rPr>
        <w:lastRenderedPageBreak/>
        <w:t xml:space="preserve">IS 800:2007. </w:t>
      </w:r>
      <w:r w:rsidRPr="00EC28C7">
        <w:rPr>
          <w:i/>
          <w:iCs/>
          <w:sz w:val="20"/>
          <w:szCs w:val="20"/>
        </w:rPr>
        <w:t>General Construction in Steel — Code of Practice.</w:t>
      </w:r>
      <w:r w:rsidRPr="00EC28C7">
        <w:rPr>
          <w:sz w:val="20"/>
          <w:szCs w:val="20"/>
        </w:rPr>
        <w:t xml:space="preserve"> Bureau of Indian Standards, New Delhi.</w:t>
      </w:r>
    </w:p>
    <w:p w14:paraId="0B56AC5D" w14:textId="77777777" w:rsidR="00246B56" w:rsidRPr="00EC28C7" w:rsidRDefault="00000000">
      <w:pPr>
        <w:pStyle w:val="Compact"/>
        <w:numPr>
          <w:ilvl w:val="0"/>
          <w:numId w:val="2"/>
        </w:numPr>
        <w:rPr>
          <w:sz w:val="20"/>
          <w:szCs w:val="20"/>
        </w:rPr>
      </w:pPr>
      <w:r w:rsidRPr="00EC28C7">
        <w:rPr>
          <w:sz w:val="20"/>
          <w:szCs w:val="20"/>
        </w:rPr>
        <w:t xml:space="preserve">EN 1993-1-1:2005. </w:t>
      </w:r>
      <w:r w:rsidRPr="00EC28C7">
        <w:rPr>
          <w:i/>
          <w:iCs/>
          <w:sz w:val="20"/>
          <w:szCs w:val="20"/>
        </w:rPr>
        <w:t>Eurocode 3: Design of Steel Structures — Part 1-1: General Rules and Rules for Buildings.</w:t>
      </w:r>
      <w:r w:rsidRPr="00EC28C7">
        <w:rPr>
          <w:sz w:val="20"/>
          <w:szCs w:val="20"/>
        </w:rPr>
        <w:t xml:space="preserve"> CEN, Brussels.</w:t>
      </w:r>
    </w:p>
    <w:p w14:paraId="171F1B98" w14:textId="77777777" w:rsidR="00246B56" w:rsidRPr="00EC28C7" w:rsidRDefault="00000000">
      <w:pPr>
        <w:pStyle w:val="Compact"/>
        <w:numPr>
          <w:ilvl w:val="0"/>
          <w:numId w:val="2"/>
        </w:numPr>
        <w:rPr>
          <w:sz w:val="20"/>
          <w:szCs w:val="20"/>
        </w:rPr>
      </w:pPr>
      <w:r w:rsidRPr="00EC28C7">
        <w:rPr>
          <w:sz w:val="20"/>
          <w:szCs w:val="20"/>
        </w:rPr>
        <w:t xml:space="preserve">EN 1993-1-5:2006. </w:t>
      </w:r>
      <w:r w:rsidRPr="00EC28C7">
        <w:rPr>
          <w:i/>
          <w:iCs/>
          <w:sz w:val="20"/>
          <w:szCs w:val="20"/>
        </w:rPr>
        <w:t>Eurocode 3: Design of Steel Structures — Part 1-5: Plated Structural Elements</w:t>
      </w:r>
      <w:r w:rsidRPr="00EC28C7">
        <w:rPr>
          <w:sz w:val="20"/>
          <w:szCs w:val="20"/>
        </w:rPr>
        <w:t xml:space="preserve"> (including Annex C, Finite Element Methods of Analysis). CEN, Brussels.</w:t>
      </w:r>
    </w:p>
    <w:p w14:paraId="1F72455A" w14:textId="77777777" w:rsidR="00246B56" w:rsidRPr="00EC28C7" w:rsidRDefault="00000000">
      <w:pPr>
        <w:pStyle w:val="Compact"/>
        <w:numPr>
          <w:ilvl w:val="0"/>
          <w:numId w:val="2"/>
        </w:numPr>
        <w:rPr>
          <w:sz w:val="20"/>
          <w:szCs w:val="20"/>
        </w:rPr>
      </w:pPr>
      <w:r w:rsidRPr="00EC28C7">
        <w:rPr>
          <w:sz w:val="20"/>
          <w:szCs w:val="20"/>
        </w:rPr>
        <w:t xml:space="preserve">EN 1993-1-6:2007. </w:t>
      </w:r>
      <w:r w:rsidRPr="00EC28C7">
        <w:rPr>
          <w:i/>
          <w:iCs/>
          <w:sz w:val="20"/>
          <w:szCs w:val="20"/>
        </w:rPr>
        <w:t>Eurocode 3: Design of Steel Structures — Part 1-6: Strength and Stability of Shell Structures</w:t>
      </w:r>
      <w:r w:rsidRPr="00EC28C7">
        <w:rPr>
          <w:sz w:val="20"/>
          <w:szCs w:val="20"/>
        </w:rPr>
        <w:t xml:space="preserve"> (LA, LBA, GMNA, GMNIA analysis routes). CEN, Brussels.</w:t>
      </w:r>
    </w:p>
    <w:p w14:paraId="7DDB4AD5" w14:textId="77777777" w:rsidR="00246B56" w:rsidRPr="00EC28C7" w:rsidRDefault="00000000">
      <w:pPr>
        <w:pStyle w:val="Compact"/>
        <w:numPr>
          <w:ilvl w:val="0"/>
          <w:numId w:val="2"/>
        </w:numPr>
        <w:rPr>
          <w:sz w:val="20"/>
          <w:szCs w:val="20"/>
        </w:rPr>
      </w:pPr>
      <w:r w:rsidRPr="00EC28C7">
        <w:rPr>
          <w:sz w:val="20"/>
          <w:szCs w:val="20"/>
        </w:rPr>
        <w:t xml:space="preserve">ANSI/AISC 360-16. </w:t>
      </w:r>
      <w:r w:rsidRPr="00EC28C7">
        <w:rPr>
          <w:i/>
          <w:iCs/>
          <w:sz w:val="20"/>
          <w:szCs w:val="20"/>
        </w:rPr>
        <w:t>Specification for Structural Steel Buildings</w:t>
      </w:r>
      <w:r w:rsidRPr="00EC28C7">
        <w:rPr>
          <w:sz w:val="20"/>
          <w:szCs w:val="20"/>
        </w:rPr>
        <w:t xml:space="preserve"> (Chapter C, Direct Analysis Method). American Institute of Steel Construction, Chicago, 2016.</w:t>
      </w:r>
    </w:p>
    <w:p w14:paraId="60D2D5F9" w14:textId="77777777" w:rsidR="00246B56" w:rsidRPr="00EC28C7" w:rsidRDefault="00000000">
      <w:pPr>
        <w:pStyle w:val="Compact"/>
        <w:numPr>
          <w:ilvl w:val="0"/>
          <w:numId w:val="2"/>
        </w:numPr>
        <w:rPr>
          <w:sz w:val="20"/>
          <w:szCs w:val="20"/>
        </w:rPr>
      </w:pPr>
      <w:r w:rsidRPr="00EC28C7">
        <w:rPr>
          <w:sz w:val="20"/>
          <w:szCs w:val="20"/>
        </w:rPr>
        <w:t xml:space="preserve">BS 5975-1:2024. </w:t>
      </w:r>
      <w:r w:rsidRPr="00EC28C7">
        <w:rPr>
          <w:i/>
          <w:iCs/>
          <w:sz w:val="20"/>
          <w:szCs w:val="20"/>
        </w:rPr>
        <w:t>Temporary Works — Part 1: Management Procedures for the Control of Temporary Works. Code of Practice.</w:t>
      </w:r>
      <w:r w:rsidRPr="00EC28C7">
        <w:rPr>
          <w:sz w:val="20"/>
          <w:szCs w:val="20"/>
        </w:rPr>
        <w:t xml:space="preserve"> BSI. BS 5975-2:2024. </w:t>
      </w:r>
      <w:r w:rsidRPr="00EC28C7">
        <w:rPr>
          <w:i/>
          <w:iCs/>
          <w:sz w:val="20"/>
          <w:szCs w:val="20"/>
        </w:rPr>
        <w:t>Temporary Works — Part 2: Falsework Design and Implementation.</w:t>
      </w:r>
      <w:r w:rsidRPr="00EC28C7">
        <w:rPr>
          <w:sz w:val="20"/>
          <w:szCs w:val="20"/>
        </w:rPr>
        <w:t xml:space="preserve"> BSI.</w:t>
      </w:r>
    </w:p>
    <w:p w14:paraId="13679065" w14:textId="77777777" w:rsidR="00246B56" w:rsidRPr="00EC28C7" w:rsidRDefault="00000000">
      <w:pPr>
        <w:pStyle w:val="Compact"/>
        <w:numPr>
          <w:ilvl w:val="0"/>
          <w:numId w:val="2"/>
        </w:numPr>
        <w:rPr>
          <w:sz w:val="20"/>
          <w:szCs w:val="20"/>
        </w:rPr>
      </w:pPr>
      <w:r w:rsidRPr="00EC28C7">
        <w:rPr>
          <w:sz w:val="20"/>
          <w:szCs w:val="20"/>
        </w:rPr>
        <w:t xml:space="preserve">Shapley, L. S. “A value for n-person games.” In </w:t>
      </w:r>
      <w:r w:rsidRPr="00EC28C7">
        <w:rPr>
          <w:i/>
          <w:iCs/>
          <w:sz w:val="20"/>
          <w:szCs w:val="20"/>
        </w:rPr>
        <w:t>Contributions to the Theory of Games II,</w:t>
      </w:r>
      <w:r w:rsidRPr="00EC28C7">
        <w:rPr>
          <w:sz w:val="20"/>
          <w:szCs w:val="20"/>
        </w:rPr>
        <w:t xml:space="preserve"> Annals of Mathematics Studies 28, Princeton University Press, 1953, pp. 307–317.</w:t>
      </w:r>
    </w:p>
    <w:p w14:paraId="071B2B7E" w14:textId="77777777" w:rsidR="00246B56" w:rsidRPr="00EC28C7" w:rsidRDefault="00000000">
      <w:pPr>
        <w:pStyle w:val="Compact"/>
        <w:numPr>
          <w:ilvl w:val="0"/>
          <w:numId w:val="2"/>
        </w:numPr>
        <w:rPr>
          <w:sz w:val="20"/>
          <w:szCs w:val="20"/>
        </w:rPr>
      </w:pPr>
      <w:r w:rsidRPr="00EC28C7">
        <w:rPr>
          <w:sz w:val="20"/>
          <w:szCs w:val="20"/>
        </w:rPr>
        <w:t xml:space="preserve">Golub, G. H., and Van Loan, C. F. </w:t>
      </w:r>
      <w:r w:rsidRPr="00EC28C7">
        <w:rPr>
          <w:i/>
          <w:iCs/>
          <w:sz w:val="20"/>
          <w:szCs w:val="20"/>
        </w:rPr>
        <w:t>Matrix Computations.</w:t>
      </w:r>
      <w:r w:rsidRPr="00EC28C7">
        <w:rPr>
          <w:sz w:val="20"/>
          <w:szCs w:val="20"/>
        </w:rPr>
        <w:t xml:space="preserve"> 4th ed., Johns Hopkins University Press, Baltimore, 2013 (principal angles and canonical correlations between subspaces).</w:t>
      </w:r>
    </w:p>
    <w:p w14:paraId="3860281D" w14:textId="77777777" w:rsidR="00246B56" w:rsidRPr="00EC28C7" w:rsidRDefault="00000000">
      <w:pPr>
        <w:pStyle w:val="Compact"/>
        <w:numPr>
          <w:ilvl w:val="0"/>
          <w:numId w:val="2"/>
        </w:numPr>
        <w:rPr>
          <w:sz w:val="20"/>
          <w:szCs w:val="20"/>
        </w:rPr>
      </w:pPr>
      <w:r w:rsidRPr="00EC28C7">
        <w:rPr>
          <w:sz w:val="20"/>
          <w:szCs w:val="20"/>
        </w:rPr>
        <w:t>ANSYS, Inc. </w:t>
      </w:r>
      <w:r w:rsidRPr="00EC28C7">
        <w:rPr>
          <w:i/>
          <w:iCs/>
          <w:sz w:val="20"/>
          <w:szCs w:val="20"/>
        </w:rPr>
        <w:t>Mechanical User’s Guide</w:t>
      </w:r>
      <w:r w:rsidRPr="00EC28C7">
        <w:rPr>
          <w:sz w:val="20"/>
          <w:szCs w:val="20"/>
        </w:rPr>
        <w:t xml:space="preserve"> — Eigenvalue and Nonlinear Buckling Analysis. ANSYS Release Documentation.</w:t>
      </w:r>
      <w:bookmarkEnd w:id="27"/>
    </w:p>
    <w:sectPr w:rsidR="00246B56" w:rsidRPr="00EC28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F73FD" w14:textId="77777777" w:rsidR="00C152C1" w:rsidRDefault="00C152C1">
      <w:pPr>
        <w:spacing w:after="0" w:line="240" w:lineRule="auto"/>
      </w:pPr>
      <w:r>
        <w:separator/>
      </w:r>
    </w:p>
  </w:endnote>
  <w:endnote w:type="continuationSeparator" w:id="0">
    <w:p w14:paraId="65564983" w14:textId="77777777" w:rsidR="00C152C1" w:rsidRDefault="00C15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4A3D" w14:textId="77777777" w:rsidR="00C152C1" w:rsidRDefault="00C152C1">
      <w:r>
        <w:separator/>
      </w:r>
    </w:p>
  </w:footnote>
  <w:footnote w:type="continuationSeparator" w:id="0">
    <w:p w14:paraId="7BFFB53C" w14:textId="77777777" w:rsidR="00C152C1" w:rsidRDefault="00C152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07C82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4BECC20"/>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num w:numId="1" w16cid:durableId="1302035814">
    <w:abstractNumId w:val="0"/>
  </w:num>
  <w:num w:numId="2" w16cid:durableId="14830838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46B56"/>
    <w:rsid w:val="0011629D"/>
    <w:rsid w:val="00132BD6"/>
    <w:rsid w:val="00184A7F"/>
    <w:rsid w:val="00225621"/>
    <w:rsid w:val="00246B56"/>
    <w:rsid w:val="00627AA9"/>
    <w:rsid w:val="006718F6"/>
    <w:rsid w:val="00852060"/>
    <w:rsid w:val="009C46FB"/>
    <w:rsid w:val="00B57BCA"/>
    <w:rsid w:val="00C152C1"/>
    <w:rsid w:val="00C57060"/>
    <w:rsid w:val="00D5467D"/>
    <w:rsid w:val="00EA6309"/>
    <w:rsid w:val="00EC28C7"/>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FA6E"/>
  <w15:docId w15:val="{25E35A53-5D6E-49FB-B453-1801B9B4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0" w:defSemiHidden="0" w:defUnhideWhenUsed="0" w:defQFormat="0" w:count="376">
    <w:lsdException w:name="Title" w:uiPriority="1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27AA9"/>
    <w:rPr>
      <w:color w:val="605E5C"/>
      <w:shd w:val="clear" w:color="auto" w:fill="E1DFDD"/>
    </w:rPr>
  </w:style>
  <w:style w:type="character" w:customStyle="1" w:styleId="TitleChar">
    <w:name w:val="Title Char"/>
    <w:basedOn w:val="DefaultParagraphFont"/>
    <w:link w:val="Title"/>
    <w:uiPriority w:val="10"/>
    <w:rsid w:val="009C46FB"/>
    <w:rPr>
      <w:rFonts w:asciiTheme="majorHAnsi" w:eastAsiaTheme="majorEastAsia" w:hAnsiTheme="majorHAnsi" w:cstheme="majorBidi"/>
      <w:b/>
      <w:bCs/>
      <w:color w:val="345A8A" w:themeColor="accent1" w:themeShade="B5"/>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7393-2907" TargetMode="External"/><Relationship Id="rId3" Type="http://schemas.openxmlformats.org/officeDocument/2006/relationships/settings" Target="settings.xml"/><Relationship Id="rId7" Type="http://schemas.openxmlformats.org/officeDocument/2006/relationships/hyperlink" Target="mailto:debiprasadghosh@lntecc.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3140/RG.2.2.35271.05283"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20</Pages>
  <Words>9581</Words>
  <Characters>54612</Characters>
  <Application>Microsoft Office Word</Application>
  <DocSecurity>0</DocSecurity>
  <Lines>455</Lines>
  <Paragraphs>128</Paragraphs>
  <ScaleCrop>false</ScaleCrop>
  <Company/>
  <LinksUpToDate>false</LinksUpToDate>
  <CharactersWithSpaces>64065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Project-Basis Decision Concordance of Global Buckling Models for Movable Segmental-Erection Equipment</dc:title>
  <dc:creator/>
  <cp:keywords/>
  <cp:lastModifiedBy>Debiprasad Ghosh</cp:lastModifiedBy>
  <cp:revision>12</cp:revision>
  <cp:lastPrinted>2026-07-21T13:46:00Z</cp:lastPrinted>
  <dcterms:created xsi:type="dcterms:W3CDTF">2026-07-21T09:49:00Z</dcterms:created>
  <dcterms:modified xsi:type="dcterms:W3CDTF">2026-07-21T16:01:00Z</dcterms:modified>
</cp:coreProperties>
</file>