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7B59" w14:textId="77777777" w:rsidR="00E56096" w:rsidRPr="00D011C0" w:rsidRDefault="00000000">
      <w:pPr>
        <w:spacing w:before="160" w:after="100"/>
        <w:jc w:val="center"/>
        <w:rPr>
          <w:sz w:val="16"/>
          <w:szCs w:val="18"/>
        </w:rPr>
      </w:pPr>
      <w:r w:rsidRPr="00D011C0">
        <w:rPr>
          <w:b/>
          <w:color w:val="17365D"/>
          <w:sz w:val="32"/>
          <w:szCs w:val="18"/>
        </w:rPr>
        <w:t>Regional Degree and the Natural Extension of Cortical Search</w:t>
      </w:r>
    </w:p>
    <w:p w14:paraId="7D1DF340" w14:textId="77777777" w:rsidR="00E56096" w:rsidRPr="00D011C0" w:rsidRDefault="00000000">
      <w:pPr>
        <w:spacing w:after="200"/>
        <w:jc w:val="center"/>
        <w:rPr>
          <w:sz w:val="16"/>
          <w:szCs w:val="18"/>
        </w:rPr>
      </w:pPr>
      <w:r w:rsidRPr="00D011C0">
        <w:rPr>
          <w:i/>
          <w:color w:val="44546A"/>
          <w:szCs w:val="18"/>
        </w:rPr>
        <w:t>Concluding the Covering–Degree Thread: Certified Non-Emptiness, False Zeros, and Hippocampal Provenance</w:t>
      </w:r>
    </w:p>
    <w:p w14:paraId="0109CA00" w14:textId="701A62C7" w:rsidR="00E56096" w:rsidRDefault="00000000">
      <w:pPr>
        <w:spacing w:after="40"/>
        <w:jc w:val="center"/>
      </w:pPr>
      <w:r>
        <w:rPr>
          <w:b/>
          <w:sz w:val="23"/>
        </w:rPr>
        <w:t>D</w:t>
      </w:r>
      <w:r w:rsidR="00D011C0">
        <w:rPr>
          <w:b/>
          <w:sz w:val="23"/>
        </w:rPr>
        <w:t>ebi</w:t>
      </w:r>
      <w:r>
        <w:rPr>
          <w:b/>
          <w:sz w:val="23"/>
        </w:rPr>
        <w:t xml:space="preserve"> P</w:t>
      </w:r>
      <w:r w:rsidR="00D011C0">
        <w:rPr>
          <w:b/>
          <w:sz w:val="23"/>
        </w:rPr>
        <w:t>rasad</w:t>
      </w:r>
      <w:r>
        <w:rPr>
          <w:b/>
          <w:sz w:val="23"/>
        </w:rPr>
        <w:t xml:space="preserve"> Ghosh</w:t>
      </w:r>
      <w:r w:rsidR="00D011C0">
        <w:rPr>
          <w:b/>
          <w:sz w:val="23"/>
        </w:rPr>
        <w:t xml:space="preserve">, </w:t>
      </w:r>
      <w:hyperlink r:id="rId8" w:history="1">
        <w:r w:rsidR="00D011C0" w:rsidRPr="002F415D">
          <w:rPr>
            <w:rStyle w:val="Hyperlink"/>
            <w:b/>
            <w:sz w:val="23"/>
          </w:rPr>
          <w:t>debiprasadghosh@gmail.com</w:t>
        </w:r>
      </w:hyperlink>
      <w:r w:rsidR="00D011C0">
        <w:rPr>
          <w:b/>
          <w:sz w:val="23"/>
        </w:rPr>
        <w:t xml:space="preserve"> </w:t>
      </w:r>
    </w:p>
    <w:p w14:paraId="6F971D44" w14:textId="77777777" w:rsidR="00E56096" w:rsidRDefault="00000000">
      <w:pPr>
        <w:spacing w:after="40"/>
        <w:jc w:val="center"/>
      </w:pPr>
      <w:r>
        <w:rPr>
          <w:i/>
          <w:sz w:val="19"/>
        </w:rPr>
        <w:t>Defensible Intelligence Series · Concluding Note</w:t>
      </w:r>
    </w:p>
    <w:p w14:paraId="134AAD8C" w14:textId="2FE94548" w:rsidR="00E56096" w:rsidRDefault="00000000">
      <w:pPr>
        <w:spacing w:after="200"/>
        <w:jc w:val="center"/>
      </w:pPr>
      <w:r>
        <w:rPr>
          <w:color w:val="5A5A5A"/>
          <w:sz w:val="18"/>
        </w:rPr>
        <w:t>Manuscript date: 2</w:t>
      </w:r>
      <w:r w:rsidR="00D011C0">
        <w:rPr>
          <w:color w:val="5A5A5A"/>
          <w:sz w:val="18"/>
        </w:rPr>
        <w:t>8</w:t>
      </w:r>
      <w:r>
        <w:rPr>
          <w:color w:val="5A5A5A"/>
          <w:sz w:val="18"/>
        </w:rPr>
        <w:t xml:space="preserve"> July 2026</w:t>
      </w:r>
      <w:r w:rsidR="00D82612">
        <w:rPr>
          <w:color w:val="5A5A5A"/>
          <w:sz w:val="18"/>
        </w:rPr>
        <w:t xml:space="preserve">, </w:t>
      </w:r>
      <w:hyperlink r:id="rId9" w:history="1">
        <w:r w:rsidR="00D82612" w:rsidRPr="002F415D">
          <w:rPr>
            <w:rStyle w:val="Hyperlink"/>
            <w:sz w:val="18"/>
          </w:rPr>
          <w:t>https://doi.org/10.13140/RG.2.2.30519.69283</w:t>
        </w:r>
      </w:hyperlink>
      <w:r w:rsidR="00D82612">
        <w:rPr>
          <w:color w:val="5A5A5A"/>
          <w:sz w:val="18"/>
        </w:rPr>
        <w:t xml:space="preserve"> </w:t>
      </w:r>
    </w:p>
    <w:p w14:paraId="185FDC73" w14:textId="77777777" w:rsidR="00E56096" w:rsidRDefault="00000000">
      <w:pPr>
        <w:pStyle w:val="Heading1"/>
      </w:pPr>
      <w:r>
        <w:t>Abstract</w:t>
      </w:r>
    </w:p>
    <w:p w14:paraId="3098E00D" w14:textId="77777777" w:rsidR="00E56096" w:rsidRPr="00531553" w:rsidRDefault="00000000">
      <w:pPr>
        <w:spacing w:after="140"/>
        <w:rPr>
          <w:sz w:val="28"/>
          <w:szCs w:val="32"/>
        </w:rPr>
      </w:pPr>
      <w:r w:rsidRPr="00531553">
        <w:rPr>
          <w:sz w:val="28"/>
          <w:szCs w:val="32"/>
        </w:rPr>
        <w:t>This paper closes a line of inquiry that began from the covering-space proof of the Fundamental Theorem of Algebra and asked whether neocortical search might require an analogous neural covering. The central correction is that the covering is not the search certificate. In two dimensions, the universal cover R -&gt; S1 is only one way of computing a winding number; the load-bearing theorem is Brouwer degree. For a bounded open region U in R^m and a continuous, dimensionally typed residual F: closure(U) -&gt; R^m with 0 absent from F(boundary U), a nonzero regional degree certifies that U contains a zero. Its converse fails: degree zero may mean emptiness, cancellation of opposite local indices, or a degenerate zero. A defensible search therefore requires a three-state policy—certified occupied, certified empty by an independent exclusion proof, and unresolved—rather than treating zero index as permission to discard. The paper places this certificate beside the framework’s cohomological gate: a nonzero obstruction class certifies that a particular gluing must be withheld, whereas a nonzero degree certifies that a region cannot be empty. Both are one-sided certificates, and both zeros must be earned. The correction also replaces the false global requirement of an invertible cortical return with coherent transport of the degree coefficient system: orientable atlases support signed integer degree; non-orientable atlases require twisted coefficients or mod-two degree. On the neural side, the cortical microcircuit is recast as a candidate residual-field computer, the entorhinal system as a periodic and dynamically reanchored atlas, and the hippocampus as a finite history extension that preserves branch provenance erased by compressive cortical dynamics. The mathematical natural extension and the regional degree remain on different layers. This yields a falsifiable prediction: hippocampal capacity should preserve histories according to future disambiguation value rather than chronological completeness. The paper ends with five independent implementation debts—chart construction, residual typing, history extension, degree readout, and zero-aware refinement—and a general rule: false coherence and false emptiness both begin by treating an unearned zero as permission.</w:t>
      </w:r>
    </w:p>
    <w:p w14:paraId="73D81601" w14:textId="77777777" w:rsidR="00E56096" w:rsidRDefault="00000000">
      <w:pPr>
        <w:spacing w:after="180"/>
      </w:pPr>
      <w:r>
        <w:rPr>
          <w:b/>
        </w:rPr>
        <w:t xml:space="preserve">Keywords: </w:t>
      </w:r>
      <w:r>
        <w:t>Brouwer degree; regional index; false zero; obstruction class; natural extension; inverse limit; solenoid; hippocampus; entorhinal cortex; cortical search; orientation local system; defensible intelligence.</w:t>
      </w:r>
    </w:p>
    <w:tbl>
      <w:tblPr>
        <w:tblW w:w="0" w:type="auto"/>
        <w:jc w:val="center"/>
        <w:tblLayout w:type="fixed"/>
        <w:tblLook w:val="04A0" w:firstRow="1" w:lastRow="0" w:firstColumn="1" w:lastColumn="0" w:noHBand="0" w:noVBand="1"/>
      </w:tblPr>
      <w:tblGrid>
        <w:gridCol w:w="850"/>
        <w:gridCol w:w="8614"/>
      </w:tblGrid>
      <w:tr w:rsidR="00531553" w14:paraId="2292F388" w14:textId="77777777" w:rsidTr="00E32EAC">
        <w:trPr>
          <w:jc w:val="center"/>
        </w:trPr>
        <w:tc>
          <w:tcPr>
            <w:tcW w:w="850" w:type="dxa"/>
            <w:shd w:val="clear" w:color="auto" w:fill="F2F2F2"/>
            <w:vAlign w:val="center"/>
          </w:tcPr>
          <w:p w14:paraId="6ABF5DA9" w14:textId="77777777" w:rsidR="00531553" w:rsidRDefault="00531553" w:rsidP="00E32EAC">
            <w:pPr>
              <w:spacing w:after="0" w:line="240" w:lineRule="auto"/>
            </w:pPr>
            <w:r>
              <w:rPr>
                <w:b/>
                <w:sz w:val="17"/>
              </w:rPr>
              <w:t>Status</w:t>
            </w:r>
          </w:p>
        </w:tc>
        <w:tc>
          <w:tcPr>
            <w:tcW w:w="8614" w:type="dxa"/>
            <w:shd w:val="clear" w:color="auto" w:fill="F2F2F2"/>
            <w:vAlign w:val="center"/>
          </w:tcPr>
          <w:p w14:paraId="4A7917CD" w14:textId="77777777" w:rsidR="00531553" w:rsidRDefault="00531553" w:rsidP="00E32EAC">
            <w:pPr>
              <w:spacing w:after="0" w:line="240" w:lineRule="auto"/>
            </w:pPr>
            <w:r>
              <w:rPr>
                <w:sz w:val="17"/>
              </w:rPr>
              <w:t>Conceptual and mathematical exploration. Degree theory and inverse-limit claims are standard mathematics [LB-math]. Neural allocations are structural hypotheses [CAND-map], supported only where explicitly cited [SUP].</w:t>
            </w:r>
          </w:p>
        </w:tc>
      </w:tr>
    </w:tbl>
    <w:p w14:paraId="5577A9F1" w14:textId="77777777" w:rsidR="00531553" w:rsidRDefault="00531553">
      <w:pPr>
        <w:spacing w:after="180"/>
      </w:pPr>
    </w:p>
    <w:tbl>
      <w:tblPr>
        <w:tblW w:w="0" w:type="auto"/>
        <w:jc w:val="center"/>
        <w:tblLook w:val="04A0" w:firstRow="1" w:lastRow="0" w:firstColumn="1" w:lastColumn="0" w:noHBand="0" w:noVBand="1"/>
      </w:tblPr>
      <w:tblGrid>
        <w:gridCol w:w="9749"/>
      </w:tblGrid>
      <w:tr w:rsidR="00E56096" w14:paraId="162F2D41" w14:textId="77777777">
        <w:trPr>
          <w:jc w:val="center"/>
        </w:trPr>
        <w:tc>
          <w:tcPr>
            <w:tcW w:w="9749" w:type="dxa"/>
            <w:tcBorders>
              <w:top w:val="nil"/>
              <w:left w:val="single" w:sz="14" w:space="0" w:color="1F4E79"/>
              <w:bottom w:val="nil"/>
              <w:right w:val="nil"/>
            </w:tcBorders>
            <w:shd w:val="clear" w:color="auto" w:fill="EEF3F7"/>
            <w:vAlign w:val="center"/>
          </w:tcPr>
          <w:p w14:paraId="43D128E9" w14:textId="77777777" w:rsidR="00E56096" w:rsidRDefault="00000000">
            <w:pPr>
              <w:spacing w:after="60"/>
            </w:pPr>
            <w:r>
              <w:rPr>
                <w:b/>
                <w:color w:val="1F4E79"/>
                <w:sz w:val="17"/>
              </w:rPr>
              <w:lastRenderedPageBreak/>
              <w:t>Citation convention</w:t>
            </w:r>
          </w:p>
          <w:p w14:paraId="4A1B58EC" w14:textId="77777777" w:rsidR="00E56096" w:rsidRDefault="00000000">
            <w:pPr>
              <w:spacing w:after="0" w:line="254" w:lineRule="auto"/>
            </w:pPr>
            <w:r>
              <w:rPr>
                <w:sz w:val="17"/>
              </w:rPr>
              <w:t>Because the framework corpus contains many works by the same author in 2026, in-text citations use a short title after the year—for example, Ghosh (2026, Hypercovering and Descent)—rather than an extended sequence of letter suffixes.</w:t>
            </w:r>
          </w:p>
        </w:tc>
      </w:tr>
    </w:tbl>
    <w:p w14:paraId="2AE7D016" w14:textId="77777777" w:rsidR="00E56096" w:rsidRDefault="00000000">
      <w:pPr>
        <w:pStyle w:val="Heading1"/>
      </w:pPr>
      <w:r>
        <w:t>1. Introduction</w:t>
      </w:r>
    </w:p>
    <w:p w14:paraId="1A269BAF" w14:textId="77777777" w:rsidR="00E56096" w:rsidRDefault="00000000">
      <w:r>
        <w:t>The Fundamental Theorem of Algebra supplies a striking topological proof pattern. A nonconstant complex polynomial is examined on circles of increasing radius. If the polynomial had no root, its normalized boundary maps would vary by homotopy and preserve their degree; yet the small-radius map has degree zero while the large-radius map has degree equal to the polynomial degree. The contradiction forces a zero. In two dimensions the degree can be computed by lifting a circle-valued map through the exponential covering R -&gt; S1. This proof invited a neural analogy: perhaps neocortical search similarly requires a covering, perhaps supplied by hippocampal–entorhinal circuitry.</w:t>
      </w:r>
    </w:p>
    <w:p w14:paraId="562F4B2F" w14:textId="77777777" w:rsidR="00E56096" w:rsidRDefault="00000000">
      <w:r>
        <w:t>The analogy was productive because it exposed the right problem, but its first formulation assigned the wrong object the central role. The map being lifted need not be invertible. Indeed, the large-radius model z -&gt; z^n is n-to-one for n &gt; 1, and that non-invertibility is precisely what its degree records. The covering projection must have the path-lifting property; the target map carries no such requirement. From that correction follows the paper’s first conclusion: FTA-style search does not require an invertible cortical return.</w:t>
      </w:r>
    </w:p>
    <w:p w14:paraId="6F643645" w14:textId="77777777" w:rsidR="00E56096" w:rsidRDefault="00000000">
      <w:r>
        <w:t>The second correction is deeper. In dimensions m &gt;= 3, the detector sphere S^(m-1) is simply connected, so the special circle-covering calculation disappears while Brouwer degree remains. Covering is therefore a dimension-specific computational convenience, not the general theorem. The proper title and spine of the proposal are degree theory.</w:t>
      </w:r>
    </w:p>
    <w:p w14:paraId="7282D9FE" w14:textId="77777777" w:rsidR="00E56096" w:rsidRDefault="00000000">
      <w:r>
        <w:t>The paper develops the corrected architecture in three layers. The mathematical layer states the regional degree theorem, its additivity, its dimensional typing, its orientation requirements, and its one-sided logic. The audit layer places that certificate beside the framework’s existing obstruction gate and imports the anti-false-zero discipline developed through the cover, nerve, hypercover, and restriction papers (Ghosh, 2026, Does It Glue?; Hypercovering and Descent; Nerve-Attention; The Restriction Vertex). The biological layer proposes a division of labor: entorhinal coordinates supply a candidate atlas, neocortical circuits construct residual fields, and hippocampal dynamics preserve route provenance that cortical compression would otherwise erase.</w:t>
      </w:r>
    </w:p>
    <w:p w14:paraId="20F1D8E4" w14:textId="77777777" w:rsidR="00E56096" w:rsidRDefault="00000000">
      <w:pPr>
        <w:pStyle w:val="Heading2"/>
      </w:pPr>
      <w:r>
        <w:t>1.1 Scope and claim tiers</w:t>
      </w:r>
    </w:p>
    <w:p w14:paraId="791A60CA" w14:textId="77777777" w:rsidR="00E56096" w:rsidRDefault="00000000">
      <w:r>
        <w:t>The paper is not an experimental report and does not claim that the brain literally computes Brouwer degree, inverse limits, or sheaf cohomology. Its mathematics is standard and load-bearing [LB-math]. The proposed neural allocation is a structural isomorphism at candidate tier [CAND-map]. Empirical observations—toroidal grid-cell population manifolds, dynamic reanchoring of grid reference frames, and trajectory-dependent hippocampal coding—are cited as support [SUP], not as proof of the proposed operators. The distinction follows the broader discipline of the Defensible Intelligence programme: tested mathematics and neuroscience must not be converted into identity claims by analogy (Ghosh, 2026, The Geometry of Defensible Action; The Direct and Indirect Axes).</w:t>
      </w:r>
    </w:p>
    <w:p w14:paraId="04002DE8" w14:textId="77777777" w:rsidR="00E56096" w:rsidRDefault="00000000">
      <w:pPr>
        <w:pStyle w:val="Heading2"/>
      </w:pPr>
      <w:r>
        <w:t>1.2 Contributions</w:t>
      </w:r>
    </w:p>
    <w:p w14:paraId="15EDCEF6" w14:textId="77777777" w:rsidR="00E56096" w:rsidRDefault="00000000">
      <w:pPr>
        <w:pStyle w:val="ListBullet"/>
        <w:spacing w:after="60"/>
      </w:pPr>
      <w:r>
        <w:rPr>
          <w:b/>
        </w:rPr>
        <w:t xml:space="preserve">C1 — Corrected theorem spine. </w:t>
      </w:r>
      <w:r>
        <w:t>The search certificate is Brouwer degree, not covering-space invertibility.</w:t>
      </w:r>
    </w:p>
    <w:p w14:paraId="5F297740" w14:textId="77777777" w:rsidR="00E56096" w:rsidRDefault="00000000">
      <w:pPr>
        <w:pStyle w:val="ListBullet"/>
        <w:spacing w:after="60"/>
      </w:pPr>
      <w:r>
        <w:rPr>
          <w:b/>
        </w:rPr>
        <w:t xml:space="preserve">C2 — Three-state zero policy. </w:t>
      </w:r>
      <w:r>
        <w:t>Nonzero degree certifies occupancy; zero degree is unresolved unless an independent exclusion proof certifies emptiness.</w:t>
      </w:r>
    </w:p>
    <w:p w14:paraId="54D0C1D1" w14:textId="77777777" w:rsidR="00E56096" w:rsidRDefault="00000000">
      <w:pPr>
        <w:pStyle w:val="ListBullet"/>
        <w:spacing w:after="60"/>
      </w:pPr>
      <w:r>
        <w:rPr>
          <w:b/>
        </w:rPr>
        <w:t xml:space="preserve">C3 — Paired one-sided certificates. </w:t>
      </w:r>
      <w:r>
        <w:t>A nonzero obstruction class certifies refusal of a gluing; a nonzero degree certifies non-emptiness of a region.</w:t>
      </w:r>
    </w:p>
    <w:p w14:paraId="67A85A85" w14:textId="77777777" w:rsidR="00E56096" w:rsidRDefault="00000000">
      <w:pPr>
        <w:pStyle w:val="ListBullet"/>
        <w:spacing w:after="60"/>
      </w:pPr>
      <w:r>
        <w:rPr>
          <w:b/>
        </w:rPr>
        <w:t xml:space="preserve">C4 — Orientation as the global constraint. </w:t>
      </w:r>
      <w:r>
        <w:t>Signed degree requires coherent orientation transport; non-orientable atlases require local coefficients or mod-two degree.</w:t>
      </w:r>
    </w:p>
    <w:p w14:paraId="40A59A3A" w14:textId="77777777" w:rsidR="00E56096" w:rsidRDefault="00000000">
      <w:pPr>
        <w:pStyle w:val="ListBullet"/>
        <w:spacing w:after="60"/>
      </w:pPr>
      <w:r>
        <w:rPr>
          <w:b/>
        </w:rPr>
        <w:t xml:space="preserve">C5 — Natural extension of cortical compression. </w:t>
      </w:r>
      <w:r>
        <w:t>The hippocampus is hypothesized to preserve branch provenance rather than to use an already-invertible cortical return.</w:t>
      </w:r>
    </w:p>
    <w:p w14:paraId="2C1A6ADA" w14:textId="77777777" w:rsidR="00E56096" w:rsidRDefault="00000000">
      <w:pPr>
        <w:pStyle w:val="ListBullet"/>
        <w:spacing w:after="60"/>
      </w:pPr>
      <w:r>
        <w:rPr>
          <w:b/>
        </w:rPr>
        <w:t xml:space="preserve">C6 — Five typed debts. </w:t>
      </w:r>
      <w:r>
        <w:t>Chart construction, residual typing, history extension, degree readout, and zero-aware refinement become separate, falsifiable obligations.</w:t>
      </w:r>
    </w:p>
    <w:p w14:paraId="0C82077D" w14:textId="77777777" w:rsidR="00E56096" w:rsidRDefault="00000000">
      <w:pPr>
        <w:pStyle w:val="Heading1"/>
      </w:pPr>
      <w:r>
        <w:lastRenderedPageBreak/>
        <w:t>2. From the Fundamental Theorem of Algebra to Regional Degree</w:t>
      </w:r>
    </w:p>
    <w:p w14:paraId="7365F52A" w14:textId="77777777" w:rsidR="00E56096" w:rsidRDefault="00000000">
      <w:pPr>
        <w:pStyle w:val="Heading2"/>
      </w:pPr>
      <w:r>
        <w:t>2.1 The two maps that were conflated</w:t>
      </w:r>
    </w:p>
    <w:p w14:paraId="297B3349" w14:textId="77777777" w:rsidR="00E56096" w:rsidRDefault="00000000">
      <w:r>
        <w:t>Let q: R -&gt; S1 be the exponential covering q(s) = exp(2 pi i s). The path-lifting property belongs to q. Let g_r: S1 -&gt; S1 be the normalized boundary map of a nonvanishing polynomial on the circle of radius r. The map g_r may be many-to-one. Its lift after composition with the universal cover of the domain records the integer displacement over one circuit, which is the degree. Conflating q with g_r incorrectly transported local invertibility from the covering projection to the map whose degree is being measured.</w:t>
      </w:r>
    </w:p>
    <w:p w14:paraId="766B4810" w14:textId="77777777" w:rsidR="00E56096" w:rsidRDefault="00000000">
      <w:pPr>
        <w:pStyle w:val="Equation"/>
        <w:jc w:val="center"/>
      </w:pPr>
      <w:r>
        <w:t>q(s) = exp(2πis),     g_r(e^{iθ}) = p(re^{iθ}) / |p(re^{iθ})|</w:t>
      </w:r>
    </w:p>
    <w:p w14:paraId="0CB89822" w14:textId="77777777" w:rsidR="00E56096" w:rsidRDefault="00000000">
      <w:r>
        <w:t>For large r, the leading term yields g_r(e^{iθ}) homotopic to (a_n/|a_n|)e^{inθ}. This map is n-to-one for n &gt; 1, yet degree n is exactly the invariant needed. The polynomial archetype is therefore the counterexample to the claim that the lifted map must be invertible.</w:t>
      </w:r>
    </w:p>
    <w:p w14:paraId="20B10FD1" w14:textId="77777777" w:rsidR="00E56096" w:rsidRDefault="00000000">
      <w:pPr>
        <w:pStyle w:val="Heading2"/>
      </w:pPr>
      <w:r>
        <w:t>2.2 The mapping-torus correction</w:t>
      </w:r>
    </w:p>
    <w:p w14:paraId="43B898FF" w14:textId="77777777" w:rsidR="00E56096" w:rsidRDefault="00000000">
      <w:r>
        <w:t>A second correction concerns the mapping torus. The standard mapping-torus projection is a fibre bundle when the return map is a homeomorphism. For the power-map family f_d(z)=z^d on S1, this happens exactly when |d|=1. For a general circle map, however, degree ±1 is necessary for homeomorphism but not sufficient: a degree-one map may fold or collapse arcs and fail to be injective. Thus the earlier statement “bundle iff |d|=1” is valid only within the specified power-map family. More importantly, bundle structure is a different question from zero certification and should not be imported into the regional search theorem.</w:t>
      </w:r>
    </w:p>
    <w:tbl>
      <w:tblPr>
        <w:tblW w:w="0" w:type="auto"/>
        <w:jc w:val="center"/>
        <w:tblLook w:val="04A0" w:firstRow="1" w:lastRow="0" w:firstColumn="1" w:lastColumn="0" w:noHBand="0" w:noVBand="1"/>
      </w:tblPr>
      <w:tblGrid>
        <w:gridCol w:w="9749"/>
      </w:tblGrid>
      <w:tr w:rsidR="00E56096" w14:paraId="726955D0" w14:textId="77777777">
        <w:trPr>
          <w:jc w:val="center"/>
        </w:trPr>
        <w:tc>
          <w:tcPr>
            <w:tcW w:w="9749" w:type="dxa"/>
            <w:tcBorders>
              <w:top w:val="nil"/>
              <w:left w:val="single" w:sz="14" w:space="0" w:color="1F4E79"/>
              <w:bottom w:val="nil"/>
              <w:right w:val="nil"/>
            </w:tcBorders>
            <w:shd w:val="clear" w:color="auto" w:fill="EEF3F7"/>
            <w:vAlign w:val="center"/>
          </w:tcPr>
          <w:p w14:paraId="1BD240D6" w14:textId="77777777" w:rsidR="00E56096" w:rsidRDefault="00000000">
            <w:pPr>
              <w:spacing w:after="60"/>
            </w:pPr>
            <w:r>
              <w:rPr>
                <w:b/>
                <w:color w:val="1F4E79"/>
                <w:sz w:val="17"/>
              </w:rPr>
              <w:t>Correction ledger</w:t>
            </w:r>
          </w:p>
          <w:p w14:paraId="6C0E0F2E" w14:textId="77777777" w:rsidR="00E56096" w:rsidRDefault="00000000">
            <w:pPr>
              <w:spacing w:after="0" w:line="254" w:lineRule="auto"/>
            </w:pPr>
            <w:r>
              <w:rPr>
                <w:sz w:val="17"/>
              </w:rPr>
              <w:t>The invertibility claim failed twice: first as a requirement for FTA-style search, and again when it was relocated as a general degree criterion for mapping-torus bundles. Recording both failures is part of the framework’s tier discipline, not an embarrassment to be hidden.</w:t>
            </w:r>
          </w:p>
        </w:tc>
      </w:tr>
    </w:tbl>
    <w:p w14:paraId="4E0E0160" w14:textId="77777777" w:rsidR="00E56096" w:rsidRDefault="00000000">
      <w:pPr>
        <w:pStyle w:val="Heading2"/>
      </w:pPr>
      <w:r>
        <w:t>2.3 Why S1 remains exact but not foundational</w:t>
      </w:r>
    </w:p>
    <w:p w14:paraId="0A57A09C" w14:textId="77777777" w:rsidR="00E56096" w:rsidRDefault="00000000">
      <w:r>
        <w:t>The circle is not the “poorest” covering. It is the correct local detector in a two-dimensional zero problem because the boundary of a small disk is S1. For an m-dimensional square residual, the local boundary detector is S^(m-1). The global search space may be periodic and toroidal, yet the local defect certificate around an ordinary two-dimensional point is still circular. The proper synthesis is therefore torus globally, circle locally—not torus instead of circle.</w:t>
      </w:r>
    </w:p>
    <w:p w14:paraId="5EB94741" w14:textId="77777777" w:rsidR="00E56096" w:rsidRDefault="00000000">
      <w:pPr>
        <w:pStyle w:val="Equation"/>
        <w:jc w:val="center"/>
      </w:pPr>
      <w:r>
        <w:t>∂D² = S¹,     and more generally     ∂D^m = S^{m−1}.</w:t>
      </w:r>
    </w:p>
    <w:p w14:paraId="04EF6681" w14:textId="77777777" w:rsidR="00E56096" w:rsidRDefault="00000000">
      <w:r>
        <w:t>The special exponential lifting technique is limited to the circle case. For m &gt;= 3, S^(m-1) is simply connected and has no nontrivial connected covering. Brouwer degree nevertheless survives, expressed through homology, orientation, regular values, or other equivalent constructions (Deimling, 1985; Dinca &amp; Mawhin, 2021).</w:t>
      </w:r>
    </w:p>
    <w:p w14:paraId="6F3C06D4" w14:textId="77777777" w:rsidR="00E56096" w:rsidRDefault="00000000">
      <w:pPr>
        <w:pStyle w:val="Heading1"/>
      </w:pPr>
      <w:r>
        <w:t>3. Brouwer Degree as a Regional Search Certificate</w:t>
      </w:r>
    </w:p>
    <w:p w14:paraId="6CDED40C" w14:textId="77777777" w:rsidR="00E56096" w:rsidRDefault="00000000">
      <w:pPr>
        <w:pStyle w:val="Heading2"/>
      </w:pPr>
      <w:r>
        <w:t>3.1 The theorem</w:t>
      </w:r>
    </w:p>
    <w:tbl>
      <w:tblPr>
        <w:tblW w:w="0" w:type="auto"/>
        <w:jc w:val="center"/>
        <w:tblLook w:val="04A0" w:firstRow="1" w:lastRow="0" w:firstColumn="1" w:lastColumn="0" w:noHBand="0" w:noVBand="1"/>
      </w:tblPr>
      <w:tblGrid>
        <w:gridCol w:w="9749"/>
      </w:tblGrid>
      <w:tr w:rsidR="00E56096" w14:paraId="4DFAB11B" w14:textId="77777777">
        <w:trPr>
          <w:jc w:val="center"/>
        </w:trPr>
        <w:tc>
          <w:tcPr>
            <w:tcW w:w="9749" w:type="dxa"/>
            <w:tcBorders>
              <w:top w:val="nil"/>
              <w:left w:val="single" w:sz="14" w:space="0" w:color="1F4E79"/>
              <w:bottom w:val="nil"/>
              <w:right w:val="nil"/>
            </w:tcBorders>
            <w:shd w:val="clear" w:color="auto" w:fill="EEF3F7"/>
            <w:vAlign w:val="center"/>
          </w:tcPr>
          <w:p w14:paraId="3B79B2E4" w14:textId="77777777" w:rsidR="00E56096" w:rsidRDefault="00000000">
            <w:pPr>
              <w:spacing w:after="60"/>
            </w:pPr>
            <w:r>
              <w:rPr>
                <w:b/>
                <w:color w:val="1F4E79"/>
                <w:sz w:val="17"/>
              </w:rPr>
              <w:t>Theorem 1 — Regional non-emptiness [LB-math]</w:t>
            </w:r>
          </w:p>
          <w:p w14:paraId="46D0A946" w14:textId="77777777" w:rsidR="00E56096" w:rsidRDefault="00000000">
            <w:pPr>
              <w:spacing w:after="0" w:line="254" w:lineRule="auto"/>
            </w:pPr>
            <w:r>
              <w:rPr>
                <w:sz w:val="17"/>
              </w:rPr>
              <w:t>Let U be a bounded open subset of R^m, and let F: closure(U) -&gt; R^m be continuous with 0 not in F(boundary U). Then the Brouwer degree deg(F,U,0) is defined. If deg(F,U,0) is nonzero, there exists x in U such that F(x)=0.</w:t>
            </w:r>
          </w:p>
        </w:tc>
      </w:tr>
    </w:tbl>
    <w:p w14:paraId="25692802" w14:textId="77777777" w:rsidR="00E56096" w:rsidRDefault="00000000">
      <w:pPr>
        <w:pStyle w:val="Equation"/>
        <w:jc w:val="center"/>
      </w:pPr>
      <w:r>
        <w:t>deg(F,U,0) ≠ 0   ⇒   F⁻¹(0) ∩ U ≠ ∅.</w:t>
      </w:r>
    </w:p>
    <w:p w14:paraId="4E30AE57" w14:textId="77777777" w:rsidR="00E56096" w:rsidRDefault="00000000">
      <w:r>
        <w:t>When U is an oriented ball-like region, this degree can be represented by the boundary map F/|F|: boundary U -&gt; S^(m-1). The boundary representation is useful for computation and intuition, but the Brouwer-degree statement is the general theorem. The certificate is regional: it does not identify the zero, but it proves that a search region cannot be empty.</w:t>
      </w:r>
    </w:p>
    <w:p w14:paraId="3C9D22BC" w14:textId="77777777" w:rsidR="00E56096" w:rsidRDefault="00000000">
      <w:pPr>
        <w:pStyle w:val="Heading2"/>
      </w:pPr>
      <w:r>
        <w:t>3.2 Additivity, excision, and recursive localization</w:t>
      </w:r>
    </w:p>
    <w:p w14:paraId="734A6C0C" w14:textId="77777777" w:rsidR="00E56096" w:rsidRDefault="00000000">
      <w:r>
        <w:t>Suppose disjoint subregions U_1,...,U_k contain all zeros in U and no zero lies on any relevant boundary. Degree is additive:</w:t>
      </w:r>
    </w:p>
    <w:p w14:paraId="091FFBD4" w14:textId="77777777" w:rsidR="00E56096" w:rsidRDefault="00000000">
      <w:pPr>
        <w:pStyle w:val="Equation"/>
        <w:jc w:val="center"/>
      </w:pPr>
      <w:r>
        <w:t>deg(F,U,0) = Σ_j deg(F,U_j,0).</w:t>
      </w:r>
    </w:p>
    <w:p w14:paraId="2B0CA40C" w14:textId="77777777" w:rsidR="00E56096" w:rsidRDefault="00000000">
      <w:r>
        <w:lastRenderedPageBreak/>
        <w:t>This conservation law licenses recursive localization. A parent region with nonzero degree must pass a nonzero total index to its children. At least one child therefore remains certified occupied. This is the mathematical engine behind “compute on the boundary, subdivide, and refine where the certificate persists.” The procedure resembles the framework’s hypercover refinement only at the level of control structure: hypercovering repairs an inadequate domain of audit, whereas degree subdivision localizes a certified zero. The two may cooperate, but they solve different problems (Ghosh, 2026, Hypercovering and Descent).</w:t>
      </w:r>
    </w:p>
    <w:p w14:paraId="1EFE2466" w14:textId="77777777" w:rsidR="00E56096" w:rsidRDefault="00000000">
      <w:pPr>
        <w:pStyle w:val="Heading2"/>
      </w:pPr>
      <w:r>
        <w:t>3.3 The three-state zero verdict</w:t>
      </w:r>
    </w:p>
    <w:p w14:paraId="16C70DD6" w14:textId="77777777" w:rsidR="00E56096" w:rsidRDefault="00000000">
      <w:r>
        <w:t>The converse of Theorem 1 is false. A degree-zero region may be empty; it may contain regular zeros with opposite signed indices; or it may contain a degenerate zero whose local degree vanishes. Degree zero is therefore not an emptiness certificate. The correct regional policy has three states.</w:t>
      </w:r>
    </w:p>
    <w:tbl>
      <w:tblPr>
        <w:tblStyle w:val="TableGrid"/>
        <w:tblW w:w="0" w:type="auto"/>
        <w:jc w:val="center"/>
        <w:tblLook w:val="04A0" w:firstRow="1" w:lastRow="0" w:firstColumn="1" w:lastColumn="0" w:noHBand="0" w:noVBand="1"/>
      </w:tblPr>
      <w:tblGrid>
        <w:gridCol w:w="4874"/>
        <w:gridCol w:w="4874"/>
      </w:tblGrid>
      <w:tr w:rsidR="00E56096" w14:paraId="56578708" w14:textId="77777777">
        <w:trPr>
          <w:tblHeader/>
          <w:jc w:val="center"/>
        </w:trPr>
        <w:tc>
          <w:tcPr>
            <w:tcW w:w="4874" w:type="dxa"/>
            <w:shd w:val="clear" w:color="auto" w:fill="D9E2F3"/>
            <w:vAlign w:val="center"/>
          </w:tcPr>
          <w:p w14:paraId="6D6A87BB" w14:textId="77777777" w:rsidR="00E56096" w:rsidRDefault="00000000">
            <w:r>
              <w:rPr>
                <w:sz w:val="17"/>
              </w:rPr>
              <w:t>Computed state</w:t>
            </w:r>
          </w:p>
        </w:tc>
        <w:tc>
          <w:tcPr>
            <w:tcW w:w="4874" w:type="dxa"/>
            <w:shd w:val="clear" w:color="auto" w:fill="D9E2F3"/>
            <w:vAlign w:val="center"/>
          </w:tcPr>
          <w:p w14:paraId="2AE60B98" w14:textId="77777777" w:rsidR="00E56096" w:rsidRDefault="00000000">
            <w:r>
              <w:rPr>
                <w:sz w:val="17"/>
              </w:rPr>
              <w:t>Defensible verdict</w:t>
            </w:r>
          </w:p>
        </w:tc>
      </w:tr>
      <w:tr w:rsidR="00E56096" w14:paraId="4DBB703E" w14:textId="77777777">
        <w:trPr>
          <w:jc w:val="center"/>
        </w:trPr>
        <w:tc>
          <w:tcPr>
            <w:tcW w:w="4874" w:type="dxa"/>
            <w:vAlign w:val="center"/>
          </w:tcPr>
          <w:p w14:paraId="76E41C50" w14:textId="77777777" w:rsidR="00E56096" w:rsidRDefault="00000000">
            <w:pPr>
              <w:spacing w:after="20" w:line="240" w:lineRule="auto"/>
            </w:pPr>
            <w:r>
              <w:rPr>
                <w:sz w:val="17"/>
              </w:rPr>
              <w:t>deg(F,U,0) ≠ 0</w:t>
            </w:r>
          </w:p>
        </w:tc>
        <w:tc>
          <w:tcPr>
            <w:tcW w:w="4874" w:type="dxa"/>
            <w:vAlign w:val="center"/>
          </w:tcPr>
          <w:p w14:paraId="281F242C" w14:textId="77777777" w:rsidR="00E56096" w:rsidRDefault="00000000">
            <w:pPr>
              <w:spacing w:after="20" w:line="240" w:lineRule="auto"/>
            </w:pPr>
            <w:r>
              <w:rPr>
                <w:sz w:val="17"/>
              </w:rPr>
              <w:t>CERTIFIED OCCUPIED — retain and refine.</w:t>
            </w:r>
          </w:p>
        </w:tc>
      </w:tr>
      <w:tr w:rsidR="00E56096" w14:paraId="56727653" w14:textId="77777777">
        <w:trPr>
          <w:jc w:val="center"/>
        </w:trPr>
        <w:tc>
          <w:tcPr>
            <w:tcW w:w="4874" w:type="dxa"/>
            <w:vAlign w:val="center"/>
          </w:tcPr>
          <w:p w14:paraId="2ACDE692" w14:textId="77777777" w:rsidR="00E56096" w:rsidRDefault="00000000">
            <w:pPr>
              <w:spacing w:after="20" w:line="240" w:lineRule="auto"/>
            </w:pPr>
            <w:r>
              <w:rPr>
                <w:sz w:val="17"/>
              </w:rPr>
              <w:t>deg(F,U,0) = 0, with independent exclusion proof</w:t>
            </w:r>
          </w:p>
        </w:tc>
        <w:tc>
          <w:tcPr>
            <w:tcW w:w="4874" w:type="dxa"/>
            <w:vAlign w:val="center"/>
          </w:tcPr>
          <w:p w14:paraId="38134608" w14:textId="77777777" w:rsidR="00E56096" w:rsidRDefault="00000000">
            <w:pPr>
              <w:spacing w:after="20" w:line="240" w:lineRule="auto"/>
            </w:pPr>
            <w:r>
              <w:rPr>
                <w:sz w:val="17"/>
              </w:rPr>
              <w:t>CERTIFIED EMPTY — discard.</w:t>
            </w:r>
          </w:p>
        </w:tc>
      </w:tr>
      <w:tr w:rsidR="00E56096" w14:paraId="53255D5E" w14:textId="77777777">
        <w:trPr>
          <w:jc w:val="center"/>
        </w:trPr>
        <w:tc>
          <w:tcPr>
            <w:tcW w:w="4874" w:type="dxa"/>
            <w:vAlign w:val="center"/>
          </w:tcPr>
          <w:p w14:paraId="00322AB1" w14:textId="77777777" w:rsidR="00E56096" w:rsidRDefault="00000000">
            <w:pPr>
              <w:spacing w:after="20" w:line="240" w:lineRule="auto"/>
            </w:pPr>
            <w:r>
              <w:rPr>
                <w:sz w:val="17"/>
              </w:rPr>
              <w:t>deg(F,U,0) = 0, without exclusion proof</w:t>
            </w:r>
          </w:p>
        </w:tc>
        <w:tc>
          <w:tcPr>
            <w:tcW w:w="4874" w:type="dxa"/>
            <w:vAlign w:val="center"/>
          </w:tcPr>
          <w:p w14:paraId="1F9C884B" w14:textId="77777777" w:rsidR="00E56096" w:rsidRDefault="00000000">
            <w:pPr>
              <w:spacing w:after="20" w:line="240" w:lineRule="auto"/>
            </w:pPr>
            <w:r>
              <w:rPr>
                <w:sz w:val="17"/>
              </w:rPr>
              <w:t>UNRESOLVED — retain, refine, or test with a different certificate.</w:t>
            </w:r>
          </w:p>
        </w:tc>
      </w:tr>
    </w:tbl>
    <w:p w14:paraId="5B7BC93F" w14:textId="77777777" w:rsidR="00E56096" w:rsidRDefault="00000000">
      <w:r>
        <w:t>Discarding every zero-degree cell converts a one-sided theorem into a false two-sided rule and manufactures a false zero. This is the exact search analogue of the resolution failures catalogued by the framework’s cover-definition programme: a computation returns zero because the architecture failed to expose what the zero would need to exclude (Ghosh, 2026, Does It Glue?; Hypercovering and Descent).</w:t>
      </w:r>
    </w:p>
    <w:p w14:paraId="36E45785" w14:textId="77777777" w:rsidR="00E56096" w:rsidRDefault="00000000">
      <w:pPr>
        <w:pStyle w:val="Heading2"/>
      </w:pPr>
      <w:r>
        <w:t>3.4 Dimensional typing of the residual</w:t>
      </w:r>
    </w:p>
    <w:p w14:paraId="70FE56CA" w14:textId="77777777" w:rsidR="00E56096" w:rsidRDefault="00000000">
      <w:r>
        <w:t>Brouwer degree requires equal domain and codomain dimension. The residual must have the form F_q: U^m -&gt; R^m, or more generally be a section of a rank-m vector bundle over an m-dimensional manifold. For a transverse map F: U^m -&gt; R^k, the expected dimension of the zero set is m-k. A scalar mismatch r: U^m -&gt; R therefore generically vanishes on an (m-1)-dimensional set, not at isolated points. The example r(x,y)=x^2+y^2-1 has an entire circle of zeros.</w:t>
      </w:r>
    </w:p>
    <w:p w14:paraId="68547C8A" w14:textId="77777777" w:rsidR="00E56096" w:rsidRDefault="00000000">
      <w:pPr>
        <w:pStyle w:val="Equation"/>
        <w:jc w:val="center"/>
      </w:pPr>
      <w:r>
        <w:t>F_q : U^m → R^m     is degree-typed;     r : U^m → R     generally is not.</w:t>
      </w:r>
    </w:p>
    <w:p w14:paraId="0C3AAF66" w14:textId="77777777" w:rsidR="00E56096" w:rsidRDefault="00000000">
      <w:r>
        <w:t>This constraint rules out the simplest neural interpretation in which a single prediction-error magnitude acts as a topological search certificate. A scalar signal can rank, threshold, or gate, but it cannot by itself support the regional degree above. The architecture must construct an m-component residual, reduce the problem to a square subsystem, or choose a different invariant for a non-square problem.</w:t>
      </w:r>
    </w:p>
    <w:p w14:paraId="426799CC" w14:textId="77777777" w:rsidR="00E56096" w:rsidRDefault="00000000">
      <w:pPr>
        <w:pStyle w:val="Heading1"/>
      </w:pPr>
      <w:r>
        <w:t>4. Two One-Sided Certificates</w:t>
      </w:r>
    </w:p>
    <w:p w14:paraId="1B83F45D" w14:textId="77777777" w:rsidR="00E56096" w:rsidRDefault="00000000">
      <w:pPr>
        <w:pStyle w:val="Heading2"/>
      </w:pPr>
      <w:r>
        <w:t>4.1 The obstruction certificate</w:t>
      </w:r>
    </w:p>
    <w:p w14:paraId="304251AD" w14:textId="77777777" w:rsidR="00E56096" w:rsidRDefault="00000000">
      <w:r>
        <w:t>The framework’s gluing gate operates on a particular obstruction class generated by present local data. The correct statement is not H^1 nonzero implies nothing can glue. Rather, for the proposed local sections and transition data, a nontrivial class [ω] in H^1(X;F) certifies that this gluing is obstructed. The ambient cohomology group may be nonzero even when a particular class vanishes. This distinction is central to the restriction and hypercover papers, where the audit belongs to a specific proposal over a specific cover (Ghosh, 2026, The Restriction Vertex; Hypercovering and Descent).</w:t>
      </w:r>
    </w:p>
    <w:p w14:paraId="7B443508" w14:textId="77777777" w:rsidR="00E56096" w:rsidRDefault="00000000">
      <w:pPr>
        <w:pStyle w:val="Equation"/>
        <w:jc w:val="center"/>
      </w:pPr>
      <w:r>
        <w:t>[ω] ≠ 0 ∈ H¹(X;𝓕)   ⇒   this proposed gluing cannot be released.</w:t>
      </w:r>
    </w:p>
    <w:p w14:paraId="02B37649" w14:textId="77777777" w:rsidR="00E56096" w:rsidRDefault="00000000">
      <w:pPr>
        <w:pStyle w:val="Heading2"/>
      </w:pPr>
      <w:r>
        <w:t>4.2 The degree certificate</w:t>
      </w:r>
    </w:p>
    <w:p w14:paraId="39CD8418" w14:textId="77777777" w:rsidR="00E56096" w:rsidRDefault="00000000">
      <w:r>
        <w:t>Degree has the opposite polarity. A nonzero obstruction class certifies impossibility of a proposed assembly; a nonzero regional degree certifies impossibility of emptiness. The two verdicts belong beside one another, not as sequential stages of one calculation.</w:t>
      </w:r>
    </w:p>
    <w:tbl>
      <w:tblPr>
        <w:tblStyle w:val="TableGrid"/>
        <w:tblW w:w="0" w:type="auto"/>
        <w:jc w:val="center"/>
        <w:tblLook w:val="04A0" w:firstRow="1" w:lastRow="0" w:firstColumn="1" w:lastColumn="0" w:noHBand="0" w:noVBand="1"/>
      </w:tblPr>
      <w:tblGrid>
        <w:gridCol w:w="3250"/>
        <w:gridCol w:w="3250"/>
        <w:gridCol w:w="3250"/>
      </w:tblGrid>
      <w:tr w:rsidR="00E56096" w14:paraId="1FD193B9" w14:textId="77777777">
        <w:trPr>
          <w:tblHeader/>
          <w:jc w:val="center"/>
        </w:trPr>
        <w:tc>
          <w:tcPr>
            <w:tcW w:w="3250" w:type="dxa"/>
            <w:shd w:val="clear" w:color="auto" w:fill="D9E2F3"/>
            <w:vAlign w:val="center"/>
          </w:tcPr>
          <w:p w14:paraId="1C5161B1" w14:textId="77777777" w:rsidR="00E56096" w:rsidRDefault="00000000">
            <w:r>
              <w:rPr>
                <w:sz w:val="17"/>
              </w:rPr>
              <w:t>Computed invariant</w:t>
            </w:r>
          </w:p>
        </w:tc>
        <w:tc>
          <w:tcPr>
            <w:tcW w:w="3250" w:type="dxa"/>
            <w:shd w:val="clear" w:color="auto" w:fill="D9E2F3"/>
            <w:vAlign w:val="center"/>
          </w:tcPr>
          <w:p w14:paraId="791D8D07" w14:textId="77777777" w:rsidR="00E56096" w:rsidRDefault="00000000">
            <w:r>
              <w:rPr>
                <w:sz w:val="17"/>
              </w:rPr>
              <w:t>Certified statement</w:t>
            </w:r>
          </w:p>
        </w:tc>
        <w:tc>
          <w:tcPr>
            <w:tcW w:w="3250" w:type="dxa"/>
            <w:shd w:val="clear" w:color="auto" w:fill="D9E2F3"/>
            <w:vAlign w:val="center"/>
          </w:tcPr>
          <w:p w14:paraId="7DB83B8D" w14:textId="77777777" w:rsidR="00E56096" w:rsidRDefault="00000000">
            <w:r>
              <w:rPr>
                <w:sz w:val="17"/>
              </w:rPr>
              <w:t>Action</w:t>
            </w:r>
          </w:p>
        </w:tc>
      </w:tr>
      <w:tr w:rsidR="00E56096" w14:paraId="0E986721" w14:textId="77777777">
        <w:trPr>
          <w:jc w:val="center"/>
        </w:trPr>
        <w:tc>
          <w:tcPr>
            <w:tcW w:w="3250" w:type="dxa"/>
            <w:vAlign w:val="center"/>
          </w:tcPr>
          <w:p w14:paraId="461CF1A7" w14:textId="77777777" w:rsidR="00E56096" w:rsidRDefault="00000000">
            <w:r>
              <w:rPr>
                <w:sz w:val="17"/>
              </w:rPr>
              <w:t>[ω] ≠ 0 in H¹(X;𝓕)</w:t>
            </w:r>
          </w:p>
        </w:tc>
        <w:tc>
          <w:tcPr>
            <w:tcW w:w="3250" w:type="dxa"/>
            <w:vAlign w:val="center"/>
          </w:tcPr>
          <w:p w14:paraId="5F6F7E84" w14:textId="77777777" w:rsidR="00E56096" w:rsidRDefault="00000000">
            <w:r>
              <w:rPr>
                <w:sz w:val="17"/>
              </w:rPr>
              <w:t>The proposed local sections cannot glue.</w:t>
            </w:r>
          </w:p>
        </w:tc>
        <w:tc>
          <w:tcPr>
            <w:tcW w:w="3250" w:type="dxa"/>
            <w:vAlign w:val="center"/>
          </w:tcPr>
          <w:p w14:paraId="5355688A" w14:textId="77777777" w:rsidR="00E56096" w:rsidRDefault="00000000">
            <w:r>
              <w:rPr>
                <w:sz w:val="17"/>
              </w:rPr>
              <w:t>WITHHOLD or repair.</w:t>
            </w:r>
          </w:p>
        </w:tc>
      </w:tr>
      <w:tr w:rsidR="00E56096" w14:paraId="269EBD01" w14:textId="77777777">
        <w:trPr>
          <w:jc w:val="center"/>
        </w:trPr>
        <w:tc>
          <w:tcPr>
            <w:tcW w:w="3250" w:type="dxa"/>
            <w:vAlign w:val="center"/>
          </w:tcPr>
          <w:p w14:paraId="07B90D2C" w14:textId="77777777" w:rsidR="00E56096" w:rsidRDefault="00000000">
            <w:r>
              <w:rPr>
                <w:sz w:val="17"/>
              </w:rPr>
              <w:t>deg(F,U,0) ≠ 0</w:t>
            </w:r>
          </w:p>
        </w:tc>
        <w:tc>
          <w:tcPr>
            <w:tcW w:w="3250" w:type="dxa"/>
            <w:vAlign w:val="center"/>
          </w:tcPr>
          <w:p w14:paraId="613AFC97" w14:textId="77777777" w:rsidR="00E56096" w:rsidRDefault="00000000">
            <w:r>
              <w:rPr>
                <w:sz w:val="17"/>
              </w:rPr>
              <w:t>The region U contains at least one zero.</w:t>
            </w:r>
          </w:p>
        </w:tc>
        <w:tc>
          <w:tcPr>
            <w:tcW w:w="3250" w:type="dxa"/>
            <w:vAlign w:val="center"/>
          </w:tcPr>
          <w:p w14:paraId="2EF9221F" w14:textId="77777777" w:rsidR="00E56096" w:rsidRDefault="00000000">
            <w:r>
              <w:rPr>
                <w:sz w:val="17"/>
              </w:rPr>
              <w:t>SEARCH WITHIN or refine.</w:t>
            </w:r>
          </w:p>
        </w:tc>
      </w:tr>
    </w:tbl>
    <w:p w14:paraId="32C59C9E" w14:textId="77777777" w:rsidR="00E56096" w:rsidRDefault="00000000">
      <w:pPr>
        <w:pStyle w:val="Heading2"/>
      </w:pPr>
      <w:r>
        <w:lastRenderedPageBreak/>
        <w:t>4.3 Earned zero</w:t>
      </w:r>
    </w:p>
    <w:p w14:paraId="6216174A" w14:textId="77777777" w:rsidR="00E56096" w:rsidRDefault="00000000">
      <w:r>
        <w:t>The two zeros are not identical, but they share a discipline. A vanishing computed obstruction does not automatically certify coherence: the domain may contain invented simplices, the cover may be under-resolved, the restriction maps may be trivialized, or a higher obstruction may remain invisible. Likewise, degree zero does not certify emptiness without an independent exclusion proof. In each case, zero is not absence by default; it is a claim whose evidentiary preconditions must be audited.</w:t>
      </w:r>
    </w:p>
    <w:tbl>
      <w:tblPr>
        <w:tblW w:w="0" w:type="auto"/>
        <w:jc w:val="center"/>
        <w:tblLook w:val="04A0" w:firstRow="1" w:lastRow="0" w:firstColumn="1" w:lastColumn="0" w:noHBand="0" w:noVBand="1"/>
      </w:tblPr>
      <w:tblGrid>
        <w:gridCol w:w="9749"/>
      </w:tblGrid>
      <w:tr w:rsidR="00E56096" w14:paraId="61BA0828" w14:textId="77777777">
        <w:trPr>
          <w:jc w:val="center"/>
        </w:trPr>
        <w:tc>
          <w:tcPr>
            <w:tcW w:w="9749" w:type="dxa"/>
            <w:tcBorders>
              <w:top w:val="nil"/>
              <w:left w:val="single" w:sz="14" w:space="0" w:color="1F4E79"/>
              <w:bottom w:val="nil"/>
              <w:right w:val="nil"/>
            </w:tcBorders>
            <w:shd w:val="clear" w:color="auto" w:fill="EEF3F7"/>
            <w:vAlign w:val="center"/>
          </w:tcPr>
          <w:p w14:paraId="04884D13" w14:textId="77777777" w:rsidR="00E56096" w:rsidRDefault="00000000">
            <w:pPr>
              <w:spacing w:after="60"/>
            </w:pPr>
            <w:r>
              <w:rPr>
                <w:b/>
                <w:color w:val="1F4E79"/>
                <w:sz w:val="17"/>
              </w:rPr>
              <w:t>Central rule</w:t>
            </w:r>
          </w:p>
          <w:p w14:paraId="7C01878C" w14:textId="77777777" w:rsidR="00E56096" w:rsidRDefault="00000000">
            <w:pPr>
              <w:spacing w:after="0" w:line="254" w:lineRule="auto"/>
            </w:pPr>
            <w:r>
              <w:rPr>
                <w:sz w:val="17"/>
              </w:rPr>
              <w:t>A nonzero obstruction class certifies refusal. A nonzero regional degree certifies non-emptiness. A vanishing value certifies neither coherence nor emptiness unless the system has also certified the domain, resolution, restrictions, coefficient transport, boundary admissibility, and exclusion conditions that make the zero trustworthy.</w:t>
            </w:r>
          </w:p>
        </w:tc>
      </w:tr>
    </w:tbl>
    <w:p w14:paraId="38D7E1F0" w14:textId="77777777" w:rsidR="00E56096" w:rsidRDefault="00000000">
      <w:pPr>
        <w:pStyle w:val="Heading1"/>
      </w:pPr>
      <w:r>
        <w:t>5. Orientation Replaces Invertibility as the Global Constraint</w:t>
      </w:r>
    </w:p>
    <w:p w14:paraId="4D03943F" w14:textId="77777777" w:rsidR="00E56096" w:rsidRDefault="00000000">
      <w:pPr>
        <w:pStyle w:val="Heading2"/>
      </w:pPr>
      <w:r>
        <w:t>5.1 Signed degree across an atlas</w:t>
      </w:r>
    </w:p>
    <w:p w14:paraId="1D5B097C" w14:textId="77777777" w:rsidR="00E56096" w:rsidRDefault="00000000">
      <w:r>
        <w:t>An integer-valued degree requires coherent orientation. Reversing the orientation of a boundary changes a local index from +1 to -1. If chart transitions preserve orientation, local degrees can be transported and added consistently. If a transition reverses orientation, the sign cannot be compared globally without an orientation local system. The relevant global requirement is therefore not an invertible cortical return but coherent transport of the chosen coefficient system.</w:t>
      </w:r>
    </w:p>
    <w:p w14:paraId="4887904B" w14:textId="77777777" w:rsidR="00E56096" w:rsidRDefault="00000000">
      <w:pPr>
        <w:pStyle w:val="Equation"/>
        <w:jc w:val="center"/>
      </w:pPr>
      <w:r>
        <w:t>orientable atlas  ⇒  Z-valued signed degree and coherent addition.</w:t>
      </w:r>
    </w:p>
    <w:p w14:paraId="13B77A92" w14:textId="77777777" w:rsidR="00E56096" w:rsidRDefault="00000000">
      <w:pPr>
        <w:pStyle w:val="Heading2"/>
      </w:pPr>
      <w:r>
        <w:t>5.2 Non-orientable atlases</w:t>
      </w:r>
    </w:p>
    <w:p w14:paraId="00E5E70B" w14:textId="77777777" w:rsidR="00E56096" w:rsidRDefault="00000000">
      <w:r>
        <w:t>On a non-orientable manifold, degree may be formulated with local coefficients, or reduced modulo two. Mod-two degree is insensitive to orientation reversal and retains a one-sided existence theorem: degree_2 equal to one certifies at least one zero. It loses the signed cancellation and multiplicity information carried by the integer degree.</w:t>
      </w:r>
    </w:p>
    <w:p w14:paraId="0EDD46B9" w14:textId="77777777" w:rsidR="00E56096" w:rsidRDefault="00000000">
      <w:pPr>
        <w:pStyle w:val="Equation"/>
        <w:jc w:val="center"/>
      </w:pPr>
      <w:r>
        <w:t>deg₂(F,U,0) = 1   ⇒   F⁻¹(0) ∩ U ≠ ∅.</w:t>
      </w:r>
    </w:p>
    <w:p w14:paraId="59EEE3C0" w14:textId="77777777" w:rsidR="00E56096" w:rsidRDefault="00000000">
      <w:pPr>
        <w:pStyle w:val="Heading2"/>
      </w:pPr>
      <w:r>
        <w:t>5.3 Torus and Klein bottle: a legitimate search distinction</w:t>
      </w:r>
    </w:p>
    <w:p w14:paraId="3CA4191A" w14:textId="77777777" w:rsidR="00E56096" w:rsidRDefault="00000000">
      <w:r>
        <w:t>This gives the earlier torus/Klein-bottle line a precise role. A toroidal atlas is orientable and supports ordinary signed index transport. A Klein-bottle-like atlas is non-orientable and requires twisted coefficients or parity-valued certification. The distinction is not that the torus has a richer subgroup lattice for search; it is that chart transitions transport orientation differently. This replacement is sharper because it directly changes which degree certificate can be aggregated and what information it retains.</w:t>
      </w:r>
    </w:p>
    <w:p w14:paraId="7E63BC3B" w14:textId="77777777" w:rsidR="00E56096" w:rsidRDefault="00000000">
      <w:pPr>
        <w:pStyle w:val="Heading1"/>
      </w:pPr>
      <w:r>
        <w:t>6. Cover Construction, Nerve Certification, and Hypercover Refinement</w:t>
      </w:r>
    </w:p>
    <w:p w14:paraId="53390FB4" w14:textId="77777777" w:rsidR="00E56096" w:rsidRDefault="00000000">
      <w:r>
        <w:t>Degree theory presupposes a search region U and a boundary on which the residual is nonzero. In an engineered system, neither is free. Candidate charts must be constructed from data, their overlaps must be genuine, and the boundary must be sampled finely enough to support the chosen degree estimator. These obligations connect the paper to the framework’s audit machinery without collapsing degree into cohomology.</w:t>
      </w:r>
    </w:p>
    <w:p w14:paraId="4F1C585D" w14:textId="77777777" w:rsidR="00E56096" w:rsidRDefault="00000000">
      <w:pPr>
        <w:pStyle w:val="Heading2"/>
      </w:pPr>
      <w:r>
        <w:t>6.1 Chart construction is prior to degree</w:t>
      </w:r>
    </w:p>
    <w:p w14:paraId="0D76B7D0" w14:textId="77777777" w:rsidR="00E56096" w:rsidRDefault="00000000">
      <w:r>
        <w:t>Self-attention or pairwise proximity may propose edges among candidate states, but an obstruction or degree audit cannot safely infer higher-dimensional regions from pairwise scores alone. Nerve-Attention states the prior requirement: a clique is not a simplex; a face must be witnessed by a genuine joint overlap before higher-order audit is meaningful (Ghosh, 2026, Nerve-Attention). In the present setting, the same discipline applies to search cells. A region is not merely a collection of mutually similar samples; it must have a typed boundary and admissible interior on which the residual is defined.</w:t>
      </w:r>
    </w:p>
    <w:p w14:paraId="1E7659BE" w14:textId="77777777" w:rsidR="00E56096" w:rsidRDefault="00000000">
      <w:pPr>
        <w:pStyle w:val="Heading2"/>
      </w:pPr>
      <w:r>
        <w:t>6.2 Hypercovering repairs under-resolution</w:t>
      </w:r>
    </w:p>
    <w:p w14:paraId="3D5D83D3" w14:textId="77777777" w:rsidR="00E56096" w:rsidRDefault="00000000">
      <w:r>
        <w:t>A provisional boundary computation may miss a change of direction, a boundary zero, or an internal chart transition. Hypercover refinement supplies a general response: cover overlaps, then overlaps of overlaps, until the local structure needed by the audit becomes visible. This is a resolution operation, not the degree theorem itself. It becomes especially important when a zero index could be either genuine cancellation or an artefact of insufficient boundary resolution.</w:t>
      </w:r>
    </w:p>
    <w:p w14:paraId="4796F92A" w14:textId="77777777" w:rsidR="00E56096" w:rsidRDefault="00000000">
      <w:pPr>
        <w:pStyle w:val="Heading2"/>
      </w:pPr>
      <w:r>
        <w:lastRenderedPageBreak/>
        <w:t>6.3 The zero-index policy is not “follow nonzero children only”</w:t>
      </w:r>
    </w:p>
    <w:p w14:paraId="05E18CFD" w14:textId="77777777" w:rsidR="00E56096" w:rsidRDefault="00000000">
      <w:r>
        <w:t>A fast implementation will be tempted to refine nonzero children and discard zero children. That policy is theorem-safe only when a separate exclusion method proves that zero-degree children contain no zero. Otherwise, zero children must remain unresolved. Practical exclusion methods may include interval bounds, monotonicity certificates, convexity or sign arguments, validated numerics, or domain-specific constraints. Degree provides a positive existence witness; it does not provide universal negative search pruning.</w:t>
      </w:r>
    </w:p>
    <w:p w14:paraId="38EA7963" w14:textId="77777777" w:rsidR="00E56096" w:rsidRDefault="00000000">
      <w:pPr>
        <w:pStyle w:val="Heading1"/>
      </w:pPr>
      <w:r>
        <w:t>7. Natural Extension of a Compressive Cortical Return</w:t>
      </w:r>
    </w:p>
    <w:p w14:paraId="163F9CA4" w14:textId="77777777" w:rsidR="00E56096" w:rsidRDefault="00000000">
      <w:pPr>
        <w:pStyle w:val="Heading2"/>
      </w:pPr>
      <w:r>
        <w:t>7.1 Non-invertibility as provenance loss</w:t>
      </w:r>
    </w:p>
    <w:p w14:paraId="2168F29B" w14:textId="77777777" w:rsidR="00E56096" w:rsidRDefault="00000000">
      <w:r>
        <w:t>Cortical representations are plausibly compressive: several histories, justifications, or causal routes may converge to the same present semantic state. Demanding that the cortical return become invertible would oppose the purpose of abstraction. The right move is to enlarge the state so that the present endpoint is accompanied by enough predecessor information to disambiguate its route.</w:t>
      </w:r>
    </w:p>
    <w:p w14:paraId="522FF288" w14:textId="77777777" w:rsidR="00E56096" w:rsidRDefault="00000000">
      <w:pPr>
        <w:pStyle w:val="Heading2"/>
      </w:pPr>
      <w:r>
        <w:t>7.2 The natural extension</w:t>
      </w:r>
    </w:p>
    <w:p w14:paraId="14783D86" w14:textId="77777777" w:rsidR="00E56096" w:rsidRDefault="00000000">
      <w:r>
        <w:t>For a continuous map f: X -&gt; X, define the inverse-limit or natural-extension space</w:t>
      </w:r>
    </w:p>
    <w:p w14:paraId="63DD09A8" w14:textId="77777777" w:rsidR="00E56096" w:rsidRDefault="00000000">
      <w:pPr>
        <w:pStyle w:val="Equation"/>
        <w:jc w:val="center"/>
      </w:pPr>
      <w:r>
        <w:t>X̂ = {(x₀,x₋₁,x₋₂,…) : f(x₋k₋1)=x₋k for every k ≥ 0}.</w:t>
      </w:r>
    </w:p>
    <w:p w14:paraId="31C852EA" w14:textId="77777777" w:rsidR="00E56096" w:rsidRDefault="00000000">
      <w:r>
        <w:t>The shift on X-hat is invertible even when f is not. The construction does not make the base map injective; it records which predecessor branch was taken. For an expanding circle map z -&gt; z^d, the number of explicit branch histories to depth K grows as d^K. The full inverse limit is a d-adic solenoid, a compact inverse-limit space with Cantor-like fibre over the circle (McCord, 1965).</w:t>
      </w:r>
    </w:p>
    <w:p w14:paraId="6D21AF86" w14:textId="77777777" w:rsidR="00E56096" w:rsidRDefault="00000000">
      <w:pPr>
        <w:pStyle w:val="Heading2"/>
      </w:pPr>
      <w:r>
        <w:t>7.3 A solenoid is not a covering space</w:t>
      </w:r>
    </w:p>
    <w:p w14:paraId="4057A3B0" w14:textId="77777777" w:rsidR="00E56096" w:rsidRDefault="00000000">
      <w:r>
        <w:t>The d-adic fibre is compact, infinite, and non-discrete. The solenoid is therefore not an ordinary covering of S1. The classical covering vocabulary genuinely stops here. This is not a defect but the reason to distinguish two regimes: a locally homeomorphic projection supports classical monodromy; a many-to-one compressive return requires a history extension. The framework’s covering-state spine remains useful for the first regime, while the natural extension sharpens the second (Ghosh, 2026, When Are Two Reasons the Same?; Covering Networks; The Certified Memory Ledger).</w:t>
      </w:r>
    </w:p>
    <w:p w14:paraId="7D2F6216" w14:textId="77777777" w:rsidR="00E56096" w:rsidRDefault="00000000">
      <w:pPr>
        <w:pStyle w:val="Heading2"/>
      </w:pPr>
      <w:r>
        <w:t>7.4 Degree and history extension occupy different layers</w:t>
      </w:r>
    </w:p>
    <w:p w14:paraId="1DD2ED51" w14:textId="77777777" w:rsidR="00E56096" w:rsidRDefault="00000000">
      <w:r>
        <w:t>Brouwer degree is not naturally computed on the solenoid. It remains on finite-dimensional cortical or entorhinal charts where a dimensionally typed residual is defined. The history extension answers which predecessor branch produced the current state; degree answers whether a candidate chart must contain a zero. They cooperate but neither is computed on the other.</w:t>
      </w:r>
    </w:p>
    <w:p w14:paraId="3FE6F1B3" w14:textId="77777777" w:rsidR="00E56096" w:rsidRDefault="00000000">
      <w:pPr>
        <w:spacing w:after="40"/>
        <w:jc w:val="center"/>
      </w:pPr>
      <w:r>
        <w:rPr>
          <w:noProof/>
        </w:rPr>
        <w:drawing>
          <wp:inline distT="0" distB="0" distL="0" distR="0" wp14:anchorId="3AA06C15" wp14:editId="375F3E17">
            <wp:extent cx="6172200" cy="2991243"/>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degree_architecture.png"/>
                    <pic:cNvPicPr/>
                  </pic:nvPicPr>
                  <pic:blipFill>
                    <a:blip r:embed="rId10"/>
                    <a:stretch>
                      <a:fillRect/>
                    </a:stretch>
                  </pic:blipFill>
                  <pic:spPr>
                    <a:xfrm>
                      <a:off x="0" y="0"/>
                      <a:ext cx="6172200" cy="2991243"/>
                    </a:xfrm>
                    <a:prstGeom prst="rect">
                      <a:avLst/>
                    </a:prstGeom>
                  </pic:spPr>
                </pic:pic>
              </a:graphicData>
            </a:graphic>
          </wp:inline>
        </w:drawing>
      </w:r>
    </w:p>
    <w:p w14:paraId="19D33F7D" w14:textId="77777777" w:rsidR="00E56096" w:rsidRDefault="00000000">
      <w:pPr>
        <w:spacing w:after="140"/>
        <w:jc w:val="center"/>
      </w:pPr>
      <w:r>
        <w:rPr>
          <w:i/>
          <w:sz w:val="17"/>
        </w:rPr>
        <w:t>Figure 1. The regional degree and the natural extension live on different layers and answer different questions.</w:t>
      </w:r>
    </w:p>
    <w:p w14:paraId="5837619F" w14:textId="77777777" w:rsidR="00E56096" w:rsidRDefault="00000000">
      <w:pPr>
        <w:pStyle w:val="Heading1"/>
      </w:pPr>
      <w:r>
        <w:lastRenderedPageBreak/>
        <w:t>8. Candidate Neural Allocation</w:t>
      </w:r>
    </w:p>
    <w:p w14:paraId="5FA8E7FA" w14:textId="77777777" w:rsidR="00E56096" w:rsidRDefault="00000000">
      <w:pPr>
        <w:pStyle w:val="Heading2"/>
      </w:pPr>
      <w:r>
        <w:t>8.1 Neocortical microcircuit: residual-field computer [CAND-map]</w:t>
      </w:r>
    </w:p>
    <w:p w14:paraId="6DD84C24" w14:textId="77777777" w:rsidR="00E56096" w:rsidRDefault="00000000">
      <w:r>
        <w:t>The microcolumn should not be forced to be a circle, torus, Klein bottle, or covering space. Its more defensible role is local computation: receive a query and context, construct a candidate chart, evaluate an m-component residual, propagate the residual around a boundary, and communicate with neighbouring charts. This allocation extends the 3-to-6-layer cortical programme while respecting its distinction between proposal, restriction, and release (Ghosh, 2026, The 3→6-Layer Cortex; The Restriction Vertex).</w:t>
      </w:r>
    </w:p>
    <w:p w14:paraId="1DEDF79E" w14:textId="77777777" w:rsidR="00E56096" w:rsidRDefault="00000000">
      <w:pPr>
        <w:pStyle w:val="Heading2"/>
      </w:pPr>
      <w:r>
        <w:t>8.2 Entorhinal system: periodic and reanchored atlas [SUP/CAND-map]</w:t>
      </w:r>
    </w:p>
    <w:p w14:paraId="4D4129A9" w14:textId="77777777" w:rsidR="00E56096" w:rsidRDefault="00000000">
      <w:r>
        <w:t>Population activity within individual grid-cell modules has been observed to reside on a toroidal manifold, with toroidal coordinates tracking the animal’s movement and remaining structured across wake and sleep (Gardner et al., 2022). This supports a periodic state manifold. It does not demonstrate a physiological universal-cover variable, a deck-transformation group, or a neural path-lifting theorem. More recent work shows grid modules switching and reanchoring between local reference frames while preserving internal manifold structure (Peng et al., 2025). That result weakens the rigid-global-cover interpretation and strengthens an atlas or hypercover interpretation: several locally valid coordinate systems are selected and related by context-dependent transitions.</w:t>
      </w:r>
    </w:p>
    <w:p w14:paraId="57E81A40" w14:textId="77777777" w:rsidR="00E56096" w:rsidRDefault="00000000">
      <w:pPr>
        <w:pStyle w:val="Heading2"/>
      </w:pPr>
      <w:r>
        <w:t>8.3 Hippocampus: finite history extension [SUP/CAND-map]</w:t>
      </w:r>
    </w:p>
    <w:p w14:paraId="7E43EBA1" w14:textId="77777777" w:rsidR="00E56096" w:rsidRDefault="00000000">
      <w:r>
        <w:t>Trajectory-modulated hippocampal neurons can distinguish the same location according to route context and can retain such coding across sessions (Kinsky et al., 2020). This is the minimum phenomenon a route-qualified state must explain: endpoint identity does not erase path identity. The proposed role is therefore stronger than “the hippocampus lifts an entorhinal point.” The hippocampus preserves the branch information that a compressive cortical or entorhinal state would discard.</w:t>
      </w:r>
    </w:p>
    <w:p w14:paraId="0EB36C4A" w14:textId="77777777" w:rsidR="00E56096" w:rsidRDefault="00000000">
      <w:pPr>
        <w:pStyle w:val="Heading2"/>
      </w:pPr>
      <w:r>
        <w:t>8.4 Biological finiteness and selective merging</w:t>
      </w:r>
    </w:p>
    <w:p w14:paraId="144DFC79" w14:textId="77777777" w:rsidR="00E56096" w:rsidRDefault="00000000">
      <w:r>
        <w:t>The mathematical natural extension retains an infinite past. A biological system cannot. It must implement a finite truncation, a compressed suffix, or a recurrent code preserving only distinctions that remain relevant. Since explicit histories grow as d^K, selective merging is forced. The resulting prediction is not merely that the hippocampus remembers history, but that it allocates representational capacity according to future disambiguation value.</w:t>
      </w:r>
    </w:p>
    <w:tbl>
      <w:tblPr>
        <w:tblW w:w="0" w:type="auto"/>
        <w:jc w:val="center"/>
        <w:tblLook w:val="04A0" w:firstRow="1" w:lastRow="0" w:firstColumn="1" w:lastColumn="0" w:noHBand="0" w:noVBand="1"/>
      </w:tblPr>
      <w:tblGrid>
        <w:gridCol w:w="9749"/>
      </w:tblGrid>
      <w:tr w:rsidR="00E56096" w14:paraId="0B25E0A3" w14:textId="77777777">
        <w:trPr>
          <w:jc w:val="center"/>
        </w:trPr>
        <w:tc>
          <w:tcPr>
            <w:tcW w:w="9749" w:type="dxa"/>
            <w:tcBorders>
              <w:top w:val="nil"/>
              <w:left w:val="single" w:sz="14" w:space="0" w:color="1F4E79"/>
              <w:bottom w:val="nil"/>
              <w:right w:val="nil"/>
            </w:tcBorders>
            <w:shd w:val="clear" w:color="auto" w:fill="EEF3F7"/>
            <w:vAlign w:val="center"/>
          </w:tcPr>
          <w:p w14:paraId="0EDB5A2B" w14:textId="77777777" w:rsidR="00E56096" w:rsidRDefault="00000000">
            <w:pPr>
              <w:spacing w:after="60"/>
            </w:pPr>
            <w:r>
              <w:rPr>
                <w:b/>
                <w:color w:val="1F4E79"/>
                <w:sz w:val="17"/>
              </w:rPr>
              <w:t>Prediction P1</w:t>
            </w:r>
          </w:p>
          <w:p w14:paraId="101EDD8B" w14:textId="77777777" w:rsidR="00E56096" w:rsidRDefault="00000000">
            <w:pPr>
              <w:spacing w:after="0" w:line="254" w:lineRule="auto"/>
            </w:pPr>
            <w:r>
              <w:rPr>
                <w:sz w:val="17"/>
              </w:rPr>
              <w:t>Two route histories that currently share the same cortical endpoint should remain hippocampally distinct when they imply different future evidence, actions, or justifications. They should merge earlier when all future task-relevant consequences have become equivalent.</w:t>
            </w:r>
          </w:p>
        </w:tc>
      </w:tr>
    </w:tbl>
    <w:p w14:paraId="4727771A" w14:textId="77777777" w:rsidR="00E56096" w:rsidRDefault="00000000">
      <w:pPr>
        <w:pStyle w:val="Heading2"/>
      </w:pPr>
      <w:r>
        <w:t>8.5 Consolidation as provenance transfer</w:t>
      </w:r>
    </w:p>
    <w:p w14:paraId="5010E887" w14:textId="77777777" w:rsidR="00E56096" w:rsidRDefault="00000000">
      <w:r>
        <w:t>A temporary branch distinction need not remain hippocampal forever. Successful consolidation should transfer future-relevant provenance into durable cortical structure before the temporary history code decays. Premature hippocampal merging predicts a specific error: the endpoint or conclusion remains available, but the system loses which route justified it. This connects the present proposal to the framework’s offline-repair and consolidation line (Ghosh, 2026, The Consolidation Engine; Dynamic Predictive Gluing; Generalization as Offline Geometric Repair).</w:t>
      </w:r>
    </w:p>
    <w:p w14:paraId="33B552D8" w14:textId="77777777" w:rsidR="00E56096" w:rsidRDefault="00000000">
      <w:pPr>
        <w:pStyle w:val="Heading1"/>
      </w:pPr>
      <w:r>
        <w:t>9. Candidate Cover–Degree Search Algorithm</w:t>
      </w:r>
    </w:p>
    <w:p w14:paraId="4E37ED1A" w14:textId="77777777" w:rsidR="00E56096" w:rsidRDefault="00000000">
      <w:r>
        <w:t>The following algorithm is a specification, not a claim about literal neural implementation. It makes explicit where each debt enters and prevents a degree-zero shortcut from becoming an uncertified discard.</w:t>
      </w:r>
    </w:p>
    <w:tbl>
      <w:tblPr>
        <w:tblStyle w:val="TableGrid"/>
        <w:tblW w:w="0" w:type="auto"/>
        <w:jc w:val="center"/>
        <w:tblLook w:val="04A0" w:firstRow="1" w:lastRow="0" w:firstColumn="1" w:lastColumn="0" w:noHBand="0" w:noVBand="1"/>
      </w:tblPr>
      <w:tblGrid>
        <w:gridCol w:w="710"/>
        <w:gridCol w:w="5528"/>
        <w:gridCol w:w="3512"/>
      </w:tblGrid>
      <w:tr w:rsidR="00E56096" w14:paraId="0A8DE4D9" w14:textId="77777777" w:rsidTr="00531553">
        <w:trPr>
          <w:tblHeader/>
          <w:jc w:val="center"/>
        </w:trPr>
        <w:tc>
          <w:tcPr>
            <w:tcW w:w="710" w:type="dxa"/>
            <w:shd w:val="clear" w:color="auto" w:fill="D9E2F3"/>
            <w:vAlign w:val="center"/>
          </w:tcPr>
          <w:p w14:paraId="528FE6F8" w14:textId="77777777" w:rsidR="00E56096" w:rsidRDefault="00000000">
            <w:r>
              <w:rPr>
                <w:sz w:val="17"/>
              </w:rPr>
              <w:t>Step</w:t>
            </w:r>
          </w:p>
        </w:tc>
        <w:tc>
          <w:tcPr>
            <w:tcW w:w="5528" w:type="dxa"/>
            <w:shd w:val="clear" w:color="auto" w:fill="D9E2F3"/>
            <w:vAlign w:val="center"/>
          </w:tcPr>
          <w:p w14:paraId="759CA0D7" w14:textId="77777777" w:rsidR="00E56096" w:rsidRDefault="00000000">
            <w:r>
              <w:rPr>
                <w:sz w:val="17"/>
              </w:rPr>
              <w:t>Operation</w:t>
            </w:r>
          </w:p>
        </w:tc>
        <w:tc>
          <w:tcPr>
            <w:tcW w:w="3512" w:type="dxa"/>
            <w:shd w:val="clear" w:color="auto" w:fill="D9E2F3"/>
            <w:vAlign w:val="center"/>
          </w:tcPr>
          <w:p w14:paraId="14D355C3" w14:textId="77777777" w:rsidR="00E56096" w:rsidRDefault="00000000">
            <w:r>
              <w:rPr>
                <w:sz w:val="17"/>
              </w:rPr>
              <w:t>Required certificate</w:t>
            </w:r>
          </w:p>
        </w:tc>
      </w:tr>
      <w:tr w:rsidR="00E56096" w14:paraId="579CBA27" w14:textId="77777777" w:rsidTr="00531553">
        <w:trPr>
          <w:jc w:val="center"/>
        </w:trPr>
        <w:tc>
          <w:tcPr>
            <w:tcW w:w="710" w:type="dxa"/>
            <w:vAlign w:val="center"/>
          </w:tcPr>
          <w:p w14:paraId="0091057E" w14:textId="77777777" w:rsidR="00E56096" w:rsidRDefault="00000000">
            <w:pPr>
              <w:spacing w:after="20" w:line="240" w:lineRule="auto"/>
            </w:pPr>
            <w:r>
              <w:rPr>
                <w:sz w:val="17"/>
              </w:rPr>
              <w:t>1</w:t>
            </w:r>
          </w:p>
        </w:tc>
        <w:tc>
          <w:tcPr>
            <w:tcW w:w="5528" w:type="dxa"/>
            <w:vAlign w:val="center"/>
          </w:tcPr>
          <w:p w14:paraId="568C7023" w14:textId="77777777" w:rsidR="00E56096" w:rsidRDefault="00000000">
            <w:pPr>
              <w:spacing w:after="20" w:line="240" w:lineRule="auto"/>
            </w:pPr>
            <w:r>
              <w:rPr>
                <w:sz w:val="17"/>
              </w:rPr>
              <w:t>Construct a candidate chart U and witnessed overlaps with neighbouring charts.</w:t>
            </w:r>
          </w:p>
        </w:tc>
        <w:tc>
          <w:tcPr>
            <w:tcW w:w="3512" w:type="dxa"/>
            <w:vAlign w:val="center"/>
          </w:tcPr>
          <w:p w14:paraId="64B6E5DA" w14:textId="77777777" w:rsidR="00E56096" w:rsidRDefault="00000000">
            <w:pPr>
              <w:spacing w:after="20" w:line="240" w:lineRule="auto"/>
            </w:pPr>
            <w:r>
              <w:rPr>
                <w:sz w:val="17"/>
              </w:rPr>
              <w:t>Domain and boundary typing; no invented simplex.</w:t>
            </w:r>
          </w:p>
        </w:tc>
      </w:tr>
      <w:tr w:rsidR="00E56096" w14:paraId="3EB0D058" w14:textId="77777777" w:rsidTr="00531553">
        <w:trPr>
          <w:jc w:val="center"/>
        </w:trPr>
        <w:tc>
          <w:tcPr>
            <w:tcW w:w="710" w:type="dxa"/>
            <w:vAlign w:val="center"/>
          </w:tcPr>
          <w:p w14:paraId="329E61D4" w14:textId="77777777" w:rsidR="00E56096" w:rsidRDefault="00000000">
            <w:pPr>
              <w:spacing w:after="20" w:line="240" w:lineRule="auto"/>
            </w:pPr>
            <w:r>
              <w:rPr>
                <w:sz w:val="17"/>
              </w:rPr>
              <w:t>2</w:t>
            </w:r>
          </w:p>
        </w:tc>
        <w:tc>
          <w:tcPr>
            <w:tcW w:w="5528" w:type="dxa"/>
            <w:vAlign w:val="center"/>
          </w:tcPr>
          <w:p w14:paraId="011BDEEE" w14:textId="77777777" w:rsidR="00E56096" w:rsidRDefault="00000000">
            <w:pPr>
              <w:spacing w:after="20" w:line="240" w:lineRule="auto"/>
            </w:pPr>
            <w:r>
              <w:rPr>
                <w:sz w:val="17"/>
              </w:rPr>
              <w:t>Construct query-conditioned residual F_q: closure(U) -&gt; R^m.</w:t>
            </w:r>
          </w:p>
        </w:tc>
        <w:tc>
          <w:tcPr>
            <w:tcW w:w="3512" w:type="dxa"/>
            <w:vAlign w:val="center"/>
          </w:tcPr>
          <w:p w14:paraId="25440CEE" w14:textId="77777777" w:rsidR="00E56096" w:rsidRDefault="00000000">
            <w:pPr>
              <w:spacing w:after="20" w:line="240" w:lineRule="auto"/>
            </w:pPr>
            <w:r>
              <w:rPr>
                <w:sz w:val="17"/>
              </w:rPr>
              <w:t>Dimension match; continuity; declared semantics of every component.</w:t>
            </w:r>
          </w:p>
        </w:tc>
      </w:tr>
      <w:tr w:rsidR="00E56096" w14:paraId="4EAC8309" w14:textId="77777777" w:rsidTr="00531553">
        <w:trPr>
          <w:jc w:val="center"/>
        </w:trPr>
        <w:tc>
          <w:tcPr>
            <w:tcW w:w="710" w:type="dxa"/>
            <w:vAlign w:val="center"/>
          </w:tcPr>
          <w:p w14:paraId="203582B2" w14:textId="77777777" w:rsidR="00E56096" w:rsidRDefault="00000000">
            <w:pPr>
              <w:spacing w:after="20" w:line="240" w:lineRule="auto"/>
            </w:pPr>
            <w:r>
              <w:rPr>
                <w:sz w:val="17"/>
              </w:rPr>
              <w:t>3</w:t>
            </w:r>
          </w:p>
        </w:tc>
        <w:tc>
          <w:tcPr>
            <w:tcW w:w="5528" w:type="dxa"/>
            <w:vAlign w:val="center"/>
          </w:tcPr>
          <w:p w14:paraId="3FE3A3CE" w14:textId="77777777" w:rsidR="00E56096" w:rsidRDefault="00000000">
            <w:pPr>
              <w:spacing w:after="20" w:line="240" w:lineRule="auto"/>
            </w:pPr>
            <w:r>
              <w:rPr>
                <w:sz w:val="17"/>
              </w:rPr>
              <w:t>Check boundary admissibility: 0 not in F_q(boundary U).</w:t>
            </w:r>
          </w:p>
        </w:tc>
        <w:tc>
          <w:tcPr>
            <w:tcW w:w="3512" w:type="dxa"/>
            <w:vAlign w:val="center"/>
          </w:tcPr>
          <w:p w14:paraId="1B0FF812" w14:textId="77777777" w:rsidR="00E56096" w:rsidRDefault="00000000">
            <w:pPr>
              <w:spacing w:after="20" w:line="240" w:lineRule="auto"/>
            </w:pPr>
            <w:r>
              <w:rPr>
                <w:sz w:val="17"/>
              </w:rPr>
              <w:t>Validated boundary exclusion or refine boundary sampling.</w:t>
            </w:r>
          </w:p>
        </w:tc>
      </w:tr>
      <w:tr w:rsidR="00E56096" w14:paraId="207329B0" w14:textId="77777777" w:rsidTr="00531553">
        <w:trPr>
          <w:jc w:val="center"/>
        </w:trPr>
        <w:tc>
          <w:tcPr>
            <w:tcW w:w="710" w:type="dxa"/>
            <w:vAlign w:val="center"/>
          </w:tcPr>
          <w:p w14:paraId="4B2BC876" w14:textId="77777777" w:rsidR="00E56096" w:rsidRDefault="00000000">
            <w:pPr>
              <w:spacing w:after="20" w:line="240" w:lineRule="auto"/>
            </w:pPr>
            <w:r>
              <w:rPr>
                <w:sz w:val="17"/>
              </w:rPr>
              <w:t>4</w:t>
            </w:r>
          </w:p>
        </w:tc>
        <w:tc>
          <w:tcPr>
            <w:tcW w:w="5528" w:type="dxa"/>
            <w:vAlign w:val="center"/>
          </w:tcPr>
          <w:p w14:paraId="69B628B0" w14:textId="77777777" w:rsidR="00E56096" w:rsidRDefault="00000000">
            <w:pPr>
              <w:spacing w:after="20" w:line="240" w:lineRule="auto"/>
            </w:pPr>
            <w:r>
              <w:rPr>
                <w:sz w:val="17"/>
              </w:rPr>
              <w:t>Estimate signed, twisted, or mod-two degree.</w:t>
            </w:r>
          </w:p>
        </w:tc>
        <w:tc>
          <w:tcPr>
            <w:tcW w:w="3512" w:type="dxa"/>
            <w:vAlign w:val="center"/>
          </w:tcPr>
          <w:p w14:paraId="0C43CF44" w14:textId="77777777" w:rsidR="00E56096" w:rsidRDefault="00000000">
            <w:pPr>
              <w:spacing w:after="20" w:line="240" w:lineRule="auto"/>
            </w:pPr>
            <w:r>
              <w:rPr>
                <w:sz w:val="17"/>
              </w:rPr>
              <w:t>Coefficient transport across chart transitions.</w:t>
            </w:r>
          </w:p>
        </w:tc>
      </w:tr>
      <w:tr w:rsidR="00E56096" w14:paraId="1E8D8966" w14:textId="77777777" w:rsidTr="00531553">
        <w:trPr>
          <w:jc w:val="center"/>
        </w:trPr>
        <w:tc>
          <w:tcPr>
            <w:tcW w:w="710" w:type="dxa"/>
            <w:vAlign w:val="center"/>
          </w:tcPr>
          <w:p w14:paraId="7D131170" w14:textId="77777777" w:rsidR="00E56096" w:rsidRDefault="00000000">
            <w:pPr>
              <w:spacing w:after="20" w:line="240" w:lineRule="auto"/>
            </w:pPr>
            <w:r>
              <w:rPr>
                <w:sz w:val="17"/>
              </w:rPr>
              <w:t>5a</w:t>
            </w:r>
          </w:p>
        </w:tc>
        <w:tc>
          <w:tcPr>
            <w:tcW w:w="5528" w:type="dxa"/>
            <w:vAlign w:val="center"/>
          </w:tcPr>
          <w:p w14:paraId="5F90E0FC" w14:textId="77777777" w:rsidR="00E56096" w:rsidRDefault="00000000">
            <w:pPr>
              <w:spacing w:after="20" w:line="240" w:lineRule="auto"/>
            </w:pPr>
            <w:r>
              <w:rPr>
                <w:sz w:val="17"/>
              </w:rPr>
              <w:t>If degree is nonzero, retain U and subdivide.</w:t>
            </w:r>
          </w:p>
        </w:tc>
        <w:tc>
          <w:tcPr>
            <w:tcW w:w="3512" w:type="dxa"/>
            <w:vAlign w:val="center"/>
          </w:tcPr>
          <w:p w14:paraId="54140195" w14:textId="77777777" w:rsidR="00E56096" w:rsidRDefault="00000000">
            <w:pPr>
              <w:spacing w:after="20" w:line="240" w:lineRule="auto"/>
            </w:pPr>
            <w:r>
              <w:rPr>
                <w:sz w:val="17"/>
              </w:rPr>
              <w:t>Certified occupied.</w:t>
            </w:r>
          </w:p>
        </w:tc>
      </w:tr>
      <w:tr w:rsidR="00E56096" w14:paraId="149AE06C" w14:textId="77777777" w:rsidTr="00531553">
        <w:trPr>
          <w:jc w:val="center"/>
        </w:trPr>
        <w:tc>
          <w:tcPr>
            <w:tcW w:w="710" w:type="dxa"/>
            <w:vAlign w:val="center"/>
          </w:tcPr>
          <w:p w14:paraId="36DCC07B" w14:textId="77777777" w:rsidR="00E56096" w:rsidRDefault="00000000">
            <w:pPr>
              <w:spacing w:after="20" w:line="240" w:lineRule="auto"/>
            </w:pPr>
            <w:r>
              <w:rPr>
                <w:sz w:val="17"/>
              </w:rPr>
              <w:t>5b</w:t>
            </w:r>
          </w:p>
        </w:tc>
        <w:tc>
          <w:tcPr>
            <w:tcW w:w="5528" w:type="dxa"/>
            <w:vAlign w:val="center"/>
          </w:tcPr>
          <w:p w14:paraId="4DD111E3" w14:textId="77777777" w:rsidR="00E56096" w:rsidRDefault="00000000">
            <w:pPr>
              <w:spacing w:after="20" w:line="240" w:lineRule="auto"/>
            </w:pPr>
            <w:r>
              <w:rPr>
                <w:sz w:val="17"/>
              </w:rPr>
              <w:t>If degree is zero and an independent exclusion proof passes, discard U.</w:t>
            </w:r>
          </w:p>
        </w:tc>
        <w:tc>
          <w:tcPr>
            <w:tcW w:w="3512" w:type="dxa"/>
            <w:vAlign w:val="center"/>
          </w:tcPr>
          <w:p w14:paraId="68A81E2F" w14:textId="77777777" w:rsidR="00E56096" w:rsidRDefault="00000000">
            <w:pPr>
              <w:spacing w:after="20" w:line="240" w:lineRule="auto"/>
            </w:pPr>
            <w:r>
              <w:rPr>
                <w:sz w:val="17"/>
              </w:rPr>
              <w:t>Certified empty.</w:t>
            </w:r>
          </w:p>
        </w:tc>
      </w:tr>
      <w:tr w:rsidR="00E56096" w14:paraId="6AE990A3" w14:textId="77777777" w:rsidTr="00531553">
        <w:trPr>
          <w:jc w:val="center"/>
        </w:trPr>
        <w:tc>
          <w:tcPr>
            <w:tcW w:w="710" w:type="dxa"/>
            <w:vAlign w:val="center"/>
          </w:tcPr>
          <w:p w14:paraId="14A03F91" w14:textId="77777777" w:rsidR="00E56096" w:rsidRDefault="00000000">
            <w:pPr>
              <w:spacing w:after="20" w:line="240" w:lineRule="auto"/>
            </w:pPr>
            <w:r>
              <w:rPr>
                <w:sz w:val="17"/>
              </w:rPr>
              <w:lastRenderedPageBreak/>
              <w:t>5c</w:t>
            </w:r>
          </w:p>
        </w:tc>
        <w:tc>
          <w:tcPr>
            <w:tcW w:w="5528" w:type="dxa"/>
            <w:vAlign w:val="center"/>
          </w:tcPr>
          <w:p w14:paraId="62B35738" w14:textId="77777777" w:rsidR="00E56096" w:rsidRDefault="00000000">
            <w:pPr>
              <w:spacing w:after="20" w:line="240" w:lineRule="auto"/>
            </w:pPr>
            <w:r>
              <w:rPr>
                <w:sz w:val="17"/>
              </w:rPr>
              <w:t>If degree is zero without exclusion, retain as unresolved.</w:t>
            </w:r>
          </w:p>
        </w:tc>
        <w:tc>
          <w:tcPr>
            <w:tcW w:w="3512" w:type="dxa"/>
            <w:vAlign w:val="center"/>
          </w:tcPr>
          <w:p w14:paraId="1525EC5E" w14:textId="77777777" w:rsidR="00E56096" w:rsidRDefault="00000000">
            <w:pPr>
              <w:spacing w:after="20" w:line="240" w:lineRule="auto"/>
            </w:pPr>
            <w:r>
              <w:rPr>
                <w:sz w:val="17"/>
              </w:rPr>
              <w:t>No false-zero pruning.</w:t>
            </w:r>
          </w:p>
        </w:tc>
      </w:tr>
      <w:tr w:rsidR="00E56096" w14:paraId="1E5FDB75" w14:textId="77777777" w:rsidTr="00531553">
        <w:trPr>
          <w:jc w:val="center"/>
        </w:trPr>
        <w:tc>
          <w:tcPr>
            <w:tcW w:w="710" w:type="dxa"/>
            <w:vAlign w:val="center"/>
          </w:tcPr>
          <w:p w14:paraId="1D5EA9CA" w14:textId="77777777" w:rsidR="00E56096" w:rsidRDefault="00000000">
            <w:pPr>
              <w:spacing w:after="20" w:line="240" w:lineRule="auto"/>
            </w:pPr>
            <w:r>
              <w:rPr>
                <w:sz w:val="17"/>
              </w:rPr>
              <w:t>6</w:t>
            </w:r>
          </w:p>
        </w:tc>
        <w:tc>
          <w:tcPr>
            <w:tcW w:w="5528" w:type="dxa"/>
            <w:vAlign w:val="center"/>
          </w:tcPr>
          <w:p w14:paraId="53A46580" w14:textId="77777777" w:rsidR="00E56096" w:rsidRDefault="00000000">
            <w:pPr>
              <w:spacing w:after="20" w:line="240" w:lineRule="auto"/>
            </w:pPr>
            <w:r>
              <w:rPr>
                <w:sz w:val="17"/>
              </w:rPr>
              <w:t>Use hippocampal history extension to preserve branch provenance across repeated chart visits.</w:t>
            </w:r>
          </w:p>
        </w:tc>
        <w:tc>
          <w:tcPr>
            <w:tcW w:w="3512" w:type="dxa"/>
            <w:vAlign w:val="center"/>
          </w:tcPr>
          <w:p w14:paraId="64D6C567" w14:textId="77777777" w:rsidR="00E56096" w:rsidRDefault="00000000">
            <w:pPr>
              <w:spacing w:after="20" w:line="240" w:lineRule="auto"/>
            </w:pPr>
            <w:r>
              <w:rPr>
                <w:sz w:val="17"/>
              </w:rPr>
              <w:t>Route identity survives endpoint aliasing.</w:t>
            </w:r>
          </w:p>
        </w:tc>
      </w:tr>
      <w:tr w:rsidR="00E56096" w14:paraId="00B3827D" w14:textId="77777777" w:rsidTr="00531553">
        <w:trPr>
          <w:jc w:val="center"/>
        </w:trPr>
        <w:tc>
          <w:tcPr>
            <w:tcW w:w="710" w:type="dxa"/>
            <w:vAlign w:val="center"/>
          </w:tcPr>
          <w:p w14:paraId="5E72E594" w14:textId="77777777" w:rsidR="00E56096" w:rsidRDefault="00000000">
            <w:pPr>
              <w:spacing w:after="20" w:line="240" w:lineRule="auto"/>
            </w:pPr>
            <w:r>
              <w:rPr>
                <w:sz w:val="17"/>
              </w:rPr>
              <w:t>7</w:t>
            </w:r>
          </w:p>
        </w:tc>
        <w:tc>
          <w:tcPr>
            <w:tcW w:w="5528" w:type="dxa"/>
            <w:vAlign w:val="center"/>
          </w:tcPr>
          <w:p w14:paraId="78DE42F1" w14:textId="77777777" w:rsidR="00E56096" w:rsidRDefault="00000000">
            <w:pPr>
              <w:spacing w:after="20" w:line="240" w:lineRule="auto"/>
            </w:pPr>
            <w:r>
              <w:rPr>
                <w:sz w:val="17"/>
              </w:rPr>
              <w:t>Consolidate future-relevant branch distinctions offline.</w:t>
            </w:r>
          </w:p>
        </w:tc>
        <w:tc>
          <w:tcPr>
            <w:tcW w:w="3512" w:type="dxa"/>
            <w:vAlign w:val="center"/>
          </w:tcPr>
          <w:p w14:paraId="01BB1223" w14:textId="77777777" w:rsidR="00E56096" w:rsidRDefault="00000000">
            <w:pPr>
              <w:spacing w:after="20" w:line="240" w:lineRule="auto"/>
            </w:pPr>
            <w:r>
              <w:rPr>
                <w:sz w:val="17"/>
              </w:rPr>
              <w:t>Provenance transferred before temporary code merges.</w:t>
            </w:r>
          </w:p>
        </w:tc>
      </w:tr>
    </w:tbl>
    <w:p w14:paraId="01A1AA9E" w14:textId="77777777" w:rsidR="00E56096" w:rsidRDefault="00000000">
      <w:pPr>
        <w:pStyle w:val="Heading2"/>
      </w:pPr>
      <w:r>
        <w:t>9.1 Why this is not the argument principle implemented literally</w:t>
      </w:r>
    </w:p>
    <w:p w14:paraId="321B1229" w14:textId="77777777" w:rsidR="00E56096" w:rsidRDefault="00000000">
      <w:r>
        <w:t>The algorithm does not assume that cognitive search is holomorphic, that every residual has isolated regular zeros, or that the brain performs exact integer arithmetic. The argument principle motivated the construction, but Brouwer degree is the general finite-dimensional object. A biological or artificial implementation may estimate degree through sampled boundary direction, learned local index predictors, validated discretizations, or parity tests. Each approximation must expose its error and boundary conditions; otherwise a noisy zero becomes indistinguishable from a topological zero.</w:t>
      </w:r>
    </w:p>
    <w:p w14:paraId="53948066" w14:textId="77777777" w:rsidR="00E56096" w:rsidRDefault="00000000">
      <w:pPr>
        <w:pStyle w:val="Heading1"/>
      </w:pPr>
      <w:r>
        <w:t>10. Falsifiable Predictions</w:t>
      </w:r>
    </w:p>
    <w:p w14:paraId="030E9C61" w14:textId="77777777" w:rsidR="00E56096" w:rsidRDefault="00000000">
      <w:pPr>
        <w:pStyle w:val="ListNumber"/>
        <w:spacing w:after="80"/>
      </w:pPr>
      <w:r>
        <w:rPr>
          <w:b/>
        </w:rPr>
        <w:t xml:space="preserve">P1 — Future-value allocation. </w:t>
      </w:r>
      <w:r>
        <w:t>Hippocampal branch separation should persist in proportion to future disambiguation value, not simply elapsed time or raw chronological depth.</w:t>
      </w:r>
    </w:p>
    <w:p w14:paraId="6291E81D" w14:textId="77777777" w:rsidR="00E56096" w:rsidRDefault="00000000">
      <w:pPr>
        <w:pStyle w:val="ListNumber"/>
        <w:spacing w:after="80"/>
      </w:pPr>
      <w:r>
        <w:rPr>
          <w:b/>
        </w:rPr>
        <w:t xml:space="preserve">P2 — Provenance-selective impairment. </w:t>
      </w:r>
      <w:r>
        <w:t>Disrupting hippocampal route coding should cause re-entry into previously rejected branches, conflation of justified and unsupported conclusions, or loss of causal route while preserving endpoint recognition.</w:t>
      </w:r>
    </w:p>
    <w:p w14:paraId="12828731" w14:textId="77777777" w:rsidR="00E56096" w:rsidRDefault="00000000">
      <w:pPr>
        <w:pStyle w:val="ListNumber"/>
        <w:spacing w:after="80"/>
      </w:pPr>
      <w:r>
        <w:rPr>
          <w:b/>
        </w:rPr>
        <w:t xml:space="preserve">P3 — Typed residual requirement. </w:t>
      </w:r>
      <w:r>
        <w:t>A neural or artificial system using only a scalar mismatch signal should fail to provide robust regional non-emptiness certificates on genuinely multidimensional search tasks. Performance gains should appear only after a square residual or equivalent bundle-valued error is constructed.</w:t>
      </w:r>
    </w:p>
    <w:p w14:paraId="34892770" w14:textId="77777777" w:rsidR="00E56096" w:rsidRDefault="00000000">
      <w:pPr>
        <w:pStyle w:val="ListNumber"/>
        <w:spacing w:after="80"/>
      </w:pPr>
      <w:r>
        <w:rPr>
          <w:b/>
        </w:rPr>
        <w:t xml:space="preserve">P4 — Orientation-sensitive aggregation. </w:t>
      </w:r>
      <w:r>
        <w:t>If local search charts contain orientation-reversing transitions, signed index aggregation should become inconsistent unless the system tracks orientation state; parity-valued existence judgments should remain stable.</w:t>
      </w:r>
    </w:p>
    <w:p w14:paraId="0CBAB5DA" w14:textId="77777777" w:rsidR="00E56096" w:rsidRDefault="00000000">
      <w:pPr>
        <w:pStyle w:val="ListNumber"/>
        <w:spacing w:after="80"/>
      </w:pPr>
      <w:r>
        <w:rPr>
          <w:b/>
        </w:rPr>
        <w:t xml:space="preserve">P5 — Zero-aware search. </w:t>
      </w:r>
      <w:r>
        <w:t>Systems that prune all zero-index cells should fail on paired solutions with opposite local index. A zero-aware policy should retain these regions and outperform specifically on cancellation cases, not uniformly on all tasks.</w:t>
      </w:r>
    </w:p>
    <w:p w14:paraId="71DF2E94" w14:textId="77777777" w:rsidR="00E56096" w:rsidRDefault="00000000">
      <w:pPr>
        <w:pStyle w:val="ListNumber"/>
        <w:spacing w:after="80"/>
      </w:pPr>
      <w:r>
        <w:rPr>
          <w:b/>
        </w:rPr>
        <w:t xml:space="preserve">P6 — Atlas reanchoring. </w:t>
      </w:r>
      <w:r>
        <w:t>Reference-frame switching should be accompanied by explicit chart-transition signatures. Failures of those transitions should yield localization or provenance errors even when each local chart remains internally coherent.</w:t>
      </w:r>
    </w:p>
    <w:p w14:paraId="1A0AE16C" w14:textId="77777777" w:rsidR="00E56096" w:rsidRDefault="00000000">
      <w:pPr>
        <w:pStyle w:val="ListNumber"/>
        <w:spacing w:after="80"/>
      </w:pPr>
      <w:r>
        <w:rPr>
          <w:b/>
        </w:rPr>
        <w:t xml:space="preserve">P7 — Consolidation transfer. </w:t>
      </w:r>
      <w:r>
        <w:t>Route distinctions that become cortically encoded after offline consolidation should become less hippocampus-dependent; distinctions not transferred should vanish as temporary branch codes merge.</w:t>
      </w:r>
    </w:p>
    <w:p w14:paraId="2E76B73D" w14:textId="77777777" w:rsidR="00E56096" w:rsidRDefault="00000000">
      <w:pPr>
        <w:pStyle w:val="Heading1"/>
      </w:pPr>
      <w:r>
        <w:t>11. The Five Typed Debts</w:t>
      </w:r>
    </w:p>
    <w:tbl>
      <w:tblPr>
        <w:tblW w:w="0" w:type="auto"/>
        <w:jc w:val="center"/>
        <w:tblLook w:val="04A0" w:firstRow="1" w:lastRow="0" w:firstColumn="1" w:lastColumn="0" w:noHBand="0" w:noVBand="1"/>
      </w:tblPr>
      <w:tblGrid>
        <w:gridCol w:w="9749"/>
      </w:tblGrid>
      <w:tr w:rsidR="00E56096" w14:paraId="21E0E9D3" w14:textId="77777777">
        <w:trPr>
          <w:jc w:val="center"/>
        </w:trPr>
        <w:tc>
          <w:tcPr>
            <w:tcW w:w="9749" w:type="dxa"/>
            <w:tcBorders>
              <w:top w:val="nil"/>
              <w:left w:val="single" w:sz="14" w:space="0" w:color="1F4E79"/>
              <w:bottom w:val="nil"/>
              <w:right w:val="nil"/>
            </w:tcBorders>
            <w:shd w:val="clear" w:color="auto" w:fill="F6F6F6"/>
            <w:vAlign w:val="center"/>
          </w:tcPr>
          <w:p w14:paraId="1B60722F" w14:textId="77777777" w:rsidR="00E56096" w:rsidRDefault="00000000">
            <w:pPr>
              <w:spacing w:after="60"/>
            </w:pPr>
            <w:r>
              <w:rPr>
                <w:b/>
                <w:color w:val="1F4E79"/>
                <w:sz w:val="17"/>
              </w:rPr>
              <w:t>D1 — Chart and cover construction</w:t>
            </w:r>
          </w:p>
          <w:p w14:paraId="5E093270" w14:textId="77777777" w:rsidR="00E56096" w:rsidRDefault="00000000">
            <w:pPr>
              <w:spacing w:after="0" w:line="254" w:lineRule="auto"/>
            </w:pPr>
            <w:r>
              <w:rPr>
                <w:sz w:val="17"/>
              </w:rPr>
              <w:t>What produces candidate regions, witnessed overlaps, interiors, and boundaries? How does the system distinguish a genuine higher-dimensional search cell from a clique completion?</w:t>
            </w:r>
          </w:p>
        </w:tc>
      </w:tr>
    </w:tbl>
    <w:p w14:paraId="4C771626" w14:textId="77777777" w:rsidR="00E56096" w:rsidRDefault="00E56096">
      <w:pPr>
        <w:spacing w:after="0"/>
      </w:pPr>
    </w:p>
    <w:tbl>
      <w:tblPr>
        <w:tblW w:w="0" w:type="auto"/>
        <w:jc w:val="center"/>
        <w:tblLook w:val="04A0" w:firstRow="1" w:lastRow="0" w:firstColumn="1" w:lastColumn="0" w:noHBand="0" w:noVBand="1"/>
      </w:tblPr>
      <w:tblGrid>
        <w:gridCol w:w="9749"/>
      </w:tblGrid>
      <w:tr w:rsidR="00E56096" w14:paraId="572E8B30" w14:textId="77777777">
        <w:trPr>
          <w:jc w:val="center"/>
        </w:trPr>
        <w:tc>
          <w:tcPr>
            <w:tcW w:w="9749" w:type="dxa"/>
            <w:tcBorders>
              <w:top w:val="nil"/>
              <w:left w:val="single" w:sz="14" w:space="0" w:color="1F4E79"/>
              <w:bottom w:val="nil"/>
              <w:right w:val="nil"/>
            </w:tcBorders>
            <w:shd w:val="clear" w:color="auto" w:fill="F6F6F6"/>
            <w:vAlign w:val="center"/>
          </w:tcPr>
          <w:p w14:paraId="0F99891F" w14:textId="77777777" w:rsidR="00E56096" w:rsidRDefault="00000000">
            <w:pPr>
              <w:spacing w:after="60"/>
            </w:pPr>
            <w:r>
              <w:rPr>
                <w:b/>
                <w:color w:val="1F4E79"/>
                <w:sz w:val="17"/>
              </w:rPr>
              <w:t>D2 — Residual typing</w:t>
            </w:r>
          </w:p>
          <w:p w14:paraId="102E3186" w14:textId="77777777" w:rsidR="00E56096" w:rsidRDefault="00000000">
            <w:pPr>
              <w:spacing w:after="0" w:line="254" w:lineRule="auto"/>
            </w:pPr>
            <w:r>
              <w:rPr>
                <w:sz w:val="17"/>
              </w:rPr>
              <w:t>What is F_q? Why does it have m components on an m-dimensional chart? Are its components commensurable, continuous, and semantically licensed?</w:t>
            </w:r>
          </w:p>
        </w:tc>
      </w:tr>
    </w:tbl>
    <w:p w14:paraId="2F9EA268" w14:textId="77777777" w:rsidR="00E56096" w:rsidRDefault="00E56096">
      <w:pPr>
        <w:spacing w:after="0"/>
      </w:pPr>
    </w:p>
    <w:tbl>
      <w:tblPr>
        <w:tblW w:w="0" w:type="auto"/>
        <w:jc w:val="center"/>
        <w:tblLook w:val="04A0" w:firstRow="1" w:lastRow="0" w:firstColumn="1" w:lastColumn="0" w:noHBand="0" w:noVBand="1"/>
      </w:tblPr>
      <w:tblGrid>
        <w:gridCol w:w="9749"/>
      </w:tblGrid>
      <w:tr w:rsidR="00E56096" w14:paraId="12CF485B" w14:textId="77777777">
        <w:trPr>
          <w:jc w:val="center"/>
        </w:trPr>
        <w:tc>
          <w:tcPr>
            <w:tcW w:w="9749" w:type="dxa"/>
            <w:tcBorders>
              <w:top w:val="nil"/>
              <w:left w:val="single" w:sz="14" w:space="0" w:color="1F4E79"/>
              <w:bottom w:val="nil"/>
              <w:right w:val="nil"/>
            </w:tcBorders>
            <w:shd w:val="clear" w:color="auto" w:fill="F6F6F6"/>
            <w:vAlign w:val="center"/>
          </w:tcPr>
          <w:p w14:paraId="73C92DD2" w14:textId="77777777" w:rsidR="00E56096" w:rsidRDefault="00000000">
            <w:pPr>
              <w:spacing w:after="60"/>
            </w:pPr>
            <w:r>
              <w:rPr>
                <w:b/>
                <w:color w:val="1F4E79"/>
                <w:sz w:val="17"/>
              </w:rPr>
              <w:t>D3 — History extension</w:t>
            </w:r>
          </w:p>
          <w:p w14:paraId="07EFBA6B" w14:textId="77777777" w:rsidR="00E56096" w:rsidRDefault="00000000">
            <w:pPr>
              <w:spacing w:after="0" w:line="254" w:lineRule="auto"/>
            </w:pPr>
            <w:r>
              <w:rPr>
                <w:sz w:val="17"/>
              </w:rPr>
              <w:t>Which predecessor distinctions must survive cortical compression, how are they encoded finitely, and what rule permits branch merging?</w:t>
            </w:r>
          </w:p>
        </w:tc>
      </w:tr>
    </w:tbl>
    <w:p w14:paraId="3517885A" w14:textId="77777777" w:rsidR="00E56096" w:rsidRDefault="00E56096">
      <w:pPr>
        <w:spacing w:after="0"/>
      </w:pPr>
    </w:p>
    <w:tbl>
      <w:tblPr>
        <w:tblW w:w="0" w:type="auto"/>
        <w:jc w:val="center"/>
        <w:tblLook w:val="04A0" w:firstRow="1" w:lastRow="0" w:firstColumn="1" w:lastColumn="0" w:noHBand="0" w:noVBand="1"/>
      </w:tblPr>
      <w:tblGrid>
        <w:gridCol w:w="9749"/>
      </w:tblGrid>
      <w:tr w:rsidR="00E56096" w14:paraId="2175C6D7" w14:textId="77777777">
        <w:trPr>
          <w:jc w:val="center"/>
        </w:trPr>
        <w:tc>
          <w:tcPr>
            <w:tcW w:w="9749" w:type="dxa"/>
            <w:tcBorders>
              <w:top w:val="nil"/>
              <w:left w:val="single" w:sz="14" w:space="0" w:color="1F4E79"/>
              <w:bottom w:val="nil"/>
              <w:right w:val="nil"/>
            </w:tcBorders>
            <w:shd w:val="clear" w:color="auto" w:fill="F6F6F6"/>
            <w:vAlign w:val="center"/>
          </w:tcPr>
          <w:p w14:paraId="62D6AE7F" w14:textId="77777777" w:rsidR="00E56096" w:rsidRDefault="00000000">
            <w:pPr>
              <w:spacing w:after="60"/>
            </w:pPr>
            <w:r>
              <w:rPr>
                <w:b/>
                <w:color w:val="1F4E79"/>
                <w:sz w:val="17"/>
              </w:rPr>
              <w:t>D4 — Degree readout</w:t>
            </w:r>
          </w:p>
          <w:p w14:paraId="60F13B1E" w14:textId="77777777" w:rsidR="00E56096" w:rsidRDefault="00000000">
            <w:pPr>
              <w:spacing w:after="0" w:line="254" w:lineRule="auto"/>
            </w:pPr>
            <w:r>
              <w:rPr>
                <w:sz w:val="17"/>
              </w:rPr>
              <w:t>How does the system estimate integer, twisted, or mod-two degree under noise? What boundary-resolution and numerical-error certificate accompanies the estimate?</w:t>
            </w:r>
          </w:p>
        </w:tc>
      </w:tr>
    </w:tbl>
    <w:p w14:paraId="3E59F0E2" w14:textId="77777777" w:rsidR="00E56096" w:rsidRDefault="00E56096">
      <w:pPr>
        <w:spacing w:after="0"/>
      </w:pPr>
    </w:p>
    <w:tbl>
      <w:tblPr>
        <w:tblW w:w="0" w:type="auto"/>
        <w:jc w:val="center"/>
        <w:tblLook w:val="04A0" w:firstRow="1" w:lastRow="0" w:firstColumn="1" w:lastColumn="0" w:noHBand="0" w:noVBand="1"/>
      </w:tblPr>
      <w:tblGrid>
        <w:gridCol w:w="9749"/>
      </w:tblGrid>
      <w:tr w:rsidR="00E56096" w14:paraId="136F5293" w14:textId="77777777">
        <w:trPr>
          <w:jc w:val="center"/>
        </w:trPr>
        <w:tc>
          <w:tcPr>
            <w:tcW w:w="9749" w:type="dxa"/>
            <w:tcBorders>
              <w:top w:val="nil"/>
              <w:left w:val="single" w:sz="14" w:space="0" w:color="1F4E79"/>
              <w:bottom w:val="nil"/>
              <w:right w:val="nil"/>
            </w:tcBorders>
            <w:shd w:val="clear" w:color="auto" w:fill="F6F6F6"/>
            <w:vAlign w:val="center"/>
          </w:tcPr>
          <w:p w14:paraId="1B7AF295" w14:textId="77777777" w:rsidR="00E56096" w:rsidRDefault="00000000">
            <w:pPr>
              <w:spacing w:after="60"/>
            </w:pPr>
            <w:r>
              <w:rPr>
                <w:b/>
                <w:color w:val="1F4E79"/>
                <w:sz w:val="17"/>
              </w:rPr>
              <w:t>D5 — Refinement and zero policy</w:t>
            </w:r>
          </w:p>
          <w:p w14:paraId="56B907DB" w14:textId="77777777" w:rsidR="00E56096" w:rsidRDefault="00000000">
            <w:pPr>
              <w:spacing w:after="0" w:line="254" w:lineRule="auto"/>
            </w:pPr>
            <w:r>
              <w:rPr>
                <w:sz w:val="17"/>
              </w:rPr>
              <w:t>When is a region subdivided, retained, independently excluded, or deferred? What mechanism prevents deg=0 from being misread as empty?</w:t>
            </w:r>
          </w:p>
        </w:tc>
      </w:tr>
    </w:tbl>
    <w:p w14:paraId="30BF881A" w14:textId="77777777" w:rsidR="00E56096" w:rsidRDefault="00E56096">
      <w:pPr>
        <w:spacing w:after="0"/>
      </w:pPr>
    </w:p>
    <w:p w14:paraId="3ED517D9" w14:textId="77777777" w:rsidR="00E56096" w:rsidRDefault="00000000">
      <w:r>
        <w:t>The proposal should be considered unbuilt until these debts are operationally discharged. In particular, demonstrating toroidal grid activity or route-dependent hippocampal firing does not discharge residual typing or degree readout. Conversely, a successful artificial degree-search module would not establish the neural mapping. The direct and indirect axes remain hypothesis-generating but non-confirmatory (Ghosh, 2026, The Direct and Indirect Axes; The Paired Mind).</w:t>
      </w:r>
    </w:p>
    <w:p w14:paraId="1000C7D6" w14:textId="77777777" w:rsidR="00E56096" w:rsidRDefault="00000000">
      <w:pPr>
        <w:pStyle w:val="Heading1"/>
      </w:pPr>
      <w:r>
        <w:t>12. Discussion</w:t>
      </w:r>
    </w:p>
    <w:p w14:paraId="08FF14B8" w14:textId="77777777" w:rsidR="00E56096" w:rsidRDefault="00000000">
      <w:pPr>
        <w:pStyle w:val="Heading2"/>
      </w:pPr>
      <w:r>
        <w:t>12.1 What covering theory still contributes</w:t>
      </w:r>
    </w:p>
    <w:p w14:paraId="3CCA7E42" w14:textId="77777777" w:rsidR="00E56096" w:rsidRDefault="00000000">
      <w:r>
        <w:t>Covering theory remains important, but its jobs must be typed. Classical covers support monodromy, path-class identity, and route-qualified memory where local homeomorphism is justified. Covering decompositions describe global unrolling and deck symmetry. The circle cover also gives an elegant two-dimensional calculation of winding. None of these facts makes covering the general non-emptiness theorem. The title change is therefore substantive: it moves the paper’s centre from an implementation device to the invariant that survives all dimensions.</w:t>
      </w:r>
    </w:p>
    <w:p w14:paraId="3F5A7248" w14:textId="77777777" w:rsidR="00E56096" w:rsidRDefault="00000000">
      <w:pPr>
        <w:pStyle w:val="Heading2"/>
      </w:pPr>
      <w:r>
        <w:t>12.2 What the natural extension adds to the covering-state programme</w:t>
      </w:r>
    </w:p>
    <w:p w14:paraId="0BDF18DD" w14:textId="77777777" w:rsidR="00E56096" w:rsidRDefault="00000000">
      <w:r>
        <w:t>The covering-state papers correctly identify a provenance problem: two reasons can terminate in the same semantic state while remaining structurally different. The natural extension extends that programme into the noninvertible regime. It does not require the base dynamics to preserve every route. Instead, it makes explicit that route identity may live in a separate history-qualified state. This better matches the engineering problem of abstraction: a useful cortex should compress, but defensibility requires that compression not erase the provenance needed for later audit (Ghosh, 2026, When Are Two Reasons the Same?; The Certified Memory Ledger; Refuse, Repair, or Remember?).</w:t>
      </w:r>
    </w:p>
    <w:p w14:paraId="08C98E8F" w14:textId="77777777" w:rsidR="00E56096" w:rsidRDefault="00000000">
      <w:pPr>
        <w:pStyle w:val="Heading2"/>
      </w:pPr>
      <w:r>
        <w:t>12.3 Relation to the enrichment ladder and audit architecture</w:t>
      </w:r>
    </w:p>
    <w:p w14:paraId="376EC73C" w14:textId="77777777" w:rsidR="00E56096" w:rsidRDefault="00000000">
      <w:r>
        <w:t>The proposal does not add a new rung to the enrichment ladder. Degree is a topological invariant of a typed residual over a finite-dimensional chart; the residual itself may require metric, normed, or inner-product structure to be constructed. The cortical computation remains at the high representational rungs, while the existence certificate extracts a topological conclusion. This is compatible with the framework’s governing direction: geometry may propose and optimize, but topology decides which global claims survive (Ghosh, 2026, Boundary Before Score; The Right to Use Geometry; The Geometry of Defensible Action).</w:t>
      </w:r>
    </w:p>
    <w:p w14:paraId="2FDE26FC" w14:textId="77777777" w:rsidR="00E56096" w:rsidRDefault="00000000">
      <w:pPr>
        <w:pStyle w:val="Heading2"/>
      </w:pPr>
      <w:r>
        <w:t>12.4 Failure modes and negative results</w:t>
      </w:r>
    </w:p>
    <w:p w14:paraId="788A5162" w14:textId="77777777" w:rsidR="00E56096" w:rsidRDefault="00000000">
      <w:r>
        <w:t>Several outcomes would weaken or refute the neural proposal. First, if route-dependent hippocampal codes track chronology but not future disambiguation value, the natural-extension allocation is wrong. Second, if scalar residual systems can produce the same robust cancellation-aware non-emptiness certificates as dimensionally typed systems, the degree interpretation is unnecessary. Third, if reference-frame transitions do not affect signed index transport, orientation is not a neural constraint. Fourth, if a zero-aware policy provides only uniform capacity gains rather than selective gains on cancellation and hidden-zero cases, the claimed mechanism is not identified. These are constructive refutations: the mathematics remains valid while the biological or architectural mapping is demoted.</w:t>
      </w:r>
    </w:p>
    <w:p w14:paraId="6D611383" w14:textId="77777777" w:rsidR="00E56096" w:rsidRDefault="00000000">
      <w:pPr>
        <w:pStyle w:val="Heading1"/>
      </w:pPr>
      <w:r>
        <w:t>13. Conclusion: Two One-Sided Certificates and the Discipline of Earned Zero</w:t>
      </w:r>
    </w:p>
    <w:p w14:paraId="40366C9F" w14:textId="77777777" w:rsidR="00E56096" w:rsidRDefault="00000000">
      <w:r>
        <w:t>This thread began with a covering-space proof of the Fundamental Theorem of Algebra and the conjecture that cortical search might require an analogous covering structure. It ends with a more exact result. The covering R -&gt; S1 is not the foundation of the search certificate; it is one way of calculating degree in two dimensions. The load-bearing object is the regional Brouwer degree of a dimensionally typed residual. The neural question is not whether a microcolumn possesses an invertible return, but whether the system can construct a legitimate chart, define an equally dimensional residual, transport its coefficient system coherently, and evaluate regional degree without manufacturing a false zero.</w:t>
      </w:r>
    </w:p>
    <w:p w14:paraId="02F1D620" w14:textId="77777777" w:rsidR="00E56096" w:rsidRDefault="00000000">
      <w:r>
        <w:t xml:space="preserve">A nonzero degree certifies regional occupancy, but zero degree does not certify emptiness. A nonzero obstruction class certifies that a particular gluing must be withheld, but a zero class at the present domain and resolution does not automatically certify coherence. The two invariants therefore supply two complementary one-sided </w:t>
      </w:r>
      <w:r>
        <w:lastRenderedPageBreak/>
        <w:t>certificates. Their zeros are not conclusions by default. Each zero must be supported by the conditions that make it trustworthy.</w:t>
      </w:r>
    </w:p>
    <w:p w14:paraId="12B02C3F" w14:textId="77777777" w:rsidR="00E56096" w:rsidRDefault="00000000">
      <w:r>
        <w:t>The correction also reveals the proper global constraint: orientation, not return invertibility. Orientable atlases support signed integer transport; non-orientable atlases require local coefficients or mod-two degree. This gives the torus/Klein-bottle distinction a legitimate search consequence. At the same time, the natural extension gives the hippocampus a sharper role: preserving branch provenance that a compressive cortex would otherwise erase. Degree and history extension remain on separate layers—one certifies that a region contains a solution; the other preserves which route produced the present state.</w:t>
      </w:r>
    </w:p>
    <w:p w14:paraId="0B9E1D39" w14:textId="77777777" w:rsidR="00E56096" w:rsidRDefault="00000000">
      <w:r>
        <w:t>The final principle is broader than the search architecture that produced it. False coherence and false emptiness share a structural origin: an unearned zero is treated as permission. Defensible intelligence must refuse both. It must know what a nonzero invariant proves, what a zero fails to prove, and when the only licensed verdict is unresolved.</w:t>
      </w:r>
    </w:p>
    <w:tbl>
      <w:tblPr>
        <w:tblW w:w="0" w:type="auto"/>
        <w:jc w:val="center"/>
        <w:tblLook w:val="04A0" w:firstRow="1" w:lastRow="0" w:firstColumn="1" w:lastColumn="0" w:noHBand="0" w:noVBand="1"/>
      </w:tblPr>
      <w:tblGrid>
        <w:gridCol w:w="9749"/>
      </w:tblGrid>
      <w:tr w:rsidR="00E56096" w14:paraId="561F5955" w14:textId="77777777">
        <w:trPr>
          <w:jc w:val="center"/>
        </w:trPr>
        <w:tc>
          <w:tcPr>
            <w:tcW w:w="9749" w:type="dxa"/>
            <w:tcBorders>
              <w:top w:val="nil"/>
              <w:left w:val="single" w:sz="14" w:space="0" w:color="1F4E79"/>
              <w:bottom w:val="nil"/>
              <w:right w:val="nil"/>
            </w:tcBorders>
            <w:shd w:val="clear" w:color="auto" w:fill="EEF3F7"/>
            <w:vAlign w:val="center"/>
          </w:tcPr>
          <w:p w14:paraId="4BD3BDE4" w14:textId="77777777" w:rsidR="00E56096" w:rsidRDefault="00000000">
            <w:pPr>
              <w:spacing w:after="60"/>
            </w:pPr>
            <w:r>
              <w:rPr>
                <w:b/>
                <w:color w:val="1F4E79"/>
                <w:sz w:val="17"/>
              </w:rPr>
              <w:t>Final principle</w:t>
            </w:r>
          </w:p>
          <w:p w14:paraId="1528B7C9" w14:textId="77777777" w:rsidR="00E56096" w:rsidRDefault="00000000">
            <w:pPr>
              <w:spacing w:after="0" w:line="254" w:lineRule="auto"/>
            </w:pPr>
            <w:r>
              <w:rPr>
                <w:sz w:val="17"/>
              </w:rPr>
              <w:t>Both false coherence and false emptiness begin by treating an unearned zero as permission. A defensible system must certify the zero—or remain unresolved.</w:t>
            </w:r>
          </w:p>
        </w:tc>
      </w:tr>
    </w:tbl>
    <w:p w14:paraId="0BB2FE61" w14:textId="77777777" w:rsidR="00E56096" w:rsidRDefault="00000000">
      <w:pPr>
        <w:pStyle w:val="Heading1"/>
      </w:pPr>
      <w:r>
        <w:t>References</w:t>
      </w:r>
    </w:p>
    <w:p w14:paraId="6CD58350" w14:textId="77777777" w:rsidR="00E56096" w:rsidRDefault="00000000">
      <w:r>
        <w:t>Part I retains the author-supplied organization of the published Defensible Intelligence deposits. Part II lists standard mathematical and neuroscientific sources used for the corrected theorem statements and empirical anchors.</w:t>
      </w:r>
    </w:p>
    <w:p w14:paraId="561B771E" w14:textId="77777777" w:rsidR="00E56096" w:rsidRDefault="00000000">
      <w:pPr>
        <w:pStyle w:val="Heading2"/>
      </w:pPr>
      <w:r>
        <w:t>Part I — Framework Deposits (Published)</w:t>
      </w:r>
    </w:p>
    <w:p w14:paraId="76B598D4" w14:textId="77777777" w:rsidR="00E56096" w:rsidRPr="0074174F" w:rsidRDefault="00000000">
      <w:pPr>
        <w:keepNext/>
        <w:spacing w:before="120" w:after="60"/>
        <w:rPr>
          <w:sz w:val="22"/>
          <w:szCs w:val="24"/>
        </w:rPr>
      </w:pPr>
      <w:r w:rsidRPr="0074174F">
        <w:rPr>
          <w:b/>
          <w:color w:val="1F4E79"/>
          <w:sz w:val="22"/>
          <w:szCs w:val="24"/>
        </w:rPr>
        <w:t>The covering-state spine</w:t>
      </w:r>
    </w:p>
    <w:p w14:paraId="2FB5028A" w14:textId="77777777" w:rsidR="00E56096" w:rsidRPr="0074174F" w:rsidRDefault="00000000">
      <w:pPr>
        <w:pStyle w:val="Reference"/>
        <w:ind w:left="346" w:hanging="346"/>
        <w:rPr>
          <w:sz w:val="20"/>
          <w:szCs w:val="24"/>
        </w:rPr>
      </w:pPr>
      <w:r w:rsidRPr="0074174F">
        <w:rPr>
          <w:sz w:val="20"/>
          <w:szCs w:val="24"/>
        </w:rPr>
        <w:t xml:space="preserve">Ghosh, D. P. (2026). When Are Two Reasons the Same? Structural Intelligence Bridge, Book 1. DOI: </w:t>
      </w:r>
      <w:hyperlink r:id="rId11">
        <w:r w:rsidRPr="0074174F">
          <w:rPr>
            <w:color w:val="1F4E79"/>
            <w:sz w:val="20"/>
            <w:szCs w:val="24"/>
            <w:u w:val="single"/>
          </w:rPr>
          <w:t>10.13140/RG.2.2.34490.56005</w:t>
        </w:r>
      </w:hyperlink>
      <w:r w:rsidRPr="0074174F">
        <w:rPr>
          <w:sz w:val="20"/>
          <w:szCs w:val="24"/>
        </w:rPr>
        <w:t>. — Monodromy; directed-homotopy identity of reasoning.</w:t>
      </w:r>
    </w:p>
    <w:p w14:paraId="4E2F35FC" w14:textId="77777777" w:rsidR="00E56096" w:rsidRPr="0074174F" w:rsidRDefault="00000000">
      <w:pPr>
        <w:pStyle w:val="Reference"/>
        <w:ind w:left="346" w:hanging="346"/>
        <w:rPr>
          <w:sz w:val="20"/>
          <w:szCs w:val="24"/>
        </w:rPr>
      </w:pPr>
      <w:r w:rsidRPr="0074174F">
        <w:rPr>
          <w:sz w:val="20"/>
          <w:szCs w:val="24"/>
        </w:rPr>
        <w:t xml:space="preserve">Ghosh, D. P. (2026). Covering Networks: Converting Recurrent Memory into an Audited Causal Cover. DOI: </w:t>
      </w:r>
      <w:hyperlink r:id="rId12">
        <w:r w:rsidRPr="0074174F">
          <w:rPr>
            <w:color w:val="1F4E79"/>
            <w:sz w:val="20"/>
            <w:szCs w:val="24"/>
            <w:u w:val="single"/>
          </w:rPr>
          <w:t>10.13140/RG.2.2.25512.12800</w:t>
        </w:r>
      </w:hyperlink>
      <w:r w:rsidRPr="0074174F">
        <w:rPr>
          <w:sz w:val="20"/>
          <w:szCs w:val="24"/>
        </w:rPr>
        <w:t>. — The covering-state architecture; carries two errata.</w:t>
      </w:r>
    </w:p>
    <w:p w14:paraId="0436D3D3" w14:textId="77777777" w:rsidR="00E56096" w:rsidRPr="0074174F" w:rsidRDefault="00000000">
      <w:pPr>
        <w:pStyle w:val="Reference"/>
        <w:ind w:left="346" w:hanging="346"/>
        <w:rPr>
          <w:sz w:val="20"/>
          <w:szCs w:val="24"/>
        </w:rPr>
      </w:pPr>
      <w:r w:rsidRPr="0074174F">
        <w:rPr>
          <w:sz w:val="20"/>
          <w:szCs w:val="24"/>
        </w:rPr>
        <w:t xml:space="preserve">Ghosh, D. P. (2026). The Certified Memory Ledger: A Defensible Homological Architecture for Recall. DOI: </w:t>
      </w:r>
      <w:hyperlink r:id="rId13">
        <w:r w:rsidRPr="0074174F">
          <w:rPr>
            <w:color w:val="1F4E79"/>
            <w:sz w:val="20"/>
            <w:szCs w:val="24"/>
            <w:u w:val="single"/>
          </w:rPr>
          <w:t>10.13140/RG.2.2.32223.01445</w:t>
        </w:r>
      </w:hyperlink>
      <w:r w:rsidRPr="0074174F">
        <w:rPr>
          <w:sz w:val="20"/>
          <w:szCs w:val="24"/>
        </w:rPr>
        <w:t>. — Routing spine, blocked seams, provenance.</w:t>
      </w:r>
    </w:p>
    <w:p w14:paraId="4668FFDF" w14:textId="77777777" w:rsidR="00E56096" w:rsidRPr="0074174F" w:rsidRDefault="00000000">
      <w:pPr>
        <w:pStyle w:val="Reference"/>
        <w:ind w:left="346" w:hanging="346"/>
        <w:rPr>
          <w:sz w:val="20"/>
          <w:szCs w:val="24"/>
        </w:rPr>
      </w:pPr>
      <w:r w:rsidRPr="0074174F">
        <w:rPr>
          <w:sz w:val="20"/>
          <w:szCs w:val="24"/>
        </w:rPr>
        <w:t xml:space="preserve">Ghosh, D. P. (2026). Refuse, Repair, or Remember? Structural Intelligence Bridge, Book 6. DOI: </w:t>
      </w:r>
      <w:hyperlink r:id="rId14">
        <w:r w:rsidRPr="0074174F">
          <w:rPr>
            <w:color w:val="1F4E79"/>
            <w:sz w:val="20"/>
            <w:szCs w:val="24"/>
            <w:u w:val="single"/>
          </w:rPr>
          <w:t>10.13140/RG.2.2.17097.30568</w:t>
        </w:r>
      </w:hyperlink>
      <w:r w:rsidRPr="0074174F">
        <w:rPr>
          <w:sz w:val="20"/>
          <w:szCs w:val="24"/>
        </w:rPr>
        <w:t>.</w:t>
      </w:r>
    </w:p>
    <w:p w14:paraId="452CED05" w14:textId="77777777" w:rsidR="00E56096" w:rsidRPr="0074174F" w:rsidRDefault="00000000">
      <w:pPr>
        <w:keepNext/>
        <w:spacing w:before="120" w:after="60"/>
        <w:rPr>
          <w:sz w:val="22"/>
          <w:szCs w:val="24"/>
        </w:rPr>
      </w:pPr>
      <w:r w:rsidRPr="0074174F">
        <w:rPr>
          <w:b/>
          <w:color w:val="1F4E79"/>
          <w:sz w:val="22"/>
          <w:szCs w:val="24"/>
        </w:rPr>
        <w:t>The audit machinery</w:t>
      </w:r>
    </w:p>
    <w:p w14:paraId="678DBEF1" w14:textId="77777777" w:rsidR="00E56096" w:rsidRPr="0074174F" w:rsidRDefault="00000000">
      <w:pPr>
        <w:pStyle w:val="Reference"/>
        <w:ind w:left="346" w:hanging="346"/>
        <w:rPr>
          <w:sz w:val="20"/>
          <w:szCs w:val="24"/>
        </w:rPr>
      </w:pPr>
      <w:r w:rsidRPr="0074174F">
        <w:rPr>
          <w:sz w:val="20"/>
          <w:szCs w:val="24"/>
        </w:rPr>
        <w:t xml:space="preserve">Ghosh, D. P. (2026). Does It Glue? Structural Intelligence Bridge, Book 2. DOI: </w:t>
      </w:r>
      <w:hyperlink r:id="rId15">
        <w:r w:rsidRPr="0074174F">
          <w:rPr>
            <w:color w:val="1F4E79"/>
            <w:sz w:val="20"/>
            <w:szCs w:val="24"/>
            <w:u w:val="single"/>
          </w:rPr>
          <w:t>10.13140/RG.2.2.29457.39520</w:t>
        </w:r>
      </w:hyperlink>
      <w:r w:rsidRPr="0074174F">
        <w:rPr>
          <w:sz w:val="20"/>
          <w:szCs w:val="24"/>
        </w:rPr>
        <w:t>. — Gluing; the cover-definition problem and false zeros.</w:t>
      </w:r>
    </w:p>
    <w:p w14:paraId="43E3137E" w14:textId="77777777" w:rsidR="00E56096" w:rsidRPr="0074174F" w:rsidRDefault="00000000">
      <w:pPr>
        <w:pStyle w:val="Reference"/>
        <w:ind w:left="346" w:hanging="346"/>
        <w:rPr>
          <w:sz w:val="20"/>
          <w:szCs w:val="24"/>
        </w:rPr>
      </w:pPr>
      <w:r w:rsidRPr="0074174F">
        <w:rPr>
          <w:sz w:val="20"/>
          <w:szCs w:val="24"/>
        </w:rPr>
        <w:t xml:space="preserve">Ghosh, D. P. (2026). Does It Glue? (accessible edition). DOI: </w:t>
      </w:r>
      <w:hyperlink r:id="rId16">
        <w:r w:rsidRPr="0074174F">
          <w:rPr>
            <w:color w:val="1F4E79"/>
            <w:sz w:val="20"/>
            <w:szCs w:val="24"/>
            <w:u w:val="single"/>
          </w:rPr>
          <w:t>10.13140/RG.2.2.27121.03686</w:t>
        </w:r>
      </w:hyperlink>
      <w:r w:rsidRPr="0074174F">
        <w:rPr>
          <w:sz w:val="20"/>
          <w:szCs w:val="24"/>
        </w:rPr>
        <w:t>. — Distinct work sharing the title; disambiguated by “accessible edition.”</w:t>
      </w:r>
    </w:p>
    <w:p w14:paraId="796FB0D8" w14:textId="77777777" w:rsidR="00E56096" w:rsidRPr="0074174F" w:rsidRDefault="00000000">
      <w:pPr>
        <w:pStyle w:val="Reference"/>
        <w:ind w:left="346" w:hanging="346"/>
        <w:rPr>
          <w:sz w:val="20"/>
          <w:szCs w:val="24"/>
        </w:rPr>
      </w:pPr>
      <w:r w:rsidRPr="0074174F">
        <w:rPr>
          <w:sz w:val="20"/>
          <w:szCs w:val="24"/>
        </w:rPr>
        <w:t xml:space="preserve">Ghosh, D. P. (2026). Where Does the Contradiction Live? Structural Intelligence Bridge, Book 3. DOI: </w:t>
      </w:r>
      <w:hyperlink r:id="rId17">
        <w:r w:rsidRPr="0074174F">
          <w:rPr>
            <w:color w:val="1F4E79"/>
            <w:sz w:val="20"/>
            <w:szCs w:val="24"/>
            <w:u w:val="single"/>
          </w:rPr>
          <w:t>10.13140/RG.2.2.16900.69762</w:t>
        </w:r>
      </w:hyperlink>
      <w:r w:rsidRPr="0074174F">
        <w:rPr>
          <w:sz w:val="20"/>
          <w:szCs w:val="24"/>
        </w:rPr>
        <w:t>. — Hodge decomposition; obstruction localization.</w:t>
      </w:r>
    </w:p>
    <w:p w14:paraId="4CE05A22" w14:textId="77777777" w:rsidR="00E56096" w:rsidRPr="0074174F" w:rsidRDefault="00000000">
      <w:pPr>
        <w:pStyle w:val="Reference"/>
        <w:ind w:left="346" w:hanging="346"/>
        <w:rPr>
          <w:sz w:val="20"/>
          <w:szCs w:val="24"/>
        </w:rPr>
      </w:pPr>
      <w:r w:rsidRPr="0074174F">
        <w:rPr>
          <w:sz w:val="20"/>
          <w:szCs w:val="24"/>
        </w:rPr>
        <w:t xml:space="preserve">Ghosh, D. P. (2026). The Restriction Vertex. DOI: </w:t>
      </w:r>
      <w:hyperlink r:id="rId18">
        <w:r w:rsidRPr="0074174F">
          <w:rPr>
            <w:color w:val="1F4E79"/>
            <w:sz w:val="20"/>
            <w:szCs w:val="24"/>
            <w:u w:val="single"/>
          </w:rPr>
          <w:t>10.13140/RG.2.2.18717.68323</w:t>
        </w:r>
      </w:hyperlink>
      <w:r w:rsidRPr="0074174F">
        <w:rPr>
          <w:sz w:val="20"/>
          <w:szCs w:val="24"/>
        </w:rPr>
        <w:t>.</w:t>
      </w:r>
    </w:p>
    <w:p w14:paraId="55EEBA5E" w14:textId="77777777" w:rsidR="00E56096" w:rsidRPr="0074174F" w:rsidRDefault="00000000">
      <w:pPr>
        <w:pStyle w:val="Reference"/>
        <w:ind w:left="346" w:hanging="346"/>
        <w:rPr>
          <w:sz w:val="20"/>
          <w:szCs w:val="24"/>
        </w:rPr>
      </w:pPr>
      <w:r w:rsidRPr="0074174F">
        <w:rPr>
          <w:sz w:val="20"/>
          <w:szCs w:val="24"/>
        </w:rPr>
        <w:t xml:space="preserve">Ghosh, D. P. (2026). Hypercovering and Descent. DOI: </w:t>
      </w:r>
      <w:hyperlink r:id="rId19">
        <w:r w:rsidRPr="0074174F">
          <w:rPr>
            <w:color w:val="1F4E79"/>
            <w:sz w:val="20"/>
            <w:szCs w:val="24"/>
            <w:u w:val="single"/>
          </w:rPr>
          <w:t>10.13140/RG.2.2.31337.45929</w:t>
        </w:r>
      </w:hyperlink>
      <w:r w:rsidRPr="0074174F">
        <w:rPr>
          <w:sz w:val="20"/>
          <w:szCs w:val="24"/>
        </w:rPr>
        <w:t>. — Cover refinement; the thalamocortical descent algorithm.</w:t>
      </w:r>
    </w:p>
    <w:p w14:paraId="42709731" w14:textId="77777777" w:rsidR="00E56096" w:rsidRPr="0074174F" w:rsidRDefault="00000000">
      <w:pPr>
        <w:pStyle w:val="Reference"/>
        <w:ind w:left="346" w:hanging="346"/>
        <w:rPr>
          <w:sz w:val="20"/>
          <w:szCs w:val="24"/>
        </w:rPr>
      </w:pPr>
      <w:r w:rsidRPr="0074174F">
        <w:rPr>
          <w:sz w:val="20"/>
          <w:szCs w:val="24"/>
        </w:rPr>
        <w:t xml:space="preserve">Ghosh, D. P. (2026). Nerve-Attention. DOI: </w:t>
      </w:r>
      <w:hyperlink r:id="rId20">
        <w:r w:rsidRPr="0074174F">
          <w:rPr>
            <w:color w:val="1F4E79"/>
            <w:sz w:val="20"/>
            <w:szCs w:val="24"/>
            <w:u w:val="single"/>
          </w:rPr>
          <w:t>10.13140/RG.2.2.27630.57925</w:t>
        </w:r>
      </w:hyperlink>
      <w:r w:rsidRPr="0074174F">
        <w:rPr>
          <w:sz w:val="20"/>
          <w:szCs w:val="24"/>
        </w:rPr>
        <w:t>.</w:t>
      </w:r>
    </w:p>
    <w:p w14:paraId="746513FB" w14:textId="77777777" w:rsidR="00E56096" w:rsidRPr="0074174F" w:rsidRDefault="00000000">
      <w:pPr>
        <w:pStyle w:val="Reference"/>
        <w:ind w:left="346" w:hanging="346"/>
        <w:rPr>
          <w:sz w:val="20"/>
          <w:szCs w:val="24"/>
        </w:rPr>
      </w:pPr>
      <w:r w:rsidRPr="0074174F">
        <w:rPr>
          <w:sz w:val="20"/>
          <w:szCs w:val="24"/>
        </w:rPr>
        <w:t xml:space="preserve">Ghosh, D. P. (2026). A Sheaf-Theoretic Reading of the Transformer. DOI: </w:t>
      </w:r>
      <w:hyperlink r:id="rId21">
        <w:r w:rsidRPr="0074174F">
          <w:rPr>
            <w:color w:val="1F4E79"/>
            <w:sz w:val="20"/>
            <w:szCs w:val="24"/>
            <w:u w:val="single"/>
          </w:rPr>
          <w:t>10.13140/RG.2.2.22726.02889</w:t>
        </w:r>
      </w:hyperlink>
      <w:r w:rsidRPr="0074174F">
        <w:rPr>
          <w:sz w:val="20"/>
          <w:szCs w:val="24"/>
        </w:rPr>
        <w:t>.</w:t>
      </w:r>
    </w:p>
    <w:p w14:paraId="64BC7493" w14:textId="77777777" w:rsidR="00E56096" w:rsidRPr="0074174F" w:rsidRDefault="00000000">
      <w:pPr>
        <w:pStyle w:val="Reference"/>
        <w:ind w:left="346" w:hanging="346"/>
        <w:rPr>
          <w:sz w:val="20"/>
          <w:szCs w:val="24"/>
        </w:rPr>
      </w:pPr>
      <w:r w:rsidRPr="0074174F">
        <w:rPr>
          <w:sz w:val="20"/>
          <w:szCs w:val="24"/>
        </w:rPr>
        <w:t xml:space="preserve">Ghosh, D. P. (2026). The Hierarchy of Binding. DOI: </w:t>
      </w:r>
      <w:hyperlink r:id="rId22">
        <w:r w:rsidRPr="0074174F">
          <w:rPr>
            <w:color w:val="1F4E79"/>
            <w:sz w:val="20"/>
            <w:szCs w:val="24"/>
            <w:u w:val="single"/>
          </w:rPr>
          <w:t>10.13140/RG.2.2.34889.51044</w:t>
        </w:r>
      </w:hyperlink>
      <w:r w:rsidRPr="0074174F">
        <w:rPr>
          <w:sz w:val="20"/>
          <w:szCs w:val="24"/>
        </w:rPr>
        <w:t>.</w:t>
      </w:r>
    </w:p>
    <w:p w14:paraId="2CD116ED" w14:textId="77777777" w:rsidR="00E56096" w:rsidRPr="0074174F" w:rsidRDefault="00000000">
      <w:pPr>
        <w:keepNext/>
        <w:spacing w:before="120" w:after="60"/>
        <w:rPr>
          <w:sz w:val="22"/>
          <w:szCs w:val="24"/>
        </w:rPr>
      </w:pPr>
      <w:r w:rsidRPr="0074174F">
        <w:rPr>
          <w:b/>
          <w:color w:val="1F4E79"/>
          <w:sz w:val="22"/>
          <w:szCs w:val="24"/>
        </w:rPr>
        <w:t>Persistence, abstraction, and reasoning structure</w:t>
      </w:r>
    </w:p>
    <w:p w14:paraId="6C694EAC" w14:textId="77777777" w:rsidR="00E56096" w:rsidRPr="0074174F" w:rsidRDefault="00000000">
      <w:pPr>
        <w:pStyle w:val="Reference"/>
        <w:ind w:left="346" w:hanging="346"/>
        <w:rPr>
          <w:sz w:val="20"/>
          <w:szCs w:val="24"/>
        </w:rPr>
      </w:pPr>
      <w:r w:rsidRPr="0074174F">
        <w:rPr>
          <w:sz w:val="20"/>
          <w:szCs w:val="24"/>
        </w:rPr>
        <w:t xml:space="preserve">Ghosh, D. P. (2026). What Survives Change? Structural Intelligence Bridge, Book 4. DOI: </w:t>
      </w:r>
      <w:hyperlink r:id="rId23">
        <w:r w:rsidRPr="0074174F">
          <w:rPr>
            <w:color w:val="1F4E79"/>
            <w:sz w:val="20"/>
            <w:szCs w:val="24"/>
            <w:u w:val="single"/>
          </w:rPr>
          <w:t>10.13140/RG.2.2.33677.91361</w:t>
        </w:r>
      </w:hyperlink>
      <w:r w:rsidRPr="0074174F">
        <w:rPr>
          <w:sz w:val="20"/>
          <w:szCs w:val="24"/>
        </w:rPr>
        <w:t>.</w:t>
      </w:r>
    </w:p>
    <w:p w14:paraId="1EFC0EC1" w14:textId="77777777" w:rsidR="00E56096" w:rsidRPr="0074174F" w:rsidRDefault="00000000">
      <w:pPr>
        <w:pStyle w:val="Reference"/>
        <w:ind w:left="346" w:hanging="346"/>
        <w:rPr>
          <w:sz w:val="20"/>
          <w:szCs w:val="24"/>
        </w:rPr>
      </w:pPr>
      <w:r w:rsidRPr="0074174F">
        <w:rPr>
          <w:sz w:val="20"/>
          <w:szCs w:val="24"/>
        </w:rPr>
        <w:t xml:space="preserve">Ghosh, D. P. (2026). How Does Reasoning Become a Complex? Structural Intelligence Bridge, Book 5. DOI: </w:t>
      </w:r>
      <w:hyperlink r:id="rId24">
        <w:r w:rsidRPr="0074174F">
          <w:rPr>
            <w:color w:val="1F4E79"/>
            <w:sz w:val="20"/>
            <w:szCs w:val="24"/>
            <w:u w:val="single"/>
          </w:rPr>
          <w:t>10.13140/RG.2.2.20767.32162</w:t>
        </w:r>
      </w:hyperlink>
      <w:r w:rsidRPr="0074174F">
        <w:rPr>
          <w:sz w:val="20"/>
          <w:szCs w:val="24"/>
        </w:rPr>
        <w:t>. — The Semantic Compiler and its typing.</w:t>
      </w:r>
    </w:p>
    <w:p w14:paraId="46CEB5BD" w14:textId="77777777" w:rsidR="00E56096" w:rsidRPr="0074174F" w:rsidRDefault="00000000">
      <w:pPr>
        <w:pStyle w:val="Reference"/>
        <w:ind w:left="346" w:hanging="346"/>
        <w:rPr>
          <w:sz w:val="20"/>
          <w:szCs w:val="24"/>
        </w:rPr>
      </w:pPr>
      <w:r w:rsidRPr="0074174F">
        <w:rPr>
          <w:sz w:val="20"/>
          <w:szCs w:val="24"/>
        </w:rPr>
        <w:t xml:space="preserve">Ghosh, D. P. (2026). Generalized Homotopy Optimization. DOI: </w:t>
      </w:r>
      <w:hyperlink r:id="rId25">
        <w:r w:rsidRPr="0074174F">
          <w:rPr>
            <w:color w:val="1F4E79"/>
            <w:sz w:val="20"/>
            <w:szCs w:val="24"/>
            <w:u w:val="single"/>
          </w:rPr>
          <w:t>10.13140/RG.2.2.20272.52484</w:t>
        </w:r>
      </w:hyperlink>
      <w:r w:rsidRPr="0074174F">
        <w:rPr>
          <w:sz w:val="20"/>
          <w:szCs w:val="24"/>
        </w:rPr>
        <w:t>.</w:t>
      </w:r>
    </w:p>
    <w:p w14:paraId="031EF346" w14:textId="77777777" w:rsidR="00E56096" w:rsidRPr="0074174F" w:rsidRDefault="00000000">
      <w:pPr>
        <w:pStyle w:val="Reference"/>
        <w:ind w:left="346" w:hanging="346"/>
        <w:rPr>
          <w:sz w:val="20"/>
          <w:szCs w:val="24"/>
        </w:rPr>
      </w:pPr>
      <w:r w:rsidRPr="0074174F">
        <w:rPr>
          <w:sz w:val="20"/>
          <w:szCs w:val="24"/>
        </w:rPr>
        <w:t xml:space="preserve">Ghosh, D. P. (2026). Generalization as Offline Geometric Repair. DOI: </w:t>
      </w:r>
      <w:hyperlink r:id="rId26">
        <w:r w:rsidRPr="0074174F">
          <w:rPr>
            <w:color w:val="1F4E79"/>
            <w:sz w:val="20"/>
            <w:szCs w:val="24"/>
            <w:u w:val="single"/>
          </w:rPr>
          <w:t>10.13140/RG.2.2.20183.23205</w:t>
        </w:r>
      </w:hyperlink>
      <w:r w:rsidRPr="0074174F">
        <w:rPr>
          <w:sz w:val="20"/>
          <w:szCs w:val="24"/>
        </w:rPr>
        <w:t>.</w:t>
      </w:r>
    </w:p>
    <w:p w14:paraId="55676F36" w14:textId="77777777" w:rsidR="00E56096" w:rsidRPr="0074174F" w:rsidRDefault="00000000">
      <w:pPr>
        <w:keepNext/>
        <w:spacing w:before="120" w:after="60"/>
        <w:rPr>
          <w:sz w:val="22"/>
          <w:szCs w:val="24"/>
        </w:rPr>
      </w:pPr>
      <w:r w:rsidRPr="0074174F">
        <w:rPr>
          <w:b/>
          <w:color w:val="1F4E79"/>
          <w:sz w:val="22"/>
          <w:szCs w:val="24"/>
        </w:rPr>
        <w:lastRenderedPageBreak/>
        <w:t>Cortex, cerebellum, and the subcortical arc</w:t>
      </w:r>
    </w:p>
    <w:p w14:paraId="7C225FF4" w14:textId="77777777" w:rsidR="00E56096" w:rsidRPr="0074174F" w:rsidRDefault="00000000">
      <w:pPr>
        <w:pStyle w:val="Reference"/>
        <w:ind w:left="346" w:hanging="346"/>
        <w:rPr>
          <w:sz w:val="20"/>
          <w:szCs w:val="24"/>
        </w:rPr>
      </w:pPr>
      <w:r w:rsidRPr="0074174F">
        <w:rPr>
          <w:sz w:val="20"/>
          <w:szCs w:val="24"/>
        </w:rPr>
        <w:t xml:space="preserve">Ghosh, D. P. (2026). The 3→6-Layer Cortex. DOI: </w:t>
      </w:r>
      <w:hyperlink r:id="rId27">
        <w:r w:rsidRPr="0074174F">
          <w:rPr>
            <w:color w:val="1F4E79"/>
            <w:sz w:val="20"/>
            <w:szCs w:val="24"/>
            <w:u w:val="single"/>
          </w:rPr>
          <w:t>10.13140/RG.2.2.14232.56328</w:t>
        </w:r>
      </w:hyperlink>
      <w:r w:rsidRPr="0074174F">
        <w:rPr>
          <w:sz w:val="20"/>
          <w:szCs w:val="24"/>
        </w:rPr>
        <w:t>. — The microcolumn algorithm extended by the present search proposal.</w:t>
      </w:r>
    </w:p>
    <w:p w14:paraId="4DC815B7" w14:textId="77777777" w:rsidR="00E56096" w:rsidRPr="0074174F" w:rsidRDefault="00000000">
      <w:pPr>
        <w:pStyle w:val="Reference"/>
        <w:ind w:left="346" w:hanging="346"/>
        <w:rPr>
          <w:sz w:val="20"/>
          <w:szCs w:val="24"/>
        </w:rPr>
      </w:pPr>
      <w:r w:rsidRPr="0074174F">
        <w:rPr>
          <w:sz w:val="20"/>
          <w:szCs w:val="24"/>
        </w:rPr>
        <w:t xml:space="preserve">Ghosh, D. P. (2026). The Defensible Cerebellum Kernel. DOI: </w:t>
      </w:r>
      <w:hyperlink r:id="rId28">
        <w:r w:rsidRPr="0074174F">
          <w:rPr>
            <w:color w:val="1F4E79"/>
            <w:sz w:val="20"/>
            <w:szCs w:val="24"/>
            <w:u w:val="single"/>
          </w:rPr>
          <w:t>10.13140/RG.2.2.24318.55369</w:t>
        </w:r>
      </w:hyperlink>
      <w:r w:rsidRPr="0074174F">
        <w:rPr>
          <w:sz w:val="20"/>
          <w:szCs w:val="24"/>
        </w:rPr>
        <w:t>. — The kernel-machine reading refined by the sheaf work.</w:t>
      </w:r>
    </w:p>
    <w:p w14:paraId="0FF5F3E9" w14:textId="77777777" w:rsidR="00E56096" w:rsidRPr="0074174F" w:rsidRDefault="00000000">
      <w:pPr>
        <w:pStyle w:val="Reference"/>
        <w:ind w:left="346" w:hanging="346"/>
        <w:rPr>
          <w:sz w:val="20"/>
          <w:szCs w:val="24"/>
        </w:rPr>
      </w:pPr>
      <w:r w:rsidRPr="0074174F">
        <w:rPr>
          <w:sz w:val="20"/>
          <w:szCs w:val="24"/>
        </w:rPr>
        <w:t xml:space="preserve">Ghosh, D. P. (2026). Settling and Traversing. DOI: </w:t>
      </w:r>
      <w:hyperlink r:id="rId29">
        <w:r w:rsidRPr="0074174F">
          <w:rPr>
            <w:color w:val="1F4E79"/>
            <w:sz w:val="20"/>
            <w:szCs w:val="24"/>
            <w:u w:val="single"/>
          </w:rPr>
          <w:t>10.13140/RG.2.2.31186.72648</w:t>
        </w:r>
      </w:hyperlink>
      <w:r w:rsidRPr="0074174F">
        <w:rPr>
          <w:sz w:val="20"/>
          <w:szCs w:val="24"/>
        </w:rPr>
        <w:t>.</w:t>
      </w:r>
    </w:p>
    <w:p w14:paraId="699AF0BB" w14:textId="77777777" w:rsidR="00E56096" w:rsidRPr="0074174F" w:rsidRDefault="00000000">
      <w:pPr>
        <w:pStyle w:val="Reference"/>
        <w:ind w:left="346" w:hanging="346"/>
        <w:rPr>
          <w:sz w:val="20"/>
          <w:szCs w:val="24"/>
        </w:rPr>
      </w:pPr>
      <w:r w:rsidRPr="0074174F">
        <w:rPr>
          <w:sz w:val="20"/>
          <w:szCs w:val="24"/>
        </w:rPr>
        <w:t xml:space="preserve">Ghosh, D. P. (2026). The Subthalamic Gate and the Pallidal Clamp. DOI: </w:t>
      </w:r>
      <w:hyperlink r:id="rId30">
        <w:r w:rsidRPr="0074174F">
          <w:rPr>
            <w:color w:val="1F4E79"/>
            <w:sz w:val="20"/>
            <w:szCs w:val="24"/>
            <w:u w:val="single"/>
          </w:rPr>
          <w:t>10.13140/RG.2.2.14219.45604</w:t>
        </w:r>
      </w:hyperlink>
      <w:r w:rsidRPr="0074174F">
        <w:rPr>
          <w:sz w:val="20"/>
          <w:szCs w:val="24"/>
        </w:rPr>
        <w:t>. — Conflict-dependent decision margin.</w:t>
      </w:r>
    </w:p>
    <w:p w14:paraId="781233E3" w14:textId="77777777" w:rsidR="00E56096" w:rsidRPr="0074174F" w:rsidRDefault="00000000">
      <w:pPr>
        <w:pStyle w:val="Reference"/>
        <w:ind w:left="346" w:hanging="346"/>
        <w:rPr>
          <w:sz w:val="20"/>
          <w:szCs w:val="24"/>
        </w:rPr>
      </w:pPr>
      <w:r w:rsidRPr="0074174F">
        <w:rPr>
          <w:sz w:val="20"/>
          <w:szCs w:val="24"/>
        </w:rPr>
        <w:t xml:space="preserve">Ghosh, D. P. (2026). The Geometry of Defensible Action. DOI: </w:t>
      </w:r>
      <w:hyperlink r:id="rId31">
        <w:r w:rsidRPr="0074174F">
          <w:rPr>
            <w:color w:val="1F4E79"/>
            <w:sz w:val="20"/>
            <w:szCs w:val="24"/>
            <w:u w:val="single"/>
          </w:rPr>
          <w:t>10.13140/RG.2.2.24454.54080</w:t>
        </w:r>
      </w:hyperlink>
      <w:r w:rsidRPr="0074174F">
        <w:rPr>
          <w:sz w:val="20"/>
          <w:szCs w:val="24"/>
        </w:rPr>
        <w:t>.</w:t>
      </w:r>
    </w:p>
    <w:p w14:paraId="6D5D7244" w14:textId="77777777" w:rsidR="00E56096" w:rsidRPr="0074174F" w:rsidRDefault="00000000">
      <w:pPr>
        <w:pStyle w:val="Reference"/>
        <w:ind w:left="346" w:hanging="346"/>
        <w:rPr>
          <w:sz w:val="20"/>
          <w:szCs w:val="24"/>
        </w:rPr>
      </w:pPr>
      <w:r w:rsidRPr="0074174F">
        <w:rPr>
          <w:sz w:val="20"/>
          <w:szCs w:val="24"/>
        </w:rPr>
        <w:t xml:space="preserve">Ghosh, D. P. (2026). The Consolidation Engine. DOI: </w:t>
      </w:r>
      <w:hyperlink r:id="rId32">
        <w:r w:rsidRPr="0074174F">
          <w:rPr>
            <w:color w:val="1F4E79"/>
            <w:sz w:val="20"/>
            <w:szCs w:val="24"/>
            <w:u w:val="single"/>
          </w:rPr>
          <w:t>10.13140/RG.2.2.23446.92484</w:t>
        </w:r>
      </w:hyperlink>
      <w:r w:rsidRPr="0074174F">
        <w:rPr>
          <w:sz w:val="20"/>
          <w:szCs w:val="24"/>
        </w:rPr>
        <w:t>.</w:t>
      </w:r>
    </w:p>
    <w:p w14:paraId="34F57CA3" w14:textId="77777777" w:rsidR="00E56096" w:rsidRPr="0074174F" w:rsidRDefault="00000000">
      <w:pPr>
        <w:pStyle w:val="Reference"/>
        <w:ind w:left="346" w:hanging="346"/>
        <w:rPr>
          <w:sz w:val="20"/>
          <w:szCs w:val="24"/>
        </w:rPr>
      </w:pPr>
      <w:r w:rsidRPr="0074174F">
        <w:rPr>
          <w:sz w:val="20"/>
          <w:szCs w:val="24"/>
        </w:rPr>
        <w:t xml:space="preserve">Ghosh, D. P. (2026). Dynamic Predictive Gluing. DOI: </w:t>
      </w:r>
      <w:hyperlink r:id="rId33">
        <w:r w:rsidRPr="0074174F">
          <w:rPr>
            <w:color w:val="1F4E79"/>
            <w:sz w:val="20"/>
            <w:szCs w:val="24"/>
            <w:u w:val="single"/>
          </w:rPr>
          <w:t>10.13140/RG.2.2.19848.99846</w:t>
        </w:r>
      </w:hyperlink>
      <w:r w:rsidRPr="0074174F">
        <w:rPr>
          <w:sz w:val="20"/>
          <w:szCs w:val="24"/>
        </w:rPr>
        <w:t>.</w:t>
      </w:r>
    </w:p>
    <w:p w14:paraId="48BB3C47" w14:textId="77777777" w:rsidR="00E56096" w:rsidRPr="0074174F" w:rsidRDefault="00000000">
      <w:pPr>
        <w:pStyle w:val="Reference"/>
        <w:ind w:left="346" w:hanging="346"/>
        <w:rPr>
          <w:sz w:val="20"/>
          <w:szCs w:val="24"/>
        </w:rPr>
      </w:pPr>
      <w:r w:rsidRPr="0074174F">
        <w:rPr>
          <w:sz w:val="20"/>
          <w:szCs w:val="24"/>
        </w:rPr>
        <w:t xml:space="preserve">Ghosh, D. P. (2026). The Proximity Floor. DOI: </w:t>
      </w:r>
      <w:hyperlink r:id="rId34">
        <w:r w:rsidRPr="0074174F">
          <w:rPr>
            <w:color w:val="1F4E79"/>
            <w:sz w:val="20"/>
            <w:szCs w:val="24"/>
            <w:u w:val="single"/>
          </w:rPr>
          <w:t>10.13140/RG.2.2.20333.96488</w:t>
        </w:r>
      </w:hyperlink>
      <w:r w:rsidRPr="0074174F">
        <w:rPr>
          <w:sz w:val="20"/>
          <w:szCs w:val="24"/>
        </w:rPr>
        <w:t>.</w:t>
      </w:r>
    </w:p>
    <w:p w14:paraId="52043912" w14:textId="77777777" w:rsidR="00E56096" w:rsidRPr="0074174F" w:rsidRDefault="00000000">
      <w:pPr>
        <w:pStyle w:val="Reference"/>
        <w:ind w:left="346" w:hanging="346"/>
        <w:rPr>
          <w:sz w:val="20"/>
          <w:szCs w:val="24"/>
        </w:rPr>
      </w:pPr>
      <w:r w:rsidRPr="0074174F">
        <w:rPr>
          <w:sz w:val="20"/>
          <w:szCs w:val="24"/>
        </w:rPr>
        <w:t xml:space="preserve">Ghosh, D. P. (2026). Inhibit the Average, Inhibit the Tail. DOI: </w:t>
      </w:r>
      <w:hyperlink r:id="rId35">
        <w:r w:rsidRPr="0074174F">
          <w:rPr>
            <w:color w:val="1F4E79"/>
            <w:sz w:val="20"/>
            <w:szCs w:val="24"/>
            <w:u w:val="single"/>
          </w:rPr>
          <w:t>10.13140/RG.2.2.16306.77763</w:t>
        </w:r>
      </w:hyperlink>
      <w:r w:rsidRPr="0074174F">
        <w:rPr>
          <w:sz w:val="20"/>
          <w:szCs w:val="24"/>
        </w:rPr>
        <w:t>.</w:t>
      </w:r>
    </w:p>
    <w:p w14:paraId="070E5A1C" w14:textId="77777777" w:rsidR="00E56096" w:rsidRPr="0074174F" w:rsidRDefault="00000000">
      <w:pPr>
        <w:pStyle w:val="Reference"/>
        <w:ind w:left="346" w:hanging="346"/>
        <w:rPr>
          <w:sz w:val="20"/>
          <w:szCs w:val="24"/>
        </w:rPr>
      </w:pPr>
      <w:r w:rsidRPr="0074174F">
        <w:rPr>
          <w:sz w:val="20"/>
          <w:szCs w:val="24"/>
        </w:rPr>
        <w:t xml:space="preserve">Ghosh, D. P. (2026). Categorical Foundations of the Thermodynamic–Electric Coupling. DOI: </w:t>
      </w:r>
      <w:hyperlink r:id="rId36">
        <w:r w:rsidRPr="0074174F">
          <w:rPr>
            <w:color w:val="1F4E79"/>
            <w:sz w:val="20"/>
            <w:szCs w:val="24"/>
            <w:u w:val="single"/>
          </w:rPr>
          <w:t>10.13140/RG.2.2.11096.66566</w:t>
        </w:r>
      </w:hyperlink>
      <w:r w:rsidRPr="0074174F">
        <w:rPr>
          <w:sz w:val="20"/>
          <w:szCs w:val="24"/>
        </w:rPr>
        <w:t>.</w:t>
      </w:r>
    </w:p>
    <w:p w14:paraId="4CA38D3B" w14:textId="77777777" w:rsidR="00E56096" w:rsidRPr="0074174F" w:rsidRDefault="00000000">
      <w:pPr>
        <w:pStyle w:val="Reference"/>
        <w:ind w:left="346" w:hanging="346"/>
        <w:rPr>
          <w:sz w:val="20"/>
          <w:szCs w:val="24"/>
        </w:rPr>
      </w:pPr>
      <w:r w:rsidRPr="0074174F">
        <w:rPr>
          <w:sz w:val="20"/>
          <w:szCs w:val="24"/>
        </w:rPr>
        <w:t xml:space="preserve">Ghosh, D. P. (2026). Building, Holding, and Keeping the Ladder. DOI: </w:t>
      </w:r>
      <w:hyperlink r:id="rId37">
        <w:r w:rsidRPr="0074174F">
          <w:rPr>
            <w:color w:val="1F4E79"/>
            <w:sz w:val="20"/>
            <w:szCs w:val="24"/>
            <w:u w:val="single"/>
          </w:rPr>
          <w:t>10.13140/RG.2.2.18367.88483</w:t>
        </w:r>
      </w:hyperlink>
      <w:r w:rsidRPr="0074174F">
        <w:rPr>
          <w:sz w:val="20"/>
          <w:szCs w:val="24"/>
        </w:rPr>
        <w:t>.</w:t>
      </w:r>
    </w:p>
    <w:p w14:paraId="396DFEF4" w14:textId="77777777" w:rsidR="00E56096" w:rsidRPr="0074174F" w:rsidRDefault="00000000">
      <w:pPr>
        <w:keepNext/>
        <w:spacing w:before="120" w:after="60"/>
        <w:rPr>
          <w:sz w:val="22"/>
          <w:szCs w:val="24"/>
        </w:rPr>
      </w:pPr>
      <w:r w:rsidRPr="0074174F">
        <w:rPr>
          <w:b/>
          <w:color w:val="1F4E79"/>
          <w:sz w:val="22"/>
          <w:szCs w:val="24"/>
        </w:rPr>
        <w:t>The paired programme and its discipline</w:t>
      </w:r>
    </w:p>
    <w:p w14:paraId="4BDAAD68" w14:textId="77777777" w:rsidR="00E56096" w:rsidRPr="0074174F" w:rsidRDefault="00000000">
      <w:pPr>
        <w:pStyle w:val="Reference"/>
        <w:ind w:left="346" w:hanging="346"/>
        <w:rPr>
          <w:sz w:val="20"/>
          <w:szCs w:val="24"/>
        </w:rPr>
      </w:pPr>
      <w:r w:rsidRPr="0074174F">
        <w:rPr>
          <w:sz w:val="20"/>
          <w:szCs w:val="24"/>
        </w:rPr>
        <w:t xml:space="preserve">Ghosh, D. P. (2026). The Mendel Moment of the Brain. DOI: </w:t>
      </w:r>
      <w:hyperlink r:id="rId38">
        <w:r w:rsidRPr="0074174F">
          <w:rPr>
            <w:color w:val="1F4E79"/>
            <w:sz w:val="20"/>
            <w:szCs w:val="24"/>
            <w:u w:val="single"/>
          </w:rPr>
          <w:t>10.13140/RG.2.2.30751.73127</w:t>
        </w:r>
      </w:hyperlink>
      <w:r w:rsidRPr="0074174F">
        <w:rPr>
          <w:sz w:val="20"/>
          <w:szCs w:val="24"/>
        </w:rPr>
        <w:t>.</w:t>
      </w:r>
    </w:p>
    <w:p w14:paraId="1F3B55A9" w14:textId="77777777" w:rsidR="00E56096" w:rsidRPr="0074174F" w:rsidRDefault="00000000">
      <w:pPr>
        <w:pStyle w:val="Reference"/>
        <w:ind w:left="346" w:hanging="346"/>
        <w:rPr>
          <w:sz w:val="20"/>
          <w:szCs w:val="24"/>
        </w:rPr>
      </w:pPr>
      <w:r w:rsidRPr="0074174F">
        <w:rPr>
          <w:sz w:val="20"/>
          <w:szCs w:val="24"/>
        </w:rPr>
        <w:t xml:space="preserve">Ghosh, D. P., &amp; Ghosh, D. (2026). The Paired Mind. DOI: </w:t>
      </w:r>
      <w:hyperlink r:id="rId39">
        <w:r w:rsidRPr="0074174F">
          <w:rPr>
            <w:color w:val="1F4E79"/>
            <w:sz w:val="20"/>
            <w:szCs w:val="24"/>
            <w:u w:val="single"/>
          </w:rPr>
          <w:t>10.13140/RG.2.2.26537.76640</w:t>
        </w:r>
      </w:hyperlink>
      <w:r w:rsidRPr="0074174F">
        <w:rPr>
          <w:sz w:val="20"/>
          <w:szCs w:val="24"/>
        </w:rPr>
        <w:t>. — Author order verified as Debi Prasad Ghosh, then Dyuti Ghosh.</w:t>
      </w:r>
    </w:p>
    <w:p w14:paraId="4251F6EE" w14:textId="77777777" w:rsidR="00E56096" w:rsidRPr="0074174F" w:rsidRDefault="00000000">
      <w:pPr>
        <w:pStyle w:val="Reference"/>
        <w:ind w:left="346" w:hanging="346"/>
        <w:rPr>
          <w:sz w:val="20"/>
          <w:szCs w:val="24"/>
        </w:rPr>
      </w:pPr>
      <w:r w:rsidRPr="0074174F">
        <w:rPr>
          <w:sz w:val="20"/>
          <w:szCs w:val="24"/>
        </w:rPr>
        <w:t xml:space="preserve">Ghosh, D. P. (2026). Boundary Before Score. DOI: </w:t>
      </w:r>
      <w:hyperlink r:id="rId40">
        <w:r w:rsidRPr="0074174F">
          <w:rPr>
            <w:color w:val="1F4E79"/>
            <w:sz w:val="20"/>
            <w:szCs w:val="24"/>
            <w:u w:val="single"/>
          </w:rPr>
          <w:t>10.13140/RG.2.2.36324.74881</w:t>
        </w:r>
      </w:hyperlink>
      <w:r w:rsidRPr="0074174F">
        <w:rPr>
          <w:sz w:val="20"/>
          <w:szCs w:val="24"/>
        </w:rPr>
        <w:t>. — The founding rule sharpened here to integral admissibility before real-valued optimization.</w:t>
      </w:r>
    </w:p>
    <w:p w14:paraId="5D7AEDB0" w14:textId="77777777" w:rsidR="00E56096" w:rsidRPr="0074174F" w:rsidRDefault="00000000">
      <w:pPr>
        <w:pStyle w:val="Reference"/>
        <w:ind w:left="346" w:hanging="346"/>
        <w:rPr>
          <w:sz w:val="20"/>
          <w:szCs w:val="24"/>
        </w:rPr>
      </w:pPr>
      <w:r w:rsidRPr="0074174F">
        <w:rPr>
          <w:sz w:val="20"/>
          <w:szCs w:val="24"/>
        </w:rPr>
        <w:t xml:space="preserve">Ghosh, D. P. (2026). The Right to Use Geometry. DOI: </w:t>
      </w:r>
      <w:hyperlink r:id="rId41">
        <w:r w:rsidRPr="0074174F">
          <w:rPr>
            <w:color w:val="1F4E79"/>
            <w:sz w:val="20"/>
            <w:szCs w:val="24"/>
            <w:u w:val="single"/>
          </w:rPr>
          <w:t>10.13140/RG.2.2.36117.49122</w:t>
        </w:r>
      </w:hyperlink>
      <w:r w:rsidRPr="0074174F">
        <w:rPr>
          <w:sz w:val="20"/>
          <w:szCs w:val="24"/>
        </w:rPr>
        <w:t>. — Earned geometry.</w:t>
      </w:r>
    </w:p>
    <w:p w14:paraId="4FFD61FC" w14:textId="77777777" w:rsidR="00E56096" w:rsidRPr="0074174F" w:rsidRDefault="00000000">
      <w:pPr>
        <w:pStyle w:val="Reference"/>
        <w:ind w:left="346" w:hanging="346"/>
        <w:rPr>
          <w:sz w:val="20"/>
          <w:szCs w:val="24"/>
        </w:rPr>
      </w:pPr>
      <w:r w:rsidRPr="0074174F">
        <w:rPr>
          <w:sz w:val="20"/>
          <w:szCs w:val="24"/>
        </w:rPr>
        <w:t xml:space="preserve">Ghosh, D. P. (2026). The Direct and Indirect Axes. DOI: </w:t>
      </w:r>
      <w:hyperlink r:id="rId42">
        <w:r w:rsidRPr="0074174F">
          <w:rPr>
            <w:color w:val="1F4E79"/>
            <w:sz w:val="20"/>
            <w:szCs w:val="24"/>
            <w:u w:val="single"/>
          </w:rPr>
          <w:t>10.13140/RG.2.2.26647.53922</w:t>
        </w:r>
      </w:hyperlink>
      <w:r w:rsidRPr="0074174F">
        <w:rPr>
          <w:sz w:val="20"/>
          <w:szCs w:val="24"/>
        </w:rPr>
        <w:t>.</w:t>
      </w:r>
    </w:p>
    <w:p w14:paraId="46A4F3B6" w14:textId="77777777" w:rsidR="00E56096" w:rsidRPr="0074174F" w:rsidRDefault="00000000">
      <w:pPr>
        <w:pStyle w:val="Reference"/>
        <w:ind w:left="346" w:hanging="346"/>
        <w:rPr>
          <w:sz w:val="20"/>
          <w:szCs w:val="24"/>
        </w:rPr>
      </w:pPr>
      <w:r w:rsidRPr="0074174F">
        <w:rPr>
          <w:sz w:val="20"/>
          <w:szCs w:val="24"/>
        </w:rPr>
        <w:t xml:space="preserve">Ghosh, D. P. (2026). The Separation Hierarchy. DOI: </w:t>
      </w:r>
      <w:hyperlink r:id="rId43">
        <w:r w:rsidRPr="0074174F">
          <w:rPr>
            <w:color w:val="1F4E79"/>
            <w:sz w:val="20"/>
            <w:szCs w:val="24"/>
            <w:u w:val="single"/>
          </w:rPr>
          <w:t>10.13140/RG.2.2.28768.44809</w:t>
        </w:r>
      </w:hyperlink>
      <w:r w:rsidRPr="0074174F">
        <w:rPr>
          <w:sz w:val="20"/>
          <w:szCs w:val="24"/>
        </w:rPr>
        <w:t>. — T0–T4; the basal-ganglia separation reading.</w:t>
      </w:r>
    </w:p>
    <w:p w14:paraId="41266DED" w14:textId="77777777" w:rsidR="00E56096" w:rsidRPr="0074174F" w:rsidRDefault="00000000">
      <w:pPr>
        <w:keepNext/>
        <w:spacing w:before="120" w:after="60"/>
        <w:rPr>
          <w:sz w:val="22"/>
          <w:szCs w:val="24"/>
        </w:rPr>
      </w:pPr>
      <w:r w:rsidRPr="0074174F">
        <w:rPr>
          <w:b/>
          <w:color w:val="1F4E79"/>
          <w:sz w:val="22"/>
          <w:szCs w:val="24"/>
        </w:rPr>
        <w:t>Accessible ladder (for the mathematics used here)</w:t>
      </w:r>
    </w:p>
    <w:p w14:paraId="7A53EAA5" w14:textId="77777777" w:rsidR="00E56096" w:rsidRPr="0074174F" w:rsidRDefault="00000000">
      <w:pPr>
        <w:pStyle w:val="Reference"/>
        <w:ind w:left="346" w:hanging="346"/>
        <w:rPr>
          <w:sz w:val="20"/>
          <w:szCs w:val="24"/>
        </w:rPr>
      </w:pPr>
      <w:r w:rsidRPr="0074174F">
        <w:rPr>
          <w:sz w:val="20"/>
          <w:szCs w:val="24"/>
        </w:rPr>
        <w:t xml:space="preserve">Ghosh, D. P., &amp; Ghosh, D. (2026). How Many Holes? DOI: </w:t>
      </w:r>
      <w:hyperlink r:id="rId44">
        <w:r w:rsidRPr="0074174F">
          <w:rPr>
            <w:color w:val="1F4E79"/>
            <w:sz w:val="20"/>
            <w:szCs w:val="24"/>
            <w:u w:val="single"/>
          </w:rPr>
          <w:t>10.13140/RG.2.2.21950.24643</w:t>
        </w:r>
      </w:hyperlink>
      <w:r w:rsidRPr="0074174F">
        <w:rPr>
          <w:sz w:val="20"/>
          <w:szCs w:val="24"/>
        </w:rPr>
        <w:t>. — Homology, Betti numbers, and torsion; author order verified as Debi Prasad Ghosh, then Dyuti Ghosh.</w:t>
      </w:r>
    </w:p>
    <w:p w14:paraId="005DBC13" w14:textId="77777777" w:rsidR="00E56096" w:rsidRPr="0074174F" w:rsidRDefault="00000000">
      <w:pPr>
        <w:pStyle w:val="Reference"/>
        <w:ind w:left="346" w:hanging="346"/>
        <w:rPr>
          <w:sz w:val="20"/>
          <w:szCs w:val="24"/>
        </w:rPr>
      </w:pPr>
      <w:r w:rsidRPr="0074174F">
        <w:rPr>
          <w:sz w:val="20"/>
          <w:szCs w:val="24"/>
        </w:rPr>
        <w:t xml:space="preserve">Ghosh, D. P. (2026). What's the Connection? DOI: </w:t>
      </w:r>
      <w:hyperlink r:id="rId45">
        <w:r w:rsidRPr="0074174F">
          <w:rPr>
            <w:color w:val="1F4E79"/>
            <w:sz w:val="20"/>
            <w:szCs w:val="24"/>
            <w:u w:val="single"/>
          </w:rPr>
          <w:t>10.13140/RG.2.2.26314.94403</w:t>
        </w:r>
      </w:hyperlink>
      <w:r w:rsidRPr="0074174F">
        <w:rPr>
          <w:sz w:val="20"/>
          <w:szCs w:val="24"/>
        </w:rPr>
        <w:t>.</w:t>
      </w:r>
    </w:p>
    <w:p w14:paraId="2704C965" w14:textId="77777777" w:rsidR="00E56096" w:rsidRPr="0074174F" w:rsidRDefault="00000000">
      <w:pPr>
        <w:pStyle w:val="Reference"/>
        <w:ind w:left="346" w:hanging="346"/>
        <w:rPr>
          <w:sz w:val="20"/>
          <w:szCs w:val="24"/>
        </w:rPr>
      </w:pPr>
      <w:r w:rsidRPr="0074174F">
        <w:rPr>
          <w:sz w:val="20"/>
          <w:szCs w:val="24"/>
        </w:rPr>
        <w:t xml:space="preserve">Ghosh, D. P. (2026). How Close Is Close? DOI: </w:t>
      </w:r>
      <w:hyperlink r:id="rId46">
        <w:r w:rsidRPr="0074174F">
          <w:rPr>
            <w:color w:val="1F4E79"/>
            <w:sz w:val="20"/>
            <w:szCs w:val="24"/>
            <w:u w:val="single"/>
          </w:rPr>
          <w:t>10.13140/RG.2.2.18876.60802</w:t>
        </w:r>
      </w:hyperlink>
      <w:r w:rsidRPr="0074174F">
        <w:rPr>
          <w:sz w:val="20"/>
          <w:szCs w:val="24"/>
        </w:rPr>
        <w:t>.</w:t>
      </w:r>
    </w:p>
    <w:p w14:paraId="7DAEECC6" w14:textId="77777777" w:rsidR="00E56096" w:rsidRPr="0074174F" w:rsidRDefault="00000000">
      <w:pPr>
        <w:pStyle w:val="Reference"/>
        <w:ind w:left="346" w:hanging="346"/>
        <w:rPr>
          <w:sz w:val="20"/>
          <w:szCs w:val="24"/>
        </w:rPr>
      </w:pPr>
      <w:r w:rsidRPr="0074174F">
        <w:rPr>
          <w:sz w:val="20"/>
          <w:szCs w:val="24"/>
        </w:rPr>
        <w:t xml:space="preserve">Ghosh, D. P. (2026). How Far, How Big, How Aligned? DOI: </w:t>
      </w:r>
      <w:hyperlink r:id="rId47">
        <w:r w:rsidRPr="0074174F">
          <w:rPr>
            <w:color w:val="1F4E79"/>
            <w:sz w:val="20"/>
            <w:szCs w:val="24"/>
            <w:u w:val="single"/>
          </w:rPr>
          <w:t>10.13140/RG.2.2.30410.94401</w:t>
        </w:r>
      </w:hyperlink>
      <w:r w:rsidRPr="0074174F">
        <w:rPr>
          <w:sz w:val="20"/>
          <w:szCs w:val="24"/>
        </w:rPr>
        <w:t>.</w:t>
      </w:r>
    </w:p>
    <w:p w14:paraId="3ABE624A" w14:textId="77777777" w:rsidR="00E56096" w:rsidRPr="0074174F" w:rsidRDefault="00000000">
      <w:pPr>
        <w:pStyle w:val="Reference"/>
        <w:ind w:left="346" w:hanging="346"/>
        <w:rPr>
          <w:sz w:val="20"/>
          <w:szCs w:val="24"/>
        </w:rPr>
      </w:pPr>
      <w:r w:rsidRPr="0074174F">
        <w:rPr>
          <w:sz w:val="20"/>
          <w:szCs w:val="24"/>
        </w:rPr>
        <w:t xml:space="preserve">Ghosh, D. P. (2026). Does It Fit? DOI: </w:t>
      </w:r>
      <w:hyperlink r:id="rId48">
        <w:r w:rsidRPr="0074174F">
          <w:rPr>
            <w:color w:val="1F4E79"/>
            <w:sz w:val="20"/>
            <w:szCs w:val="24"/>
            <w:u w:val="single"/>
          </w:rPr>
          <w:t>10.13140/RG.2.2.27750.18240</w:t>
        </w:r>
      </w:hyperlink>
      <w:r w:rsidRPr="0074174F">
        <w:rPr>
          <w:sz w:val="20"/>
          <w:szCs w:val="24"/>
        </w:rPr>
        <w:t>.</w:t>
      </w:r>
    </w:p>
    <w:p w14:paraId="34CD7C30" w14:textId="77777777" w:rsidR="00E56096" w:rsidRPr="0074174F" w:rsidRDefault="00000000">
      <w:pPr>
        <w:pStyle w:val="Reference"/>
        <w:ind w:left="346" w:hanging="346"/>
        <w:rPr>
          <w:sz w:val="20"/>
          <w:szCs w:val="24"/>
        </w:rPr>
      </w:pPr>
      <w:r w:rsidRPr="0074174F">
        <w:rPr>
          <w:sz w:val="20"/>
          <w:szCs w:val="24"/>
        </w:rPr>
        <w:t xml:space="preserve">Ghosh, D. P. (2026). Proximity to Uniformity. DOI: </w:t>
      </w:r>
      <w:hyperlink r:id="rId49">
        <w:r w:rsidRPr="0074174F">
          <w:rPr>
            <w:color w:val="1F4E79"/>
            <w:sz w:val="20"/>
            <w:szCs w:val="24"/>
            <w:u w:val="single"/>
          </w:rPr>
          <w:t>10.13140/RG.2.2.21729.88162</w:t>
        </w:r>
      </w:hyperlink>
      <w:r w:rsidRPr="0074174F">
        <w:rPr>
          <w:sz w:val="20"/>
          <w:szCs w:val="24"/>
        </w:rPr>
        <w:t>.</w:t>
      </w:r>
    </w:p>
    <w:p w14:paraId="4A2205F8" w14:textId="77777777" w:rsidR="00E56096" w:rsidRDefault="00000000">
      <w:pPr>
        <w:pStyle w:val="Heading2"/>
      </w:pPr>
      <w:r>
        <w:t>Part II — Mathematical and Neuroscientific Foundations</w:t>
      </w:r>
    </w:p>
    <w:p w14:paraId="164BCE58" w14:textId="77777777" w:rsidR="00E56096" w:rsidRPr="0074174F" w:rsidRDefault="00000000">
      <w:pPr>
        <w:pStyle w:val="Reference"/>
        <w:ind w:left="346" w:hanging="346"/>
        <w:rPr>
          <w:sz w:val="20"/>
          <w:szCs w:val="24"/>
        </w:rPr>
      </w:pPr>
      <w:r w:rsidRPr="0074174F">
        <w:rPr>
          <w:sz w:val="20"/>
          <w:szCs w:val="24"/>
        </w:rPr>
        <w:t xml:space="preserve">Deimling, K. (1985). Nonlinear Functional Analysis. Springer. DOI: </w:t>
      </w:r>
      <w:hyperlink r:id="rId50">
        <w:r w:rsidRPr="0074174F">
          <w:rPr>
            <w:color w:val="1F4E79"/>
            <w:sz w:val="20"/>
            <w:szCs w:val="24"/>
            <w:u w:val="single"/>
          </w:rPr>
          <w:t>10.1007/978-3-662-00547-7</w:t>
        </w:r>
      </w:hyperlink>
      <w:r w:rsidRPr="0074174F">
        <w:rPr>
          <w:sz w:val="20"/>
          <w:szCs w:val="24"/>
        </w:rPr>
        <w:t>.</w:t>
      </w:r>
    </w:p>
    <w:p w14:paraId="7537B1E0" w14:textId="77777777" w:rsidR="00E56096" w:rsidRPr="0074174F" w:rsidRDefault="00000000">
      <w:pPr>
        <w:pStyle w:val="Reference"/>
        <w:ind w:left="346" w:hanging="346"/>
        <w:rPr>
          <w:sz w:val="20"/>
          <w:szCs w:val="24"/>
        </w:rPr>
      </w:pPr>
      <w:r w:rsidRPr="0074174F">
        <w:rPr>
          <w:sz w:val="20"/>
          <w:szCs w:val="24"/>
        </w:rPr>
        <w:t xml:space="preserve">Dinca, G., &amp; Mawhin, J. (2021). Brouwer Degree: The Core of Nonlinear Analysis. Springer. DOI: </w:t>
      </w:r>
      <w:hyperlink r:id="rId51">
        <w:r w:rsidRPr="0074174F">
          <w:rPr>
            <w:color w:val="1F4E79"/>
            <w:sz w:val="20"/>
            <w:szCs w:val="24"/>
            <w:u w:val="single"/>
          </w:rPr>
          <w:t>10.1007/978-3-030-63230-4</w:t>
        </w:r>
      </w:hyperlink>
      <w:r w:rsidRPr="0074174F">
        <w:rPr>
          <w:sz w:val="20"/>
          <w:szCs w:val="24"/>
        </w:rPr>
        <w:t>.</w:t>
      </w:r>
    </w:p>
    <w:p w14:paraId="74AFC925" w14:textId="77777777" w:rsidR="00E56096" w:rsidRPr="0074174F" w:rsidRDefault="00000000">
      <w:pPr>
        <w:pStyle w:val="Reference"/>
        <w:ind w:left="346" w:hanging="346"/>
        <w:rPr>
          <w:sz w:val="20"/>
          <w:szCs w:val="24"/>
        </w:rPr>
      </w:pPr>
      <w:r w:rsidRPr="0074174F">
        <w:rPr>
          <w:sz w:val="20"/>
          <w:szCs w:val="24"/>
        </w:rPr>
        <w:t xml:space="preserve">Gardner, R. J., Hermansen, E., Pachitariu, M., Burak, Y., Baas, N. A., Dunn, B. A., Moser, M.-B., &amp; Moser, E. I. (2022). Toroidal topology of population activity in grid cells. Nature, 602, 123–128. DOI: </w:t>
      </w:r>
      <w:hyperlink r:id="rId52">
        <w:r w:rsidRPr="0074174F">
          <w:rPr>
            <w:color w:val="1F4E79"/>
            <w:sz w:val="20"/>
            <w:szCs w:val="24"/>
            <w:u w:val="single"/>
          </w:rPr>
          <w:t>10.1038/s41586-021-04268-7</w:t>
        </w:r>
      </w:hyperlink>
      <w:r w:rsidRPr="0074174F">
        <w:rPr>
          <w:sz w:val="20"/>
          <w:szCs w:val="24"/>
        </w:rPr>
        <w:t>.</w:t>
      </w:r>
    </w:p>
    <w:p w14:paraId="16C48A81" w14:textId="77777777" w:rsidR="00E56096" w:rsidRPr="0074174F" w:rsidRDefault="00000000">
      <w:pPr>
        <w:pStyle w:val="Reference"/>
        <w:ind w:left="346" w:hanging="346"/>
        <w:rPr>
          <w:sz w:val="20"/>
          <w:szCs w:val="24"/>
        </w:rPr>
      </w:pPr>
      <w:r w:rsidRPr="0074174F">
        <w:rPr>
          <w:sz w:val="20"/>
          <w:szCs w:val="24"/>
        </w:rPr>
        <w:t>Hatcher, A. (2002). Algebraic Topology. Cambridge University Press.</w:t>
      </w:r>
    </w:p>
    <w:p w14:paraId="0D02264C" w14:textId="77777777" w:rsidR="00E56096" w:rsidRPr="0074174F" w:rsidRDefault="00000000">
      <w:pPr>
        <w:pStyle w:val="Reference"/>
        <w:ind w:left="346" w:hanging="346"/>
        <w:rPr>
          <w:sz w:val="20"/>
          <w:szCs w:val="24"/>
        </w:rPr>
      </w:pPr>
      <w:r w:rsidRPr="0074174F">
        <w:rPr>
          <w:sz w:val="20"/>
          <w:szCs w:val="24"/>
        </w:rPr>
        <w:t xml:space="preserve">Kinsky, N. R., Mau, W., Sullivan, D. W., Levy, S. J., Ruesch, E. A., &amp; Hasselmo, M. E. (2020). Trajectory-modulated hippocampal neurons persist throughout memory-guided navigation. Nature Communications, 11, 2443. DOI: </w:t>
      </w:r>
      <w:hyperlink r:id="rId53">
        <w:r w:rsidRPr="0074174F">
          <w:rPr>
            <w:color w:val="1F4E79"/>
            <w:sz w:val="20"/>
            <w:szCs w:val="24"/>
            <w:u w:val="single"/>
          </w:rPr>
          <w:t>10.1038/s41467-020-16226-4</w:t>
        </w:r>
      </w:hyperlink>
      <w:r w:rsidRPr="0074174F">
        <w:rPr>
          <w:sz w:val="20"/>
          <w:szCs w:val="24"/>
        </w:rPr>
        <w:t>.</w:t>
      </w:r>
    </w:p>
    <w:p w14:paraId="2683E443" w14:textId="77777777" w:rsidR="00E56096" w:rsidRPr="0074174F" w:rsidRDefault="00000000">
      <w:pPr>
        <w:pStyle w:val="Reference"/>
        <w:ind w:left="346" w:hanging="346"/>
        <w:rPr>
          <w:sz w:val="20"/>
          <w:szCs w:val="24"/>
        </w:rPr>
      </w:pPr>
      <w:r w:rsidRPr="0074174F">
        <w:rPr>
          <w:sz w:val="20"/>
          <w:szCs w:val="24"/>
        </w:rPr>
        <w:t xml:space="preserve">McCord, M. C. (1965). Inverse limit sequences with covering maps. Transactions of the American Mathematical Society, 114, 197–209. DOI: </w:t>
      </w:r>
      <w:hyperlink r:id="rId54">
        <w:r w:rsidRPr="0074174F">
          <w:rPr>
            <w:color w:val="1F4E79"/>
            <w:sz w:val="20"/>
            <w:szCs w:val="24"/>
            <w:u w:val="single"/>
          </w:rPr>
          <w:t>10.1090/S0002-9947-1965-0173237-1</w:t>
        </w:r>
      </w:hyperlink>
      <w:r w:rsidRPr="0074174F">
        <w:rPr>
          <w:sz w:val="20"/>
          <w:szCs w:val="24"/>
        </w:rPr>
        <w:t>.</w:t>
      </w:r>
    </w:p>
    <w:p w14:paraId="2CD8B017" w14:textId="77777777" w:rsidR="00E56096" w:rsidRPr="0074174F" w:rsidRDefault="00000000">
      <w:pPr>
        <w:pStyle w:val="Reference"/>
        <w:ind w:left="346" w:hanging="346"/>
        <w:rPr>
          <w:sz w:val="20"/>
          <w:szCs w:val="24"/>
        </w:rPr>
      </w:pPr>
      <w:r w:rsidRPr="0074174F">
        <w:rPr>
          <w:sz w:val="20"/>
          <w:szCs w:val="24"/>
        </w:rPr>
        <w:t>Munkres, J. R. (2000). Topology (2nd ed.). Prentice Hall.</w:t>
      </w:r>
    </w:p>
    <w:p w14:paraId="0FE81C5A" w14:textId="77777777" w:rsidR="00E56096" w:rsidRPr="0074174F" w:rsidRDefault="00000000">
      <w:pPr>
        <w:pStyle w:val="Reference"/>
        <w:ind w:left="346" w:hanging="346"/>
        <w:rPr>
          <w:sz w:val="20"/>
          <w:szCs w:val="24"/>
        </w:rPr>
      </w:pPr>
      <w:r w:rsidRPr="0074174F">
        <w:rPr>
          <w:sz w:val="20"/>
          <w:szCs w:val="24"/>
        </w:rPr>
        <w:t xml:space="preserve">Peng, J.-J., Throm, B., Najafian Jazi, M., Yen, T.-Y., Pizzarelli, R., Monyer, H., &amp; Allen, K. (2025). Grid cells accurately track movement during path integration-based navigation despite switching reference frames. Nature Neuroscience, 28, 2092–2105. DOI: </w:t>
      </w:r>
      <w:hyperlink r:id="rId55">
        <w:r w:rsidRPr="0074174F">
          <w:rPr>
            <w:color w:val="1F4E79"/>
            <w:sz w:val="20"/>
            <w:szCs w:val="24"/>
            <w:u w:val="single"/>
          </w:rPr>
          <w:t>10.1038/s41593-025-02054-6</w:t>
        </w:r>
      </w:hyperlink>
      <w:r w:rsidRPr="0074174F">
        <w:rPr>
          <w:sz w:val="20"/>
          <w:szCs w:val="24"/>
        </w:rPr>
        <w:t>.</w:t>
      </w:r>
    </w:p>
    <w:p w14:paraId="569472CC" w14:textId="77777777" w:rsidR="00E56096" w:rsidRPr="0074174F" w:rsidRDefault="00000000">
      <w:pPr>
        <w:pStyle w:val="Reference"/>
        <w:ind w:left="346" w:hanging="346"/>
        <w:rPr>
          <w:sz w:val="20"/>
          <w:szCs w:val="24"/>
        </w:rPr>
      </w:pPr>
      <w:r w:rsidRPr="0074174F">
        <w:rPr>
          <w:sz w:val="20"/>
          <w:szCs w:val="24"/>
        </w:rPr>
        <w:lastRenderedPageBreak/>
        <w:t xml:space="preserve">Skaggs, W. E., McNaughton, B. L., Wilson, M. A., &amp; Barnes, C. A. (1996). Theta phase precession in hippocampal neuronal populations and the compression of temporal sequences. Hippocampus, 6, 149–172. DOI: </w:t>
      </w:r>
      <w:hyperlink r:id="rId56">
        <w:r w:rsidRPr="0074174F">
          <w:rPr>
            <w:color w:val="1F4E79"/>
            <w:sz w:val="20"/>
            <w:szCs w:val="24"/>
            <w:u w:val="single"/>
          </w:rPr>
          <w:t>10.1002/(SICI)1098-1063(1996)6:2&lt;149::AID-HIPO6&gt;3.0.CO;2-K</w:t>
        </w:r>
      </w:hyperlink>
      <w:r w:rsidRPr="0074174F">
        <w:rPr>
          <w:sz w:val="20"/>
          <w:szCs w:val="24"/>
        </w:rPr>
        <w:t>.</w:t>
      </w:r>
    </w:p>
    <w:p w14:paraId="1804EE9A" w14:textId="77777777" w:rsidR="00E56096" w:rsidRPr="0074174F" w:rsidRDefault="00000000">
      <w:pPr>
        <w:pStyle w:val="Reference"/>
        <w:ind w:left="346" w:hanging="346"/>
        <w:rPr>
          <w:sz w:val="20"/>
          <w:szCs w:val="24"/>
        </w:rPr>
      </w:pPr>
      <w:r w:rsidRPr="0074174F">
        <w:rPr>
          <w:sz w:val="20"/>
          <w:szCs w:val="24"/>
        </w:rPr>
        <w:t xml:space="preserve">Yassa, M. A., &amp; Stark, C. E. L. (2011). Pattern separation in the hippocampus. Trends in Neurosciences, 34(10), 515–525. DOI: </w:t>
      </w:r>
      <w:hyperlink r:id="rId57">
        <w:r w:rsidRPr="0074174F">
          <w:rPr>
            <w:color w:val="1F4E79"/>
            <w:sz w:val="20"/>
            <w:szCs w:val="24"/>
            <w:u w:val="single"/>
          </w:rPr>
          <w:t>10.1016/j.tins.2011.06.006</w:t>
        </w:r>
      </w:hyperlink>
      <w:r w:rsidRPr="0074174F">
        <w:rPr>
          <w:sz w:val="20"/>
          <w:szCs w:val="24"/>
        </w:rPr>
        <w:t>.</w:t>
      </w:r>
    </w:p>
    <w:p w14:paraId="10425267" w14:textId="77777777" w:rsidR="00E56096" w:rsidRDefault="00000000">
      <w:pPr>
        <w:pStyle w:val="Heading1"/>
      </w:pPr>
      <w:r>
        <w:t>Appendix A — Correction Ledger</w:t>
      </w:r>
    </w:p>
    <w:tbl>
      <w:tblPr>
        <w:tblStyle w:val="TableGrid"/>
        <w:tblW w:w="0" w:type="auto"/>
        <w:jc w:val="center"/>
        <w:tblLook w:val="04A0" w:firstRow="1" w:lastRow="0" w:firstColumn="1" w:lastColumn="0" w:noHBand="0" w:noVBand="1"/>
      </w:tblPr>
      <w:tblGrid>
        <w:gridCol w:w="2127"/>
        <w:gridCol w:w="3118"/>
        <w:gridCol w:w="2977"/>
        <w:gridCol w:w="1526"/>
      </w:tblGrid>
      <w:tr w:rsidR="00E56096" w14:paraId="6B0B4FCA" w14:textId="77777777" w:rsidTr="00531553">
        <w:trPr>
          <w:tblHeader/>
          <w:jc w:val="center"/>
        </w:trPr>
        <w:tc>
          <w:tcPr>
            <w:tcW w:w="2127" w:type="dxa"/>
            <w:shd w:val="clear" w:color="auto" w:fill="D9E2F3"/>
            <w:vAlign w:val="center"/>
          </w:tcPr>
          <w:p w14:paraId="5B6005B2" w14:textId="77777777" w:rsidR="00E56096" w:rsidRDefault="00000000">
            <w:r>
              <w:rPr>
                <w:sz w:val="17"/>
              </w:rPr>
              <w:t>Earlier claim</w:t>
            </w:r>
          </w:p>
        </w:tc>
        <w:tc>
          <w:tcPr>
            <w:tcW w:w="3118" w:type="dxa"/>
            <w:shd w:val="clear" w:color="auto" w:fill="D9E2F3"/>
            <w:vAlign w:val="center"/>
          </w:tcPr>
          <w:p w14:paraId="0DC7540F" w14:textId="77777777" w:rsidR="00E56096" w:rsidRDefault="00000000">
            <w:r>
              <w:rPr>
                <w:sz w:val="17"/>
              </w:rPr>
              <w:t>Correction</w:t>
            </w:r>
          </w:p>
        </w:tc>
        <w:tc>
          <w:tcPr>
            <w:tcW w:w="2977" w:type="dxa"/>
            <w:shd w:val="clear" w:color="auto" w:fill="D9E2F3"/>
            <w:vAlign w:val="center"/>
          </w:tcPr>
          <w:p w14:paraId="32F0877C" w14:textId="77777777" w:rsidR="00E56096" w:rsidRDefault="00000000">
            <w:r>
              <w:rPr>
                <w:sz w:val="17"/>
              </w:rPr>
              <w:t>What survives</w:t>
            </w:r>
          </w:p>
        </w:tc>
        <w:tc>
          <w:tcPr>
            <w:tcW w:w="1526" w:type="dxa"/>
            <w:shd w:val="clear" w:color="auto" w:fill="D9E2F3"/>
            <w:vAlign w:val="center"/>
          </w:tcPr>
          <w:p w14:paraId="508A7730" w14:textId="77777777" w:rsidR="00E56096" w:rsidRDefault="00000000">
            <w:r>
              <w:rPr>
                <w:sz w:val="17"/>
              </w:rPr>
              <w:t>Final placement</w:t>
            </w:r>
          </w:p>
        </w:tc>
      </w:tr>
      <w:tr w:rsidR="00E56096" w14:paraId="77B1AA0E" w14:textId="77777777" w:rsidTr="00531553">
        <w:trPr>
          <w:jc w:val="center"/>
        </w:trPr>
        <w:tc>
          <w:tcPr>
            <w:tcW w:w="2127" w:type="dxa"/>
            <w:vAlign w:val="center"/>
          </w:tcPr>
          <w:p w14:paraId="2C00F30B" w14:textId="77777777" w:rsidR="00E56096" w:rsidRDefault="00000000">
            <w:pPr>
              <w:spacing w:after="20" w:line="235" w:lineRule="auto"/>
            </w:pPr>
            <w:r>
              <w:rPr>
                <w:sz w:val="17"/>
              </w:rPr>
              <w:t>FTA-style search requires an invertible return.</w:t>
            </w:r>
          </w:p>
        </w:tc>
        <w:tc>
          <w:tcPr>
            <w:tcW w:w="3118" w:type="dxa"/>
            <w:vAlign w:val="center"/>
          </w:tcPr>
          <w:p w14:paraId="3B78ADCF" w14:textId="77777777" w:rsidR="00E56096" w:rsidRDefault="00000000">
            <w:pPr>
              <w:spacing w:after="20" w:line="235" w:lineRule="auto"/>
            </w:pPr>
            <w:r>
              <w:rPr>
                <w:sz w:val="17"/>
              </w:rPr>
              <w:t>The lifted map may be many-to-one; only the covering projection has local lifting structure.</w:t>
            </w:r>
          </w:p>
        </w:tc>
        <w:tc>
          <w:tcPr>
            <w:tcW w:w="2977" w:type="dxa"/>
            <w:vAlign w:val="center"/>
          </w:tcPr>
          <w:p w14:paraId="1FB0BC9C" w14:textId="77777777" w:rsidR="00E56096" w:rsidRDefault="00000000">
            <w:pPr>
              <w:spacing w:after="20" w:line="235" w:lineRule="auto"/>
            </w:pPr>
            <w:r>
              <w:rPr>
                <w:sz w:val="17"/>
              </w:rPr>
              <w:t>Degree counts multiplicity and certifies regional non-emptiness.</w:t>
            </w:r>
          </w:p>
        </w:tc>
        <w:tc>
          <w:tcPr>
            <w:tcW w:w="1526" w:type="dxa"/>
            <w:vAlign w:val="center"/>
          </w:tcPr>
          <w:p w14:paraId="5A40816A" w14:textId="77777777" w:rsidR="00E56096" w:rsidRDefault="00000000">
            <w:pPr>
              <w:spacing w:after="20" w:line="235" w:lineRule="auto"/>
            </w:pPr>
            <w:r>
              <w:rPr>
                <w:sz w:val="17"/>
              </w:rPr>
              <w:t>Section 2–3.</w:t>
            </w:r>
          </w:p>
        </w:tc>
      </w:tr>
      <w:tr w:rsidR="00E56096" w14:paraId="6F894AA0" w14:textId="77777777" w:rsidTr="00531553">
        <w:trPr>
          <w:jc w:val="center"/>
        </w:trPr>
        <w:tc>
          <w:tcPr>
            <w:tcW w:w="2127" w:type="dxa"/>
            <w:vAlign w:val="center"/>
          </w:tcPr>
          <w:p w14:paraId="75D5C029" w14:textId="77777777" w:rsidR="00E56096" w:rsidRDefault="00000000">
            <w:pPr>
              <w:spacing w:after="20" w:line="235" w:lineRule="auto"/>
            </w:pPr>
            <w:r>
              <w:rPr>
                <w:sz w:val="17"/>
              </w:rPr>
              <w:t>A mapping torus is a bundle iff |degree|=1.</w:t>
            </w:r>
          </w:p>
        </w:tc>
        <w:tc>
          <w:tcPr>
            <w:tcW w:w="3118" w:type="dxa"/>
            <w:vAlign w:val="center"/>
          </w:tcPr>
          <w:p w14:paraId="2439E673" w14:textId="77777777" w:rsidR="00E56096" w:rsidRDefault="00000000">
            <w:pPr>
              <w:spacing w:after="20" w:line="235" w:lineRule="auto"/>
            </w:pPr>
            <w:r>
              <w:rPr>
                <w:sz w:val="17"/>
              </w:rPr>
              <w:t>Degree ±1 is necessary but not sufficient for a general circle map to be a homeomorphism.</w:t>
            </w:r>
          </w:p>
        </w:tc>
        <w:tc>
          <w:tcPr>
            <w:tcW w:w="2977" w:type="dxa"/>
            <w:vAlign w:val="center"/>
          </w:tcPr>
          <w:p w14:paraId="5C4A7F80" w14:textId="77777777" w:rsidR="00E56096" w:rsidRDefault="00000000">
            <w:pPr>
              <w:spacing w:after="20" w:line="235" w:lineRule="auto"/>
            </w:pPr>
            <w:r>
              <w:rPr>
                <w:sz w:val="17"/>
              </w:rPr>
              <w:t>For the power maps z-&gt;z^d, bundle structure occurs at |d|=1.</w:t>
            </w:r>
          </w:p>
        </w:tc>
        <w:tc>
          <w:tcPr>
            <w:tcW w:w="1526" w:type="dxa"/>
            <w:vAlign w:val="center"/>
          </w:tcPr>
          <w:p w14:paraId="310A3468" w14:textId="77777777" w:rsidR="00E56096" w:rsidRDefault="00000000">
            <w:pPr>
              <w:spacing w:after="20" w:line="235" w:lineRule="auto"/>
            </w:pPr>
            <w:r>
              <w:rPr>
                <w:sz w:val="17"/>
              </w:rPr>
              <w:t>Section 2.2.</w:t>
            </w:r>
          </w:p>
        </w:tc>
      </w:tr>
      <w:tr w:rsidR="00E56096" w14:paraId="465BA2FC" w14:textId="77777777" w:rsidTr="00531553">
        <w:trPr>
          <w:jc w:val="center"/>
        </w:trPr>
        <w:tc>
          <w:tcPr>
            <w:tcW w:w="2127" w:type="dxa"/>
            <w:vAlign w:val="center"/>
          </w:tcPr>
          <w:p w14:paraId="0100DBF5" w14:textId="77777777" w:rsidR="00E56096" w:rsidRDefault="00000000">
            <w:pPr>
              <w:spacing w:after="20" w:line="235" w:lineRule="auto"/>
            </w:pPr>
            <w:r>
              <w:rPr>
                <w:sz w:val="17"/>
              </w:rPr>
              <w:t>H1 nonzero means cannot glue.</w:t>
            </w:r>
          </w:p>
        </w:tc>
        <w:tc>
          <w:tcPr>
            <w:tcW w:w="3118" w:type="dxa"/>
            <w:vAlign w:val="center"/>
          </w:tcPr>
          <w:p w14:paraId="1902F4FD" w14:textId="77777777" w:rsidR="00E56096" w:rsidRDefault="00000000">
            <w:pPr>
              <w:spacing w:after="20" w:line="235" w:lineRule="auto"/>
            </w:pPr>
            <w:r>
              <w:rPr>
                <w:sz w:val="17"/>
              </w:rPr>
              <w:t>The particular obstruction class must be nonzero.</w:t>
            </w:r>
          </w:p>
        </w:tc>
        <w:tc>
          <w:tcPr>
            <w:tcW w:w="2977" w:type="dxa"/>
            <w:vAlign w:val="center"/>
          </w:tcPr>
          <w:p w14:paraId="217D3D1E" w14:textId="77777777" w:rsidR="00E56096" w:rsidRDefault="00000000">
            <w:pPr>
              <w:spacing w:after="20" w:line="235" w:lineRule="auto"/>
            </w:pPr>
            <w:r>
              <w:rPr>
                <w:sz w:val="17"/>
              </w:rPr>
              <w:t>Ambient H1 describes possible topology, not automatic failure of every gluing.</w:t>
            </w:r>
          </w:p>
        </w:tc>
        <w:tc>
          <w:tcPr>
            <w:tcW w:w="1526" w:type="dxa"/>
            <w:vAlign w:val="center"/>
          </w:tcPr>
          <w:p w14:paraId="5C9E7782" w14:textId="77777777" w:rsidR="00E56096" w:rsidRDefault="00000000">
            <w:pPr>
              <w:spacing w:after="20" w:line="235" w:lineRule="auto"/>
            </w:pPr>
            <w:r>
              <w:rPr>
                <w:sz w:val="17"/>
              </w:rPr>
              <w:t>Section 4.1.</w:t>
            </w:r>
          </w:p>
        </w:tc>
      </w:tr>
      <w:tr w:rsidR="00E56096" w14:paraId="600762EF" w14:textId="77777777" w:rsidTr="00531553">
        <w:trPr>
          <w:jc w:val="center"/>
        </w:trPr>
        <w:tc>
          <w:tcPr>
            <w:tcW w:w="2127" w:type="dxa"/>
            <w:vAlign w:val="center"/>
          </w:tcPr>
          <w:p w14:paraId="44887D28" w14:textId="77777777" w:rsidR="00E56096" w:rsidRDefault="00000000">
            <w:pPr>
              <w:spacing w:after="20" w:line="235" w:lineRule="auto"/>
            </w:pPr>
            <w:r>
              <w:rPr>
                <w:sz w:val="17"/>
              </w:rPr>
              <w:t>Boundary winding is the general theorem.</w:t>
            </w:r>
          </w:p>
        </w:tc>
        <w:tc>
          <w:tcPr>
            <w:tcW w:w="3118" w:type="dxa"/>
            <w:vAlign w:val="center"/>
          </w:tcPr>
          <w:p w14:paraId="433638AE" w14:textId="77777777" w:rsidR="00E56096" w:rsidRDefault="00000000">
            <w:pPr>
              <w:spacing w:after="20" w:line="235" w:lineRule="auto"/>
            </w:pPr>
            <w:r>
              <w:rPr>
                <w:sz w:val="17"/>
              </w:rPr>
              <w:t>Brouwer degree is the general theorem; the boundary map is a representation under appropriate hypotheses.</w:t>
            </w:r>
          </w:p>
        </w:tc>
        <w:tc>
          <w:tcPr>
            <w:tcW w:w="2977" w:type="dxa"/>
            <w:vAlign w:val="center"/>
          </w:tcPr>
          <w:p w14:paraId="12293A30" w14:textId="77777777" w:rsidR="00E56096" w:rsidRDefault="00000000">
            <w:pPr>
              <w:spacing w:after="20" w:line="235" w:lineRule="auto"/>
            </w:pPr>
            <w:r>
              <w:rPr>
                <w:sz w:val="17"/>
              </w:rPr>
              <w:t>Winding remains the two-dimensional case.</w:t>
            </w:r>
          </w:p>
        </w:tc>
        <w:tc>
          <w:tcPr>
            <w:tcW w:w="1526" w:type="dxa"/>
            <w:vAlign w:val="center"/>
          </w:tcPr>
          <w:p w14:paraId="52AA0825" w14:textId="77777777" w:rsidR="00E56096" w:rsidRDefault="00000000">
            <w:pPr>
              <w:spacing w:after="20" w:line="235" w:lineRule="auto"/>
            </w:pPr>
            <w:r>
              <w:rPr>
                <w:sz w:val="17"/>
              </w:rPr>
              <w:t>Section 3.1.</w:t>
            </w:r>
          </w:p>
        </w:tc>
      </w:tr>
      <w:tr w:rsidR="00E56096" w14:paraId="2B40E8A0" w14:textId="77777777" w:rsidTr="00531553">
        <w:trPr>
          <w:jc w:val="center"/>
        </w:trPr>
        <w:tc>
          <w:tcPr>
            <w:tcW w:w="2127" w:type="dxa"/>
            <w:vAlign w:val="center"/>
          </w:tcPr>
          <w:p w14:paraId="166B4F75" w14:textId="77777777" w:rsidR="00E56096" w:rsidRDefault="00000000">
            <w:pPr>
              <w:spacing w:after="20" w:line="235" w:lineRule="auto"/>
            </w:pPr>
            <w:r>
              <w:rPr>
                <w:sz w:val="17"/>
              </w:rPr>
              <w:t>A scalar mismatch can certify search.</w:t>
            </w:r>
          </w:p>
        </w:tc>
        <w:tc>
          <w:tcPr>
            <w:tcW w:w="3118" w:type="dxa"/>
            <w:vAlign w:val="center"/>
          </w:tcPr>
          <w:p w14:paraId="2DD3ECCF" w14:textId="77777777" w:rsidR="00E56096" w:rsidRDefault="00000000">
            <w:pPr>
              <w:spacing w:after="20" w:line="235" w:lineRule="auto"/>
            </w:pPr>
            <w:r>
              <w:rPr>
                <w:sz w:val="17"/>
              </w:rPr>
              <w:t>Degree requires a square residual or equivalent rank-m bundle section.</w:t>
            </w:r>
          </w:p>
        </w:tc>
        <w:tc>
          <w:tcPr>
            <w:tcW w:w="2977" w:type="dxa"/>
            <w:vAlign w:val="center"/>
          </w:tcPr>
          <w:p w14:paraId="3630889B" w14:textId="77777777" w:rsidR="00E56096" w:rsidRDefault="00000000">
            <w:pPr>
              <w:spacing w:after="20" w:line="235" w:lineRule="auto"/>
            </w:pPr>
            <w:r>
              <w:rPr>
                <w:sz w:val="17"/>
              </w:rPr>
              <w:t>Scalar error remains useful for ranking and gating, not degree certification.</w:t>
            </w:r>
          </w:p>
        </w:tc>
        <w:tc>
          <w:tcPr>
            <w:tcW w:w="1526" w:type="dxa"/>
            <w:vAlign w:val="center"/>
          </w:tcPr>
          <w:p w14:paraId="7EF5801E" w14:textId="77777777" w:rsidR="00E56096" w:rsidRDefault="00000000">
            <w:pPr>
              <w:spacing w:after="20" w:line="235" w:lineRule="auto"/>
            </w:pPr>
            <w:r>
              <w:rPr>
                <w:sz w:val="17"/>
              </w:rPr>
              <w:t>Section 3.4.</w:t>
            </w:r>
          </w:p>
        </w:tc>
      </w:tr>
      <w:tr w:rsidR="00E56096" w14:paraId="2CE27B4C" w14:textId="77777777" w:rsidTr="00531553">
        <w:trPr>
          <w:jc w:val="center"/>
        </w:trPr>
        <w:tc>
          <w:tcPr>
            <w:tcW w:w="2127" w:type="dxa"/>
            <w:vAlign w:val="center"/>
          </w:tcPr>
          <w:p w14:paraId="742900FD" w14:textId="77777777" w:rsidR="00E56096" w:rsidRDefault="00000000">
            <w:pPr>
              <w:spacing w:after="20" w:line="235" w:lineRule="auto"/>
            </w:pPr>
            <w:r>
              <w:rPr>
                <w:sz w:val="17"/>
              </w:rPr>
              <w:t>Degree zero means empty.</w:t>
            </w:r>
          </w:p>
        </w:tc>
        <w:tc>
          <w:tcPr>
            <w:tcW w:w="3118" w:type="dxa"/>
            <w:vAlign w:val="center"/>
          </w:tcPr>
          <w:p w14:paraId="6417D2F5" w14:textId="77777777" w:rsidR="00E56096" w:rsidRDefault="00000000">
            <w:pPr>
              <w:spacing w:after="20" w:line="235" w:lineRule="auto"/>
            </w:pPr>
            <w:r>
              <w:rPr>
                <w:sz w:val="17"/>
              </w:rPr>
              <w:t>Degree zero is unresolved without independent exclusion.</w:t>
            </w:r>
          </w:p>
        </w:tc>
        <w:tc>
          <w:tcPr>
            <w:tcW w:w="2977" w:type="dxa"/>
            <w:vAlign w:val="center"/>
          </w:tcPr>
          <w:p w14:paraId="0104F453" w14:textId="77777777" w:rsidR="00E56096" w:rsidRDefault="00000000">
            <w:pPr>
              <w:spacing w:after="20" w:line="235" w:lineRule="auto"/>
            </w:pPr>
            <w:r>
              <w:rPr>
                <w:sz w:val="17"/>
              </w:rPr>
              <w:t>Nonzero degree remains a one-sided occupancy certificate.</w:t>
            </w:r>
          </w:p>
        </w:tc>
        <w:tc>
          <w:tcPr>
            <w:tcW w:w="1526" w:type="dxa"/>
            <w:vAlign w:val="center"/>
          </w:tcPr>
          <w:p w14:paraId="361DB62C" w14:textId="77777777" w:rsidR="00E56096" w:rsidRDefault="00000000">
            <w:pPr>
              <w:spacing w:after="20" w:line="235" w:lineRule="auto"/>
            </w:pPr>
            <w:r>
              <w:rPr>
                <w:sz w:val="17"/>
              </w:rPr>
              <w:t>Section 3.3.</w:t>
            </w:r>
          </w:p>
        </w:tc>
      </w:tr>
      <w:tr w:rsidR="00E56096" w14:paraId="19D12A70" w14:textId="77777777" w:rsidTr="00531553">
        <w:trPr>
          <w:jc w:val="center"/>
        </w:trPr>
        <w:tc>
          <w:tcPr>
            <w:tcW w:w="2127" w:type="dxa"/>
            <w:vAlign w:val="center"/>
          </w:tcPr>
          <w:p w14:paraId="07A0D23A" w14:textId="77777777" w:rsidR="00E56096" w:rsidRDefault="00000000">
            <w:pPr>
              <w:spacing w:after="20" w:line="235" w:lineRule="auto"/>
            </w:pPr>
            <w:r>
              <w:rPr>
                <w:sz w:val="17"/>
              </w:rPr>
              <w:t>The global search requirement is invertibility.</w:t>
            </w:r>
          </w:p>
        </w:tc>
        <w:tc>
          <w:tcPr>
            <w:tcW w:w="3118" w:type="dxa"/>
            <w:vAlign w:val="center"/>
          </w:tcPr>
          <w:p w14:paraId="3FADB6B7" w14:textId="77777777" w:rsidR="00E56096" w:rsidRDefault="00000000">
            <w:pPr>
              <w:spacing w:after="20" w:line="235" w:lineRule="auto"/>
            </w:pPr>
            <w:r>
              <w:rPr>
                <w:sz w:val="17"/>
              </w:rPr>
              <w:t>The global requirement is coherent coefficient and orientation transport.</w:t>
            </w:r>
          </w:p>
        </w:tc>
        <w:tc>
          <w:tcPr>
            <w:tcW w:w="2977" w:type="dxa"/>
            <w:vAlign w:val="center"/>
          </w:tcPr>
          <w:p w14:paraId="06475470" w14:textId="77777777" w:rsidR="00E56096" w:rsidRDefault="00000000">
            <w:pPr>
              <w:spacing w:after="20" w:line="235" w:lineRule="auto"/>
            </w:pPr>
            <w:r>
              <w:rPr>
                <w:sz w:val="17"/>
              </w:rPr>
              <w:t>Classical monodromy remains valid in its own regime.</w:t>
            </w:r>
          </w:p>
        </w:tc>
        <w:tc>
          <w:tcPr>
            <w:tcW w:w="1526" w:type="dxa"/>
            <w:vAlign w:val="center"/>
          </w:tcPr>
          <w:p w14:paraId="797F0AE0" w14:textId="77777777" w:rsidR="00E56096" w:rsidRDefault="00000000">
            <w:pPr>
              <w:spacing w:after="20" w:line="235" w:lineRule="auto"/>
            </w:pPr>
            <w:r>
              <w:rPr>
                <w:sz w:val="17"/>
              </w:rPr>
              <w:t>Section 5.</w:t>
            </w:r>
          </w:p>
        </w:tc>
      </w:tr>
      <w:tr w:rsidR="00E56096" w14:paraId="0E6659CF" w14:textId="77777777" w:rsidTr="00531553">
        <w:trPr>
          <w:jc w:val="center"/>
        </w:trPr>
        <w:tc>
          <w:tcPr>
            <w:tcW w:w="2127" w:type="dxa"/>
            <w:vAlign w:val="center"/>
          </w:tcPr>
          <w:p w14:paraId="0855D64B" w14:textId="77777777" w:rsidR="00E56096" w:rsidRDefault="00000000">
            <w:pPr>
              <w:spacing w:after="20" w:line="235" w:lineRule="auto"/>
            </w:pPr>
            <w:r>
              <w:rPr>
                <w:sz w:val="17"/>
              </w:rPr>
              <w:t>The hippocampus is an ordinary covering lift.</w:t>
            </w:r>
          </w:p>
        </w:tc>
        <w:tc>
          <w:tcPr>
            <w:tcW w:w="3118" w:type="dxa"/>
            <w:vAlign w:val="center"/>
          </w:tcPr>
          <w:p w14:paraId="600AB949" w14:textId="77777777" w:rsidR="00E56096" w:rsidRDefault="00000000">
            <w:pPr>
              <w:spacing w:after="20" w:line="235" w:lineRule="auto"/>
            </w:pPr>
            <w:r>
              <w:rPr>
                <w:sz w:val="17"/>
              </w:rPr>
              <w:t>A compressive base may require a finite natural extension rather than a cover.</w:t>
            </w:r>
          </w:p>
        </w:tc>
        <w:tc>
          <w:tcPr>
            <w:tcW w:w="2977" w:type="dxa"/>
            <w:vAlign w:val="center"/>
          </w:tcPr>
          <w:p w14:paraId="16730EA6" w14:textId="77777777" w:rsidR="00E56096" w:rsidRDefault="00000000">
            <w:pPr>
              <w:spacing w:after="20" w:line="235" w:lineRule="auto"/>
            </w:pPr>
            <w:r>
              <w:rPr>
                <w:sz w:val="17"/>
              </w:rPr>
              <w:t>Route-qualified state and provenance remain central.</w:t>
            </w:r>
          </w:p>
        </w:tc>
        <w:tc>
          <w:tcPr>
            <w:tcW w:w="1526" w:type="dxa"/>
            <w:vAlign w:val="center"/>
          </w:tcPr>
          <w:p w14:paraId="5705A3B6" w14:textId="77777777" w:rsidR="00E56096" w:rsidRDefault="00000000">
            <w:pPr>
              <w:spacing w:after="20" w:line="235" w:lineRule="auto"/>
            </w:pPr>
            <w:r>
              <w:rPr>
                <w:sz w:val="17"/>
              </w:rPr>
              <w:t>Sections 7–8.</w:t>
            </w:r>
          </w:p>
        </w:tc>
      </w:tr>
    </w:tbl>
    <w:p w14:paraId="079001C4" w14:textId="77777777" w:rsidR="00330752" w:rsidRDefault="00330752"/>
    <w:sectPr w:rsidR="00330752" w:rsidSect="00034616">
      <w:headerReference w:type="default" r:id="rId58"/>
      <w:footerReference w:type="default" r:id="rId59"/>
      <w:pgSz w:w="11909" w:h="16834"/>
      <w:pgMar w:top="1037" w:right="1037" w:bottom="979"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F5061" w14:textId="77777777" w:rsidR="00330752" w:rsidRDefault="00330752">
      <w:pPr>
        <w:spacing w:after="0" w:line="240" w:lineRule="auto"/>
      </w:pPr>
      <w:r>
        <w:separator/>
      </w:r>
    </w:p>
  </w:endnote>
  <w:endnote w:type="continuationSeparator" w:id="0">
    <w:p w14:paraId="08641B81" w14:textId="77777777" w:rsidR="00330752" w:rsidRDefault="00330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DC7D" w14:textId="77777777" w:rsidR="00E56096" w:rsidRDefault="00000000">
    <w:pPr>
      <w:pStyle w:val="Footer"/>
      <w:jc w:val="center"/>
    </w:pPr>
    <w:r>
      <w:rPr>
        <w:color w:val="646464"/>
        <w:sz w:val="16"/>
      </w:rPr>
      <w:t xml:space="preserve">D. P. Ghosh  |  </w:t>
    </w:r>
    <w:r>
      <w:fldChar w:fldCharType="begin"/>
    </w:r>
    <w:r>
      <w:instrText xml:space="preserve"> PAGE </w:instrText>
    </w:r>
    <w:r w:rsidR="00D011C0">
      <w:fldChar w:fldCharType="separate"/>
    </w:r>
    <w:r w:rsidR="00D011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BE929" w14:textId="77777777" w:rsidR="00330752" w:rsidRDefault="00330752">
      <w:pPr>
        <w:spacing w:after="0" w:line="240" w:lineRule="auto"/>
      </w:pPr>
      <w:r>
        <w:separator/>
      </w:r>
    </w:p>
  </w:footnote>
  <w:footnote w:type="continuationSeparator" w:id="0">
    <w:p w14:paraId="6321048C" w14:textId="77777777" w:rsidR="00330752" w:rsidRDefault="00330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7982" w14:textId="77777777" w:rsidR="00E56096" w:rsidRDefault="00000000">
    <w:pPr>
      <w:pStyle w:val="Header"/>
      <w:jc w:val="center"/>
    </w:pPr>
    <w:r>
      <w:rPr>
        <w:color w:val="646464"/>
        <w:sz w:val="15"/>
      </w:rPr>
      <w:t>REGIONAL DEGREE AND THE NATURAL EXTENSION OF CORTICAL 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064993">
    <w:abstractNumId w:val="8"/>
  </w:num>
  <w:num w:numId="2" w16cid:durableId="1450205459">
    <w:abstractNumId w:val="6"/>
  </w:num>
  <w:num w:numId="3" w16cid:durableId="384522560">
    <w:abstractNumId w:val="5"/>
  </w:num>
  <w:num w:numId="4" w16cid:durableId="2091342444">
    <w:abstractNumId w:val="4"/>
  </w:num>
  <w:num w:numId="5" w16cid:durableId="114251992">
    <w:abstractNumId w:val="7"/>
  </w:num>
  <w:num w:numId="6" w16cid:durableId="17902275">
    <w:abstractNumId w:val="3"/>
  </w:num>
  <w:num w:numId="7" w16cid:durableId="660961921">
    <w:abstractNumId w:val="2"/>
  </w:num>
  <w:num w:numId="8" w16cid:durableId="181743316">
    <w:abstractNumId w:val="1"/>
  </w:num>
  <w:num w:numId="9" w16cid:durableId="160583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752"/>
    <w:rsid w:val="003848BF"/>
    <w:rsid w:val="00531553"/>
    <w:rsid w:val="0074174F"/>
    <w:rsid w:val="00AA1D8D"/>
    <w:rsid w:val="00B47730"/>
    <w:rsid w:val="00CB0664"/>
    <w:rsid w:val="00D011C0"/>
    <w:rsid w:val="00D82612"/>
    <w:rsid w:val="00E56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767B"/>
  <w14:defaultImageDpi w14:val="300"/>
  <w15:docId w15:val="{2ED4E5ED-CE6D-4C34-8D8B-B289E309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Cambria" w:hAnsi="Cambria"/>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54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00"/>
    </w:pPr>
    <w:rPr>
      <w:rFonts w:ascii="Cambria Math" w:hAnsi="Cambria Math"/>
    </w:rPr>
  </w:style>
  <w:style w:type="paragraph" w:customStyle="1" w:styleId="Reference">
    <w:name w:val="Reference"/>
    <w:pPr>
      <w:spacing w:after="60" w:line="240" w:lineRule="auto"/>
    </w:pPr>
    <w:rPr>
      <w:rFonts w:ascii="Cambria" w:hAnsi="Cambria"/>
      <w:sz w:val="18"/>
    </w:rPr>
  </w:style>
  <w:style w:type="character" w:styleId="Hyperlink">
    <w:name w:val="Hyperlink"/>
    <w:basedOn w:val="DefaultParagraphFont"/>
    <w:uiPriority w:val="99"/>
    <w:unhideWhenUsed/>
    <w:rsid w:val="00D011C0"/>
    <w:rPr>
      <w:color w:val="0000FF" w:themeColor="hyperlink"/>
      <w:u w:val="single"/>
    </w:rPr>
  </w:style>
  <w:style w:type="character" w:styleId="UnresolvedMention">
    <w:name w:val="Unresolved Mention"/>
    <w:basedOn w:val="DefaultParagraphFont"/>
    <w:uiPriority w:val="99"/>
    <w:semiHidden/>
    <w:unhideWhenUsed/>
    <w:rsid w:val="00D01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140/RG.2.2.32223.01445" TargetMode="External"/><Relationship Id="rId18" Type="http://schemas.openxmlformats.org/officeDocument/2006/relationships/hyperlink" Target="https://doi.org/10.13140/RG.2.2.18717.68323" TargetMode="External"/><Relationship Id="rId26" Type="http://schemas.openxmlformats.org/officeDocument/2006/relationships/hyperlink" Target="https://doi.org/10.13140/RG.2.2.20183.23205" TargetMode="External"/><Relationship Id="rId39" Type="http://schemas.openxmlformats.org/officeDocument/2006/relationships/hyperlink" Target="https://doi.org/10.13140/RG.2.2.26537.76640" TargetMode="External"/><Relationship Id="rId21" Type="http://schemas.openxmlformats.org/officeDocument/2006/relationships/hyperlink" Target="https://doi.org/10.13140/RG.2.2.22726.02889" TargetMode="External"/><Relationship Id="rId34" Type="http://schemas.openxmlformats.org/officeDocument/2006/relationships/hyperlink" Target="https://doi.org/10.13140/RG.2.2.20333.96488" TargetMode="External"/><Relationship Id="rId42" Type="http://schemas.openxmlformats.org/officeDocument/2006/relationships/hyperlink" Target="https://doi.org/10.13140/RG.2.2.26647.53922" TargetMode="External"/><Relationship Id="rId47" Type="http://schemas.openxmlformats.org/officeDocument/2006/relationships/hyperlink" Target="https://doi.org/10.13140/RG.2.2.30410.94401" TargetMode="External"/><Relationship Id="rId50" Type="http://schemas.openxmlformats.org/officeDocument/2006/relationships/hyperlink" Target="https://doi.org/10.1007/978-3-662-00547-7" TargetMode="External"/><Relationship Id="rId55" Type="http://schemas.openxmlformats.org/officeDocument/2006/relationships/hyperlink" Target="https://doi.org/10.1038/s41593-025-02054-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140/RG.2.2.27121.03686" TargetMode="External"/><Relationship Id="rId29" Type="http://schemas.openxmlformats.org/officeDocument/2006/relationships/hyperlink" Target="https://doi.org/10.13140/RG.2.2.31186.72648" TargetMode="External"/><Relationship Id="rId11" Type="http://schemas.openxmlformats.org/officeDocument/2006/relationships/hyperlink" Target="https://doi.org/10.13140/RG.2.2.34490.56005" TargetMode="External"/><Relationship Id="rId24" Type="http://schemas.openxmlformats.org/officeDocument/2006/relationships/hyperlink" Target="https://doi.org/10.13140/RG.2.2.20767.32162" TargetMode="External"/><Relationship Id="rId32" Type="http://schemas.openxmlformats.org/officeDocument/2006/relationships/hyperlink" Target="https://doi.org/10.13140/RG.2.2.23446.92484" TargetMode="External"/><Relationship Id="rId37" Type="http://schemas.openxmlformats.org/officeDocument/2006/relationships/hyperlink" Target="https://doi.org/10.13140/RG.2.2.18367.88483" TargetMode="External"/><Relationship Id="rId40" Type="http://schemas.openxmlformats.org/officeDocument/2006/relationships/hyperlink" Target="https://doi.org/10.13140/RG.2.2.36324.74881" TargetMode="External"/><Relationship Id="rId45" Type="http://schemas.openxmlformats.org/officeDocument/2006/relationships/hyperlink" Target="https://doi.org/10.13140/RG.2.2.26314.94403" TargetMode="External"/><Relationship Id="rId53" Type="http://schemas.openxmlformats.org/officeDocument/2006/relationships/hyperlink" Target="https://doi.org/10.1038/s41467-020-16226-4"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13140/RG.2.2.31337.45929" TargetMode="External"/><Relationship Id="rId14" Type="http://schemas.openxmlformats.org/officeDocument/2006/relationships/hyperlink" Target="https://doi.org/10.13140/RG.2.2.17097.30568" TargetMode="External"/><Relationship Id="rId22" Type="http://schemas.openxmlformats.org/officeDocument/2006/relationships/hyperlink" Target="https://doi.org/10.13140/RG.2.2.34889.51044" TargetMode="External"/><Relationship Id="rId27" Type="http://schemas.openxmlformats.org/officeDocument/2006/relationships/hyperlink" Target="https://doi.org/10.13140/RG.2.2.14232.56328" TargetMode="External"/><Relationship Id="rId30" Type="http://schemas.openxmlformats.org/officeDocument/2006/relationships/hyperlink" Target="https://doi.org/10.13140/RG.2.2.14219.45604" TargetMode="External"/><Relationship Id="rId35" Type="http://schemas.openxmlformats.org/officeDocument/2006/relationships/hyperlink" Target="https://doi.org/10.13140/RG.2.2.16306.77763" TargetMode="External"/><Relationship Id="rId43" Type="http://schemas.openxmlformats.org/officeDocument/2006/relationships/hyperlink" Target="https://doi.org/10.13140/RG.2.2.28768.44809" TargetMode="External"/><Relationship Id="rId48" Type="http://schemas.openxmlformats.org/officeDocument/2006/relationships/hyperlink" Target="https://doi.org/10.13140/RG.2.2.27750.18240" TargetMode="External"/><Relationship Id="rId56" Type="http://schemas.openxmlformats.org/officeDocument/2006/relationships/hyperlink" Target="https://doi.org/10.1002/(SICI)1098-1063(1996)6:2%3c149::AID-HIPO6%3e3.0.CO;2-K" TargetMode="External"/><Relationship Id="rId8" Type="http://schemas.openxmlformats.org/officeDocument/2006/relationships/hyperlink" Target="mailto:debiprasadghosh@gmail.com" TargetMode="External"/><Relationship Id="rId51" Type="http://schemas.openxmlformats.org/officeDocument/2006/relationships/hyperlink" Target="https://doi.org/10.1007/978-3-030-63230-4" TargetMode="External"/><Relationship Id="rId3" Type="http://schemas.openxmlformats.org/officeDocument/2006/relationships/styles" Target="styles.xml"/><Relationship Id="rId12" Type="http://schemas.openxmlformats.org/officeDocument/2006/relationships/hyperlink" Target="https://doi.org/10.13140/RG.2.2.25512.12800" TargetMode="External"/><Relationship Id="rId17" Type="http://schemas.openxmlformats.org/officeDocument/2006/relationships/hyperlink" Target="https://doi.org/10.13140/RG.2.2.16900.69762" TargetMode="External"/><Relationship Id="rId25" Type="http://schemas.openxmlformats.org/officeDocument/2006/relationships/hyperlink" Target="https://doi.org/10.13140/RG.2.2.20272.52484" TargetMode="External"/><Relationship Id="rId33" Type="http://schemas.openxmlformats.org/officeDocument/2006/relationships/hyperlink" Target="https://doi.org/10.13140/RG.2.2.19848.99846" TargetMode="External"/><Relationship Id="rId38" Type="http://schemas.openxmlformats.org/officeDocument/2006/relationships/hyperlink" Target="https://doi.org/10.13140/RG.2.2.30751.73127" TargetMode="External"/><Relationship Id="rId46" Type="http://schemas.openxmlformats.org/officeDocument/2006/relationships/hyperlink" Target="https://doi.org/10.13140/RG.2.2.18876.60802" TargetMode="External"/><Relationship Id="rId59" Type="http://schemas.openxmlformats.org/officeDocument/2006/relationships/footer" Target="footer1.xml"/><Relationship Id="rId20" Type="http://schemas.openxmlformats.org/officeDocument/2006/relationships/hyperlink" Target="https://doi.org/10.13140/RG.2.2.27630.57925" TargetMode="External"/><Relationship Id="rId41" Type="http://schemas.openxmlformats.org/officeDocument/2006/relationships/hyperlink" Target="https://doi.org/10.13140/RG.2.2.36117.49122" TargetMode="External"/><Relationship Id="rId54" Type="http://schemas.openxmlformats.org/officeDocument/2006/relationships/hyperlink" Target="https://doi.org/10.1090/S0002-9947-1965-017323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140/RG.2.2.29457.39520" TargetMode="External"/><Relationship Id="rId23" Type="http://schemas.openxmlformats.org/officeDocument/2006/relationships/hyperlink" Target="https://doi.org/10.13140/RG.2.2.33677.91361" TargetMode="External"/><Relationship Id="rId28" Type="http://schemas.openxmlformats.org/officeDocument/2006/relationships/hyperlink" Target="https://doi.org/10.13140/RG.2.2.24318.55369" TargetMode="External"/><Relationship Id="rId36" Type="http://schemas.openxmlformats.org/officeDocument/2006/relationships/hyperlink" Target="https://doi.org/10.13140/RG.2.2.11096.66566" TargetMode="External"/><Relationship Id="rId49" Type="http://schemas.openxmlformats.org/officeDocument/2006/relationships/hyperlink" Target="https://doi.org/10.13140/RG.2.2.21729.88162" TargetMode="External"/><Relationship Id="rId57" Type="http://schemas.openxmlformats.org/officeDocument/2006/relationships/hyperlink" Target="https://doi.org/10.1016/j.tins.2011.06.006" TargetMode="External"/><Relationship Id="rId10" Type="http://schemas.openxmlformats.org/officeDocument/2006/relationships/image" Target="media/image1.png"/><Relationship Id="rId31" Type="http://schemas.openxmlformats.org/officeDocument/2006/relationships/hyperlink" Target="https://doi.org/10.13140/RG.2.2.24454.54080" TargetMode="External"/><Relationship Id="rId44" Type="http://schemas.openxmlformats.org/officeDocument/2006/relationships/hyperlink" Target="https://doi.org/10.13140/RG.2.2.21950.24643" TargetMode="External"/><Relationship Id="rId52" Type="http://schemas.openxmlformats.org/officeDocument/2006/relationships/hyperlink" Target="https://doi.org/10.1038/s41586-021-04268-7"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3140/RG.2.2.30519.69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7040</Words>
  <Characters>40130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Degree and the Natural Extension of Cortical Search</dc:title>
  <dc:subject>Certified non-emptiness, false zeros, and hippocampal provenance</dc:subject>
  <dc:creator>D. P. Ghosh</dc:creator>
  <cp:keywords>Brouwer degree, hippocampus, entorhinal cortex, false zero, natural extension, defensible intelligence</cp:keywords>
  <dc:description>Conceptual concluding note; generated as a formatted manuscript.</dc:description>
  <cp:lastModifiedBy>Debiprasad Ghosh</cp:lastModifiedBy>
  <cp:revision>5</cp:revision>
  <cp:lastPrinted>2026-07-28T15:50:00Z</cp:lastPrinted>
  <dcterms:created xsi:type="dcterms:W3CDTF">2013-12-23T23:15:00Z</dcterms:created>
  <dcterms:modified xsi:type="dcterms:W3CDTF">2026-07-28T15:59:00Z</dcterms:modified>
  <cp:category/>
</cp:coreProperties>
</file>