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C6FE" w14:textId="77777777" w:rsidR="0096106B" w:rsidRDefault="0096106B" w:rsidP="0096106B">
      <w:pPr>
        <w:pStyle w:val="Heading1"/>
        <w:jc w:val="center"/>
        <w:rPr>
          <w:sz w:val="132"/>
          <w:szCs w:val="132"/>
        </w:rPr>
      </w:pPr>
    </w:p>
    <w:p w14:paraId="5FACE5AE" w14:textId="77777777" w:rsidR="0096106B" w:rsidRPr="0096106B" w:rsidRDefault="0096106B" w:rsidP="0096106B">
      <w:pPr>
        <w:pStyle w:val="BodyText"/>
      </w:pPr>
    </w:p>
    <w:p w14:paraId="5E3A9769" w14:textId="7785CA17" w:rsidR="0096106B" w:rsidRPr="0096106B" w:rsidRDefault="0096106B" w:rsidP="0096106B">
      <w:pPr>
        <w:pStyle w:val="Heading1"/>
        <w:jc w:val="center"/>
        <w:rPr>
          <w:sz w:val="132"/>
          <w:szCs w:val="132"/>
        </w:rPr>
      </w:pPr>
      <w:bookmarkStart w:id="0" w:name="_Toc234703285"/>
      <w:r w:rsidRPr="0096106B">
        <w:rPr>
          <w:sz w:val="132"/>
          <w:szCs w:val="132"/>
        </w:rPr>
        <w:t>The Paired Mind</w:t>
      </w:r>
      <w:bookmarkEnd w:id="0"/>
    </w:p>
    <w:p w14:paraId="08CF7CAD" w14:textId="77777777" w:rsidR="0096106B" w:rsidRPr="0096106B" w:rsidRDefault="0096106B" w:rsidP="0096106B">
      <w:pPr>
        <w:pStyle w:val="Heading2"/>
        <w:jc w:val="center"/>
        <w:rPr>
          <w:sz w:val="44"/>
          <w:szCs w:val="44"/>
        </w:rPr>
      </w:pPr>
      <w:bookmarkStart w:id="1" w:name="_Toc234703286"/>
      <w:r w:rsidRPr="0096106B">
        <w:rPr>
          <w:sz w:val="44"/>
          <w:szCs w:val="44"/>
        </w:rPr>
        <w:t>Nine Programmes Where a Neural Hypothesis and Its Executable Surrogate Make Each Other Testable</w:t>
      </w:r>
      <w:bookmarkEnd w:id="1"/>
    </w:p>
    <w:p w14:paraId="624DBB0F" w14:textId="77777777" w:rsidR="0096106B" w:rsidRDefault="0096106B" w:rsidP="0096106B">
      <w:pPr>
        <w:pStyle w:val="FirstParagraph"/>
        <w:jc w:val="both"/>
        <w:rPr>
          <w:b/>
          <w:bCs/>
        </w:rPr>
      </w:pPr>
    </w:p>
    <w:p w14:paraId="4BFDF949" w14:textId="77777777" w:rsidR="0096106B" w:rsidRDefault="0096106B" w:rsidP="0096106B">
      <w:pPr>
        <w:pStyle w:val="BodyText"/>
      </w:pPr>
    </w:p>
    <w:p w14:paraId="6D79D846" w14:textId="77777777" w:rsidR="0096106B" w:rsidRPr="0096106B" w:rsidRDefault="0096106B" w:rsidP="0096106B">
      <w:pPr>
        <w:pStyle w:val="BodyText"/>
      </w:pPr>
    </w:p>
    <w:p w14:paraId="34ED145A" w14:textId="77777777" w:rsidR="0096106B" w:rsidRDefault="0096106B" w:rsidP="0096106B">
      <w:pPr>
        <w:pStyle w:val="FirstParagraph"/>
        <w:jc w:val="both"/>
        <w:rPr>
          <w:b/>
          <w:bCs/>
        </w:rPr>
      </w:pPr>
    </w:p>
    <w:p w14:paraId="5F3CA17B" w14:textId="5EBE3B97" w:rsidR="0096106B" w:rsidRDefault="0096106B" w:rsidP="0096106B">
      <w:pPr>
        <w:pStyle w:val="FirstParagraph"/>
        <w:jc w:val="center"/>
        <w:rPr>
          <w:b/>
          <w:bCs/>
        </w:rPr>
      </w:pPr>
      <w:r>
        <w:rPr>
          <w:b/>
          <w:bCs/>
        </w:rPr>
        <w:t>D. P. Ghosh</w:t>
      </w:r>
    </w:p>
    <w:p w14:paraId="7B8171AB" w14:textId="549FDD1C" w:rsidR="0096106B" w:rsidRDefault="007A3A9E" w:rsidP="007A3A9E">
      <w:pPr>
        <w:pStyle w:val="BodyText"/>
        <w:jc w:val="center"/>
      </w:pPr>
      <w:hyperlink r:id="rId8" w:history="1">
        <w:r w:rsidRPr="008A5989">
          <w:rPr>
            <w:rStyle w:val="Hyperlink"/>
          </w:rPr>
          <w:t>https://doi.org/10.13140/RG.2.2.26537.76640</w:t>
        </w:r>
      </w:hyperlink>
    </w:p>
    <w:p w14:paraId="0B2CA3B2" w14:textId="77777777" w:rsidR="0096106B" w:rsidRDefault="0096106B" w:rsidP="0096106B">
      <w:pPr>
        <w:pStyle w:val="BodyText"/>
      </w:pPr>
    </w:p>
    <w:p w14:paraId="2ABD9253" w14:textId="77777777" w:rsidR="0096106B" w:rsidRPr="0096106B" w:rsidRDefault="0096106B" w:rsidP="0096106B">
      <w:pPr>
        <w:pStyle w:val="BodyText"/>
      </w:pPr>
    </w:p>
    <w:p w14:paraId="46C467E4" w14:textId="77777777" w:rsidR="0096106B" w:rsidRDefault="0096106B" w:rsidP="0096106B">
      <w:pPr>
        <w:pStyle w:val="FirstParagraph"/>
        <w:jc w:val="both"/>
        <w:rPr>
          <w:b/>
          <w:bCs/>
        </w:rPr>
      </w:pPr>
    </w:p>
    <w:p w14:paraId="1AEEB10C" w14:textId="340BE106" w:rsidR="0096106B" w:rsidRDefault="0096106B" w:rsidP="0096106B">
      <w:pPr>
        <w:pStyle w:val="FirstParagraph"/>
        <w:jc w:val="both"/>
      </w:pPr>
      <w:r>
        <w:rPr>
          <w:b/>
          <w:bCs/>
        </w:rPr>
        <w:t>Defensible Intelligence Series</w:t>
      </w:r>
    </w:p>
    <w:p w14:paraId="7DFFED2B" w14:textId="45A34F92" w:rsidR="0096106B" w:rsidRDefault="0096106B" w:rsidP="0096106B">
      <w:pPr>
        <w:pStyle w:val="BodyText"/>
        <w:jc w:val="both"/>
      </w:pPr>
      <w:r>
        <w:rPr>
          <w:i/>
          <w:iCs/>
        </w:rPr>
        <w:t>A research structure pairing</w:t>
      </w:r>
      <w:r>
        <w:t xml:space="preserve"> The Defensible Brain </w:t>
      </w:r>
      <w:r>
        <w:rPr>
          <w:i/>
          <w:iCs/>
        </w:rPr>
        <w:t>(the direct axis, mathematics → neuroscience) with</w:t>
      </w:r>
      <w:r>
        <w:t xml:space="preserve"> The Defensible Machine </w:t>
      </w:r>
      <w:r>
        <w:rPr>
          <w:i/>
          <w:iCs/>
        </w:rPr>
        <w:t>(the indirect axis, mathematics → AI → neuroscience).</w:t>
      </w:r>
    </w:p>
    <w:p w14:paraId="39821C79" w14:textId="77777777" w:rsidR="001D0DD2" w:rsidRDefault="001D0DD2">
      <w:r>
        <w:br w:type="page"/>
      </w:r>
    </w:p>
    <w:p w14:paraId="1D70F0E4" w14:textId="77777777" w:rsidR="001D0DD2" w:rsidRPr="001D0DD2" w:rsidRDefault="001D0DD2" w:rsidP="001D0DD2">
      <w:pPr>
        <w:jc w:val="both"/>
        <w:rPr>
          <w:sz w:val="28"/>
          <w:szCs w:val="28"/>
          <w:lang w:val="en-IN"/>
        </w:rPr>
      </w:pPr>
      <w:r w:rsidRPr="001D0DD2">
        <w:rPr>
          <w:i/>
          <w:iCs/>
          <w:sz w:val="28"/>
          <w:szCs w:val="28"/>
          <w:lang w:val="en-IN"/>
        </w:rPr>
        <w:lastRenderedPageBreak/>
        <w:t>The Paired Mind</w:t>
      </w:r>
      <w:r w:rsidRPr="001D0DD2">
        <w:rPr>
          <w:sz w:val="28"/>
          <w:szCs w:val="28"/>
          <w:lang w:val="en-IN"/>
        </w:rPr>
        <w:t xml:space="preserve"> presents a research structure for making theories of reasoning testable by building every major claim twice. Each of its nine programmes pairs a direct-axis neural hypothesis, moving from mathematics to neuroscience, with an indirect-axis executable surrogate, moving from mathematics through artificial intelligence back to neuroscience. The book’s central Paired Principle insists that the two members are not identical and not literally homotopic. They form one programme only when a structure-preserving translation retains five invariants: semantic identity, causal direction, refusal conditions, measurable predictions, and falsifiers. </w:t>
      </w:r>
    </w:p>
    <w:p w14:paraId="10D61367" w14:textId="77777777" w:rsidR="001D0DD2" w:rsidRPr="001D0DD2" w:rsidRDefault="001D0DD2" w:rsidP="001D0DD2">
      <w:pPr>
        <w:jc w:val="both"/>
        <w:rPr>
          <w:sz w:val="28"/>
          <w:szCs w:val="28"/>
          <w:lang w:val="en-IN"/>
        </w:rPr>
      </w:pPr>
      <w:r w:rsidRPr="001D0DD2">
        <w:rPr>
          <w:sz w:val="28"/>
          <w:szCs w:val="28"/>
          <w:lang w:val="en-IN"/>
        </w:rPr>
        <w:t>The nine programmes trace a complete architecture of defensible reasoning. The Reasoning Complex represents thought as directed states, transitions, and higher-order equivalence witnesses. Strategy Families distinguish genuine methods from superficial variations. The History-Indexed State preserves how a conclusion was reached, not merely the conclusion itself. The Joint Witness separates real multi-way agreement from pairwise plausibility. The Audit carries high-level proposals back to local evidence and distinguishes seam disagreement, higher-order inconsistency, and persistent obstruction. The Release Gate separates knowing from permission to act. Persistent Reasoning tests whether meaningful structure survives paraphrase, noise, tool changes, and evidence revision while still responding correctly to consequential change. Seeking the Seam directs attention and experimentation toward the precise interface where unresolved incompatibility lives. Offline Repair interprets sleep and consolidation as selective restructuring: merging equivalent routes, separating falsely combined states, preserving lawful cycles, and retaining unresolved debts.</w:t>
      </w:r>
    </w:p>
    <w:p w14:paraId="7FB30F36" w14:textId="77777777" w:rsidR="001D0DD2" w:rsidRPr="001D0DD2" w:rsidRDefault="001D0DD2" w:rsidP="001D0DD2">
      <w:pPr>
        <w:jc w:val="both"/>
        <w:rPr>
          <w:sz w:val="28"/>
          <w:szCs w:val="28"/>
          <w:lang w:val="en-IN"/>
        </w:rPr>
      </w:pPr>
      <w:r w:rsidRPr="001D0DD2">
        <w:rPr>
          <w:sz w:val="28"/>
          <w:szCs w:val="28"/>
          <w:lang w:val="en-IN"/>
        </w:rPr>
        <w:t>Two commitments unify the book. First, defensible intelligence must preserve structure rather than collapse reasoning into scalar reward, uncertainty, or prediction error. Second, the machinery reaches a signature horizon: it may audit, refuse, repair, and determine signability, but it does not assume responsibility. The book therefore offers not a finished theory of mind, but nine paired, falsifiable research programmes designed so neuroscience and executable AI can discipline each other without being confused.</w:t>
      </w:r>
    </w:p>
    <w:p w14:paraId="24F357C8" w14:textId="77777777" w:rsidR="001D0DD2" w:rsidRDefault="001D0DD2"/>
    <w:p w14:paraId="57E71BC6" w14:textId="4F8B100B" w:rsidR="008E03D1" w:rsidRDefault="008E03D1">
      <w:r>
        <w:br w:type="page"/>
      </w:r>
    </w:p>
    <w:p w14:paraId="1A9A101B" w14:textId="77777777" w:rsidR="0096106B" w:rsidRDefault="0096106B"/>
    <w:sdt>
      <w:sdtPr>
        <w:rPr>
          <w:rFonts w:asciiTheme="minorHAnsi" w:eastAsiaTheme="minorHAnsi" w:hAnsiTheme="minorHAnsi" w:cstheme="minorBidi"/>
          <w:color w:val="auto"/>
          <w:sz w:val="24"/>
          <w:szCs w:val="24"/>
        </w:rPr>
        <w:id w:val="-245657526"/>
        <w:docPartObj>
          <w:docPartGallery w:val="Table of Contents"/>
          <w:docPartUnique/>
        </w:docPartObj>
      </w:sdtPr>
      <w:sdtContent>
        <w:p w14:paraId="48730BC0" w14:textId="78C27A9F" w:rsidR="000F1A9F" w:rsidRDefault="00000000" w:rsidP="008E03D1">
          <w:pPr>
            <w:pStyle w:val="TOCHeading"/>
            <w:jc w:val="both"/>
          </w:pPr>
          <w:r>
            <w:t>Table of Contents</w:t>
          </w:r>
        </w:p>
        <w:p w14:paraId="569B6240" w14:textId="3093E74E" w:rsidR="00316F64" w:rsidRDefault="00000000">
          <w:pPr>
            <w:pStyle w:val="TOC1"/>
            <w:tabs>
              <w:tab w:val="right" w:leader="dot" w:pos="9350"/>
            </w:tabs>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4703285" w:history="1">
            <w:r w:rsidR="00316F64" w:rsidRPr="004C05B0">
              <w:rPr>
                <w:rStyle w:val="Hyperlink"/>
                <w:noProof/>
              </w:rPr>
              <w:t>The Paired Mind</w:t>
            </w:r>
            <w:r w:rsidR="00316F64">
              <w:rPr>
                <w:noProof/>
                <w:webHidden/>
              </w:rPr>
              <w:tab/>
            </w:r>
            <w:r w:rsidR="00316F64">
              <w:rPr>
                <w:noProof/>
                <w:webHidden/>
              </w:rPr>
              <w:fldChar w:fldCharType="begin"/>
            </w:r>
            <w:r w:rsidR="00316F64">
              <w:rPr>
                <w:noProof/>
                <w:webHidden/>
              </w:rPr>
              <w:instrText xml:space="preserve"> PAGEREF _Toc234703285 \h </w:instrText>
            </w:r>
            <w:r w:rsidR="00316F64">
              <w:rPr>
                <w:noProof/>
                <w:webHidden/>
              </w:rPr>
            </w:r>
            <w:r w:rsidR="00316F64">
              <w:rPr>
                <w:noProof/>
                <w:webHidden/>
              </w:rPr>
              <w:fldChar w:fldCharType="separate"/>
            </w:r>
            <w:r w:rsidR="00316F64">
              <w:rPr>
                <w:noProof/>
                <w:webHidden/>
              </w:rPr>
              <w:t>1</w:t>
            </w:r>
            <w:r w:rsidR="00316F64">
              <w:rPr>
                <w:noProof/>
                <w:webHidden/>
              </w:rPr>
              <w:fldChar w:fldCharType="end"/>
            </w:r>
          </w:hyperlink>
        </w:p>
        <w:p w14:paraId="2215204C" w14:textId="41C9C333"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86" w:history="1">
            <w:r w:rsidRPr="004C05B0">
              <w:rPr>
                <w:rStyle w:val="Hyperlink"/>
                <w:noProof/>
              </w:rPr>
              <w:t>Nine Programmes Where a Neural Hypothesis and Its Executable Surrogate Make Each Other Testable</w:t>
            </w:r>
            <w:r>
              <w:rPr>
                <w:noProof/>
                <w:webHidden/>
              </w:rPr>
              <w:tab/>
            </w:r>
            <w:r>
              <w:rPr>
                <w:noProof/>
                <w:webHidden/>
              </w:rPr>
              <w:fldChar w:fldCharType="begin"/>
            </w:r>
            <w:r>
              <w:rPr>
                <w:noProof/>
                <w:webHidden/>
              </w:rPr>
              <w:instrText xml:space="preserve"> PAGEREF _Toc234703286 \h </w:instrText>
            </w:r>
            <w:r>
              <w:rPr>
                <w:noProof/>
                <w:webHidden/>
              </w:rPr>
            </w:r>
            <w:r>
              <w:rPr>
                <w:noProof/>
                <w:webHidden/>
              </w:rPr>
              <w:fldChar w:fldCharType="separate"/>
            </w:r>
            <w:r>
              <w:rPr>
                <w:noProof/>
                <w:webHidden/>
              </w:rPr>
              <w:t>1</w:t>
            </w:r>
            <w:r>
              <w:rPr>
                <w:noProof/>
                <w:webHidden/>
              </w:rPr>
              <w:fldChar w:fldCharType="end"/>
            </w:r>
          </w:hyperlink>
        </w:p>
        <w:p w14:paraId="1F84BE6E" w14:textId="13B91ECF"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87" w:history="1">
            <w:r w:rsidRPr="004C05B0">
              <w:rPr>
                <w:rStyle w:val="Hyperlink"/>
                <w:noProof/>
              </w:rPr>
              <w:t>Preface — The Two Instruments</w:t>
            </w:r>
            <w:r>
              <w:rPr>
                <w:noProof/>
                <w:webHidden/>
              </w:rPr>
              <w:tab/>
            </w:r>
            <w:r>
              <w:rPr>
                <w:noProof/>
                <w:webHidden/>
              </w:rPr>
              <w:fldChar w:fldCharType="begin"/>
            </w:r>
            <w:r>
              <w:rPr>
                <w:noProof/>
                <w:webHidden/>
              </w:rPr>
              <w:instrText xml:space="preserve"> PAGEREF _Toc234703287 \h </w:instrText>
            </w:r>
            <w:r>
              <w:rPr>
                <w:noProof/>
                <w:webHidden/>
              </w:rPr>
            </w:r>
            <w:r>
              <w:rPr>
                <w:noProof/>
                <w:webHidden/>
              </w:rPr>
              <w:fldChar w:fldCharType="separate"/>
            </w:r>
            <w:r>
              <w:rPr>
                <w:noProof/>
                <w:webHidden/>
              </w:rPr>
              <w:t>4</w:t>
            </w:r>
            <w:r>
              <w:rPr>
                <w:noProof/>
                <w:webHidden/>
              </w:rPr>
              <w:fldChar w:fldCharType="end"/>
            </w:r>
          </w:hyperlink>
        </w:p>
        <w:p w14:paraId="428A4BFE" w14:textId="024713F8"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88" w:history="1">
            <w:r w:rsidRPr="004C05B0">
              <w:rPr>
                <w:rStyle w:val="Hyperlink"/>
                <w:noProof/>
              </w:rPr>
              <w:t>Introduction — The Two Axes and the Paired Principle</w:t>
            </w:r>
            <w:r>
              <w:rPr>
                <w:noProof/>
                <w:webHidden/>
              </w:rPr>
              <w:tab/>
            </w:r>
            <w:r>
              <w:rPr>
                <w:noProof/>
                <w:webHidden/>
              </w:rPr>
              <w:fldChar w:fldCharType="begin"/>
            </w:r>
            <w:r>
              <w:rPr>
                <w:noProof/>
                <w:webHidden/>
              </w:rPr>
              <w:instrText xml:space="preserve"> PAGEREF _Toc234703288 \h </w:instrText>
            </w:r>
            <w:r>
              <w:rPr>
                <w:noProof/>
                <w:webHidden/>
              </w:rPr>
            </w:r>
            <w:r>
              <w:rPr>
                <w:noProof/>
                <w:webHidden/>
              </w:rPr>
              <w:fldChar w:fldCharType="separate"/>
            </w:r>
            <w:r>
              <w:rPr>
                <w:noProof/>
                <w:webHidden/>
              </w:rPr>
              <w:t>4</w:t>
            </w:r>
            <w:r>
              <w:rPr>
                <w:noProof/>
                <w:webHidden/>
              </w:rPr>
              <w:fldChar w:fldCharType="end"/>
            </w:r>
          </w:hyperlink>
        </w:p>
        <w:p w14:paraId="4E92146F" w14:textId="544196EF"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89" w:history="1">
            <w:r w:rsidRPr="004C05B0">
              <w:rPr>
                <w:rStyle w:val="Hyperlink"/>
                <w:noProof/>
              </w:rPr>
              <w:t>1. The Reasoning Complex</w:t>
            </w:r>
            <w:r>
              <w:rPr>
                <w:noProof/>
                <w:webHidden/>
              </w:rPr>
              <w:tab/>
            </w:r>
            <w:r>
              <w:rPr>
                <w:noProof/>
                <w:webHidden/>
              </w:rPr>
              <w:fldChar w:fldCharType="begin"/>
            </w:r>
            <w:r>
              <w:rPr>
                <w:noProof/>
                <w:webHidden/>
              </w:rPr>
              <w:instrText xml:space="preserve"> PAGEREF _Toc234703289 \h </w:instrText>
            </w:r>
            <w:r>
              <w:rPr>
                <w:noProof/>
                <w:webHidden/>
              </w:rPr>
            </w:r>
            <w:r>
              <w:rPr>
                <w:noProof/>
                <w:webHidden/>
              </w:rPr>
              <w:fldChar w:fldCharType="separate"/>
            </w:r>
            <w:r>
              <w:rPr>
                <w:noProof/>
                <w:webHidden/>
              </w:rPr>
              <w:t>5</w:t>
            </w:r>
            <w:r>
              <w:rPr>
                <w:noProof/>
                <w:webHidden/>
              </w:rPr>
              <w:fldChar w:fldCharType="end"/>
            </w:r>
          </w:hyperlink>
        </w:p>
        <w:p w14:paraId="5526B2E6" w14:textId="3515B35C"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0" w:history="1">
            <w:r w:rsidRPr="004C05B0">
              <w:rPr>
                <w:rStyle w:val="Hyperlink"/>
                <w:noProof/>
              </w:rPr>
              <w:t>2. Strategy Families</w:t>
            </w:r>
            <w:r>
              <w:rPr>
                <w:noProof/>
                <w:webHidden/>
              </w:rPr>
              <w:tab/>
            </w:r>
            <w:r>
              <w:rPr>
                <w:noProof/>
                <w:webHidden/>
              </w:rPr>
              <w:fldChar w:fldCharType="begin"/>
            </w:r>
            <w:r>
              <w:rPr>
                <w:noProof/>
                <w:webHidden/>
              </w:rPr>
              <w:instrText xml:space="preserve"> PAGEREF _Toc234703290 \h </w:instrText>
            </w:r>
            <w:r>
              <w:rPr>
                <w:noProof/>
                <w:webHidden/>
              </w:rPr>
            </w:r>
            <w:r>
              <w:rPr>
                <w:noProof/>
                <w:webHidden/>
              </w:rPr>
              <w:fldChar w:fldCharType="separate"/>
            </w:r>
            <w:r>
              <w:rPr>
                <w:noProof/>
                <w:webHidden/>
              </w:rPr>
              <w:t>6</w:t>
            </w:r>
            <w:r>
              <w:rPr>
                <w:noProof/>
                <w:webHidden/>
              </w:rPr>
              <w:fldChar w:fldCharType="end"/>
            </w:r>
          </w:hyperlink>
        </w:p>
        <w:p w14:paraId="48AA13D2" w14:textId="246C48F3"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1" w:history="1">
            <w:r w:rsidRPr="004C05B0">
              <w:rPr>
                <w:rStyle w:val="Hyperlink"/>
                <w:noProof/>
              </w:rPr>
              <w:t>3. The History-Indexed State</w:t>
            </w:r>
            <w:r>
              <w:rPr>
                <w:noProof/>
                <w:webHidden/>
              </w:rPr>
              <w:tab/>
            </w:r>
            <w:r>
              <w:rPr>
                <w:noProof/>
                <w:webHidden/>
              </w:rPr>
              <w:fldChar w:fldCharType="begin"/>
            </w:r>
            <w:r>
              <w:rPr>
                <w:noProof/>
                <w:webHidden/>
              </w:rPr>
              <w:instrText xml:space="preserve"> PAGEREF _Toc234703291 \h </w:instrText>
            </w:r>
            <w:r>
              <w:rPr>
                <w:noProof/>
                <w:webHidden/>
              </w:rPr>
            </w:r>
            <w:r>
              <w:rPr>
                <w:noProof/>
                <w:webHidden/>
              </w:rPr>
              <w:fldChar w:fldCharType="separate"/>
            </w:r>
            <w:r>
              <w:rPr>
                <w:noProof/>
                <w:webHidden/>
              </w:rPr>
              <w:t>7</w:t>
            </w:r>
            <w:r>
              <w:rPr>
                <w:noProof/>
                <w:webHidden/>
              </w:rPr>
              <w:fldChar w:fldCharType="end"/>
            </w:r>
          </w:hyperlink>
        </w:p>
        <w:p w14:paraId="3FC73934" w14:textId="0C3BE398"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2" w:history="1">
            <w:r w:rsidRPr="004C05B0">
              <w:rPr>
                <w:rStyle w:val="Hyperlink"/>
                <w:noProof/>
              </w:rPr>
              <w:t>4. The Joint Witness</w:t>
            </w:r>
            <w:r>
              <w:rPr>
                <w:noProof/>
                <w:webHidden/>
              </w:rPr>
              <w:tab/>
            </w:r>
            <w:r>
              <w:rPr>
                <w:noProof/>
                <w:webHidden/>
              </w:rPr>
              <w:fldChar w:fldCharType="begin"/>
            </w:r>
            <w:r>
              <w:rPr>
                <w:noProof/>
                <w:webHidden/>
              </w:rPr>
              <w:instrText xml:space="preserve"> PAGEREF _Toc234703292 \h </w:instrText>
            </w:r>
            <w:r>
              <w:rPr>
                <w:noProof/>
                <w:webHidden/>
              </w:rPr>
            </w:r>
            <w:r>
              <w:rPr>
                <w:noProof/>
                <w:webHidden/>
              </w:rPr>
              <w:fldChar w:fldCharType="separate"/>
            </w:r>
            <w:r>
              <w:rPr>
                <w:noProof/>
                <w:webHidden/>
              </w:rPr>
              <w:t>8</w:t>
            </w:r>
            <w:r>
              <w:rPr>
                <w:noProof/>
                <w:webHidden/>
              </w:rPr>
              <w:fldChar w:fldCharType="end"/>
            </w:r>
          </w:hyperlink>
        </w:p>
        <w:p w14:paraId="58EA5888" w14:textId="6A640417"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3" w:history="1">
            <w:r w:rsidRPr="004C05B0">
              <w:rPr>
                <w:rStyle w:val="Hyperlink"/>
                <w:noProof/>
              </w:rPr>
              <w:t>5. The Audit</w:t>
            </w:r>
            <w:r>
              <w:rPr>
                <w:noProof/>
                <w:webHidden/>
              </w:rPr>
              <w:tab/>
            </w:r>
            <w:r>
              <w:rPr>
                <w:noProof/>
                <w:webHidden/>
              </w:rPr>
              <w:fldChar w:fldCharType="begin"/>
            </w:r>
            <w:r>
              <w:rPr>
                <w:noProof/>
                <w:webHidden/>
              </w:rPr>
              <w:instrText xml:space="preserve"> PAGEREF _Toc234703293 \h </w:instrText>
            </w:r>
            <w:r>
              <w:rPr>
                <w:noProof/>
                <w:webHidden/>
              </w:rPr>
            </w:r>
            <w:r>
              <w:rPr>
                <w:noProof/>
                <w:webHidden/>
              </w:rPr>
              <w:fldChar w:fldCharType="separate"/>
            </w:r>
            <w:r>
              <w:rPr>
                <w:noProof/>
                <w:webHidden/>
              </w:rPr>
              <w:t>8</w:t>
            </w:r>
            <w:r>
              <w:rPr>
                <w:noProof/>
                <w:webHidden/>
              </w:rPr>
              <w:fldChar w:fldCharType="end"/>
            </w:r>
          </w:hyperlink>
        </w:p>
        <w:p w14:paraId="31532EAD" w14:textId="3C604F2C"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4" w:history="1">
            <w:r w:rsidRPr="004C05B0">
              <w:rPr>
                <w:rStyle w:val="Hyperlink"/>
                <w:noProof/>
              </w:rPr>
              <w:t>6. The Release Gate</w:t>
            </w:r>
            <w:r>
              <w:rPr>
                <w:noProof/>
                <w:webHidden/>
              </w:rPr>
              <w:tab/>
            </w:r>
            <w:r>
              <w:rPr>
                <w:noProof/>
                <w:webHidden/>
              </w:rPr>
              <w:fldChar w:fldCharType="begin"/>
            </w:r>
            <w:r>
              <w:rPr>
                <w:noProof/>
                <w:webHidden/>
              </w:rPr>
              <w:instrText xml:space="preserve"> PAGEREF _Toc234703294 \h </w:instrText>
            </w:r>
            <w:r>
              <w:rPr>
                <w:noProof/>
                <w:webHidden/>
              </w:rPr>
            </w:r>
            <w:r>
              <w:rPr>
                <w:noProof/>
                <w:webHidden/>
              </w:rPr>
              <w:fldChar w:fldCharType="separate"/>
            </w:r>
            <w:r>
              <w:rPr>
                <w:noProof/>
                <w:webHidden/>
              </w:rPr>
              <w:t>9</w:t>
            </w:r>
            <w:r>
              <w:rPr>
                <w:noProof/>
                <w:webHidden/>
              </w:rPr>
              <w:fldChar w:fldCharType="end"/>
            </w:r>
          </w:hyperlink>
        </w:p>
        <w:p w14:paraId="5F327172" w14:textId="488BB1F6"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5" w:history="1">
            <w:r w:rsidRPr="004C05B0">
              <w:rPr>
                <w:rStyle w:val="Hyperlink"/>
                <w:noProof/>
              </w:rPr>
              <w:t>7. Persistent Reasoning</w:t>
            </w:r>
            <w:r>
              <w:rPr>
                <w:noProof/>
                <w:webHidden/>
              </w:rPr>
              <w:tab/>
            </w:r>
            <w:r>
              <w:rPr>
                <w:noProof/>
                <w:webHidden/>
              </w:rPr>
              <w:fldChar w:fldCharType="begin"/>
            </w:r>
            <w:r>
              <w:rPr>
                <w:noProof/>
                <w:webHidden/>
              </w:rPr>
              <w:instrText xml:space="preserve"> PAGEREF _Toc234703295 \h </w:instrText>
            </w:r>
            <w:r>
              <w:rPr>
                <w:noProof/>
                <w:webHidden/>
              </w:rPr>
            </w:r>
            <w:r>
              <w:rPr>
                <w:noProof/>
                <w:webHidden/>
              </w:rPr>
              <w:fldChar w:fldCharType="separate"/>
            </w:r>
            <w:r>
              <w:rPr>
                <w:noProof/>
                <w:webHidden/>
              </w:rPr>
              <w:t>10</w:t>
            </w:r>
            <w:r>
              <w:rPr>
                <w:noProof/>
                <w:webHidden/>
              </w:rPr>
              <w:fldChar w:fldCharType="end"/>
            </w:r>
          </w:hyperlink>
        </w:p>
        <w:p w14:paraId="2D371102" w14:textId="02224885"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6" w:history="1">
            <w:r w:rsidRPr="004C05B0">
              <w:rPr>
                <w:rStyle w:val="Hyperlink"/>
                <w:noProof/>
              </w:rPr>
              <w:t>8. Seeking the Seam</w:t>
            </w:r>
            <w:r>
              <w:rPr>
                <w:noProof/>
                <w:webHidden/>
              </w:rPr>
              <w:tab/>
            </w:r>
            <w:r>
              <w:rPr>
                <w:noProof/>
                <w:webHidden/>
              </w:rPr>
              <w:fldChar w:fldCharType="begin"/>
            </w:r>
            <w:r>
              <w:rPr>
                <w:noProof/>
                <w:webHidden/>
              </w:rPr>
              <w:instrText xml:space="preserve"> PAGEREF _Toc234703296 \h </w:instrText>
            </w:r>
            <w:r>
              <w:rPr>
                <w:noProof/>
                <w:webHidden/>
              </w:rPr>
            </w:r>
            <w:r>
              <w:rPr>
                <w:noProof/>
                <w:webHidden/>
              </w:rPr>
              <w:fldChar w:fldCharType="separate"/>
            </w:r>
            <w:r>
              <w:rPr>
                <w:noProof/>
                <w:webHidden/>
              </w:rPr>
              <w:t>11</w:t>
            </w:r>
            <w:r>
              <w:rPr>
                <w:noProof/>
                <w:webHidden/>
              </w:rPr>
              <w:fldChar w:fldCharType="end"/>
            </w:r>
          </w:hyperlink>
        </w:p>
        <w:p w14:paraId="34945776" w14:textId="7FAE1D0F"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7" w:history="1">
            <w:r w:rsidRPr="004C05B0">
              <w:rPr>
                <w:rStyle w:val="Hyperlink"/>
                <w:noProof/>
              </w:rPr>
              <w:t>9. The Offline Repair</w:t>
            </w:r>
            <w:r>
              <w:rPr>
                <w:noProof/>
                <w:webHidden/>
              </w:rPr>
              <w:tab/>
            </w:r>
            <w:r>
              <w:rPr>
                <w:noProof/>
                <w:webHidden/>
              </w:rPr>
              <w:fldChar w:fldCharType="begin"/>
            </w:r>
            <w:r>
              <w:rPr>
                <w:noProof/>
                <w:webHidden/>
              </w:rPr>
              <w:instrText xml:space="preserve"> PAGEREF _Toc234703297 \h </w:instrText>
            </w:r>
            <w:r>
              <w:rPr>
                <w:noProof/>
                <w:webHidden/>
              </w:rPr>
            </w:r>
            <w:r>
              <w:rPr>
                <w:noProof/>
                <w:webHidden/>
              </w:rPr>
              <w:fldChar w:fldCharType="separate"/>
            </w:r>
            <w:r>
              <w:rPr>
                <w:noProof/>
                <w:webHidden/>
              </w:rPr>
              <w:t>12</w:t>
            </w:r>
            <w:r>
              <w:rPr>
                <w:noProof/>
                <w:webHidden/>
              </w:rPr>
              <w:fldChar w:fldCharType="end"/>
            </w:r>
          </w:hyperlink>
        </w:p>
        <w:p w14:paraId="39EC2CA0" w14:textId="1F89930A"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8" w:history="1">
            <w:r w:rsidRPr="004C05B0">
              <w:rPr>
                <w:rStyle w:val="Hyperlink"/>
                <w:noProof/>
              </w:rPr>
              <w:t>Closing — The Pen at the Horizon</w:t>
            </w:r>
            <w:r>
              <w:rPr>
                <w:noProof/>
                <w:webHidden/>
              </w:rPr>
              <w:tab/>
            </w:r>
            <w:r>
              <w:rPr>
                <w:noProof/>
                <w:webHidden/>
              </w:rPr>
              <w:fldChar w:fldCharType="begin"/>
            </w:r>
            <w:r>
              <w:rPr>
                <w:noProof/>
                <w:webHidden/>
              </w:rPr>
              <w:instrText xml:space="preserve"> PAGEREF _Toc234703298 \h </w:instrText>
            </w:r>
            <w:r>
              <w:rPr>
                <w:noProof/>
                <w:webHidden/>
              </w:rPr>
            </w:r>
            <w:r>
              <w:rPr>
                <w:noProof/>
                <w:webHidden/>
              </w:rPr>
              <w:fldChar w:fldCharType="separate"/>
            </w:r>
            <w:r>
              <w:rPr>
                <w:noProof/>
                <w:webHidden/>
              </w:rPr>
              <w:t>12</w:t>
            </w:r>
            <w:r>
              <w:rPr>
                <w:noProof/>
                <w:webHidden/>
              </w:rPr>
              <w:fldChar w:fldCharType="end"/>
            </w:r>
          </w:hyperlink>
        </w:p>
        <w:p w14:paraId="3478B909" w14:textId="1002EB8F" w:rsidR="00316F64" w:rsidRDefault="00316F64">
          <w:pPr>
            <w:pStyle w:val="TOC2"/>
            <w:tabs>
              <w:tab w:val="right" w:leader="dot" w:pos="9350"/>
            </w:tabs>
            <w:rPr>
              <w:rFonts w:eastAsiaTheme="minorEastAsia"/>
              <w:noProof/>
              <w:kern w:val="2"/>
              <w:szCs w:val="30"/>
              <w:lang w:val="en-IN" w:eastAsia="en-IN" w:bidi="bn-IN"/>
              <w14:ligatures w14:val="standardContextual"/>
            </w:rPr>
          </w:pPr>
          <w:hyperlink w:anchor="_Toc234703299" w:history="1">
            <w:r w:rsidRPr="004C05B0">
              <w:rPr>
                <w:rStyle w:val="Hyperlink"/>
                <w:noProof/>
              </w:rPr>
              <w:t>End Matter — A Note on Tiers, and the Corpus Beneath</w:t>
            </w:r>
            <w:r>
              <w:rPr>
                <w:noProof/>
                <w:webHidden/>
              </w:rPr>
              <w:tab/>
            </w:r>
            <w:r>
              <w:rPr>
                <w:noProof/>
                <w:webHidden/>
              </w:rPr>
              <w:fldChar w:fldCharType="begin"/>
            </w:r>
            <w:r>
              <w:rPr>
                <w:noProof/>
                <w:webHidden/>
              </w:rPr>
              <w:instrText xml:space="preserve"> PAGEREF _Toc234703299 \h </w:instrText>
            </w:r>
            <w:r>
              <w:rPr>
                <w:noProof/>
                <w:webHidden/>
              </w:rPr>
            </w:r>
            <w:r>
              <w:rPr>
                <w:noProof/>
                <w:webHidden/>
              </w:rPr>
              <w:fldChar w:fldCharType="separate"/>
            </w:r>
            <w:r>
              <w:rPr>
                <w:noProof/>
                <w:webHidden/>
              </w:rPr>
              <w:t>13</w:t>
            </w:r>
            <w:r>
              <w:rPr>
                <w:noProof/>
                <w:webHidden/>
              </w:rPr>
              <w:fldChar w:fldCharType="end"/>
            </w:r>
          </w:hyperlink>
        </w:p>
        <w:p w14:paraId="5343BCEC" w14:textId="165F6FFB" w:rsidR="000F1A9F" w:rsidRDefault="00000000" w:rsidP="008E03D1">
          <w:pPr>
            <w:jc w:val="both"/>
          </w:pPr>
          <w:r>
            <w:fldChar w:fldCharType="end"/>
          </w:r>
        </w:p>
      </w:sdtContent>
    </w:sdt>
    <w:p w14:paraId="16FF3572" w14:textId="77777777" w:rsidR="000F1A9F" w:rsidRDefault="00000000" w:rsidP="008E03D1">
      <w:pPr>
        <w:jc w:val="both"/>
      </w:pPr>
      <w:r>
        <w:pict w14:anchorId="67975FF5">
          <v:rect id="_x0000_i1072" style="width:0;height:1.5pt" o:hralign="center" o:bullet="t" o:hrstd="t" o:hr="t"/>
        </w:pict>
      </w:r>
    </w:p>
    <w:p w14:paraId="5D9E64B2" w14:textId="77777777" w:rsidR="008607EF" w:rsidRDefault="008607EF" w:rsidP="008E03D1">
      <w:pPr>
        <w:jc w:val="both"/>
      </w:pPr>
      <w:bookmarkStart w:id="2" w:name="the-paired-mind"/>
      <w:bookmarkStart w:id="3" w:name="X778365c6e38ffe4f9c383348269c268d26ffe65"/>
    </w:p>
    <w:p w14:paraId="4D7DDCBD" w14:textId="77777777" w:rsidR="008607EF" w:rsidRDefault="008607EF" w:rsidP="008E03D1">
      <w:pPr>
        <w:jc w:val="both"/>
      </w:pPr>
    </w:p>
    <w:p w14:paraId="7F6CFA8D" w14:textId="77777777" w:rsidR="008607EF" w:rsidRDefault="008607EF">
      <w:pPr>
        <w:rPr>
          <w:rFonts w:asciiTheme="majorHAnsi" w:eastAsiaTheme="majorEastAsia" w:hAnsiTheme="majorHAnsi" w:cstheme="majorBidi"/>
          <w:b/>
          <w:bCs/>
          <w:color w:val="4F81BD" w:themeColor="accent1"/>
          <w:sz w:val="28"/>
          <w:szCs w:val="28"/>
        </w:rPr>
      </w:pPr>
      <w:bookmarkStart w:id="4" w:name="preface-the-two-instruments"/>
      <w:bookmarkEnd w:id="3"/>
      <w:r>
        <w:br w:type="page"/>
      </w:r>
    </w:p>
    <w:p w14:paraId="57B205B1" w14:textId="708A29A8" w:rsidR="000F1A9F" w:rsidRDefault="00000000" w:rsidP="008E03D1">
      <w:pPr>
        <w:pStyle w:val="Heading2"/>
        <w:jc w:val="both"/>
      </w:pPr>
      <w:bookmarkStart w:id="5" w:name="_Toc234703287"/>
      <w:r>
        <w:lastRenderedPageBreak/>
        <w:t>Preface — The Two Instruments</w:t>
      </w:r>
      <w:bookmarkEnd w:id="5"/>
    </w:p>
    <w:p w14:paraId="639148BE" w14:textId="77777777" w:rsidR="000F1A9F" w:rsidRDefault="00000000" w:rsidP="008E03D1">
      <w:pPr>
        <w:pStyle w:val="FirstParagraph"/>
        <w:jc w:val="both"/>
      </w:pPr>
      <w:r>
        <w:t xml:space="preserve">There is an old problem with theories of the mind: they are easy to state and hard to test. Say that the brain “computes the structure of reasoning” and you have said something that sounds deep and means almost nothing, because you have not said what would count as </w:t>
      </w:r>
      <w:r>
        <w:rPr>
          <w:i/>
          <w:iCs/>
        </w:rPr>
        <w:t>doing it</w:t>
      </w:r>
      <w:r>
        <w:t xml:space="preserve"> or </w:t>
      </w:r>
      <w:r>
        <w:rPr>
          <w:i/>
          <w:iCs/>
        </w:rPr>
        <w:t>failing to</w:t>
      </w:r>
      <w:r>
        <w:t>. The history of psychology is littered with such theories — evocative, unfalsifiable, and therefore not quite science.</w:t>
      </w:r>
    </w:p>
    <w:p w14:paraId="57A07B03" w14:textId="77777777" w:rsidR="000F1A9F" w:rsidRDefault="00000000" w:rsidP="008E03D1">
      <w:pPr>
        <w:pStyle w:val="BodyText"/>
        <w:jc w:val="both"/>
      </w:pPr>
      <w:r>
        <w:t xml:space="preserve">This book is built around a way out of that trap, and the way out is to build every claim </w:t>
      </w:r>
      <w:r>
        <w:rPr>
          <w:i/>
          <w:iCs/>
        </w:rPr>
        <w:t>twice</w:t>
      </w:r>
      <w:r>
        <w:t xml:space="preserve">. Each of the nine ideas in this book appears in two forms. The first is a </w:t>
      </w:r>
      <w:r>
        <w:rPr>
          <w:b/>
          <w:bCs/>
        </w:rPr>
        <w:t>neural realization</w:t>
      </w:r>
      <w:r>
        <w:t xml:space="preserve">: a specific, falsifiable hypothesis about how a brain might carry out some operation of reasoning — with named candidate circuits, named predictions, and a named way to be wrong. The second is an </w:t>
      </w:r>
      <w:r>
        <w:rPr>
          <w:b/>
          <w:bCs/>
        </w:rPr>
        <w:t>executable surrogate</w:t>
      </w:r>
      <w:r>
        <w:t xml:space="preserve">: a runnable piece of machinery, built on top of modern AI, that performs the </w:t>
      </w:r>
      <w:r>
        <w:rPr>
          <w:i/>
          <w:iCs/>
        </w:rPr>
        <w:t>same</w:t>
      </w:r>
      <w:r>
        <w:t xml:space="preserve"> operation in code, so that its computational necessity, its failure modes, and its observable signatures become precise. The neural hypothesis proposes; the executable surrogate tests. Neither is the other, and the discipline of keeping them distinct — while binding them by a strict rule — is the subject of the introduction and the spine of the book.</w:t>
      </w:r>
    </w:p>
    <w:p w14:paraId="429C01B3" w14:textId="77777777" w:rsidR="000F1A9F" w:rsidRDefault="00000000" w:rsidP="008E03D1">
      <w:pPr>
        <w:pStyle w:val="BodyText"/>
        <w:jc w:val="both"/>
      </w:pPr>
      <w:r>
        <w:t xml:space="preserve">A book about </w:t>
      </w:r>
      <w:r>
        <w:rPr>
          <w:i/>
          <w:iCs/>
        </w:rPr>
        <w:t>defensible</w:t>
      </w:r>
      <w:r>
        <w:t xml:space="preserve"> intelligence owes the reader honesty about its own claims, so the same three-way distinction runs throughout. Some of what follows is </w:t>
      </w:r>
      <w:r>
        <w:rPr>
          <w:b/>
          <w:bCs/>
        </w:rPr>
        <w:t>established</w:t>
      </w:r>
      <w:r>
        <w:t xml:space="preserve"> mathematics, imported and cited. Most is </w:t>
      </w:r>
      <w:r>
        <w:rPr>
          <w:b/>
          <w:bCs/>
        </w:rPr>
        <w:t>candidate</w:t>
      </w:r>
      <w:r>
        <w:t xml:space="preserve"> structure — plausible, falsifiable, not yet confirmed — and it is marked as such rather than sold as fact. And one boundary is a </w:t>
      </w:r>
      <w:r>
        <w:rPr>
          <w:b/>
          <w:bCs/>
        </w:rPr>
        <w:t>horizon</w:t>
      </w:r>
      <w:r>
        <w:t>: a line the machinery reaches and refuses to cross. I will keep those apart on every page, because a framework that cannot audit its own enthusiasms has no standing to audit a mind.</w:t>
      </w:r>
    </w:p>
    <w:p w14:paraId="75FA012C" w14:textId="77777777" w:rsidR="000F1A9F" w:rsidRDefault="00000000" w:rsidP="008E03D1">
      <w:pPr>
        <w:pStyle w:val="BodyText"/>
        <w:jc w:val="both"/>
      </w:pPr>
      <w:r>
        <w:t xml:space="preserve">The framework’s motto is the right spirit for what follows: </w:t>
      </w:r>
      <w:r>
        <w:rPr>
          <w:i/>
          <w:iCs/>
        </w:rPr>
        <w:t>Respect science. Import emotion.</w:t>
      </w:r>
      <w:r>
        <w:t xml:space="preserve"> Rigour without coldness; feeling without fabrication. We begin with the rule that binds the two instruments together.</w:t>
      </w:r>
    </w:p>
    <w:p w14:paraId="130BEA53" w14:textId="77777777" w:rsidR="000F1A9F" w:rsidRDefault="00000000" w:rsidP="008E03D1">
      <w:pPr>
        <w:jc w:val="both"/>
      </w:pPr>
      <w:r>
        <w:pict w14:anchorId="35491F88">
          <v:rect id="_x0000_i1073" style="width:0;height:1.5pt" o:hralign="center" o:hrstd="t" o:hr="t"/>
        </w:pict>
      </w:r>
    </w:p>
    <w:p w14:paraId="4B293703" w14:textId="77777777" w:rsidR="000F1A9F" w:rsidRDefault="00000000" w:rsidP="008E03D1">
      <w:pPr>
        <w:pStyle w:val="Heading2"/>
        <w:jc w:val="both"/>
      </w:pPr>
      <w:bookmarkStart w:id="6" w:name="X91685fa4f6dae167a2ece0041c09ba8c7cd50ed"/>
      <w:bookmarkStart w:id="7" w:name="_Toc234703288"/>
      <w:bookmarkEnd w:id="4"/>
      <w:r>
        <w:t>Introduction — The Two Axes and the Paired Principle</w:t>
      </w:r>
      <w:bookmarkEnd w:id="7"/>
    </w:p>
    <w:p w14:paraId="07304529" w14:textId="77777777" w:rsidR="000F1A9F" w:rsidRDefault="00000000" w:rsidP="008E03D1">
      <w:pPr>
        <w:pStyle w:val="FirstParagraph"/>
        <w:jc w:val="both"/>
      </w:pPr>
      <w:r>
        <w:t>Everything in this book runs along two axes, and the relation between them is the book’s central idea.</w:t>
      </w:r>
    </w:p>
    <w:p w14:paraId="61D9EBEB" w14:textId="77777777" w:rsidR="000F1A9F" w:rsidRDefault="00000000" w:rsidP="008E03D1">
      <w:pPr>
        <w:pStyle w:val="BodyText"/>
        <w:jc w:val="both"/>
      </w:pPr>
      <w:r>
        <w:t xml:space="preserve">The </w:t>
      </w:r>
      <w:r>
        <w:rPr>
          <w:b/>
          <w:bCs/>
        </w:rPr>
        <w:t>direct axis</w:t>
      </w:r>
      <w:r>
        <w:t xml:space="preserve"> runs from mathematics to neuroscience. It asks: given some clean mathematical operation — gluing local pieces into a whole, detecting an obstruction, distinguishing histories, classifying strategies — </w:t>
      </w:r>
      <w:r>
        <w:rPr>
          <w:i/>
          <w:iCs/>
        </w:rPr>
        <w:t>how might a brain realize it?</w:t>
      </w:r>
      <w:r>
        <w:t xml:space="preserve"> The direct axis proposes neural hypotheses.</w:t>
      </w:r>
    </w:p>
    <w:p w14:paraId="003C6ECA" w14:textId="77777777" w:rsidR="000F1A9F" w:rsidRDefault="00000000" w:rsidP="008E03D1">
      <w:pPr>
        <w:pStyle w:val="BodyText"/>
        <w:jc w:val="both"/>
      </w:pPr>
      <w:r>
        <w:t xml:space="preserve">The </w:t>
      </w:r>
      <w:r>
        <w:rPr>
          <w:b/>
          <w:bCs/>
        </w:rPr>
        <w:t>indirect axis</w:t>
      </w:r>
      <w:r>
        <w:t xml:space="preserve"> runs from mathematics through artificial intelligence and only then to neuroscience. It asks: can we </w:t>
      </w:r>
      <w:r>
        <w:rPr>
          <w:i/>
          <w:iCs/>
        </w:rPr>
        <w:t>build</w:t>
      </w:r>
      <w:r>
        <w:t xml:space="preserve"> that operation, in code, on top of a modern reasoning model, so that we can watch it work, break it deliberately, and measure exactly what it costs and what it predicts? The indirect axis builds executable surrogates.</w:t>
      </w:r>
    </w:p>
    <w:p w14:paraId="2972FBBF" w14:textId="77777777" w:rsidR="000F1A9F" w:rsidRDefault="00000000" w:rsidP="008E03D1">
      <w:pPr>
        <w:pStyle w:val="BodyText"/>
        <w:jc w:val="both"/>
      </w:pPr>
      <w:r>
        <w:lastRenderedPageBreak/>
        <w:t xml:space="preserve">The two axes meet in </w:t>
      </w:r>
      <w:r>
        <w:rPr>
          <w:b/>
          <w:bCs/>
        </w:rPr>
        <w:t>pairs</w:t>
      </w:r>
      <w:r>
        <w:t xml:space="preserve">. For each of the nine operations, a direct-axis neural realization is paired with an indirect-axis executable surrogate, and the pairing is governed by a single strict rule — the </w:t>
      </w:r>
      <w:r>
        <w:rPr>
          <w:b/>
          <w:bCs/>
        </w:rPr>
        <w:t>Paired Principle</w:t>
      </w:r>
      <w:r>
        <w:t xml:space="preserve">. It is tempting to say the two members of a pair are “the same,” but they are plainly not: one is a hypothesis about cortex, the other a program. They are not in the same space, and nothing deforms one into the other. What binds them is subtler and more disciplined than sameness. Two members form one class </w:t>
      </w:r>
      <w:r>
        <w:rPr>
          <w:b/>
          <w:bCs/>
        </w:rPr>
        <w:t>if and only if a translation between them preserves five invariants</w:t>
      </w:r>
      <w:r>
        <w:t xml:space="preserve">: their </w:t>
      </w:r>
      <w:r>
        <w:rPr>
          <w:i/>
          <w:iCs/>
        </w:rPr>
        <w:t>semantic identity</w:t>
      </w:r>
      <w:r>
        <w:t xml:space="preserve"> (they are about the same operation), their </w:t>
      </w:r>
      <w:r>
        <w:rPr>
          <w:i/>
          <w:iCs/>
        </w:rPr>
        <w:t>causal direction</w:t>
      </w:r>
      <w:r>
        <w:t xml:space="preserve"> (the operation runs the same way — and you cannot run a proof backward), their </w:t>
      </w:r>
      <w:r>
        <w:rPr>
          <w:i/>
          <w:iCs/>
        </w:rPr>
        <w:t>refusal conditions</w:t>
      </w:r>
      <w:r>
        <w:t xml:space="preserve"> (they decline in the same circumstances), their </w:t>
      </w:r>
      <w:r>
        <w:rPr>
          <w:i/>
          <w:iCs/>
        </w:rPr>
        <w:t>measurable predictions</w:t>
      </w:r>
      <w:r>
        <w:t xml:space="preserve">, and their </w:t>
      </w:r>
      <w:r>
        <w:rPr>
          <w:i/>
          <w:iCs/>
        </w:rPr>
        <w:t>falsifiers</w:t>
      </w:r>
      <w:r>
        <w:t xml:space="preserve"> (the same evidence would sink both).</w:t>
      </w:r>
    </w:p>
    <w:p w14:paraId="3B30A95A" w14:textId="77777777" w:rsidR="000F1A9F" w:rsidRDefault="00000000" w:rsidP="008E03D1">
      <w:pPr>
        <w:pStyle w:val="BodyText"/>
        <w:jc w:val="both"/>
      </w:pPr>
      <w:r>
        <w:t xml:space="preserve">This is not a homotopy — not a deformation within one space. It is a </w:t>
      </w:r>
      <w:r>
        <w:rPr>
          <w:b/>
          <w:bCs/>
        </w:rPr>
        <w:t>functor</w:t>
      </w:r>
      <w:r>
        <w:t>: a structure-preserving correspondence between two different worlds that keeps exactly the load-bearing structure and discards the rest. Preserve the five invariants and the neural hypothesis and its executable surrogate are one programme; reverse a causal direction or quietly drop a refusal condition, and the translation has broken the pairing — it is a different programme wearing the same name. This strictness is the whole value of the method: it is what stops an executable “surrogate” from being a flattering caricature of the neural claim, and what stops the neural claim from being an unfalsifiable gloss on the code.</w:t>
      </w:r>
    </w:p>
    <w:p w14:paraId="54DDB730" w14:textId="77777777" w:rsidR="000F1A9F" w:rsidRDefault="00000000" w:rsidP="008E03D1">
      <w:pPr>
        <w:pStyle w:val="BodyText"/>
        <w:jc w:val="both"/>
      </w:pPr>
      <w:r>
        <w:t xml:space="preserve">Two commitments run underneath all nine pairs. The first is </w:t>
      </w:r>
      <w:r>
        <w:rPr>
          <w:b/>
          <w:bCs/>
        </w:rPr>
        <w:t>structure, not scalar</w:t>
      </w:r>
      <w:r>
        <w:t xml:space="preserve">: each programme earns its machinery by refusing to collapse reasoning into a single number — a prediction error, an uncertainty, a reward — because the number discards precisely the structure (which seam, which direction, which strategy, which obstruction) the programme exists to preserve. The second is the </w:t>
      </w:r>
      <w:r>
        <w:rPr>
          <w:b/>
          <w:bCs/>
        </w:rPr>
        <w:t>signature horizon</w:t>
      </w:r>
      <w:r>
        <w:t>: the machinery audits, computes, refuses, and repairs, but it does not sign. Where an operation reaches the act of taking responsibility, it stops and hands over the pen. Both commitments will recur; the nine chapters are their elaboration.</w:t>
      </w:r>
    </w:p>
    <w:p w14:paraId="58C98FF1" w14:textId="77777777" w:rsidR="000F1A9F" w:rsidRDefault="00000000" w:rsidP="008E03D1">
      <w:pPr>
        <w:jc w:val="both"/>
      </w:pPr>
      <w:r>
        <w:pict w14:anchorId="514B82F7">
          <v:rect id="_x0000_i1074" style="width:0;height:1.5pt" o:hralign="center" o:hrstd="t" o:hr="t"/>
        </w:pict>
      </w:r>
    </w:p>
    <w:p w14:paraId="47A3F2C8" w14:textId="77777777" w:rsidR="000F1A9F" w:rsidRDefault="00000000" w:rsidP="008E03D1">
      <w:pPr>
        <w:pStyle w:val="Heading2"/>
        <w:jc w:val="both"/>
      </w:pPr>
      <w:bookmarkStart w:id="8" w:name="the-reasoning-complex"/>
      <w:bookmarkStart w:id="9" w:name="_Toc234703289"/>
      <w:bookmarkEnd w:id="6"/>
      <w:r>
        <w:t>1. The Reasoning Complex</w:t>
      </w:r>
      <w:bookmarkEnd w:id="9"/>
    </w:p>
    <w:p w14:paraId="77A5C183" w14:textId="77777777" w:rsidR="000F1A9F" w:rsidRDefault="00000000" w:rsidP="008E03D1">
      <w:pPr>
        <w:pStyle w:val="FirstParagraph"/>
        <w:jc w:val="both"/>
      </w:pPr>
      <w:r>
        <w:rPr>
          <w:i/>
          <w:iCs/>
        </w:rPr>
        <w:t>What is a chain of reasoning, structurally?</w:t>
      </w:r>
    </w:p>
    <w:p w14:paraId="2CFDBD25" w14:textId="77777777" w:rsidR="000F1A9F" w:rsidRDefault="00000000" w:rsidP="008E03D1">
      <w:pPr>
        <w:pStyle w:val="BodyText"/>
        <w:jc w:val="both"/>
      </w:pPr>
      <w:r>
        <w:t xml:space="preserve">Not, this programme proposes, a single continuous stream. A reasoning episode is better described as a </w:t>
      </w:r>
      <w:r>
        <w:rPr>
          <w:b/>
          <w:bCs/>
        </w:rPr>
        <w:t>structured complex</w:t>
      </w:r>
      <w:r>
        <w:t xml:space="preserve">: a collection of representational </w:t>
      </w:r>
      <w:r>
        <w:rPr>
          <w:i/>
          <w:iCs/>
        </w:rPr>
        <w:t>states</w:t>
      </w:r>
      <w:r>
        <w:t xml:space="preserve">, the </w:t>
      </w:r>
      <w:r>
        <w:rPr>
          <w:i/>
          <w:iCs/>
        </w:rPr>
        <w:t>directed transitions</w:t>
      </w:r>
      <w:r>
        <w:t xml:space="preserve"> between them (an inference, a retrieval, a plan step, a correction), and — crucially — </w:t>
      </w:r>
      <w:r>
        <w:rPr>
          <w:i/>
          <w:iCs/>
        </w:rPr>
        <w:t>higher-order witnesses</w:t>
      </w:r>
      <w:r>
        <w:t xml:space="preserve"> that certify when two apparently different routes accomplish the same transformation.</w:t>
      </w:r>
    </w:p>
    <w:p w14:paraId="1D4E0657" w14:textId="77777777" w:rsidR="000F1A9F" w:rsidRDefault="00000000" w:rsidP="008E03D1">
      <w:pPr>
        <w:pStyle w:val="BodyText"/>
        <w:jc w:val="both"/>
      </w:pPr>
      <w:r>
        <w:t xml:space="preserve">On the </w:t>
      </w:r>
      <w:r>
        <w:rPr>
          <w:b/>
          <w:bCs/>
        </w:rPr>
        <w:t>direct axis</w:t>
      </w:r>
      <w:r>
        <w:t xml:space="preserve">, the neural realization is a claim about mesoscopic cortical organization. Task-relevant cortical configurations play the role of states; valid inferential and retrieval operations play the role of transitions; and recurrent cortical processing, hippocampal replay, cerebellar comparison, and thalamocortical re-entry are candidate mechanisms for the higher-order witnesses — the machinery that could register that two different neural </w:t>
      </w:r>
      <w:r>
        <w:lastRenderedPageBreak/>
        <w:t xml:space="preserve">routes implement one functional step. The claim is explicitly </w:t>
      </w:r>
      <w:r>
        <w:rPr>
          <w:i/>
          <w:iCs/>
        </w:rPr>
        <w:t>not</w:t>
      </w:r>
      <w:r>
        <w:t xml:space="preserve"> that the brain stores a simplicial complex; it is that neural reasoning may admit such a description.</w:t>
      </w:r>
    </w:p>
    <w:p w14:paraId="5555FF89" w14:textId="77777777" w:rsidR="000F1A9F" w:rsidRDefault="00000000" w:rsidP="008E03D1">
      <w:pPr>
        <w:pStyle w:val="BodyText"/>
        <w:jc w:val="both"/>
      </w:pPr>
      <w:r>
        <w:t xml:space="preserve">On the </w:t>
      </w:r>
      <w:r>
        <w:rPr>
          <w:b/>
          <w:bCs/>
        </w:rPr>
        <w:t>indirect axis</w:t>
      </w:r>
      <w:r>
        <w:t xml:space="preserve">, the executable surrogate is a </w:t>
      </w:r>
      <w:r>
        <w:rPr>
          <w:b/>
          <w:bCs/>
        </w:rPr>
        <w:t>compiler</w:t>
      </w:r>
      <w:r>
        <w:t xml:space="preserve">. It takes the long token trajectory a modern model produces and extracts a typed intermediate representation — claims, assumptions, scopes, provenance, tool calls, inference edges, revisions, candidate witnesses — and it is this typed object, not the raw text, on which structure is computed. This compiler is the pivotal piece of the whole book, because without it “topology over reasoning” would merely measure </w:t>
      </w:r>
      <w:r>
        <w:rPr>
          <w:i/>
          <w:iCs/>
        </w:rPr>
        <w:t>wording</w:t>
      </w:r>
      <w:r>
        <w:t>: two paraphrases of one argument look utterly different as token strings and identical as typed complexes, and only the second comparison is about reasoning at all.</w:t>
      </w:r>
    </w:p>
    <w:p w14:paraId="5F3912FE" w14:textId="77777777" w:rsidR="000F1A9F" w:rsidRDefault="00000000" w:rsidP="008E03D1">
      <w:pPr>
        <w:pStyle w:val="BodyText"/>
        <w:jc w:val="both"/>
      </w:pPr>
      <w:r>
        <w:t xml:space="preserve">One sharpening the programme’s own logic demands: reasoning is </w:t>
      </w:r>
      <w:r>
        <w:rPr>
          <w:b/>
          <w:bCs/>
        </w:rPr>
        <w:t>directed</w:t>
      </w:r>
      <w:r>
        <w:t xml:space="preserve">. You cannot, in general, run an inference backward — a proof is not its own converse, a plan is not its own undoing. So the right notion of “same route” is not ordinary homotopy, which would permit reversal, but </w:t>
      </w:r>
      <w:r>
        <w:rPr>
          <w:b/>
          <w:bCs/>
        </w:rPr>
        <w:t>directed homotopy</w:t>
      </w:r>
      <w:r>
        <w:t>, in which the arrow of inference is preserved. This is not a correction of intent; it is the formalism the causal-direction invariant already requires.</w:t>
      </w:r>
    </w:p>
    <w:p w14:paraId="2B9A8D84" w14:textId="77777777" w:rsidR="000F1A9F" w:rsidRDefault="00000000" w:rsidP="008E03D1">
      <w:pPr>
        <w:pStyle w:val="BodyText"/>
        <w:jc w:val="both"/>
      </w:pPr>
      <w:r>
        <w:t xml:space="preserve">The </w:t>
      </w:r>
      <w:r>
        <w:rPr>
          <w:b/>
          <w:bCs/>
        </w:rPr>
        <w:t>falsifier</w:t>
      </w:r>
      <w:r>
        <w:t xml:space="preserve"> is clean and shared across both axes: meaning-preserving paraphrases should produce </w:t>
      </w:r>
      <w:r>
        <w:rPr>
          <w:i/>
          <w:iCs/>
        </w:rPr>
        <w:t>different</w:t>
      </w:r>
      <w:r>
        <w:t xml:space="preserve"> microscopic trajectories that reconstruct the </w:t>
      </w:r>
      <w:r>
        <w:rPr>
          <w:i/>
          <w:iCs/>
        </w:rPr>
        <w:t>same</w:t>
      </w:r>
      <w:r>
        <w:t xml:space="preserve"> typed transition structure, while a genuine change in assumptions should produce a </w:t>
      </w:r>
      <w:r>
        <w:rPr>
          <w:i/>
          <w:iCs/>
        </w:rPr>
        <w:t>localized structural change</w:t>
      </w:r>
      <w:r>
        <w:t xml:space="preserve"> in the complex. If paraphrase and reassumption are indistinguishable at the structural level, the programme fails.</w:t>
      </w:r>
    </w:p>
    <w:p w14:paraId="6333C25D" w14:textId="77777777" w:rsidR="000F1A9F" w:rsidRDefault="00000000" w:rsidP="008E03D1">
      <w:pPr>
        <w:pStyle w:val="Heading2"/>
        <w:jc w:val="both"/>
      </w:pPr>
      <w:bookmarkStart w:id="10" w:name="strategy-families"/>
      <w:bookmarkStart w:id="11" w:name="_Toc234703290"/>
      <w:bookmarkEnd w:id="8"/>
      <w:r>
        <w:t>2. Strategy Families</w:t>
      </w:r>
      <w:bookmarkEnd w:id="11"/>
    </w:p>
    <w:p w14:paraId="53B45994" w14:textId="77777777" w:rsidR="000F1A9F" w:rsidRDefault="00000000" w:rsidP="008E03D1">
      <w:pPr>
        <w:pStyle w:val="FirstParagraph"/>
        <w:jc w:val="both"/>
      </w:pPr>
      <w:r>
        <w:rPr>
          <w:i/>
          <w:iCs/>
        </w:rPr>
        <w:t>Does the mind choose a method before it chooses a step?</w:t>
      </w:r>
    </w:p>
    <w:p w14:paraId="48DD5CE7" w14:textId="77777777" w:rsidR="000F1A9F" w:rsidRDefault="00000000" w:rsidP="008E03D1">
      <w:pPr>
        <w:pStyle w:val="BodyText"/>
        <w:jc w:val="both"/>
      </w:pPr>
      <w:r>
        <w:t xml:space="preserve">This programme proposes that reasoning is organized not only at the level of individual thoughts but at the level of </w:t>
      </w:r>
      <w:r>
        <w:rPr>
          <w:b/>
          <w:bCs/>
        </w:rPr>
        <w:t>strategy families</w:t>
      </w:r>
      <w:r>
        <w:t xml:space="preserve"> — a direct proof, a proof by contradiction, a simulation, a decomposition, an analogy, a backward plan. These are the </w:t>
      </w:r>
      <w:r>
        <w:rPr>
          <w:i/>
          <w:iCs/>
        </w:rPr>
        <w:t>classes</w:t>
      </w:r>
      <w:r>
        <w:t xml:space="preserve">; the many verbal or procedural ways of carrying out one method are the </w:t>
      </w:r>
      <w:r>
        <w:rPr>
          <w:i/>
          <w:iCs/>
        </w:rPr>
        <w:t>paths within a class</w:t>
      </w:r>
      <w:r>
        <w:t>. Choosing to argue by contradiction is a different act from choosing the particular words of the contradiction, and the programme insists the brain marks the difference.</w:t>
      </w:r>
    </w:p>
    <w:p w14:paraId="6F41F776" w14:textId="77777777" w:rsidR="000F1A9F" w:rsidRDefault="00000000" w:rsidP="008E03D1">
      <w:pPr>
        <w:pStyle w:val="BodyText"/>
        <w:jc w:val="both"/>
      </w:pPr>
      <w:r>
        <w:t xml:space="preserve">On the </w:t>
      </w:r>
      <w:r>
        <w:rPr>
          <w:b/>
          <w:bCs/>
        </w:rPr>
        <w:t>direct axis</w:t>
      </w:r>
      <w:r>
        <w:t xml:space="preserve">, the realization splits the labour anatomically. Prefrontal and cortico-basal-ganglia systems are candidates for </w:t>
      </w:r>
      <w:r>
        <w:rPr>
          <w:i/>
          <w:iCs/>
        </w:rPr>
        <w:t>selecting the strategy family</w:t>
      </w:r>
      <w:r>
        <w:t xml:space="preserve"> — the class-level choice — while cortical, hippocampal, and cerebellar systems </w:t>
      </w:r>
      <w:r>
        <w:rPr>
          <w:i/>
          <w:iCs/>
        </w:rPr>
        <w:t>realize and refine</w:t>
      </w:r>
      <w:r>
        <w:t xml:space="preserve"> a particular path within the chosen family. The prediction is a two-level neural signature: a stable class-level pattern that survives paraphrase, and a variable path-level pattern beneath it.</w:t>
      </w:r>
    </w:p>
    <w:p w14:paraId="50BF5923" w14:textId="77777777" w:rsidR="000F1A9F" w:rsidRDefault="00000000" w:rsidP="008E03D1">
      <w:pPr>
        <w:pStyle w:val="BodyText"/>
        <w:jc w:val="both"/>
      </w:pPr>
      <w:r>
        <w:t xml:space="preserve">On the </w:t>
      </w:r>
      <w:r>
        <w:rPr>
          <w:b/>
          <w:bCs/>
        </w:rPr>
        <w:t>indirect axis</w:t>
      </w:r>
      <w:r>
        <w:t xml:space="preserve">, the surrogate is a policy with two tiers. A </w:t>
      </w:r>
      <w:r>
        <w:rPr>
          <w:b/>
          <w:bCs/>
        </w:rPr>
        <w:t>class policy</w:t>
      </w:r>
      <w:r>
        <w:t xml:space="preserve"> selects a reasoning family; a </w:t>
      </w:r>
      <w:r>
        <w:rPr>
          <w:b/>
          <w:bCs/>
        </w:rPr>
        <w:t>path policy</w:t>
      </w:r>
      <w:r>
        <w:t xml:space="preserve"> generates an efficient, valid representative within it. And the training is deliberately shaped to reward </w:t>
      </w:r>
      <w:r>
        <w:rPr>
          <w:i/>
          <w:iCs/>
        </w:rPr>
        <w:t>genuine alternatives</w:t>
      </w:r>
      <w:r>
        <w:t xml:space="preserve"> — direct derivation, contradiction, simulation, decomposition, tool-assisted reasoning — while penalizing paraphrase inflation and the repeated sampling of one method. It preserves rare-but-valid classes rather than letting a majority strategy dominate every update. This is a real </w:t>
      </w:r>
      <w:r>
        <w:lastRenderedPageBreak/>
        <w:t xml:space="preserve">departure from counting rollouts: the unit of exploration becomes </w:t>
      </w:r>
      <w:r>
        <w:rPr>
          <w:i/>
          <w:iCs/>
        </w:rPr>
        <w:t>strategy-class coverage</w:t>
      </w:r>
      <w:r>
        <w:t>, not sample count.</w:t>
      </w:r>
    </w:p>
    <w:p w14:paraId="57CB6383" w14:textId="77777777" w:rsidR="000F1A9F" w:rsidRDefault="00000000" w:rsidP="008E03D1">
      <w:pPr>
        <w:pStyle w:val="BodyText"/>
        <w:jc w:val="both"/>
      </w:pPr>
      <w:r>
        <w:t xml:space="preserve">These are classes of </w:t>
      </w:r>
      <w:r>
        <w:rPr>
          <w:b/>
          <w:bCs/>
        </w:rPr>
        <w:t>directed</w:t>
      </w:r>
      <w:r>
        <w:t xml:space="preserve"> paths, as in the previous chapter — the class is defined up to directed homotopy, so that reversing a method is a different class, not the same one seen backward.</w:t>
      </w:r>
    </w:p>
    <w:p w14:paraId="30B58397" w14:textId="77777777" w:rsidR="000F1A9F" w:rsidRDefault="00000000" w:rsidP="008E03D1">
      <w:pPr>
        <w:pStyle w:val="BodyText"/>
        <w:jc w:val="both"/>
      </w:pPr>
      <w:r>
        <w:t xml:space="preserve">The </w:t>
      </w:r>
      <w:r>
        <w:rPr>
          <w:b/>
          <w:bCs/>
        </w:rPr>
        <w:t>falsifier</w:t>
      </w:r>
      <w:r>
        <w:t xml:space="preserve">: paraphrases should preserve a class-level signature even as detailed activity changes, whereas switching families should produce a </w:t>
      </w:r>
      <w:r>
        <w:rPr>
          <w:i/>
          <w:iCs/>
        </w:rPr>
        <w:t>larger and more structured</w:t>
      </w:r>
      <w:r>
        <w:t xml:space="preserve"> reorganization than any within-family variation. The programme is weakened precisely to the degree that all observed variation can be explained at the level of local action sequences, with no stable class-level organization above them.</w:t>
      </w:r>
    </w:p>
    <w:p w14:paraId="3E85FA04" w14:textId="77777777" w:rsidR="000F1A9F" w:rsidRDefault="00000000" w:rsidP="008E03D1">
      <w:pPr>
        <w:pStyle w:val="Heading2"/>
        <w:jc w:val="both"/>
      </w:pPr>
      <w:bookmarkStart w:id="12" w:name="the-history-indexed-state"/>
      <w:bookmarkStart w:id="13" w:name="_Toc234703291"/>
      <w:bookmarkEnd w:id="10"/>
      <w:r>
        <w:t>3. The History-Indexed State</w:t>
      </w:r>
      <w:bookmarkEnd w:id="13"/>
    </w:p>
    <w:p w14:paraId="34D55434" w14:textId="77777777" w:rsidR="000F1A9F" w:rsidRDefault="00000000" w:rsidP="008E03D1">
      <w:pPr>
        <w:pStyle w:val="FirstParagraph"/>
        <w:jc w:val="both"/>
      </w:pPr>
      <w:r>
        <w:rPr>
          <w:i/>
          <w:iCs/>
        </w:rPr>
        <w:t>Are two identical conclusions the same thought?</w:t>
      </w:r>
    </w:p>
    <w:p w14:paraId="770C262E" w14:textId="77777777" w:rsidR="000F1A9F" w:rsidRDefault="00000000" w:rsidP="008E03D1">
      <w:pPr>
        <w:pStyle w:val="BodyText"/>
        <w:jc w:val="both"/>
      </w:pPr>
      <w:r>
        <w:t xml:space="preserve">Not necessarily — and this programme is about the difference. A conclusion reached through reliable evidence, an unsupported assumption, a traumatic association, and a carefully revised context may all arrive at the </w:t>
      </w:r>
      <w:r>
        <w:rPr>
          <w:i/>
          <w:iCs/>
        </w:rPr>
        <w:t>same cortical endpoint</w:t>
      </w:r>
      <w:r>
        <w:t xml:space="preserve"> and yet must not be treated as the same cognitive state, because they license different confidence, different actions, and different revisions. What distinguishes them is not the endpoint but the </w:t>
      </w:r>
      <w:r>
        <w:rPr>
          <w:b/>
          <w:bCs/>
        </w:rPr>
        <w:t>history</w:t>
      </w:r>
      <w:r>
        <w:t xml:space="preserve"> — the route by which it was reached.</w:t>
      </w:r>
    </w:p>
    <w:p w14:paraId="2821A401" w14:textId="77777777" w:rsidR="000F1A9F" w:rsidRDefault="00000000" w:rsidP="008E03D1">
      <w:pPr>
        <w:pStyle w:val="BodyText"/>
        <w:jc w:val="both"/>
      </w:pPr>
      <w:r>
        <w:t xml:space="preserve">On the </w:t>
      </w:r>
      <w:r>
        <w:rPr>
          <w:b/>
          <w:bCs/>
        </w:rPr>
        <w:t>direct axis</w:t>
      </w:r>
      <w:r>
        <w:t xml:space="preserve">, the hippocampal–entorhinal system is proposed as a </w:t>
      </w:r>
      <w:r>
        <w:rPr>
          <w:b/>
          <w:bCs/>
        </w:rPr>
        <w:t>history-indexing</w:t>
      </w:r>
      <w:r>
        <w:t xml:space="preserve"> mechanism: it preserves separate “sheets” over a shared cortical base. The cortex represents </w:t>
      </w:r>
      <w:r>
        <w:rPr>
          <w:i/>
          <w:iCs/>
        </w:rPr>
        <w:t>what is currently believed</w:t>
      </w:r>
      <w:r>
        <w:t xml:space="preserve">; the hippocampal index helps preserve </w:t>
      </w:r>
      <w:r>
        <w:rPr>
          <w:i/>
          <w:iCs/>
        </w:rPr>
        <w:t>how that belief was reached</w:t>
      </w:r>
      <w:r>
        <w:t>. Identical conclusions reached through incompatible histories would then share cortical endpoint structure while remaining distinguishable through contextual or hippocampal activity.</w:t>
      </w:r>
    </w:p>
    <w:p w14:paraId="2D9D866B" w14:textId="77777777" w:rsidR="000F1A9F" w:rsidRDefault="00000000" w:rsidP="008E03D1">
      <w:pPr>
        <w:pStyle w:val="BodyText"/>
        <w:jc w:val="both"/>
      </w:pPr>
      <w:r>
        <w:t xml:space="preserve">On the </w:t>
      </w:r>
      <w:r>
        <w:rPr>
          <w:b/>
          <w:bCs/>
        </w:rPr>
        <w:t>indirect axis</w:t>
      </w:r>
      <w:r>
        <w:t xml:space="preserve">, the surrogate makes the history explicit in the state itself. Its runtime state is not the bare representation </w:t>
      </w:r>
      <w:r>
        <w:rPr>
          <w:rStyle w:val="VerbatimChar"/>
        </w:rPr>
        <w:t>s_t</w:t>
      </w:r>
      <w:r>
        <w:t xml:space="preserve"> but the pair </w:t>
      </w:r>
      <w:r>
        <w:rPr>
          <w:rStyle w:val="VerbatimChar"/>
        </w:rPr>
        <w:t>(s_t, [p_t])</w:t>
      </w:r>
      <w:r>
        <w:t xml:space="preserve"> — the representation together with the certified </w:t>
      </w:r>
      <w:r>
        <w:rPr>
          <w:i/>
          <w:iCs/>
        </w:rPr>
        <w:t>route class</w:t>
      </w:r>
      <w:r>
        <w:t xml:space="preserve"> by which it was reached. Two states with near-identical embeddings are then held </w:t>
      </w:r>
      <w:r>
        <w:rPr>
          <w:b/>
          <w:bCs/>
        </w:rPr>
        <w:t>separate</w:t>
      </w:r>
      <w:r>
        <w:t xml:space="preserve"> whenever their assumptions, evidence histories, or causal routes differ. This directly attacks </w:t>
      </w:r>
      <w:r>
        <w:rPr>
          <w:i/>
          <w:iCs/>
        </w:rPr>
        <w:t>state aliasing</w:t>
      </w:r>
      <w:r>
        <w:t xml:space="preserve"> — the confusion, endemic to recurrent reasoning and vector memory, of two different situations that merely happen to look alike.</w:t>
      </w:r>
    </w:p>
    <w:p w14:paraId="0F3A785D" w14:textId="77777777" w:rsidR="000F1A9F" w:rsidRDefault="00000000" w:rsidP="008E03D1">
      <w:pPr>
        <w:pStyle w:val="BodyText"/>
        <w:jc w:val="both"/>
      </w:pPr>
      <w:r>
        <w:t xml:space="preserve">This is the </w:t>
      </w:r>
      <w:r>
        <w:rPr>
          <w:b/>
          <w:bCs/>
        </w:rPr>
        <w:t>covering</w:t>
      </w:r>
      <w:r>
        <w:t xml:space="preserve"> structure of the framework, seen in cognition: the endpoint is the base, the route classes are the sheets above it, and keeping the sheets distinct is exactly what a covering space does. It is the same machinery that lets language distinguish a word’s senses by the path that reached them.</w:t>
      </w:r>
    </w:p>
    <w:p w14:paraId="512831D2" w14:textId="77777777" w:rsidR="000F1A9F" w:rsidRDefault="00000000" w:rsidP="008E03D1">
      <w:pPr>
        <w:pStyle w:val="BodyText"/>
        <w:jc w:val="both"/>
      </w:pPr>
      <w:r>
        <w:t xml:space="preserve">The </w:t>
      </w:r>
      <w:r>
        <w:rPr>
          <w:b/>
          <w:bCs/>
        </w:rPr>
        <w:t>falsifier</w:t>
      </w:r>
      <w:r>
        <w:t xml:space="preserve"> is sharp and consequential: identical conclusions reached through incompatible histories should remain distinguishable in recall, prediction, or action. If consequential path history can be </w:t>
      </w:r>
      <w:r>
        <w:rPr>
          <w:i/>
          <w:iCs/>
        </w:rPr>
        <w:t>erased</w:t>
      </w:r>
      <w:r>
        <w:t xml:space="preserve"> — if you can strip the route and measure no effect on what the system remembers, predicts, or does — then history indexing is doing no work, and the programme fails.</w:t>
      </w:r>
    </w:p>
    <w:p w14:paraId="0E0C1B4F" w14:textId="77777777" w:rsidR="000F1A9F" w:rsidRDefault="00000000" w:rsidP="008E03D1">
      <w:pPr>
        <w:pStyle w:val="Heading2"/>
        <w:jc w:val="both"/>
      </w:pPr>
      <w:bookmarkStart w:id="14" w:name="the-joint-witness"/>
      <w:bookmarkStart w:id="15" w:name="_Toc234703292"/>
      <w:bookmarkEnd w:id="12"/>
      <w:r>
        <w:lastRenderedPageBreak/>
        <w:t>4. The Joint Witness</w:t>
      </w:r>
      <w:bookmarkEnd w:id="15"/>
    </w:p>
    <w:p w14:paraId="01806D43" w14:textId="77777777" w:rsidR="000F1A9F" w:rsidRDefault="00000000" w:rsidP="008E03D1">
      <w:pPr>
        <w:pStyle w:val="FirstParagraph"/>
        <w:jc w:val="both"/>
      </w:pPr>
      <w:r>
        <w:rPr>
          <w:i/>
          <w:iCs/>
        </w:rPr>
        <w:t>When several things agree in pairs, do they agree all together?</w:t>
      </w:r>
    </w:p>
    <w:p w14:paraId="36EC425C" w14:textId="77777777" w:rsidR="000F1A9F" w:rsidRDefault="00000000" w:rsidP="008E03D1">
      <w:pPr>
        <w:pStyle w:val="BodyText"/>
        <w:jc w:val="both"/>
      </w:pPr>
      <w:r>
        <w:t xml:space="preserve">Not always — and mistaking the one for the other is among the most common failures in both brains and machines. Three features, memories, or modalities can be compatible in </w:t>
      </w:r>
      <w:r>
        <w:rPr>
          <w:i/>
          <w:iCs/>
        </w:rPr>
        <w:t>every pair</w:t>
      </w:r>
      <w:r>
        <w:t xml:space="preserve"> and yet impossible </w:t>
      </w:r>
      <w:r>
        <w:rPr>
          <w:i/>
          <w:iCs/>
        </w:rPr>
        <w:t>jointly</w:t>
      </w:r>
      <w:r>
        <w:t xml:space="preserve">: each pair fits, but the full combination does not exist. A defensible system must distinguish a genuine multi-way agreement from a mere </w:t>
      </w:r>
      <w:r>
        <w:rPr>
          <w:i/>
          <w:iCs/>
        </w:rPr>
        <w:t>clique of pairwise affinities</w:t>
      </w:r>
      <w:r>
        <w:t>.</w:t>
      </w:r>
    </w:p>
    <w:p w14:paraId="20BAA4E8" w14:textId="77777777" w:rsidR="000F1A9F" w:rsidRDefault="00000000" w:rsidP="008E03D1">
      <w:pPr>
        <w:pStyle w:val="BodyText"/>
        <w:jc w:val="both"/>
      </w:pPr>
      <w:r>
        <w:t xml:space="preserve">On the </w:t>
      </w:r>
      <w:r>
        <w:rPr>
          <w:b/>
          <w:bCs/>
        </w:rPr>
        <w:t>direct axis</w:t>
      </w:r>
      <w:r>
        <w:t xml:space="preserve">, this assigns a specific role to recurrent cortical hierarchy and higher-order thalamic routing: determining whether several local representations share a </w:t>
      </w:r>
      <w:r>
        <w:rPr>
          <w:i/>
          <w:iCs/>
        </w:rPr>
        <w:t>common higher-order overlap</w:t>
      </w:r>
      <w:r>
        <w:t xml:space="preserve">, rather than merely forming a triangle of pairwise associations. The prediction is precise and testable in perception and reasoning: in tasks where all pairs are plausible but the full combination is impossible, one should see </w:t>
      </w:r>
      <w:r>
        <w:rPr>
          <w:i/>
          <w:iCs/>
        </w:rPr>
        <w:t>strong pairwise association signals accompanied by a failure of higher-order integration or action release</w:t>
      </w:r>
      <w:r>
        <w:t xml:space="preserve"> — the pairs light up, the whole does not bind.</w:t>
      </w:r>
    </w:p>
    <w:p w14:paraId="33552349" w14:textId="77777777" w:rsidR="000F1A9F" w:rsidRDefault="00000000" w:rsidP="008E03D1">
      <w:pPr>
        <w:pStyle w:val="BodyText"/>
        <w:jc w:val="both"/>
      </w:pPr>
      <w:r>
        <w:t xml:space="preserve">On the </w:t>
      </w:r>
      <w:r>
        <w:rPr>
          <w:b/>
          <w:bCs/>
        </w:rPr>
        <w:t>indirect axis</w:t>
      </w:r>
      <w:r>
        <w:t xml:space="preserve">, the surrogate is </w:t>
      </w:r>
      <w:r>
        <w:rPr>
          <w:b/>
          <w:bCs/>
        </w:rPr>
        <w:t>Nerve-Attention</w:t>
      </w:r>
      <w:r>
        <w:t xml:space="preserve">. Ordinary self-attention supplies a weighted graph of pairwise affinities; it can say that elements are pairwise related, but not that they </w:t>
      </w:r>
      <w:r>
        <w:rPr>
          <w:i/>
          <w:iCs/>
        </w:rPr>
        <w:t>jointly</w:t>
      </w:r>
      <w:r>
        <w:t xml:space="preserve"> participate in one valid configuration. Nerve-Attention admits a higher-order structure — a filled simplex — only when an </w:t>
      </w:r>
      <w:r>
        <w:rPr>
          <w:i/>
          <w:iCs/>
        </w:rPr>
        <w:t>independent joint-overlap test</w:t>
      </w:r>
      <w:r>
        <w:t xml:space="preserve"> succeeds, rather than inferring it from a clique of strong pairwise scores. A clique of pairwise affinities is not a filled simplex, and treating it as one is a specific, nameable error.</w:t>
      </w:r>
    </w:p>
    <w:p w14:paraId="64377A8A" w14:textId="77777777" w:rsidR="000F1A9F" w:rsidRDefault="00000000" w:rsidP="008E03D1">
      <w:pPr>
        <w:pStyle w:val="BodyText"/>
        <w:jc w:val="both"/>
      </w:pPr>
      <w:r>
        <w:t xml:space="preserve">That error is the framework’s </w:t>
      </w:r>
      <w:r>
        <w:rPr>
          <w:b/>
          <w:bCs/>
        </w:rPr>
        <w:t>false zero</w:t>
      </w:r>
      <w:r>
        <w:t xml:space="preserve">, now stated at every level: admitting a </w:t>
      </w:r>
      <w:r>
        <w:rPr>
          <w:rStyle w:val="VerbatimChar"/>
        </w:rPr>
        <w:t>k</w:t>
      </w:r>
      <w:r>
        <w:t xml:space="preserve">-way structure from pairwise scores is the false zero at level </w:t>
      </w:r>
      <w:r>
        <w:rPr>
          <w:rStyle w:val="VerbatimChar"/>
        </w:rPr>
        <w:t>k</w:t>
      </w:r>
      <w:r>
        <w:t xml:space="preserve">, and the correct admission rule is the </w:t>
      </w:r>
      <w:r>
        <w:rPr>
          <w:b/>
          <w:bCs/>
        </w:rPr>
        <w:t>Čech nerve condition</w:t>
      </w:r>
      <w:r>
        <w:t xml:space="preserve"> — a </w:t>
      </w:r>
      <w:r>
        <w:rPr>
          <w:rStyle w:val="VerbatimChar"/>
        </w:rPr>
        <w:t>k</w:t>
      </w:r>
      <w:r>
        <w:t xml:space="preserve">-simplex is admitted only when the </w:t>
      </w:r>
      <w:r>
        <w:rPr>
          <w:rStyle w:val="VerbatimChar"/>
        </w:rPr>
        <w:t>k</w:t>
      </w:r>
      <w:r>
        <w:t xml:space="preserve">-fold overlap is independently witnessed. This is the deposited triple-overlap audit, generalized; the sequence-audit machinery elsewhere in the framework is its </w:t>
      </w:r>
      <w:r>
        <w:rPr>
          <w:rStyle w:val="VerbatimChar"/>
        </w:rPr>
        <w:t>k = 3</w:t>
      </w:r>
      <w:r>
        <w:t xml:space="preserve"> case. One honest limitation travels with it: the full nerve of a cover can be </w:t>
      </w:r>
      <w:r>
        <w:rPr>
          <w:i/>
          <w:iCs/>
        </w:rPr>
        <w:t>exponential</w:t>
      </w:r>
      <w:r>
        <w:t xml:space="preserve">, so a practical Nerve-Attention must </w:t>
      </w:r>
      <w:r>
        <w:rPr>
          <w:b/>
          <w:bCs/>
        </w:rPr>
        <w:t>bound</w:t>
      </w:r>
      <w:r>
        <w:t xml:space="preserve"> the overlap order — triples, occasionally quadruples — matching audit depth to the obstruction it needs to catch, rather than computing the whole nerve.</w:t>
      </w:r>
    </w:p>
    <w:p w14:paraId="3F64E3DD" w14:textId="77777777" w:rsidR="000F1A9F" w:rsidRDefault="00000000" w:rsidP="008E03D1">
      <w:pPr>
        <w:pStyle w:val="BodyText"/>
        <w:jc w:val="both"/>
      </w:pPr>
      <w:r>
        <w:t xml:space="preserve">The </w:t>
      </w:r>
      <w:r>
        <w:rPr>
          <w:b/>
          <w:bCs/>
        </w:rPr>
        <w:t>falsifier</w:t>
      </w:r>
      <w:r>
        <w:t>: in tasks engineered so that every pair is plausible but the full combination is impossible, one should observe strong pairwise signals with failed higher-order integration. If pairwise connectivity alone explains joint binding across such tasks — if the whole always binds whenever the pairs do — the programme loses its force.</w:t>
      </w:r>
    </w:p>
    <w:p w14:paraId="1C86660F" w14:textId="77777777" w:rsidR="000F1A9F" w:rsidRDefault="00000000" w:rsidP="008E03D1">
      <w:pPr>
        <w:pStyle w:val="Heading2"/>
        <w:jc w:val="both"/>
      </w:pPr>
      <w:bookmarkStart w:id="16" w:name="the-audit"/>
      <w:bookmarkStart w:id="17" w:name="_Toc234703293"/>
      <w:bookmarkEnd w:id="14"/>
      <w:r>
        <w:t>5. The Audit</w:t>
      </w:r>
      <w:bookmarkEnd w:id="17"/>
    </w:p>
    <w:p w14:paraId="6B061FF1" w14:textId="77777777" w:rsidR="000F1A9F" w:rsidRDefault="00000000" w:rsidP="008E03D1">
      <w:pPr>
        <w:pStyle w:val="FirstParagraph"/>
        <w:jc w:val="both"/>
      </w:pPr>
      <w:r>
        <w:rPr>
          <w:i/>
          <w:iCs/>
        </w:rPr>
        <w:t>What makes a coherent interpretation actually true?</w:t>
      </w:r>
    </w:p>
    <w:p w14:paraId="6504603A" w14:textId="77777777" w:rsidR="000F1A9F" w:rsidRDefault="00000000" w:rsidP="008E03D1">
      <w:pPr>
        <w:pStyle w:val="BodyText"/>
        <w:jc w:val="both"/>
      </w:pPr>
      <w:r>
        <w:t xml:space="preserve">Coherence at the level where an interpretation was generated is not enough. A hypothesis can be internally smooth and still false, and the test of it is whether it survives being carried </w:t>
      </w:r>
      <w:r>
        <w:rPr>
          <w:i/>
          <w:iCs/>
        </w:rPr>
        <w:t>back</w:t>
      </w:r>
      <w:r>
        <w:t xml:space="preserve"> to the local evidence, the context, the bodily state, and the sensory conditions it quietly presupposes. This carrying-back is the operation this programme names, and it is the heart of the whole framework: </w:t>
      </w:r>
      <w:r>
        <w:rPr>
          <w:b/>
          <w:bCs/>
        </w:rPr>
        <w:t>restriction and audit.</w:t>
      </w:r>
    </w:p>
    <w:p w14:paraId="73EC7EB0" w14:textId="77777777" w:rsidR="000F1A9F" w:rsidRDefault="00000000" w:rsidP="008E03D1">
      <w:pPr>
        <w:pStyle w:val="BodyText"/>
        <w:jc w:val="both"/>
      </w:pPr>
      <w:r>
        <w:lastRenderedPageBreak/>
        <w:t xml:space="preserve">On the </w:t>
      </w:r>
      <w:r>
        <w:rPr>
          <w:b/>
          <w:bCs/>
        </w:rPr>
        <w:t>direct axis</w:t>
      </w:r>
      <w:r>
        <w:t xml:space="preserve">, cortical feedback is read as exactly this restriction operator — the pathway that takes a high-level hypothesis and projects it down onto the domains that could falsify it. The programme’s sharpest prediction is that </w:t>
      </w:r>
      <w:r>
        <w:rPr>
          <w:i/>
          <w:iCs/>
        </w:rPr>
        <w:t>different kinds of inconsistency should look different</w:t>
      </w:r>
      <w:r>
        <w:t xml:space="preserve">, rather than collapsing into one undifferentiated error magnitude. A local disagreement, a higher-order transition inconsistency, and a globally circulating incompatibility should produce </w:t>
      </w:r>
      <w:r>
        <w:rPr>
          <w:i/>
          <w:iCs/>
        </w:rPr>
        <w:t>distinct</w:t>
      </w:r>
      <w:r>
        <w:t xml:space="preserve"> functional signatures. Corticothalamic loops, feedback pathways, and prefrontal–mediodorsal circuits are the candidate substrates for this propose–restrict–audit cycle.</w:t>
      </w:r>
    </w:p>
    <w:p w14:paraId="52C51C2C" w14:textId="77777777" w:rsidR="000F1A9F" w:rsidRDefault="00000000" w:rsidP="008E03D1">
      <w:pPr>
        <w:pStyle w:val="BodyText"/>
        <w:jc w:val="both"/>
      </w:pPr>
      <w:r>
        <w:t xml:space="preserve">On the </w:t>
      </w:r>
      <w:r>
        <w:rPr>
          <w:b/>
          <w:bCs/>
        </w:rPr>
        <w:t>indirect axis</w:t>
      </w:r>
      <w:r>
        <w:t xml:space="preserve">, the surrogate treats each reasoning class, expert, tool, or evidence source as a </w:t>
      </w:r>
      <w:r>
        <w:rPr>
          <w:b/>
          <w:bCs/>
        </w:rPr>
        <w:t>local section</w:t>
      </w:r>
      <w:r>
        <w:t xml:space="preserve"> with typed public interfaces. Restriction maps translate these onto their shared overlaps; the system then computes seam disagreement, higher-order transition inconsistency, and persistent obstruction. Crucially, the output is not the binary “agree/disagree.” It may be an exact global section, an approximate typed section, several conditional sections, a local repair, a cocycle failure, a genuine obstruction, or an honest </w:t>
      </w:r>
      <w:r>
        <w:rPr>
          <w:i/>
          <w:iCs/>
        </w:rPr>
        <w:t>non-certifiable</w:t>
      </w:r>
      <w:r>
        <w:t xml:space="preserve">. The global conclusion is projected </w:t>
      </w:r>
      <w:r>
        <w:rPr>
          <w:b/>
          <w:bCs/>
        </w:rPr>
        <w:t>only after</w:t>
      </w:r>
      <w:r>
        <w:t xml:space="preserve"> a compatible family has been established — never asserted merely because it was fluent.</w:t>
      </w:r>
    </w:p>
    <w:p w14:paraId="6ED6B619" w14:textId="77777777" w:rsidR="000F1A9F" w:rsidRDefault="00000000" w:rsidP="008E03D1">
      <w:pPr>
        <w:pStyle w:val="BodyText"/>
        <w:jc w:val="both"/>
      </w:pPr>
      <w:r>
        <w:t xml:space="preserve">This is the framework’s cohomological core in operational dress: the seam that will not close is the obstruction </w:t>
      </w:r>
      <w:r>
        <w:rPr>
          <w:rStyle w:val="VerbatimChar"/>
        </w:rPr>
        <w:t>H¹</w:t>
      </w:r>
      <w:r>
        <w:t xml:space="preserve">; the successfully assembled whole is the global section </w:t>
      </w:r>
      <w:r>
        <w:rPr>
          <w:rStyle w:val="VerbatimChar"/>
        </w:rPr>
        <w:t>H⁰</w:t>
      </w:r>
      <w:r>
        <w:t>; and the refusal to force the first into the second is what separates a defensible reasoner from a confident fabricator.</w:t>
      </w:r>
    </w:p>
    <w:p w14:paraId="3E14CF6C" w14:textId="77777777" w:rsidR="000F1A9F" w:rsidRDefault="00000000" w:rsidP="008E03D1">
      <w:pPr>
        <w:pStyle w:val="BodyText"/>
        <w:jc w:val="both"/>
      </w:pPr>
      <w:r>
        <w:t xml:space="preserve">The </w:t>
      </w:r>
      <w:r>
        <w:rPr>
          <w:b/>
          <w:bCs/>
        </w:rPr>
        <w:t>falsifier</w:t>
      </w:r>
      <w:r>
        <w:t xml:space="preserve">: a single contradictory observation should produce </w:t>
      </w:r>
      <w:r>
        <w:rPr>
          <w:i/>
          <w:iCs/>
        </w:rPr>
        <w:t>localized</w:t>
      </w:r>
      <w:r>
        <w:t xml:space="preserve"> correction, whereas a globally circulating conflict should recruit </w:t>
      </w:r>
      <w:r>
        <w:rPr>
          <w:i/>
          <w:iCs/>
        </w:rPr>
        <w:t>broader recurrent processing</w:t>
      </w:r>
      <w:r>
        <w:t xml:space="preserve"> and resist local recalibration — different signatures for different failures. The programme is weakened if all forms of cognitive inconsistency reduce to the same scalar prediction-error process, with no structural distinction between a local slip and a global impossibility.</w:t>
      </w:r>
    </w:p>
    <w:p w14:paraId="3F664344" w14:textId="77777777" w:rsidR="000F1A9F" w:rsidRDefault="00000000" w:rsidP="008E03D1">
      <w:pPr>
        <w:pStyle w:val="Heading2"/>
        <w:jc w:val="both"/>
      </w:pPr>
      <w:bookmarkStart w:id="18" w:name="the-release-gate"/>
      <w:bookmarkStart w:id="19" w:name="_Toc234703294"/>
      <w:bookmarkEnd w:id="16"/>
      <w:r>
        <w:t>6. The Release Gate</w:t>
      </w:r>
      <w:bookmarkEnd w:id="19"/>
    </w:p>
    <w:p w14:paraId="512F6A28" w14:textId="77777777" w:rsidR="000F1A9F" w:rsidRDefault="00000000" w:rsidP="008E03D1">
      <w:pPr>
        <w:pStyle w:val="FirstParagraph"/>
        <w:jc w:val="both"/>
      </w:pPr>
      <w:r>
        <w:rPr>
          <w:i/>
          <w:iCs/>
        </w:rPr>
        <w:t>Is knowing something the same as being allowed to act on it?</w:t>
      </w:r>
    </w:p>
    <w:p w14:paraId="2308744C" w14:textId="77777777" w:rsidR="000F1A9F" w:rsidRDefault="00000000" w:rsidP="008E03D1">
      <w:pPr>
        <w:pStyle w:val="BodyText"/>
        <w:jc w:val="both"/>
      </w:pPr>
      <w:r>
        <w:t xml:space="preserve">No — and conflating the two is dangerous. A conclusion can be entirely valid and still not be a licence to act, because permission, safety, responsibility, social context, bodily state, and authority are separate conditions that may not form a compatible whole. This programme separates the </w:t>
      </w:r>
      <w:r>
        <w:rPr>
          <w:i/>
          <w:iCs/>
        </w:rPr>
        <w:t>availability</w:t>
      </w:r>
      <w:r>
        <w:t xml:space="preserve"> of a representation from </w:t>
      </w:r>
      <w:r>
        <w:rPr>
          <w:i/>
          <w:iCs/>
        </w:rPr>
        <w:t>permission to act on it</w:t>
      </w:r>
      <w:r>
        <w:t>, and puts an audited gate between them.</w:t>
      </w:r>
    </w:p>
    <w:p w14:paraId="16625371" w14:textId="77777777" w:rsidR="000F1A9F" w:rsidRDefault="00000000" w:rsidP="008E03D1">
      <w:pPr>
        <w:pStyle w:val="BodyText"/>
        <w:jc w:val="both"/>
      </w:pPr>
      <w:r>
        <w:t xml:space="preserve">On the </w:t>
      </w:r>
      <w:r>
        <w:rPr>
          <w:b/>
          <w:bCs/>
        </w:rPr>
        <w:t>direct axis</w:t>
      </w:r>
      <w:r>
        <w:t xml:space="preserve">, the realization maps this separation onto known machinery. Prefrontal and association systems may </w:t>
      </w:r>
      <w:r>
        <w:rPr>
          <w:i/>
          <w:iCs/>
        </w:rPr>
        <w:t>maintain</w:t>
      </w:r>
      <w:r>
        <w:t xml:space="preserve"> a candidate plan or claim; the basal ganglia and subthalamic system </w:t>
      </w:r>
      <w:r>
        <w:rPr>
          <w:i/>
          <w:iCs/>
        </w:rPr>
        <w:t>arbitrate</w:t>
      </w:r>
      <w:r>
        <w:t xml:space="preserve"> its release — permitting, delaying, or vetoing — with a default posture of suppression. Neuromodulatory precision can tighten or loosen the release criterion according to risk. The strong prediction is a </w:t>
      </w:r>
      <w:r>
        <w:rPr>
          <w:i/>
          <w:iCs/>
        </w:rPr>
        <w:t>dissociation</w:t>
      </w:r>
      <w:r>
        <w:t>: a person may know, report, or rehearse a response while the motor or executive gate correctly blocks it, and the neural systems that maintain the winning representation should be separable from those that authorize its execution.</w:t>
      </w:r>
    </w:p>
    <w:p w14:paraId="5527C2A2" w14:textId="77777777" w:rsidR="000F1A9F" w:rsidRDefault="00000000" w:rsidP="008E03D1">
      <w:pPr>
        <w:pStyle w:val="BodyText"/>
        <w:jc w:val="both"/>
      </w:pPr>
      <w:r>
        <w:lastRenderedPageBreak/>
        <w:t xml:space="preserve">On the </w:t>
      </w:r>
      <w:r>
        <w:rPr>
          <w:b/>
          <w:bCs/>
        </w:rPr>
        <w:t>indirect axis</w:t>
      </w:r>
      <w:r>
        <w:t xml:space="preserve">, the surrogate is a </w:t>
      </w:r>
      <w:r>
        <w:rPr>
          <w:b/>
          <w:bCs/>
        </w:rPr>
        <w:t>Defensible Release Kernel</w:t>
      </w:r>
      <w:r>
        <w:t xml:space="preserve"> that maintains </w:t>
      </w:r>
      <w:r>
        <w:rPr>
          <w:i/>
          <w:iCs/>
        </w:rPr>
        <w:t>three distinct global-section spaces</w:t>
      </w:r>
      <w:r>
        <w:t xml:space="preserve"> — one for claims, one for authority, one for executable actions. A technically valid conclusion may sit in the claim space fully assembled and still be blocked, because the authority or action conditions do not cohere. The kernel’s outputs are correspondingly graded: “technically coherent but unauthorized,” “safe only under condition A,” “multiple valid actions require human selection.” It refuses to convert information directly into execution.</w:t>
      </w:r>
    </w:p>
    <w:p w14:paraId="71629D9C" w14:textId="77777777" w:rsidR="000F1A9F" w:rsidRDefault="00000000" w:rsidP="008E03D1">
      <w:pPr>
        <w:pStyle w:val="BodyText"/>
        <w:jc w:val="both"/>
      </w:pPr>
      <w:r>
        <w:t xml:space="preserve">And here the book meets its </w:t>
      </w:r>
      <w:r>
        <w:rPr>
          <w:b/>
          <w:bCs/>
        </w:rPr>
        <w:t>horizon</w:t>
      </w:r>
      <w:r>
        <w:t xml:space="preserve">. The kernel computes </w:t>
      </w:r>
      <w:r>
        <w:rPr>
          <w:b/>
          <w:bCs/>
        </w:rPr>
        <w:t>signability</w:t>
      </w:r>
      <w:r>
        <w:t xml:space="preserve"> — whether a conclusion is </w:t>
      </w:r>
      <w:r>
        <w:rPr>
          <w:i/>
          <w:iCs/>
        </w:rPr>
        <w:t>permitted</w:t>
      </w:r>
      <w:r>
        <w:t xml:space="preserve"> to be released — and that is a genuine, auditable computation. It does not compute the </w:t>
      </w:r>
      <w:r>
        <w:rPr>
          <w:b/>
          <w:bCs/>
        </w:rPr>
        <w:t>signature</w:t>
      </w:r>
      <w:r>
        <w:t xml:space="preserve"> itself: the act of taking responsibility, of </w:t>
      </w:r>
      <w:r>
        <w:rPr>
          <w:i/>
          <w:iCs/>
        </w:rPr>
        <w:t>selecting</w:t>
      </w:r>
      <w:r>
        <w:t xml:space="preserve"> among several valid actions, remains outside the machine. “Multiple valid actions require human selection” is not a shortfall of the architecture; it is its correct terminus. The kernel audits up to the horizon and hands over the pen.</w:t>
      </w:r>
    </w:p>
    <w:p w14:paraId="6F4564ED" w14:textId="77777777" w:rsidR="000F1A9F" w:rsidRDefault="00000000" w:rsidP="008E03D1">
      <w:pPr>
        <w:pStyle w:val="BodyText"/>
        <w:jc w:val="both"/>
      </w:pPr>
      <w:r>
        <w:t xml:space="preserve">The </w:t>
      </w:r>
      <w:r>
        <w:rPr>
          <w:b/>
          <w:bCs/>
        </w:rPr>
        <w:t>falsifier</w:t>
      </w:r>
      <w:r>
        <w:t xml:space="preserve">: the neural mechanisms that maintain the winning representation should be </w:t>
      </w:r>
      <w:r>
        <w:rPr>
          <w:i/>
          <w:iCs/>
        </w:rPr>
        <w:t>dissociable</w:t>
      </w:r>
      <w:r>
        <w:t xml:space="preserve"> from those that authorize its execution. If maintenance and authorization cannot be pulled apart — if knowing and permitting are one mechanism — the programme fails.</w:t>
      </w:r>
    </w:p>
    <w:p w14:paraId="543DD0A8" w14:textId="77777777" w:rsidR="000F1A9F" w:rsidRDefault="00000000" w:rsidP="008E03D1">
      <w:pPr>
        <w:pStyle w:val="Heading2"/>
        <w:jc w:val="both"/>
      </w:pPr>
      <w:bookmarkStart w:id="20" w:name="persistent-reasoning"/>
      <w:bookmarkStart w:id="21" w:name="_Toc234703295"/>
      <w:bookmarkEnd w:id="18"/>
      <w:r>
        <w:t>7. Persistent Reasoning</w:t>
      </w:r>
      <w:bookmarkEnd w:id="21"/>
    </w:p>
    <w:p w14:paraId="627AA0E9" w14:textId="77777777" w:rsidR="000F1A9F" w:rsidRDefault="00000000" w:rsidP="008E03D1">
      <w:pPr>
        <w:pStyle w:val="FirstParagraph"/>
        <w:jc w:val="both"/>
      </w:pPr>
      <w:r>
        <w:rPr>
          <w:i/>
          <w:iCs/>
        </w:rPr>
        <w:t>What makes a thought robust?</w:t>
      </w:r>
    </w:p>
    <w:p w14:paraId="157BE95B" w14:textId="77777777" w:rsidR="000F1A9F" w:rsidRDefault="00000000" w:rsidP="008E03D1">
      <w:pPr>
        <w:pStyle w:val="BodyText"/>
        <w:jc w:val="both"/>
      </w:pPr>
      <w:r>
        <w:t xml:space="preserve">Not that it reproduces one identical trajectory every time — that would be brittleness, not robustness. A robust thought is </w:t>
      </w:r>
      <w:r>
        <w:rPr>
          <w:b/>
          <w:bCs/>
        </w:rPr>
        <w:t>stable in the ways that should not matter and responsive in the ways that should</w:t>
      </w:r>
      <w:r>
        <w:t xml:space="preserve">: it survives paraphrase, viewpoint, retrieval order, moderate noise, and contextual variation, while it correctly </w:t>
      </w:r>
      <w:r>
        <w:rPr>
          <w:i/>
          <w:iCs/>
        </w:rPr>
        <w:t>reorganizes</w:t>
      </w:r>
      <w:r>
        <w:t xml:space="preserve"> when the evidence or the assumptions genuinely change. Robustness is </w:t>
      </w:r>
      <w:r>
        <w:rPr>
          <w:i/>
          <w:iCs/>
        </w:rPr>
        <w:t>selective</w:t>
      </w:r>
      <w:r>
        <w:t xml:space="preserve"> stability, and this programme makes the selection precise.</w:t>
      </w:r>
    </w:p>
    <w:p w14:paraId="4DB41250" w14:textId="77777777" w:rsidR="000F1A9F" w:rsidRDefault="00000000" w:rsidP="008E03D1">
      <w:pPr>
        <w:pStyle w:val="BodyText"/>
        <w:jc w:val="both"/>
      </w:pPr>
      <w:r>
        <w:t xml:space="preserve">On the </w:t>
      </w:r>
      <w:r>
        <w:rPr>
          <w:b/>
          <w:bCs/>
        </w:rPr>
        <w:t>direct axis</w:t>
      </w:r>
      <w:r>
        <w:t xml:space="preserve">, a stable thought is realized not by one trajectory but by a </w:t>
      </w:r>
      <w:r>
        <w:rPr>
          <w:i/>
          <w:iCs/>
        </w:rPr>
        <w:t>persistent family</w:t>
      </w:r>
      <w:r>
        <w:t xml:space="preserve"> of them — trajectories, strategy classes, and compatible global states that vary microscopically while preserving a mesoscopic structure. The prediction is a specific mismatch of scales: high variability at the level of individual neural trajectories, together with stability at the appropriate structural level, and </w:t>
      </w:r>
      <w:r>
        <w:rPr>
          <w:i/>
          <w:iCs/>
        </w:rPr>
        <w:t>abrupt reorganization</w:t>
      </w:r>
      <w:r>
        <w:t xml:space="preserve"> near genuine semantic or decision boundaries. Where nothing important changes, the structure should hold despite noisy activity; where something important changes, the structure should visibly split or replace itself.</w:t>
      </w:r>
    </w:p>
    <w:p w14:paraId="102F6121" w14:textId="77777777" w:rsidR="000F1A9F" w:rsidRDefault="00000000" w:rsidP="008E03D1">
      <w:pPr>
        <w:pStyle w:val="BodyText"/>
        <w:jc w:val="both"/>
      </w:pPr>
      <w:r>
        <w:t xml:space="preserve">On the </w:t>
      </w:r>
      <w:r>
        <w:rPr>
          <w:b/>
          <w:bCs/>
        </w:rPr>
        <w:t>indirect axis</w:t>
      </w:r>
      <w:r>
        <w:t xml:space="preserve">, the surrogate evaluates not a single certified complex but a </w:t>
      </w:r>
      <w:r>
        <w:rPr>
          <w:i/>
          <w:iCs/>
        </w:rPr>
        <w:t>family</w:t>
      </w:r>
      <w:r>
        <w:t xml:space="preserve"> of them, generated under paraphrase, evidence reorder, model change, tool substitution, numerical perturbation, scale, time, and distribution shift. It asks which structures — states, classes, sections, obstructions — can be </w:t>
      </w:r>
      <w:r>
        <w:rPr>
          <w:i/>
          <w:iCs/>
        </w:rPr>
        <w:t>transported</w:t>
      </w:r>
      <w:r>
        <w:t xml:space="preserve"> across the family while preserving protected invariants. Monotone changes are studied through </w:t>
      </w:r>
      <w:r>
        <w:rPr>
          <w:b/>
          <w:bCs/>
        </w:rPr>
        <w:t>filtrations</w:t>
      </w:r>
      <w:r>
        <w:t xml:space="preserve">; additions and withdrawals of evidence, which are not monotone, require </w:t>
      </w:r>
      <w:r>
        <w:rPr>
          <w:b/>
          <w:bCs/>
        </w:rPr>
        <w:t>zigzag</w:t>
      </w:r>
      <w:r>
        <w:t xml:space="preserve"> tracking. The goal, stated plainly, is to </w:t>
      </w:r>
      <w:r>
        <w:rPr>
          <w:i/>
          <w:iCs/>
        </w:rPr>
        <w:t xml:space="preserve">preserve structure under irrelevant change and revise correctly </w:t>
      </w:r>
      <w:r>
        <w:rPr>
          <w:i/>
          <w:iCs/>
        </w:rPr>
        <w:lastRenderedPageBreak/>
        <w:t>under consequential change</w:t>
      </w:r>
      <w:r>
        <w:t xml:space="preserve"> — and to know, for any apparent invariant, whether to expect it at the level of the trajectory, the class, the section, or the obstruction.</w:t>
      </w:r>
    </w:p>
    <w:p w14:paraId="04ADEF35" w14:textId="77777777" w:rsidR="000F1A9F" w:rsidRDefault="00000000" w:rsidP="008E03D1">
      <w:pPr>
        <w:pStyle w:val="BodyText"/>
        <w:jc w:val="both"/>
      </w:pPr>
      <w:r>
        <w:t xml:space="preserve">The </w:t>
      </w:r>
      <w:r>
        <w:rPr>
          <w:b/>
          <w:bCs/>
        </w:rPr>
        <w:t>falsifier</w:t>
      </w:r>
      <w:r>
        <w:t xml:space="preserve"> cuts both ways, which is its strength: the programme is weakened if robust reasoning turns out to </w:t>
      </w:r>
      <w:r>
        <w:rPr>
          <w:i/>
          <w:iCs/>
        </w:rPr>
        <w:t>require</w:t>
      </w:r>
      <w:r>
        <w:t xml:space="preserve"> nearly identical trajectories (stability bought by rigidity, not structure), and equally weakened if consequential evidence </w:t>
      </w:r>
      <w:r>
        <w:rPr>
          <w:i/>
          <w:iCs/>
        </w:rPr>
        <w:t>fails</w:t>
      </w:r>
      <w:r>
        <w:t xml:space="preserve"> to reorganize the structure (stability that is really just inertia). Genuine robustness must show both faces — variability below, stability above, and a clean break at the boundary.</w:t>
      </w:r>
    </w:p>
    <w:p w14:paraId="1FBE6AEB" w14:textId="77777777" w:rsidR="000F1A9F" w:rsidRDefault="00000000" w:rsidP="008E03D1">
      <w:pPr>
        <w:pStyle w:val="Heading2"/>
        <w:jc w:val="both"/>
      </w:pPr>
      <w:bookmarkStart w:id="22" w:name="seeking-the-seam"/>
      <w:bookmarkStart w:id="23" w:name="_Toc234703296"/>
      <w:bookmarkEnd w:id="20"/>
      <w:r>
        <w:t>8. Seeking the Seam</w:t>
      </w:r>
      <w:bookmarkEnd w:id="23"/>
    </w:p>
    <w:p w14:paraId="671888B8" w14:textId="77777777" w:rsidR="000F1A9F" w:rsidRDefault="00000000" w:rsidP="008E03D1">
      <w:pPr>
        <w:pStyle w:val="FirstParagraph"/>
        <w:jc w:val="both"/>
      </w:pPr>
      <w:r>
        <w:rPr>
          <w:i/>
          <w:iCs/>
        </w:rPr>
        <w:t>Where should a mind look next?</w:t>
      </w:r>
    </w:p>
    <w:p w14:paraId="3341E265" w14:textId="77777777" w:rsidR="000F1A9F" w:rsidRDefault="00000000" w:rsidP="008E03D1">
      <w:pPr>
        <w:pStyle w:val="BodyText"/>
        <w:jc w:val="both"/>
      </w:pPr>
      <w:r>
        <w:t xml:space="preserve">Not, this programme argues, simply toward whatever is most salient, most rewarding, or most uncertain. An intelligent system should look toward the </w:t>
      </w:r>
      <w:r>
        <w:rPr>
          <w:b/>
          <w:bCs/>
        </w:rPr>
        <w:t>interface where unresolved incompatibility is most informative</w:t>
      </w:r>
      <w:r>
        <w:t xml:space="preserve"> — the seam where the remaining coherent interpretations most sharply disagree, because that is where an observation would decide the most.</w:t>
      </w:r>
    </w:p>
    <w:p w14:paraId="01971795" w14:textId="77777777" w:rsidR="000F1A9F" w:rsidRDefault="00000000" w:rsidP="008E03D1">
      <w:pPr>
        <w:pStyle w:val="BodyText"/>
        <w:jc w:val="both"/>
      </w:pPr>
      <w:r>
        <w:t xml:space="preserve">On the </w:t>
      </w:r>
      <w:r>
        <w:rPr>
          <w:b/>
          <w:bCs/>
        </w:rPr>
        <w:t>direct axis</w:t>
      </w:r>
      <w:r>
        <w:t xml:space="preserve">, this recasts attention and active sampling as </w:t>
      </w:r>
      <w:r>
        <w:rPr>
          <w:b/>
          <w:bCs/>
        </w:rPr>
        <w:t>obstruction-directed</w:t>
      </w:r>
      <w:r>
        <w:t xml:space="preserve">. Prefrontal control, hippocampal novelty systems, active vision, memory retrieval, and basal-ganglia selection may jointly determine which observation, recollection, or question would best distinguish the surviving interpretations. The concrete prediction is targeted rather than diffuse: when a conflict depends specifically on </w:t>
      </w:r>
      <w:r>
        <w:rPr>
          <w:i/>
          <w:iCs/>
        </w:rPr>
        <w:t>timing</w:t>
      </w:r>
      <w:r>
        <w:t xml:space="preserve">, the system should seek </w:t>
      </w:r>
      <w:r>
        <w:rPr>
          <w:i/>
          <w:iCs/>
        </w:rPr>
        <w:t>timing</w:t>
      </w:r>
      <w:r>
        <w:t xml:space="preserve"> evidence, not raise global attention indiscriminately; eye movements, memory search, and information-seeking behaviour should concentrate on the particular semantic slot carrying the dominant conflict.</w:t>
      </w:r>
    </w:p>
    <w:p w14:paraId="1C706F45" w14:textId="77777777" w:rsidR="000F1A9F" w:rsidRDefault="00000000" w:rsidP="008E03D1">
      <w:pPr>
        <w:pStyle w:val="BodyText"/>
        <w:jc w:val="both"/>
      </w:pPr>
      <w:r>
        <w:t xml:space="preserve">On the </w:t>
      </w:r>
      <w:r>
        <w:rPr>
          <w:b/>
          <w:bCs/>
        </w:rPr>
        <w:t>indirect axis</w:t>
      </w:r>
      <w:r>
        <w:t xml:space="preserve">, the surrogate is an </w:t>
      </w:r>
      <w:r>
        <w:rPr>
          <w:b/>
          <w:bCs/>
        </w:rPr>
        <w:t>Active Cohomological Experimenter</w:t>
      </w:r>
      <w:r>
        <w:t xml:space="preserve">. It begins with a persistent obstruction, localizes it to specific interfaces and semantic slots, generates admissible interventions — a clarifying question, an evidence request, an independent tool call, a higher-cell verification, a state split, a cover refinement, an assumption change, an escalation — and ranks them by expected information gain, obstruction reduction, action discrimination, cost, delay, risk, reversibility, and authority. It even weighs the value of </w:t>
      </w:r>
      <w:r>
        <w:rPr>
          <w:i/>
          <w:iCs/>
        </w:rPr>
        <w:t>more internal reasoning</w:t>
      </w:r>
      <w:r>
        <w:t xml:space="preserve"> against the value of </w:t>
      </w:r>
      <w:r>
        <w:rPr>
          <w:i/>
          <w:iCs/>
        </w:rPr>
        <w:t>external evidence</w:t>
      </w:r>
      <w:r>
        <w:t>, deciding when to think harder and when to go look.</w:t>
      </w:r>
    </w:p>
    <w:p w14:paraId="20697021" w14:textId="77777777" w:rsidR="000F1A9F" w:rsidRDefault="00000000" w:rsidP="008E03D1">
      <w:pPr>
        <w:pStyle w:val="BodyText"/>
        <w:jc w:val="both"/>
      </w:pPr>
      <w:r>
        <w:t xml:space="preserve">This is the book’s </w:t>
      </w:r>
      <w:r>
        <w:rPr>
          <w:b/>
          <w:bCs/>
        </w:rPr>
        <w:t>structure, not scalar</w:t>
      </w:r>
      <w:r>
        <w:t xml:space="preserve"> commitment at its most pointed. Generic curiosity samples toward high uncertainty, a single number; this samples toward the </w:t>
      </w:r>
      <w:r>
        <w:rPr>
          <w:i/>
          <w:iCs/>
        </w:rPr>
        <w:t>structurally located contradiction</w:t>
      </w:r>
      <w:r>
        <w:t>, which a scalar cannot even represent. The difference between “I am uncertain” and “the conflict is specifically at the timing interface” is the difference between flailing and inquiry.</w:t>
      </w:r>
    </w:p>
    <w:p w14:paraId="07FF5A9A" w14:textId="77777777" w:rsidR="000F1A9F" w:rsidRDefault="00000000" w:rsidP="008E03D1">
      <w:pPr>
        <w:pStyle w:val="BodyText"/>
        <w:jc w:val="both"/>
      </w:pPr>
      <w:r>
        <w:t xml:space="preserve">The </w:t>
      </w:r>
      <w:r>
        <w:rPr>
          <w:b/>
          <w:bCs/>
        </w:rPr>
        <w:t>falsifier</w:t>
      </w:r>
      <w:r>
        <w:t xml:space="preserve">: information-seeking should be sensitive to </w:t>
      </w:r>
      <w:r>
        <w:rPr>
          <w:i/>
          <w:iCs/>
        </w:rPr>
        <w:t>where</w:t>
      </w:r>
      <w:r>
        <w:t xml:space="preserve"> the contradiction is structurally located, not merely to </w:t>
      </w:r>
      <w:r>
        <w:rPr>
          <w:i/>
          <w:iCs/>
        </w:rPr>
        <w:t>how much</w:t>
      </w:r>
      <w:r>
        <w:t xml:space="preserve"> uncertainty there is. If active sampling is fully explained by scalar uncertainty or reward, with no sensitivity to the location of the conflict, the programme fails.</w:t>
      </w:r>
    </w:p>
    <w:p w14:paraId="6A436F0B" w14:textId="77777777" w:rsidR="000F1A9F" w:rsidRDefault="00000000" w:rsidP="008E03D1">
      <w:pPr>
        <w:pStyle w:val="Heading2"/>
        <w:jc w:val="both"/>
      </w:pPr>
      <w:bookmarkStart w:id="24" w:name="the-offline-repair"/>
      <w:bookmarkStart w:id="25" w:name="_Toc234703297"/>
      <w:bookmarkEnd w:id="22"/>
      <w:r>
        <w:lastRenderedPageBreak/>
        <w:t>9. The Offline Repair</w:t>
      </w:r>
      <w:bookmarkEnd w:id="25"/>
    </w:p>
    <w:p w14:paraId="3807D7D2" w14:textId="77777777" w:rsidR="000F1A9F" w:rsidRDefault="00000000" w:rsidP="008E03D1">
      <w:pPr>
        <w:pStyle w:val="FirstParagraph"/>
        <w:jc w:val="both"/>
      </w:pPr>
      <w:r>
        <w:rPr>
          <w:i/>
          <w:iCs/>
        </w:rPr>
        <w:t>What is sleep for, computationally?</w:t>
      </w:r>
    </w:p>
    <w:p w14:paraId="1FEF54C7" w14:textId="77777777" w:rsidR="000F1A9F" w:rsidRDefault="00000000" w:rsidP="008E03D1">
      <w:pPr>
        <w:pStyle w:val="BodyText"/>
        <w:jc w:val="both"/>
      </w:pPr>
      <w:r>
        <w:t xml:space="preserve">Not uniform strengthening — not simply reinforcing whatever was repeated most. This programme reads offline replay as </w:t>
      </w:r>
      <w:r>
        <w:rPr>
          <w:b/>
          <w:bCs/>
        </w:rPr>
        <w:t>structural reorganization</w:t>
      </w:r>
      <w:r>
        <w:t xml:space="preserve">: the sorting-out of everything waking cognition accumulated but could not resolve in real time. Waking leaves behind alternative routes, unresolved seams, provisional equivalences, and contextual conflicts; the offline phase </w:t>
      </w:r>
      <w:r>
        <w:rPr>
          <w:i/>
          <w:iCs/>
        </w:rPr>
        <w:t>classifies</w:t>
      </w:r>
      <w:r>
        <w:t xml:space="preserve"> them.</w:t>
      </w:r>
    </w:p>
    <w:p w14:paraId="3B9426B1" w14:textId="77777777" w:rsidR="000F1A9F" w:rsidRDefault="00000000" w:rsidP="008E03D1">
      <w:pPr>
        <w:pStyle w:val="BodyText"/>
        <w:jc w:val="both"/>
      </w:pPr>
      <w:r>
        <w:t xml:space="preserve">On the </w:t>
      </w:r>
      <w:r>
        <w:rPr>
          <w:b/>
          <w:bCs/>
        </w:rPr>
        <w:t>direct axis</w:t>
      </w:r>
      <w:r>
        <w:t xml:space="preserve">, consolidation is selective repair. Some loops are </w:t>
      </w:r>
      <w:r>
        <w:rPr>
          <w:i/>
          <w:iCs/>
        </w:rPr>
        <w:t>filled</w:t>
      </w:r>
      <w:r>
        <w:t xml:space="preserve"> — closed — because two paths have been verified equivalent. Some are </w:t>
      </w:r>
      <w:r>
        <w:rPr>
          <w:i/>
          <w:iCs/>
        </w:rPr>
        <w:t>preserved</w:t>
      </w:r>
      <w:r>
        <w:t xml:space="preserve"> as lawful recurrent or alternative structures. Some are </w:t>
      </w:r>
      <w:r>
        <w:rPr>
          <w:i/>
          <w:iCs/>
        </w:rPr>
        <w:t>blocked</w:t>
      </w:r>
      <w:r>
        <w:t xml:space="preserve"> as unresolved contradictions rather than smoothed over. And some trigger </w:t>
      </w:r>
      <w:r>
        <w:rPr>
          <w:i/>
          <w:iCs/>
        </w:rPr>
        <w:t>cover refinement</w:t>
      </w:r>
      <w:r>
        <w:t xml:space="preserve"> or </w:t>
      </w:r>
      <w:r>
        <w:rPr>
          <w:i/>
          <w:iCs/>
        </w:rPr>
        <w:t>context splitting</w:t>
      </w:r>
      <w:r>
        <w:t xml:space="preserve">, pulling apart states that were falsely merged. NREM and N3 are candidate regimes for replay, path comparison, and stable re-coordination; REM may contribute to affective or context-dependent rebinding — though the stage allocation is left honestly open. The decisive prediction is </w:t>
      </w:r>
      <w:r>
        <w:rPr>
          <w:i/>
          <w:iCs/>
        </w:rPr>
        <w:t>selectivity</w:t>
      </w:r>
      <w:r>
        <w:t xml:space="preserve">: sleep should sometimes </w:t>
      </w:r>
      <w:r>
        <w:rPr>
          <w:i/>
          <w:iCs/>
        </w:rPr>
        <w:t>merge</w:t>
      </w:r>
      <w:r>
        <w:t xml:space="preserve"> routes, sometimes </w:t>
      </w:r>
      <w:r>
        <w:rPr>
          <w:i/>
          <w:iCs/>
        </w:rPr>
        <w:t>separate</w:t>
      </w:r>
      <w:r>
        <w:t xml:space="preserve"> memories, and sometimes </w:t>
      </w:r>
      <w:r>
        <w:rPr>
          <w:i/>
          <w:iCs/>
        </w:rPr>
        <w:t>preserve</w:t>
      </w:r>
      <w:r>
        <w:t xml:space="preserve"> an unresolved conflict, rather than uniformly strengthening frequent traces.</w:t>
      </w:r>
    </w:p>
    <w:p w14:paraId="3D9D2A52" w14:textId="77777777" w:rsidR="000F1A9F" w:rsidRDefault="00000000" w:rsidP="008E03D1">
      <w:pPr>
        <w:pStyle w:val="BodyText"/>
        <w:jc w:val="both"/>
      </w:pPr>
      <w:r>
        <w:t xml:space="preserve">On the </w:t>
      </w:r>
      <w:r>
        <w:rPr>
          <w:b/>
          <w:bCs/>
        </w:rPr>
        <w:t>indirect axis</w:t>
      </w:r>
      <w:r>
        <w:t xml:space="preserve">, the surrogate divides cognition into online and offline regimes. Online, under a real-time budget, it generates, compiles, audits, withholds, and </w:t>
      </w:r>
      <w:r>
        <w:rPr>
          <w:i/>
          <w:iCs/>
        </w:rPr>
        <w:t>tags</w:t>
      </w:r>
      <w:r>
        <w:t xml:space="preserve"> unresolved structures. Offline, freed of that budget, it replays trajectories, verifies equivalence witnesses, refines covers, separates falsely merged states, updates restriction maps, crystallizes compatible global sections, preserves lawful cycles, and rebuilds efficient search indices. The result is a memory stored not as a single vector database or tree but as a </w:t>
      </w:r>
      <w:r>
        <w:rPr>
          <w:b/>
          <w:bCs/>
        </w:rPr>
        <w:t>certified routing spine</w:t>
      </w:r>
      <w:r>
        <w:t xml:space="preserve"> together with lawful cycle bases, blocked seams, provenance, and unresolved debts — the framework’s certified memory, made concrete.</w:t>
      </w:r>
    </w:p>
    <w:p w14:paraId="516D5358" w14:textId="77777777" w:rsidR="000F1A9F" w:rsidRDefault="00000000" w:rsidP="008E03D1">
      <w:pPr>
        <w:pStyle w:val="BodyText"/>
        <w:jc w:val="both"/>
      </w:pPr>
      <w:r>
        <w:t xml:space="preserve">This is the offline </w:t>
      </w:r>
      <w:r>
        <w:rPr>
          <w:b/>
          <w:bCs/>
        </w:rPr>
        <w:t>lift</w:t>
      </w:r>
      <w:r>
        <w:t xml:space="preserve"> of the enrichment ladder: the costly, global, structure-building work that cannot be done at speed, deferred to a protected time and run with the doors closed. Controlled ablations — of replay, of class merging, of cover refinement, of obstruction retention — can reveal which of these operations are actually necessary for continual reasoning, and each such result sharpens a neuroscientific hypothesis about what sleep is doing.</w:t>
      </w:r>
    </w:p>
    <w:p w14:paraId="6A2342B7" w14:textId="77777777" w:rsidR="000F1A9F" w:rsidRDefault="00000000" w:rsidP="008E03D1">
      <w:pPr>
        <w:pStyle w:val="BodyText"/>
        <w:jc w:val="both"/>
      </w:pPr>
      <w:r>
        <w:t xml:space="preserve">The </w:t>
      </w:r>
      <w:r>
        <w:rPr>
          <w:b/>
          <w:bCs/>
        </w:rPr>
        <w:t>falsifier</w:t>
      </w:r>
      <w:r>
        <w:t xml:space="preserve">: consolidation should be </w:t>
      </w:r>
      <w:r>
        <w:rPr>
          <w:i/>
          <w:iCs/>
        </w:rPr>
        <w:t>structurally selective</w:t>
      </w:r>
      <w:r>
        <w:t xml:space="preserve"> — merging, separating, and preserving as the structure demands. Uniform replay or compression, strengthening without selectivity, would weaken the programme.</w:t>
      </w:r>
    </w:p>
    <w:p w14:paraId="65C347F6" w14:textId="77777777" w:rsidR="000F1A9F" w:rsidRDefault="00000000" w:rsidP="008E03D1">
      <w:pPr>
        <w:jc w:val="both"/>
      </w:pPr>
      <w:r>
        <w:pict w14:anchorId="58EC2069">
          <v:rect id="_x0000_i1075" style="width:0;height:1.5pt" o:hralign="center" o:hrstd="t" o:hr="t"/>
        </w:pict>
      </w:r>
    </w:p>
    <w:p w14:paraId="0FAC8E46" w14:textId="77777777" w:rsidR="000F1A9F" w:rsidRDefault="00000000" w:rsidP="008E03D1">
      <w:pPr>
        <w:pStyle w:val="Heading2"/>
        <w:jc w:val="both"/>
      </w:pPr>
      <w:bookmarkStart w:id="26" w:name="closing-the-pen-at-the-horizon"/>
      <w:bookmarkStart w:id="27" w:name="_Toc234703298"/>
      <w:bookmarkEnd w:id="24"/>
      <w:r>
        <w:t>Closing — The Pen at the Horizon</w:t>
      </w:r>
      <w:bookmarkEnd w:id="27"/>
    </w:p>
    <w:p w14:paraId="69DAC81A" w14:textId="77777777" w:rsidR="000F1A9F" w:rsidRDefault="00000000" w:rsidP="008E03D1">
      <w:pPr>
        <w:pStyle w:val="FirstParagraph"/>
        <w:jc w:val="both"/>
      </w:pPr>
      <w:r>
        <w:t>Nine operations, each built twice. Read back across them, the shape of the whole becomes visible, and it is worth stating plainly.</w:t>
      </w:r>
    </w:p>
    <w:p w14:paraId="093B81E3" w14:textId="77777777" w:rsidR="000F1A9F" w:rsidRDefault="00000000" w:rsidP="008E03D1">
      <w:pPr>
        <w:pStyle w:val="BodyText"/>
        <w:jc w:val="both"/>
      </w:pPr>
      <w:r>
        <w:lastRenderedPageBreak/>
        <w:t xml:space="preserve">The </w:t>
      </w:r>
      <w:r>
        <w:rPr>
          <w:b/>
          <w:bCs/>
        </w:rPr>
        <w:t>Paired Principle</w:t>
      </w:r>
      <w:r>
        <w:t xml:space="preserve"> did the binding. It refused to let a neural hypothesis and its executable surrogate be called “the same” on the strength of a loose resemblance, and demanded instead that a translation between them preserve five invariants — semantic identity, causal direction, refusal, prediction, falsifier. That strictness is not pedantry; it is what makes the method </w:t>
      </w:r>
      <w:r>
        <w:rPr>
          <w:i/>
          <w:iCs/>
        </w:rPr>
        <w:t>work</w:t>
      </w:r>
      <w:r>
        <w:t>. It is what stops the code from being a flattering cartoon of the brain, and what stops the brain-talk from being an unfalsifiable gloss on the code. Each pair is one programme only up to the structure that must be preserved, and the moment a translation reverses an inference or quietly drops a refusal, it has changed the programme, not merely restated it. That is a functor, not a homotopy — a correspondence that keeps the load-bearing structure and lets the rest go.</w:t>
      </w:r>
    </w:p>
    <w:p w14:paraId="4AF29F48" w14:textId="77777777" w:rsidR="000F1A9F" w:rsidRDefault="00000000" w:rsidP="008E03D1">
      <w:pPr>
        <w:pStyle w:val="BodyText"/>
        <w:jc w:val="both"/>
      </w:pPr>
      <w:r>
        <w:t xml:space="preserve">Two commitments ran underneath all nine, and they are the book’s real thesis. The first is </w:t>
      </w:r>
      <w:r>
        <w:rPr>
          <w:b/>
          <w:bCs/>
        </w:rPr>
        <w:t>structure, not scalar</w:t>
      </w:r>
      <w:r>
        <w:t xml:space="preserve">. Again and again — in how inconsistency is audited, in where attention is sent, in what memory stores — the programme earned its machinery by refusing to collapse reasoning into a single number. A prediction error, an uncertainty, a reward: each is a summary that discards the very thing a defensible mind must keep — </w:t>
      </w:r>
      <w:r>
        <w:rPr>
          <w:i/>
          <w:iCs/>
        </w:rPr>
        <w:t>which</w:t>
      </w:r>
      <w:r>
        <w:t xml:space="preserve"> seam, </w:t>
      </w:r>
      <w:r>
        <w:rPr>
          <w:i/>
          <w:iCs/>
        </w:rPr>
        <w:t>which</w:t>
      </w:r>
      <w:r>
        <w:t xml:space="preserve"> direction, </w:t>
      </w:r>
      <w:r>
        <w:rPr>
          <w:i/>
          <w:iCs/>
        </w:rPr>
        <w:t>which</w:t>
      </w:r>
      <w:r>
        <w:t xml:space="preserve"> strategy, </w:t>
      </w:r>
      <w:r>
        <w:rPr>
          <w:i/>
          <w:iCs/>
        </w:rPr>
        <w:t>which</w:t>
      </w:r>
      <w:r>
        <w:t xml:space="preserve"> obstruction. The nine chapters are, at bottom, nine demonstrations that a particular scalar throws away something structural, and nine reconstructions of the structure it threw away.</w:t>
      </w:r>
    </w:p>
    <w:p w14:paraId="58D56160" w14:textId="77777777" w:rsidR="000F1A9F" w:rsidRDefault="00000000" w:rsidP="008E03D1">
      <w:pPr>
        <w:pStyle w:val="BodyText"/>
        <w:jc w:val="both"/>
      </w:pPr>
      <w:r>
        <w:t xml:space="preserve">The second commitment is the </w:t>
      </w:r>
      <w:r>
        <w:rPr>
          <w:b/>
          <w:bCs/>
        </w:rPr>
        <w:t>signature horizon</w:t>
      </w:r>
      <w:r>
        <w:t xml:space="preserve">, and it is where the book ends because it is where the machinery ends. Every one of the nine operations audits, computes, refuses, or repairs — and not one of them </w:t>
      </w:r>
      <w:r>
        <w:rPr>
          <w:i/>
          <w:iCs/>
        </w:rPr>
        <w:t>signs</w:t>
      </w:r>
      <w:r>
        <w:t>. The release gate computes what may be signed and stops; the experimenter surfaces the decisive question and stops; the memory certifies what is lawful and stops. “Multiple valid actions require human selection” is not a gap to be closed by a better model. It is the correct terminus of a defensible system: the machine reasons all the way to the edge of responsibility, and there it hands over the pen. A framework that pretended to sign — that converted a coherent conclusion directly into an authorized act — would have crossed exactly the line this whole book was built to hold.</w:t>
      </w:r>
    </w:p>
    <w:p w14:paraId="0D058003" w14:textId="77777777" w:rsidR="000F1A9F" w:rsidRDefault="00000000" w:rsidP="008E03D1">
      <w:pPr>
        <w:pStyle w:val="BodyText"/>
        <w:jc w:val="both"/>
      </w:pPr>
      <w:r>
        <w:t xml:space="preserve">What the reader is left with is not a finished theory of mind but a </w:t>
      </w:r>
      <w:r>
        <w:rPr>
          <w:b/>
          <w:bCs/>
        </w:rPr>
        <w:t>research structure</w:t>
      </w:r>
      <w:r>
        <w:t>: nine operations, each with a falsifiable neural hypothesis and a runnable instrument to test it, bound by a rule strict enough to keep both honest. The direct axis says what the brain might do. The indirect axis builds the surrogate that makes the saying testable. And the pairing between them, preserved invariant by invariant, is the discipline that turns a beautiful idea about the mind into something science can actually break.</w:t>
      </w:r>
    </w:p>
    <w:p w14:paraId="270CA84A" w14:textId="77777777" w:rsidR="000F1A9F" w:rsidRDefault="00000000" w:rsidP="008E03D1">
      <w:pPr>
        <w:pStyle w:val="BodyText"/>
        <w:jc w:val="both"/>
      </w:pPr>
      <w:r>
        <w:rPr>
          <w:i/>
          <w:iCs/>
        </w:rPr>
        <w:t>Respect science. Import emotion.</w:t>
      </w:r>
    </w:p>
    <w:p w14:paraId="2BA0F760" w14:textId="77777777" w:rsidR="000F1A9F" w:rsidRDefault="00000000" w:rsidP="008E03D1">
      <w:pPr>
        <w:jc w:val="both"/>
      </w:pPr>
      <w:r>
        <w:pict w14:anchorId="75A43E73">
          <v:rect id="_x0000_i1076" style="width:0;height:1.5pt" o:hralign="center" o:hrstd="t" o:hr="t"/>
        </w:pict>
      </w:r>
    </w:p>
    <w:p w14:paraId="593EE535" w14:textId="77777777" w:rsidR="000F1A9F" w:rsidRDefault="00000000" w:rsidP="008E03D1">
      <w:pPr>
        <w:pStyle w:val="Heading2"/>
        <w:jc w:val="both"/>
      </w:pPr>
      <w:bookmarkStart w:id="28" w:name="X20908dd2243223097f700309ac4adbf5cba0ca9"/>
      <w:bookmarkStart w:id="29" w:name="_Toc234703299"/>
      <w:bookmarkEnd w:id="26"/>
      <w:r>
        <w:t>End Matter — A Note on Tiers, and the Corpus Beneath</w:t>
      </w:r>
      <w:bookmarkEnd w:id="29"/>
    </w:p>
    <w:p w14:paraId="5CEBF918" w14:textId="77777777" w:rsidR="000F1A9F" w:rsidRDefault="00000000" w:rsidP="008E03D1">
      <w:pPr>
        <w:pStyle w:val="FirstParagraph"/>
        <w:jc w:val="both"/>
      </w:pPr>
      <w:r>
        <w:t xml:space="preserve">This book is a synthesis; nearly every operation in it was established, more rigorously and with its mathematics fully cited, in the deposits of the Defensible Intelligence series. For the reader who wants the machinery, the correspondences are: the reasoning complex and its audit rest on </w:t>
      </w:r>
      <w:r>
        <w:rPr>
          <w:b/>
          <w:bCs/>
        </w:rPr>
        <w:t>sheaf and cohomology</w:t>
      </w:r>
      <w:r>
        <w:t xml:space="preserve"> theory (</w:t>
      </w:r>
      <w:r>
        <w:rPr>
          <w:i/>
          <w:iCs/>
        </w:rPr>
        <w:t>Does It Glue?</w:t>
      </w:r>
      <w:r>
        <w:t xml:space="preserve">); the history-indexed state and the joint witness rest on </w:t>
      </w:r>
      <w:r>
        <w:rPr>
          <w:b/>
          <w:bCs/>
        </w:rPr>
        <w:t>covering spaces and the Čech nerve</w:t>
      </w:r>
      <w:r>
        <w:t xml:space="preserve">, developed for sequences </w:t>
      </w:r>
      <w:r>
        <w:lastRenderedPageBreak/>
        <w:t xml:space="preserve">and stores in the </w:t>
      </w:r>
      <w:r>
        <w:rPr>
          <w:i/>
          <w:iCs/>
        </w:rPr>
        <w:t>Covering Networks</w:t>
      </w:r>
      <w:r>
        <w:t xml:space="preserve"> and </w:t>
      </w:r>
      <w:r>
        <w:rPr>
          <w:i/>
          <w:iCs/>
        </w:rPr>
        <w:t>Certified Memory Ledger</w:t>
      </w:r>
      <w:r>
        <w:t xml:space="preserve"> papers; strategy families and persistent reasoning rest on </w:t>
      </w:r>
      <w:r>
        <w:rPr>
          <w:b/>
          <w:bCs/>
        </w:rPr>
        <w:t>homotopy, persistence, and zigzag</w:t>
      </w:r>
      <w:r>
        <w:t xml:space="preserve">; the enrichment of representations from nearness to geometry is the </w:t>
      </w:r>
      <w:r>
        <w:rPr>
          <w:b/>
          <w:bCs/>
        </w:rPr>
        <w:t>enrichment ladder</w:t>
      </w:r>
      <w:r>
        <w:t xml:space="preserve"> (</w:t>
      </w:r>
      <w:r>
        <w:rPr>
          <w:i/>
          <w:iCs/>
        </w:rPr>
        <w:t>How Close Is Close?</w:t>
      </w:r>
      <w:r>
        <w:t xml:space="preserve"> and </w:t>
      </w:r>
      <w:r>
        <w:rPr>
          <w:i/>
          <w:iCs/>
        </w:rPr>
        <w:t>How Far, How Big, How Aligned?</w:t>
      </w:r>
      <w:r>
        <w:t xml:space="preserve">); the language of structure-preserving correspondence — the functor at the heart of the Paired Principle — is </w:t>
      </w:r>
      <w:r>
        <w:rPr>
          <w:i/>
          <w:iCs/>
        </w:rPr>
        <w:t>What’s the Connection?</w:t>
      </w:r>
      <w:r>
        <w:t xml:space="preserve">; and the offline lift and certified memory are the </w:t>
      </w:r>
      <w:r>
        <w:rPr>
          <w:i/>
          <w:iCs/>
        </w:rPr>
        <w:t>sleep package manager</w:t>
      </w:r>
      <w:r>
        <w:t xml:space="preserve"> and </w:t>
      </w:r>
      <w:r>
        <w:rPr>
          <w:i/>
          <w:iCs/>
        </w:rPr>
        <w:t>Certified Memory Ledger</w:t>
      </w:r>
      <w:r>
        <w:t>.</w:t>
      </w:r>
    </w:p>
    <w:p w14:paraId="63BFFB90" w14:textId="77777777" w:rsidR="000F1A9F" w:rsidRDefault="00000000" w:rsidP="008E03D1">
      <w:pPr>
        <w:pStyle w:val="BodyText"/>
        <w:jc w:val="both"/>
      </w:pPr>
      <w:r>
        <w:t xml:space="preserve">The honest tiering, kept visible throughout: the </w:t>
      </w:r>
      <w:r>
        <w:rPr>
          <w:b/>
          <w:bCs/>
        </w:rPr>
        <w:t>mathematics</w:t>
      </w:r>
      <w:r>
        <w:t xml:space="preserve"> is established and imported (</w:t>
      </w:r>
      <w:r>
        <w:rPr>
          <w:rStyle w:val="VerbatimChar"/>
        </w:rPr>
        <w:t>[LB-math]</w:t>
      </w:r>
      <w:r>
        <w:t xml:space="preserve">); the </w:t>
      </w:r>
      <w:r>
        <w:rPr>
          <w:b/>
          <w:bCs/>
        </w:rPr>
        <w:t>pairing criterion</w:t>
      </w:r>
      <w:r>
        <w:t xml:space="preserve"> — a functor preserving five invariants — is a governing rule (</w:t>
      </w:r>
      <w:r>
        <w:rPr>
          <w:rStyle w:val="VerbatimChar"/>
        </w:rPr>
        <w:t>[LB-rule]</w:t>
      </w:r>
      <w:r>
        <w:t xml:space="preserve">); every </w:t>
      </w:r>
      <w:r>
        <w:rPr>
          <w:b/>
          <w:bCs/>
        </w:rPr>
        <w:t>neural realization and executable surrogate</w:t>
      </w:r>
      <w:r>
        <w:t xml:space="preserve"> is a candidate (</w:t>
      </w:r>
      <w:r>
        <w:rPr>
          <w:rStyle w:val="VerbatimChar"/>
        </w:rPr>
        <w:t>[CAND]</w:t>
      </w:r>
      <w:r>
        <w:t xml:space="preserve">), an isomorphism of structure and never an identity; and the </w:t>
      </w:r>
      <w:r>
        <w:rPr>
          <w:b/>
          <w:bCs/>
        </w:rPr>
        <w:t>signature</w:t>
      </w:r>
      <w:r>
        <w:t xml:space="preserve"> is a horizon (</w:t>
      </w:r>
      <w:r>
        <w:rPr>
          <w:rStyle w:val="VerbatimChar"/>
        </w:rPr>
        <w:t>[HOR]</w:t>
      </w:r>
      <w:r>
        <w:t>) the machinery reaches and will not cross. Three debts stand open and named: the directed-homotopy formalism must be specified, not assumed; the nerve must be bounded to stay tractable; and every falsifier in this book must actually be run. That last debt is the point. A programme is only as defensible as its willingness to be wrong, and the nine here were built, twice each, precisely so that they could be.</w:t>
      </w:r>
    </w:p>
    <w:p w14:paraId="5722A817" w14:textId="77777777" w:rsidR="000F1A9F" w:rsidRDefault="00000000" w:rsidP="008E03D1">
      <w:pPr>
        <w:pStyle w:val="BodyText"/>
        <w:jc w:val="both"/>
      </w:pPr>
      <w:r>
        <w:rPr>
          <w:i/>
          <w:iCs/>
        </w:rPr>
        <w:t>Respect science. Import emotion.</w:t>
      </w:r>
      <w:bookmarkEnd w:id="2"/>
      <w:bookmarkEnd w:id="28"/>
    </w:p>
    <w:sectPr w:rsidR="000F1A9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973E" w14:textId="77777777" w:rsidR="00297255" w:rsidRDefault="00297255">
      <w:pPr>
        <w:spacing w:after="0"/>
      </w:pPr>
      <w:r>
        <w:separator/>
      </w:r>
    </w:p>
  </w:endnote>
  <w:endnote w:type="continuationSeparator" w:id="0">
    <w:p w14:paraId="5F85D345" w14:textId="77777777" w:rsidR="00297255" w:rsidRDefault="002972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5957F" w14:textId="77777777" w:rsidR="00297255" w:rsidRDefault="00297255">
      <w:r>
        <w:separator/>
      </w:r>
    </w:p>
  </w:footnote>
  <w:footnote w:type="continuationSeparator" w:id="0">
    <w:p w14:paraId="7155AD6D" w14:textId="77777777" w:rsidR="00297255" w:rsidRDefault="002972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E362D6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82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1A9F"/>
    <w:rsid w:val="00017CCA"/>
    <w:rsid w:val="000F1A9F"/>
    <w:rsid w:val="00183013"/>
    <w:rsid w:val="001D0DD2"/>
    <w:rsid w:val="00297255"/>
    <w:rsid w:val="00316F64"/>
    <w:rsid w:val="0038730B"/>
    <w:rsid w:val="007A3A9E"/>
    <w:rsid w:val="008607EF"/>
    <w:rsid w:val="008E03D1"/>
    <w:rsid w:val="0096106B"/>
    <w:rsid w:val="00A70DE3"/>
    <w:rsid w:val="00E87C93"/>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110C"/>
  <w15:docId w15:val="{6B1EBE2F-9327-4AB7-AECF-025382C6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8730B"/>
    <w:pPr>
      <w:spacing w:after="100"/>
    </w:pPr>
  </w:style>
  <w:style w:type="paragraph" w:styleId="TOC2">
    <w:name w:val="toc 2"/>
    <w:basedOn w:val="Normal"/>
    <w:next w:val="Normal"/>
    <w:autoRedefine/>
    <w:uiPriority w:val="39"/>
    <w:rsid w:val="0038730B"/>
    <w:pPr>
      <w:spacing w:after="100"/>
      <w:ind w:left="240"/>
    </w:pPr>
  </w:style>
  <w:style w:type="character" w:styleId="UnresolvedMention">
    <w:name w:val="Unresolved Mention"/>
    <w:basedOn w:val="DefaultParagraphFont"/>
    <w:uiPriority w:val="99"/>
    <w:semiHidden/>
    <w:unhideWhenUsed/>
    <w:rsid w:val="007A3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6537.7664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DABB0-AFA0-4BB9-980F-75DCB6342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14</Pages>
  <Words>5444</Words>
  <Characters>31033</Characters>
  <Application>Microsoft Office Word</Application>
  <DocSecurity>0</DocSecurity>
  <Lines>258</Lines>
  <Paragraphs>72</Paragraphs>
  <ScaleCrop>false</ScaleCrop>
  <Company/>
  <LinksUpToDate>false</LinksUpToDate>
  <CharactersWithSpaces>36405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11</cp:revision>
  <cp:lastPrinted>2026-07-11T17:31:00Z</cp:lastPrinted>
  <dcterms:created xsi:type="dcterms:W3CDTF">2026-07-11T15:01:00Z</dcterms:created>
  <dcterms:modified xsi:type="dcterms:W3CDTF">2026-07-11T17:35:00Z</dcterms:modified>
</cp:coreProperties>
</file>