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5A68F" w14:textId="77777777" w:rsidR="00937C4A" w:rsidRDefault="00000000">
      <w:pPr>
        <w:pStyle w:val="CairnBookTitle"/>
        <w:keepLines/>
      </w:pPr>
      <w:r>
        <w:t>THE CAIRN DOES NOT REMEMBER THE EARTHQUAKE</w:t>
      </w:r>
    </w:p>
    <w:p w14:paraId="10D384EF" w14:textId="717FF95A" w:rsidR="00937C4A" w:rsidRPr="00E40BD4" w:rsidRDefault="00000000">
      <w:pPr>
        <w:pStyle w:val="CairnBookSubtitle"/>
        <w:keepNext/>
        <w:keepLines/>
        <w:rPr>
          <w:sz w:val="28"/>
          <w:szCs w:val="20"/>
        </w:rPr>
      </w:pPr>
      <w:r w:rsidRPr="00E40BD4">
        <w:rPr>
          <w:sz w:val="28"/>
          <w:szCs w:val="20"/>
        </w:rPr>
        <w:t>Chaos, Homology, and the Mathematics of Conditioned Survival</w:t>
      </w:r>
      <w:r w:rsidR="00E40BD4" w:rsidRPr="00E40BD4">
        <w:rPr>
          <w:sz w:val="28"/>
          <w:szCs w:val="20"/>
        </w:rPr>
        <w:t xml:space="preserve">: </w:t>
      </w:r>
      <w:r w:rsidR="00E40BD4" w:rsidRPr="00E40BD4">
        <w:rPr>
          <w:sz w:val="28"/>
          <w:szCs w:val="20"/>
        </w:rPr>
        <w:t xml:space="preserve">A </w:t>
      </w:r>
      <w:r w:rsidR="00E40BD4" w:rsidRPr="00E40BD4">
        <w:rPr>
          <w:b/>
          <w:bCs/>
          <w:sz w:val="28"/>
          <w:szCs w:val="20"/>
        </w:rPr>
        <w:t>Promisary Pre-Print</w:t>
      </w:r>
      <w:r w:rsidR="00E40BD4" w:rsidRPr="00E40BD4">
        <w:rPr>
          <w:sz w:val="28"/>
          <w:szCs w:val="20"/>
        </w:rPr>
        <w:t xml:space="preserve"> </w:t>
      </w:r>
    </w:p>
    <w:p w14:paraId="1D9F7528" w14:textId="77777777" w:rsidR="00937C4A" w:rsidRDefault="00000000">
      <w:pPr>
        <w:pStyle w:val="CairnBookAuthor"/>
        <w:keepNext/>
        <w:keepLines/>
      </w:pPr>
      <w:r>
        <w:t>Debi Prasad Ghosh</w:t>
      </w:r>
    </w:p>
    <w:p w14:paraId="095E3914" w14:textId="77777777" w:rsidR="00937C4A" w:rsidRDefault="00000000">
      <w:pPr>
        <w:pStyle w:val="CairnBookSeries"/>
        <w:keepNext/>
        <w:keepLines/>
      </w:pPr>
      <w:r>
        <w:t>Defensible Intelligence Series</w:t>
      </w:r>
    </w:p>
    <w:p w14:paraId="7EC07AEB" w14:textId="77777777" w:rsidR="00937C4A" w:rsidRDefault="00000000">
      <w:pPr>
        <w:pStyle w:val="CairnBookMotto"/>
        <w:keepNext/>
        <w:keepLines/>
      </w:pPr>
      <w:r>
        <w:t>Respect science. Import emotion.</w:t>
      </w:r>
    </w:p>
    <w:p w14:paraId="39389497" w14:textId="77777777" w:rsidR="00937C4A" w:rsidRDefault="00000000">
      <w:pPr>
        <w:pStyle w:val="CairnBookEdition"/>
        <w:keepLines/>
      </w:pPr>
      <w:r>
        <w:t>Current manuscript edition — July 2026</w:t>
      </w:r>
    </w:p>
    <w:p w14:paraId="4AA92B36" w14:textId="353A08B9" w:rsidR="00937C4A" w:rsidRDefault="00000000">
      <w:pPr>
        <w:pStyle w:val="CairnBookEdition"/>
        <w:keepLines/>
      </w:pPr>
      <w:r>
        <w:t xml:space="preserve">DOI: </w:t>
      </w:r>
      <w:hyperlink r:id="rId7" w:history="1">
        <w:r w:rsidR="000263F5" w:rsidRPr="0067666E">
          <w:rPr>
            <w:rStyle w:val="Hyperlink"/>
          </w:rPr>
          <w:t>https://doi.org/10.13140/RG.2.2.30192.01280</w:t>
        </w:r>
      </w:hyperlink>
      <w:r w:rsidR="000263F5">
        <w:t xml:space="preserve"> </w:t>
      </w:r>
    </w:p>
    <w:p w14:paraId="56EBA5F6" w14:textId="77777777" w:rsidR="00937C4A" w:rsidRDefault="00000000">
      <w:pPr>
        <w:pStyle w:val="CairnCopyright"/>
        <w:pageBreakBefore/>
        <w:spacing w:before="2200"/>
      </w:pPr>
      <w:r>
        <w:lastRenderedPageBreak/>
        <w:t>Copyright © 2026 Debi Prasad Ghosh. All rights reserved.</w:t>
      </w:r>
    </w:p>
    <w:p w14:paraId="294AA510" w14:textId="77777777" w:rsidR="00937C4A" w:rsidRDefault="00000000">
      <w:pPr>
        <w:pStyle w:val="CairnCopyright"/>
      </w:pPr>
      <w:r>
        <w:t>This is a working manuscript. No part may be reproduced for commercial publication without the author’s permission. Quotations and visual material originating in Professor C. S. Manohar’s social-media post require separate reproduction permission before publication.</w:t>
      </w:r>
    </w:p>
    <w:p w14:paraId="2FAB105C" w14:textId="77777777" w:rsidR="00937C4A" w:rsidRDefault="00000000">
      <w:pPr>
        <w:pStyle w:val="CairnCopyright"/>
      </w:pPr>
      <w:r>
        <w:t>The status tags [T], [A], [N], [C], [P], [I], and [X] are part of the scientific content. They must not be removed in excerpts without an explicit note.</w:t>
      </w:r>
    </w:p>
    <w:p w14:paraId="509F6014" w14:textId="10D920C8" w:rsidR="00937C4A" w:rsidRDefault="00000000" w:rsidP="00026B4B">
      <w:r>
        <w:t>Current</w:t>
      </w:r>
      <w:r w:rsidR="0032590D">
        <w:t xml:space="preserve"> </w:t>
      </w:r>
      <w:r w:rsidR="0032590D" w:rsidRPr="0032590D">
        <w:rPr>
          <w:b/>
          <w:bCs/>
        </w:rPr>
        <w:t>Promisary</w:t>
      </w:r>
      <w:r>
        <w:t xml:space="preserve"> manuscript: front matter, Prologue, Parts I–III, Chapters 14, 15 and 20, Epilogue, and Appendix C are in full text. The remaining chapters and Appendices A, B and D are retained as structured briefs pending later installments.</w:t>
      </w:r>
    </w:p>
    <w:p w14:paraId="4D050F1C" w14:textId="77777777" w:rsidR="00026B4B" w:rsidRDefault="00026B4B" w:rsidP="00026B4B"/>
    <w:p w14:paraId="1BA2C218" w14:textId="77777777" w:rsidR="00026B4B" w:rsidRDefault="00026B4B" w:rsidP="00026B4B"/>
    <w:tbl>
      <w:tblPr>
        <w:tblW w:w="10304" w:type="dxa"/>
        <w:tblInd w:w="-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04"/>
      </w:tblGrid>
      <w:tr w:rsidR="00AC7025" w14:paraId="17A84466" w14:textId="77777777" w:rsidTr="00AC7025">
        <w:tblPrEx>
          <w:tblCellMar>
            <w:top w:w="0" w:type="dxa"/>
            <w:bottom w:w="0" w:type="dxa"/>
          </w:tblCellMar>
        </w:tblPrEx>
        <w:trPr>
          <w:trHeight w:val="5520"/>
        </w:trPr>
        <w:tc>
          <w:tcPr>
            <w:tcW w:w="10304" w:type="dxa"/>
          </w:tcPr>
          <w:p w14:paraId="2D54C06B" w14:textId="77777777" w:rsidR="00AC7025" w:rsidRDefault="00AC7025" w:rsidP="00AC7025">
            <w:pPr>
              <w:ind w:left="325"/>
            </w:pPr>
            <w:r w:rsidRPr="00026B4B">
              <w:t xml:space="preserve">A </w:t>
            </w:r>
            <w:r w:rsidRPr="00026B4B">
              <w:rPr>
                <w:b/>
                <w:bCs/>
              </w:rPr>
              <w:t>Promisary Pre-Print</w:t>
            </w:r>
            <w:r w:rsidRPr="00026B4B">
              <w:t xml:space="preserve"> serves as a candid academic disclosure marked by a unique caveat: the authors themselves do not yet fully understand the complete content, theoretical mechanics, or deeper implications of their own publication. Functioning as an intellectual "IOU," this tag allows researchers to rapidly share striking empirical results, unexpected emergent behaviors, or novel system architectures without holding back until a complete mechanistic explanation catches up. Rather than presenting a finalized theory, a Promisary Pre-Print stakes a claim on a new frontier while explicitly framing the paper as an open invitation—encouraging the broader research community to help dissect and explain the very phenomenon the creators have brought to light.</w:t>
            </w:r>
          </w:p>
          <w:p w14:paraId="276687AA" w14:textId="77777777" w:rsidR="00AC7025" w:rsidRDefault="00AC7025" w:rsidP="00AC7025">
            <w:pPr>
              <w:jc w:val="center"/>
            </w:pPr>
            <w:r>
              <w:t>OR</w:t>
            </w:r>
          </w:p>
          <w:p w14:paraId="341EAB8E" w14:textId="7E09593D" w:rsidR="00AC7025" w:rsidRDefault="00AC7025" w:rsidP="00AC7025">
            <w:pPr>
              <w:ind w:left="325"/>
            </w:pPr>
            <w:r w:rsidRPr="00E663B7">
              <w:t xml:space="preserve">A </w:t>
            </w:r>
            <w:r w:rsidRPr="00E663B7">
              <w:rPr>
                <w:b/>
                <w:bCs/>
              </w:rPr>
              <w:t>Promisary Pre-Print</w:t>
            </w:r>
            <w:r w:rsidRPr="00E663B7">
              <w:t xml:space="preserve"> is as much an authorial pledge as it is an academic publication: tagged under the explicit admission that no member of the author group yet fully grasps the work's underlying mechanics or complete implications, it carries a binding promise to the research community. By attaching this designation, the authors formally commit that at least one team member will dedicate themselves to acquiring a complete, rigorous understanding of the published material—whether explaining an emergent phenomenon or demystifying a complex computational output—within the next few years. Ultimately, this transforms early-stage pre-printing from a simple rush for priority into an accountable academic contract, allowing researchers to stake a claim on groundbreaking empirical observations today while publicly taking responsibility for delivering the theoretical clarity tomorrow.</w:t>
            </w:r>
          </w:p>
        </w:tc>
      </w:tr>
    </w:tbl>
    <w:p w14:paraId="0D35C41F" w14:textId="77777777" w:rsidR="00937C4A" w:rsidRDefault="00000000">
      <w:pPr>
        <w:pStyle w:val="Heading2"/>
        <w:pageBreakBefore/>
        <w:spacing w:before="320" w:after="280"/>
        <w:jc w:val="center"/>
      </w:pPr>
      <w:bookmarkStart w:id="0" w:name="dedication"/>
      <w:r>
        <w:rPr>
          <w:rFonts w:ascii="EB Garamond" w:eastAsia="EB Garamond" w:hAnsi="EB Garamond"/>
          <w:color w:val="283037"/>
          <w:sz w:val="34"/>
        </w:rPr>
        <w:lastRenderedPageBreak/>
        <w:t>Dedication</w:t>
      </w:r>
    </w:p>
    <w:p w14:paraId="62B19F78" w14:textId="77777777" w:rsidR="00937C4A" w:rsidRDefault="00000000">
      <w:pPr>
        <w:spacing w:after="200"/>
        <w:ind w:left="936" w:right="936"/>
        <w:jc w:val="center"/>
      </w:pPr>
      <w:r>
        <w:rPr>
          <w:i/>
          <w:color w:val="373C3F"/>
          <w:sz w:val="24"/>
        </w:rPr>
        <w:t xml:space="preserve">For </w:t>
      </w:r>
      <w:r>
        <w:rPr>
          <w:b/>
          <w:bCs/>
          <w:i/>
          <w:color w:val="373C3F"/>
          <w:sz w:val="24"/>
        </w:rPr>
        <w:t>Professor C. S. Manohar</w:t>
      </w:r>
      <w:r>
        <w:rPr>
          <w:i/>
          <w:color w:val="373C3F"/>
          <w:sz w:val="24"/>
        </w:rPr>
        <w:t>, who looked at a heap of stacked stones and saw four sciences arguing.</w:t>
      </w:r>
    </w:p>
    <w:p w14:paraId="533FA000" w14:textId="77777777" w:rsidR="00937C4A" w:rsidRDefault="00000000">
      <w:pPr>
        <w:ind w:left="936" w:right="936"/>
        <w:jc w:val="center"/>
      </w:pPr>
      <w:r>
        <w:rPr>
          <w:i/>
          <w:color w:val="373C3F"/>
          <w:sz w:val="24"/>
        </w:rPr>
        <w:t>This book is a long answer to a short observation. Every correction in it was made possible by a habit of mind he taught: that the interesting question is not what a structure does, but what you are entitled to conclude from what it did.</w:t>
      </w:r>
    </w:p>
    <w:p w14:paraId="4AE9FEEF" w14:textId="77777777" w:rsidR="00937C4A" w:rsidRDefault="00000000">
      <w:pPr>
        <w:pStyle w:val="Heading2"/>
        <w:pageBreakBefore/>
        <w:spacing w:before="320" w:after="280"/>
        <w:jc w:val="center"/>
      </w:pPr>
      <w:bookmarkStart w:id="1" w:name="epigraph"/>
      <w:bookmarkEnd w:id="0"/>
      <w:r>
        <w:rPr>
          <w:rFonts w:ascii="EB Garamond" w:eastAsia="EB Garamond" w:hAnsi="EB Garamond"/>
          <w:color w:val="283037"/>
          <w:sz w:val="34"/>
        </w:rPr>
        <w:lastRenderedPageBreak/>
        <w:t>Epigraph</w:t>
      </w:r>
    </w:p>
    <w:p w14:paraId="0DE5F5FD" w14:textId="77777777" w:rsidR="00937C4A" w:rsidRDefault="00000000">
      <w:pPr>
        <w:spacing w:after="200"/>
        <w:ind w:left="936" w:right="936"/>
        <w:jc w:val="center"/>
      </w:pPr>
      <w:r>
        <w:rPr>
          <w:i/>
          <w:color w:val="373C3F"/>
          <w:sz w:val="24"/>
        </w:rPr>
        <w:t>Survival is an observation; stability is a model; safety is an inference.</w:t>
      </w:r>
    </w:p>
    <w:p w14:paraId="4A1A923F" w14:textId="77777777" w:rsidR="00937C4A" w:rsidRDefault="00000000">
      <w:pPr>
        <w:ind w:left="936" w:right="936"/>
        <w:jc w:val="center"/>
      </w:pPr>
      <w:r>
        <w:rPr>
          <w:i/>
          <w:color w:val="373C3F"/>
          <w:sz w:val="24"/>
        </w:rPr>
        <w:t>A thing that is not changed by an event has not recorded it. It has only outlasted it.</w:t>
      </w:r>
    </w:p>
    <w:p w14:paraId="78696296" w14:textId="77777777" w:rsidR="00937C4A" w:rsidRDefault="00000000">
      <w:pPr>
        <w:pStyle w:val="Heading2"/>
        <w:pageBreakBefore/>
        <w:spacing w:before="320" w:after="280"/>
        <w:jc w:val="center"/>
      </w:pPr>
      <w:bookmarkStart w:id="2" w:name="Xd3842f71c5f0baaa578045bc39cb837e67f3df3"/>
      <w:bookmarkEnd w:id="1"/>
      <w:r>
        <w:rPr>
          <w:rFonts w:ascii="EB Garamond" w:eastAsia="EB Garamond" w:hAnsi="EB Garamond"/>
          <w:color w:val="283037"/>
          <w:sz w:val="34"/>
        </w:rPr>
        <w:lastRenderedPageBreak/>
        <w:t>Author’s Note to the Current Draft: What Survived the Audit</w:t>
      </w:r>
    </w:p>
    <w:p w14:paraId="7DF7FD50" w14:textId="77777777" w:rsidR="00937C4A" w:rsidRDefault="00000000">
      <w:r>
        <w:t>The audit was correct, and on its central numerical point it was more correct than it claimed. The impact section is a cylinder, not a rectangle. The original computation failed to identify the periodic phase seam and used four-neighbour image connectivity. Recomputed on the correct domain:</w:t>
      </w:r>
    </w:p>
    <w:p w14:paraId="2DBDEAC3" w14:textId="77777777" w:rsidR="00937C4A" w:rsidRDefault="00000000">
      <w:pPr>
        <w:pStyle w:val="BodyText"/>
      </w:pPr>
      <w:r>
        <w:t xml:space="preserve">All rows use </w:t>
      </w:r>
      <m:oMath>
        <m:r>
          <w:rPr>
            <w:rFonts w:ascii="Cambria Math" w:hAnsi="Cambria Math"/>
          </w:rPr>
          <m:t>n</m:t>
        </m:r>
        <m:r>
          <m:rPr>
            <m:sty m:val="p"/>
          </m:rPr>
          <w:rPr>
            <w:rFonts w:ascii="Cambria Math" w:hAnsi="Cambria Math"/>
          </w:rPr>
          <m:t>=</m:t>
        </m:r>
        <m:r>
          <w:rPr>
            <w:rFonts w:ascii="Cambria Math" w:hAnsi="Cambria Math"/>
          </w:rPr>
          <m:t>160</m:t>
        </m:r>
      </m:oMath>
      <w:r>
        <w:t>.</w:t>
      </w:r>
    </w:p>
    <w:tbl>
      <w:tblPr>
        <w:tblStyle w:val="TableGrid"/>
        <w:tblW w:w="9400" w:type="dxa"/>
        <w:jc w:val="center"/>
        <w:tblLayout w:type="fixed"/>
        <w:tblLook w:val="04A0" w:firstRow="1" w:lastRow="0" w:firstColumn="1" w:lastColumn="0" w:noHBand="0" w:noVBand="1"/>
      </w:tblPr>
      <w:tblGrid>
        <w:gridCol w:w="1300"/>
        <w:gridCol w:w="2450"/>
        <w:gridCol w:w="2450"/>
        <w:gridCol w:w="1600"/>
        <w:gridCol w:w="1600"/>
      </w:tblGrid>
      <w:tr w:rsidR="00937C4A" w14:paraId="4F537AF3" w14:textId="77777777">
        <w:trPr>
          <w:cantSplit/>
          <w:tblHeader/>
          <w:jc w:val="center"/>
        </w:trPr>
        <w:tc>
          <w:tcPr>
            <w:tcW w:w="1300" w:type="dxa"/>
            <w:shd w:val="clear" w:color="auto" w:fill="495A65"/>
            <w:tcMar>
              <w:top w:w="55" w:type="dxa"/>
              <w:left w:w="65" w:type="dxa"/>
              <w:bottom w:w="55" w:type="dxa"/>
              <w:right w:w="65" w:type="dxa"/>
            </w:tcMar>
            <w:vAlign w:val="center"/>
          </w:tcPr>
          <w:p w14:paraId="69E408B0" w14:textId="77777777" w:rsidR="00937C4A" w:rsidRDefault="00000000">
            <w:pPr>
              <w:spacing w:after="0" w:line="240" w:lineRule="auto"/>
              <w:jc w:val="center"/>
            </w:pPr>
            <w:r>
              <w:rPr>
                <w:rFonts w:ascii="Noto Sans" w:hAnsi="Noto Sans"/>
                <w:b/>
                <w:color w:val="FFFFFF"/>
                <w:sz w:val="14"/>
              </w:rPr>
              <w:t>a₀</w:t>
            </w:r>
          </w:p>
        </w:tc>
        <w:tc>
          <w:tcPr>
            <w:tcW w:w="2450" w:type="dxa"/>
            <w:shd w:val="clear" w:color="auto" w:fill="495A65"/>
            <w:tcMar>
              <w:top w:w="55" w:type="dxa"/>
              <w:left w:w="65" w:type="dxa"/>
              <w:bottom w:w="55" w:type="dxa"/>
              <w:right w:w="65" w:type="dxa"/>
            </w:tcMar>
            <w:vAlign w:val="center"/>
          </w:tcPr>
          <w:p w14:paraId="6C2E3D93" w14:textId="77777777" w:rsidR="00937C4A" w:rsidRDefault="00000000">
            <w:pPr>
              <w:spacing w:after="0" w:line="240" w:lineRule="auto"/>
              <w:jc w:val="center"/>
            </w:pPr>
            <w:r>
              <w:rPr>
                <w:rFonts w:ascii="Noto Sans" w:hAnsi="Noto Sans"/>
                <w:b/>
                <w:color w:val="FFFFFF"/>
                <w:sz w:val="14"/>
              </w:rPr>
              <w:t>rectangle / 4-neighbour</w:t>
            </w:r>
          </w:p>
        </w:tc>
        <w:tc>
          <w:tcPr>
            <w:tcW w:w="2450" w:type="dxa"/>
            <w:shd w:val="clear" w:color="auto" w:fill="495A65"/>
            <w:tcMar>
              <w:top w:w="55" w:type="dxa"/>
              <w:left w:w="65" w:type="dxa"/>
              <w:bottom w:w="55" w:type="dxa"/>
              <w:right w:w="65" w:type="dxa"/>
            </w:tcMar>
            <w:vAlign w:val="center"/>
          </w:tcPr>
          <w:p w14:paraId="44FD10FC" w14:textId="77777777" w:rsidR="00937C4A" w:rsidRDefault="00000000">
            <w:pPr>
              <w:spacing w:after="0" w:line="240" w:lineRule="auto"/>
              <w:jc w:val="center"/>
            </w:pPr>
            <w:r>
              <w:rPr>
                <w:rFonts w:ascii="Noto Sans" w:hAnsi="Noto Sans"/>
                <w:b/>
                <w:color w:val="FFFFFF"/>
                <w:sz w:val="14"/>
              </w:rPr>
              <w:t>cylinder / 8-neighbour</w:t>
            </w:r>
          </w:p>
        </w:tc>
        <w:tc>
          <w:tcPr>
            <w:tcW w:w="1600" w:type="dxa"/>
            <w:shd w:val="clear" w:color="auto" w:fill="495A65"/>
            <w:tcMar>
              <w:top w:w="55" w:type="dxa"/>
              <w:left w:w="65" w:type="dxa"/>
              <w:bottom w:w="55" w:type="dxa"/>
              <w:right w:w="65" w:type="dxa"/>
            </w:tcMar>
            <w:vAlign w:val="center"/>
          </w:tcPr>
          <w:p w14:paraId="3B8172A2" w14:textId="77777777" w:rsidR="00937C4A" w:rsidRDefault="00000000">
            <w:pPr>
              <w:spacing w:after="0" w:line="240" w:lineRule="auto"/>
              <w:jc w:val="center"/>
            </w:pPr>
            <w:r>
              <w:rPr>
                <w:rFonts w:ascii="Noto Sans" w:hAnsi="Noto Sans"/>
                <w:b/>
                <w:color w:val="FFFFFF"/>
                <w:sz w:val="14"/>
              </w:rPr>
              <w:t>≥ 5 pixels</w:t>
            </w:r>
          </w:p>
        </w:tc>
        <w:tc>
          <w:tcPr>
            <w:tcW w:w="1600" w:type="dxa"/>
            <w:shd w:val="clear" w:color="auto" w:fill="495A65"/>
            <w:tcMar>
              <w:top w:w="55" w:type="dxa"/>
              <w:left w:w="65" w:type="dxa"/>
              <w:bottom w:w="55" w:type="dxa"/>
              <w:right w:w="65" w:type="dxa"/>
            </w:tcMar>
            <w:vAlign w:val="center"/>
          </w:tcPr>
          <w:p w14:paraId="70177795" w14:textId="77777777" w:rsidR="00937C4A" w:rsidRDefault="00000000">
            <w:pPr>
              <w:spacing w:after="0" w:line="240" w:lineRule="auto"/>
              <w:jc w:val="center"/>
            </w:pPr>
            <w:r>
              <w:rPr>
                <w:rFonts w:ascii="Noto Sans" w:hAnsi="Noto Sans"/>
                <w:b/>
                <w:color w:val="FFFFFF"/>
                <w:sz w:val="14"/>
              </w:rPr>
              <w:t>≥ 25 pixels</w:t>
            </w:r>
          </w:p>
        </w:tc>
      </w:tr>
      <w:tr w:rsidR="00937C4A" w14:paraId="04F43072" w14:textId="77777777">
        <w:trPr>
          <w:cantSplit/>
          <w:jc w:val="center"/>
        </w:trPr>
        <w:tc>
          <w:tcPr>
            <w:tcW w:w="1300" w:type="dxa"/>
            <w:tcMar>
              <w:top w:w="55" w:type="dxa"/>
              <w:left w:w="65" w:type="dxa"/>
              <w:bottom w:w="55" w:type="dxa"/>
              <w:right w:w="65" w:type="dxa"/>
            </w:tcMar>
            <w:vAlign w:val="center"/>
          </w:tcPr>
          <w:p w14:paraId="50A0A4CD" w14:textId="77777777" w:rsidR="00937C4A" w:rsidRDefault="00000000">
            <w:pPr>
              <w:spacing w:after="0" w:line="240" w:lineRule="auto"/>
              <w:jc w:val="center"/>
            </w:pPr>
            <w:r>
              <w:rPr>
                <w:rFonts w:ascii="Noto Sans" w:hAnsi="Noto Sans"/>
                <w:sz w:val="14"/>
              </w:rPr>
              <w:t>0.120</w:t>
            </w:r>
          </w:p>
        </w:tc>
        <w:tc>
          <w:tcPr>
            <w:tcW w:w="2450" w:type="dxa"/>
            <w:tcMar>
              <w:top w:w="55" w:type="dxa"/>
              <w:left w:w="65" w:type="dxa"/>
              <w:bottom w:w="55" w:type="dxa"/>
              <w:right w:w="65" w:type="dxa"/>
            </w:tcMar>
            <w:vAlign w:val="center"/>
          </w:tcPr>
          <w:p w14:paraId="3DDF3539" w14:textId="77777777" w:rsidR="00937C4A" w:rsidRDefault="00000000">
            <w:pPr>
              <w:spacing w:after="0" w:line="240" w:lineRule="auto"/>
              <w:jc w:val="center"/>
            </w:pPr>
            <w:r>
              <w:rPr>
                <w:rFonts w:ascii="Noto Sans" w:hAnsi="Noto Sans"/>
                <w:sz w:val="14"/>
              </w:rPr>
              <w:t>1</w:t>
            </w:r>
          </w:p>
        </w:tc>
        <w:tc>
          <w:tcPr>
            <w:tcW w:w="2450" w:type="dxa"/>
            <w:tcMar>
              <w:top w:w="55" w:type="dxa"/>
              <w:left w:w="65" w:type="dxa"/>
              <w:bottom w:w="55" w:type="dxa"/>
              <w:right w:w="65" w:type="dxa"/>
            </w:tcMar>
            <w:vAlign w:val="center"/>
          </w:tcPr>
          <w:p w14:paraId="3709A300" w14:textId="77777777" w:rsidR="00937C4A" w:rsidRDefault="00000000">
            <w:pPr>
              <w:spacing w:after="0" w:line="240" w:lineRule="auto"/>
              <w:jc w:val="center"/>
            </w:pPr>
            <w:r>
              <w:rPr>
                <w:rFonts w:ascii="Noto Sans" w:hAnsi="Noto Sans"/>
                <w:sz w:val="14"/>
              </w:rPr>
              <w:t>1</w:t>
            </w:r>
          </w:p>
        </w:tc>
        <w:tc>
          <w:tcPr>
            <w:tcW w:w="1600" w:type="dxa"/>
            <w:tcMar>
              <w:top w:w="55" w:type="dxa"/>
              <w:left w:w="65" w:type="dxa"/>
              <w:bottom w:w="55" w:type="dxa"/>
              <w:right w:w="65" w:type="dxa"/>
            </w:tcMar>
            <w:vAlign w:val="center"/>
          </w:tcPr>
          <w:p w14:paraId="07BF01EF" w14:textId="77777777" w:rsidR="00937C4A" w:rsidRDefault="00000000">
            <w:pPr>
              <w:spacing w:after="0" w:line="240" w:lineRule="auto"/>
              <w:jc w:val="center"/>
            </w:pPr>
            <w:r>
              <w:rPr>
                <w:rFonts w:ascii="Noto Sans" w:hAnsi="Noto Sans"/>
                <w:sz w:val="14"/>
              </w:rPr>
              <w:t>1</w:t>
            </w:r>
          </w:p>
        </w:tc>
        <w:tc>
          <w:tcPr>
            <w:tcW w:w="1600" w:type="dxa"/>
            <w:tcMar>
              <w:top w:w="55" w:type="dxa"/>
              <w:left w:w="65" w:type="dxa"/>
              <w:bottom w:w="55" w:type="dxa"/>
              <w:right w:w="65" w:type="dxa"/>
            </w:tcMar>
            <w:vAlign w:val="center"/>
          </w:tcPr>
          <w:p w14:paraId="45B9D383" w14:textId="77777777" w:rsidR="00937C4A" w:rsidRDefault="00000000">
            <w:pPr>
              <w:spacing w:after="0" w:line="240" w:lineRule="auto"/>
              <w:jc w:val="center"/>
            </w:pPr>
            <w:r>
              <w:rPr>
                <w:rFonts w:ascii="Noto Sans" w:hAnsi="Noto Sans"/>
                <w:sz w:val="14"/>
              </w:rPr>
              <w:t>1</w:t>
            </w:r>
          </w:p>
        </w:tc>
      </w:tr>
      <w:tr w:rsidR="00937C4A" w14:paraId="76F221DE" w14:textId="77777777">
        <w:trPr>
          <w:cantSplit/>
          <w:jc w:val="center"/>
        </w:trPr>
        <w:tc>
          <w:tcPr>
            <w:tcW w:w="1300" w:type="dxa"/>
            <w:shd w:val="clear" w:color="auto" w:fill="F4F6F7"/>
            <w:tcMar>
              <w:top w:w="55" w:type="dxa"/>
              <w:left w:w="65" w:type="dxa"/>
              <w:bottom w:w="55" w:type="dxa"/>
              <w:right w:w="65" w:type="dxa"/>
            </w:tcMar>
            <w:vAlign w:val="center"/>
          </w:tcPr>
          <w:p w14:paraId="26F32F73" w14:textId="77777777" w:rsidR="00937C4A" w:rsidRDefault="00000000">
            <w:pPr>
              <w:spacing w:after="0" w:line="240" w:lineRule="auto"/>
              <w:jc w:val="center"/>
            </w:pPr>
            <w:r>
              <w:rPr>
                <w:rFonts w:ascii="Noto Sans" w:hAnsi="Noto Sans"/>
                <w:sz w:val="14"/>
              </w:rPr>
              <w:t>0.160</w:t>
            </w:r>
          </w:p>
        </w:tc>
        <w:tc>
          <w:tcPr>
            <w:tcW w:w="2450" w:type="dxa"/>
            <w:shd w:val="clear" w:color="auto" w:fill="F4F6F7"/>
            <w:tcMar>
              <w:top w:w="55" w:type="dxa"/>
              <w:left w:w="65" w:type="dxa"/>
              <w:bottom w:w="55" w:type="dxa"/>
              <w:right w:w="65" w:type="dxa"/>
            </w:tcMar>
            <w:vAlign w:val="center"/>
          </w:tcPr>
          <w:p w14:paraId="5A7024CB" w14:textId="77777777" w:rsidR="00937C4A" w:rsidRDefault="00000000">
            <w:pPr>
              <w:spacing w:after="0" w:line="240" w:lineRule="auto"/>
              <w:jc w:val="center"/>
            </w:pPr>
            <w:r>
              <w:rPr>
                <w:rFonts w:ascii="Noto Sans" w:hAnsi="Noto Sans"/>
                <w:sz w:val="14"/>
              </w:rPr>
              <w:t>1</w:t>
            </w:r>
          </w:p>
        </w:tc>
        <w:tc>
          <w:tcPr>
            <w:tcW w:w="2450" w:type="dxa"/>
            <w:shd w:val="clear" w:color="auto" w:fill="F4F6F7"/>
            <w:tcMar>
              <w:top w:w="55" w:type="dxa"/>
              <w:left w:w="65" w:type="dxa"/>
              <w:bottom w:w="55" w:type="dxa"/>
              <w:right w:w="65" w:type="dxa"/>
            </w:tcMar>
            <w:vAlign w:val="center"/>
          </w:tcPr>
          <w:p w14:paraId="1B406DAB" w14:textId="77777777" w:rsidR="00937C4A" w:rsidRDefault="00000000">
            <w:pPr>
              <w:spacing w:after="0" w:line="240" w:lineRule="auto"/>
              <w:jc w:val="center"/>
            </w:pPr>
            <w:r>
              <w:rPr>
                <w:rFonts w:ascii="Noto Sans" w:hAnsi="Noto Sans"/>
                <w:sz w:val="14"/>
              </w:rPr>
              <w:t>1</w:t>
            </w:r>
          </w:p>
        </w:tc>
        <w:tc>
          <w:tcPr>
            <w:tcW w:w="1600" w:type="dxa"/>
            <w:shd w:val="clear" w:color="auto" w:fill="F4F6F7"/>
            <w:tcMar>
              <w:top w:w="55" w:type="dxa"/>
              <w:left w:w="65" w:type="dxa"/>
              <w:bottom w:w="55" w:type="dxa"/>
              <w:right w:w="65" w:type="dxa"/>
            </w:tcMar>
            <w:vAlign w:val="center"/>
          </w:tcPr>
          <w:p w14:paraId="11BBFE82" w14:textId="77777777" w:rsidR="00937C4A" w:rsidRDefault="00000000">
            <w:pPr>
              <w:spacing w:after="0" w:line="240" w:lineRule="auto"/>
              <w:jc w:val="center"/>
            </w:pPr>
            <w:r>
              <w:rPr>
                <w:rFonts w:ascii="Noto Sans" w:hAnsi="Noto Sans"/>
                <w:sz w:val="14"/>
              </w:rPr>
              <w:t>1</w:t>
            </w:r>
          </w:p>
        </w:tc>
        <w:tc>
          <w:tcPr>
            <w:tcW w:w="1600" w:type="dxa"/>
            <w:shd w:val="clear" w:color="auto" w:fill="F4F6F7"/>
            <w:tcMar>
              <w:top w:w="55" w:type="dxa"/>
              <w:left w:w="65" w:type="dxa"/>
              <w:bottom w:w="55" w:type="dxa"/>
              <w:right w:w="65" w:type="dxa"/>
            </w:tcMar>
            <w:vAlign w:val="center"/>
          </w:tcPr>
          <w:p w14:paraId="741F7C58" w14:textId="77777777" w:rsidR="00937C4A" w:rsidRDefault="00000000">
            <w:pPr>
              <w:spacing w:after="0" w:line="240" w:lineRule="auto"/>
              <w:jc w:val="center"/>
            </w:pPr>
            <w:r>
              <w:rPr>
                <w:rFonts w:ascii="Noto Sans" w:hAnsi="Noto Sans"/>
                <w:sz w:val="14"/>
              </w:rPr>
              <w:t>1</w:t>
            </w:r>
          </w:p>
        </w:tc>
      </w:tr>
      <w:tr w:rsidR="00937C4A" w14:paraId="326809B3" w14:textId="77777777">
        <w:trPr>
          <w:cantSplit/>
          <w:jc w:val="center"/>
        </w:trPr>
        <w:tc>
          <w:tcPr>
            <w:tcW w:w="1300" w:type="dxa"/>
            <w:tcMar>
              <w:top w:w="55" w:type="dxa"/>
              <w:left w:w="65" w:type="dxa"/>
              <w:bottom w:w="55" w:type="dxa"/>
              <w:right w:w="65" w:type="dxa"/>
            </w:tcMar>
            <w:vAlign w:val="center"/>
          </w:tcPr>
          <w:p w14:paraId="420A430D" w14:textId="77777777" w:rsidR="00937C4A" w:rsidRDefault="00000000">
            <w:pPr>
              <w:spacing w:after="0" w:line="240" w:lineRule="auto"/>
              <w:jc w:val="center"/>
            </w:pPr>
            <w:r>
              <w:rPr>
                <w:rFonts w:ascii="Noto Sans" w:hAnsi="Noto Sans"/>
                <w:sz w:val="14"/>
              </w:rPr>
              <w:t>0.175</w:t>
            </w:r>
          </w:p>
        </w:tc>
        <w:tc>
          <w:tcPr>
            <w:tcW w:w="2450" w:type="dxa"/>
            <w:tcMar>
              <w:top w:w="55" w:type="dxa"/>
              <w:left w:w="65" w:type="dxa"/>
              <w:bottom w:w="55" w:type="dxa"/>
              <w:right w:w="65" w:type="dxa"/>
            </w:tcMar>
            <w:vAlign w:val="center"/>
          </w:tcPr>
          <w:p w14:paraId="1EBB17E0" w14:textId="77777777" w:rsidR="00937C4A" w:rsidRDefault="00000000">
            <w:pPr>
              <w:spacing w:after="0" w:line="240" w:lineRule="auto"/>
              <w:jc w:val="center"/>
            </w:pPr>
            <w:r>
              <w:rPr>
                <w:rFonts w:ascii="Noto Sans" w:hAnsi="Noto Sans"/>
                <w:sz w:val="14"/>
              </w:rPr>
              <w:t>2</w:t>
            </w:r>
          </w:p>
        </w:tc>
        <w:tc>
          <w:tcPr>
            <w:tcW w:w="2450" w:type="dxa"/>
            <w:tcMar>
              <w:top w:w="55" w:type="dxa"/>
              <w:left w:w="65" w:type="dxa"/>
              <w:bottom w:w="55" w:type="dxa"/>
              <w:right w:w="65" w:type="dxa"/>
            </w:tcMar>
            <w:vAlign w:val="center"/>
          </w:tcPr>
          <w:p w14:paraId="0A8FB12A" w14:textId="77777777" w:rsidR="00937C4A" w:rsidRDefault="00000000">
            <w:pPr>
              <w:spacing w:after="0" w:line="240" w:lineRule="auto"/>
              <w:jc w:val="center"/>
            </w:pPr>
            <w:r>
              <w:rPr>
                <w:rFonts w:ascii="Noto Sans" w:hAnsi="Noto Sans"/>
                <w:sz w:val="14"/>
              </w:rPr>
              <w:t>1</w:t>
            </w:r>
          </w:p>
        </w:tc>
        <w:tc>
          <w:tcPr>
            <w:tcW w:w="1600" w:type="dxa"/>
            <w:tcMar>
              <w:top w:w="55" w:type="dxa"/>
              <w:left w:w="65" w:type="dxa"/>
              <w:bottom w:w="55" w:type="dxa"/>
              <w:right w:w="65" w:type="dxa"/>
            </w:tcMar>
            <w:vAlign w:val="center"/>
          </w:tcPr>
          <w:p w14:paraId="458C41FE" w14:textId="77777777" w:rsidR="00937C4A" w:rsidRDefault="00000000">
            <w:pPr>
              <w:spacing w:after="0" w:line="240" w:lineRule="auto"/>
              <w:jc w:val="center"/>
            </w:pPr>
            <w:r>
              <w:rPr>
                <w:rFonts w:ascii="Noto Sans" w:hAnsi="Noto Sans"/>
                <w:sz w:val="14"/>
              </w:rPr>
              <w:t>1</w:t>
            </w:r>
          </w:p>
        </w:tc>
        <w:tc>
          <w:tcPr>
            <w:tcW w:w="1600" w:type="dxa"/>
            <w:tcMar>
              <w:top w:w="55" w:type="dxa"/>
              <w:left w:w="65" w:type="dxa"/>
              <w:bottom w:w="55" w:type="dxa"/>
              <w:right w:w="65" w:type="dxa"/>
            </w:tcMar>
            <w:vAlign w:val="center"/>
          </w:tcPr>
          <w:p w14:paraId="30CC8DC8" w14:textId="77777777" w:rsidR="00937C4A" w:rsidRDefault="00000000">
            <w:pPr>
              <w:spacing w:after="0" w:line="240" w:lineRule="auto"/>
              <w:jc w:val="center"/>
            </w:pPr>
            <w:r>
              <w:rPr>
                <w:rFonts w:ascii="Noto Sans" w:hAnsi="Noto Sans"/>
                <w:sz w:val="14"/>
              </w:rPr>
              <w:t>1</w:t>
            </w:r>
          </w:p>
        </w:tc>
      </w:tr>
      <w:tr w:rsidR="00937C4A" w14:paraId="445C53F1" w14:textId="77777777">
        <w:trPr>
          <w:cantSplit/>
          <w:jc w:val="center"/>
        </w:trPr>
        <w:tc>
          <w:tcPr>
            <w:tcW w:w="1300" w:type="dxa"/>
            <w:shd w:val="clear" w:color="auto" w:fill="F4F6F7"/>
            <w:tcMar>
              <w:top w:w="55" w:type="dxa"/>
              <w:left w:w="65" w:type="dxa"/>
              <w:bottom w:w="55" w:type="dxa"/>
              <w:right w:w="65" w:type="dxa"/>
            </w:tcMar>
            <w:vAlign w:val="center"/>
          </w:tcPr>
          <w:p w14:paraId="5C48DBE9" w14:textId="77777777" w:rsidR="00937C4A" w:rsidRDefault="00000000">
            <w:pPr>
              <w:spacing w:after="0" w:line="240" w:lineRule="auto"/>
              <w:jc w:val="center"/>
            </w:pPr>
            <w:r>
              <w:rPr>
                <w:rFonts w:ascii="Noto Sans" w:hAnsi="Noto Sans"/>
                <w:sz w:val="14"/>
              </w:rPr>
              <w:t>0.220</w:t>
            </w:r>
          </w:p>
        </w:tc>
        <w:tc>
          <w:tcPr>
            <w:tcW w:w="2450" w:type="dxa"/>
            <w:shd w:val="clear" w:color="auto" w:fill="F4F6F7"/>
            <w:tcMar>
              <w:top w:w="55" w:type="dxa"/>
              <w:left w:w="65" w:type="dxa"/>
              <w:bottom w:w="55" w:type="dxa"/>
              <w:right w:w="65" w:type="dxa"/>
            </w:tcMar>
            <w:vAlign w:val="center"/>
          </w:tcPr>
          <w:p w14:paraId="72296936" w14:textId="77777777" w:rsidR="00937C4A" w:rsidRDefault="00000000">
            <w:pPr>
              <w:spacing w:after="0" w:line="240" w:lineRule="auto"/>
              <w:jc w:val="center"/>
            </w:pPr>
            <w:r>
              <w:rPr>
                <w:rFonts w:ascii="Noto Sans" w:hAnsi="Noto Sans"/>
                <w:sz w:val="14"/>
              </w:rPr>
              <w:t>24</w:t>
            </w:r>
          </w:p>
        </w:tc>
        <w:tc>
          <w:tcPr>
            <w:tcW w:w="2450" w:type="dxa"/>
            <w:shd w:val="clear" w:color="auto" w:fill="F4F6F7"/>
            <w:tcMar>
              <w:top w:w="55" w:type="dxa"/>
              <w:left w:w="65" w:type="dxa"/>
              <w:bottom w:w="55" w:type="dxa"/>
              <w:right w:w="65" w:type="dxa"/>
            </w:tcMar>
            <w:vAlign w:val="center"/>
          </w:tcPr>
          <w:p w14:paraId="39B62837" w14:textId="77777777" w:rsidR="00937C4A" w:rsidRDefault="00000000">
            <w:pPr>
              <w:spacing w:after="0" w:line="240" w:lineRule="auto"/>
              <w:jc w:val="center"/>
            </w:pPr>
            <w:r>
              <w:rPr>
                <w:rFonts w:ascii="Noto Sans" w:hAnsi="Noto Sans"/>
                <w:sz w:val="14"/>
              </w:rPr>
              <w:t>1</w:t>
            </w:r>
          </w:p>
        </w:tc>
        <w:tc>
          <w:tcPr>
            <w:tcW w:w="1600" w:type="dxa"/>
            <w:shd w:val="clear" w:color="auto" w:fill="F4F6F7"/>
            <w:tcMar>
              <w:top w:w="55" w:type="dxa"/>
              <w:left w:w="65" w:type="dxa"/>
              <w:bottom w:w="55" w:type="dxa"/>
              <w:right w:w="65" w:type="dxa"/>
            </w:tcMar>
            <w:vAlign w:val="center"/>
          </w:tcPr>
          <w:p w14:paraId="1C319987" w14:textId="77777777" w:rsidR="00937C4A" w:rsidRDefault="00000000">
            <w:pPr>
              <w:spacing w:after="0" w:line="240" w:lineRule="auto"/>
              <w:jc w:val="center"/>
            </w:pPr>
            <w:r>
              <w:rPr>
                <w:rFonts w:ascii="Noto Sans" w:hAnsi="Noto Sans"/>
                <w:sz w:val="14"/>
              </w:rPr>
              <w:t>1</w:t>
            </w:r>
          </w:p>
        </w:tc>
        <w:tc>
          <w:tcPr>
            <w:tcW w:w="1600" w:type="dxa"/>
            <w:shd w:val="clear" w:color="auto" w:fill="F4F6F7"/>
            <w:tcMar>
              <w:top w:w="55" w:type="dxa"/>
              <w:left w:w="65" w:type="dxa"/>
              <w:bottom w:w="55" w:type="dxa"/>
              <w:right w:w="65" w:type="dxa"/>
            </w:tcMar>
            <w:vAlign w:val="center"/>
          </w:tcPr>
          <w:p w14:paraId="35DB97D3" w14:textId="77777777" w:rsidR="00937C4A" w:rsidRDefault="00000000">
            <w:pPr>
              <w:spacing w:after="0" w:line="240" w:lineRule="auto"/>
              <w:jc w:val="center"/>
            </w:pPr>
            <w:r>
              <w:rPr>
                <w:rFonts w:ascii="Noto Sans" w:hAnsi="Noto Sans"/>
                <w:sz w:val="14"/>
              </w:rPr>
              <w:t>1</w:t>
            </w:r>
          </w:p>
        </w:tc>
      </w:tr>
      <w:tr w:rsidR="00937C4A" w14:paraId="0B1288C7" w14:textId="77777777">
        <w:trPr>
          <w:cantSplit/>
          <w:jc w:val="center"/>
        </w:trPr>
        <w:tc>
          <w:tcPr>
            <w:tcW w:w="1300" w:type="dxa"/>
            <w:tcMar>
              <w:top w:w="55" w:type="dxa"/>
              <w:left w:w="65" w:type="dxa"/>
              <w:bottom w:w="55" w:type="dxa"/>
              <w:right w:w="65" w:type="dxa"/>
            </w:tcMar>
            <w:vAlign w:val="center"/>
          </w:tcPr>
          <w:p w14:paraId="250D19AC" w14:textId="77777777" w:rsidR="00937C4A" w:rsidRDefault="00000000">
            <w:pPr>
              <w:spacing w:after="0" w:line="240" w:lineRule="auto"/>
              <w:jc w:val="center"/>
            </w:pPr>
            <w:r>
              <w:rPr>
                <w:rFonts w:ascii="Noto Sans" w:hAnsi="Noto Sans"/>
                <w:sz w:val="14"/>
              </w:rPr>
              <w:t>0.300</w:t>
            </w:r>
          </w:p>
        </w:tc>
        <w:tc>
          <w:tcPr>
            <w:tcW w:w="2450" w:type="dxa"/>
            <w:tcMar>
              <w:top w:w="55" w:type="dxa"/>
              <w:left w:w="65" w:type="dxa"/>
              <w:bottom w:w="55" w:type="dxa"/>
              <w:right w:w="65" w:type="dxa"/>
            </w:tcMar>
            <w:vAlign w:val="center"/>
          </w:tcPr>
          <w:p w14:paraId="029E9C27" w14:textId="77777777" w:rsidR="00937C4A" w:rsidRDefault="00000000">
            <w:pPr>
              <w:spacing w:after="0" w:line="240" w:lineRule="auto"/>
              <w:jc w:val="center"/>
            </w:pPr>
            <w:r>
              <w:rPr>
                <w:rFonts w:ascii="Noto Sans" w:hAnsi="Noto Sans"/>
                <w:sz w:val="14"/>
              </w:rPr>
              <w:t>103</w:t>
            </w:r>
          </w:p>
        </w:tc>
        <w:tc>
          <w:tcPr>
            <w:tcW w:w="2450" w:type="dxa"/>
            <w:tcMar>
              <w:top w:w="55" w:type="dxa"/>
              <w:left w:w="65" w:type="dxa"/>
              <w:bottom w:w="55" w:type="dxa"/>
              <w:right w:w="65" w:type="dxa"/>
            </w:tcMar>
            <w:vAlign w:val="center"/>
          </w:tcPr>
          <w:p w14:paraId="19D92E48" w14:textId="77777777" w:rsidR="00937C4A" w:rsidRDefault="00000000">
            <w:pPr>
              <w:spacing w:after="0" w:line="240" w:lineRule="auto"/>
              <w:jc w:val="center"/>
            </w:pPr>
            <w:r>
              <w:rPr>
                <w:rFonts w:ascii="Noto Sans" w:hAnsi="Noto Sans"/>
                <w:sz w:val="14"/>
              </w:rPr>
              <w:t>20</w:t>
            </w:r>
          </w:p>
        </w:tc>
        <w:tc>
          <w:tcPr>
            <w:tcW w:w="1600" w:type="dxa"/>
            <w:tcMar>
              <w:top w:w="55" w:type="dxa"/>
              <w:left w:w="65" w:type="dxa"/>
              <w:bottom w:w="55" w:type="dxa"/>
              <w:right w:w="65" w:type="dxa"/>
            </w:tcMar>
            <w:vAlign w:val="center"/>
          </w:tcPr>
          <w:p w14:paraId="3BD136C8" w14:textId="77777777" w:rsidR="00937C4A" w:rsidRDefault="00000000">
            <w:pPr>
              <w:spacing w:after="0" w:line="240" w:lineRule="auto"/>
              <w:jc w:val="center"/>
            </w:pPr>
            <w:r>
              <w:rPr>
                <w:rFonts w:ascii="Noto Sans" w:hAnsi="Noto Sans"/>
                <w:sz w:val="14"/>
              </w:rPr>
              <w:t>5</w:t>
            </w:r>
          </w:p>
        </w:tc>
        <w:tc>
          <w:tcPr>
            <w:tcW w:w="1600" w:type="dxa"/>
            <w:tcMar>
              <w:top w:w="55" w:type="dxa"/>
              <w:left w:w="65" w:type="dxa"/>
              <w:bottom w:w="55" w:type="dxa"/>
              <w:right w:w="65" w:type="dxa"/>
            </w:tcMar>
            <w:vAlign w:val="center"/>
          </w:tcPr>
          <w:p w14:paraId="642F7118" w14:textId="77777777" w:rsidR="00937C4A" w:rsidRDefault="00000000">
            <w:pPr>
              <w:spacing w:after="0" w:line="240" w:lineRule="auto"/>
              <w:jc w:val="center"/>
            </w:pPr>
            <w:r>
              <w:rPr>
                <w:rFonts w:ascii="Noto Sans" w:hAnsi="Noto Sans"/>
                <w:sz w:val="14"/>
              </w:rPr>
              <w:t>2</w:t>
            </w:r>
          </w:p>
        </w:tc>
      </w:tr>
    </w:tbl>
    <w:p w14:paraId="6115F2B6" w14:textId="77777777" w:rsidR="00937C4A" w:rsidRDefault="00000000">
      <w:pPr>
        <w:pStyle w:val="BodyText"/>
      </w:pPr>
      <w:r>
        <w:t xml:space="preserve">The reported </w:t>
      </w:r>
      <m:oMath>
        <m:r>
          <w:rPr>
            <w:rFonts w:ascii="Cambria Math" w:hAnsi="Cambria Math"/>
          </w:rPr>
          <m:t>1</m:t>
        </m:r>
        <m:r>
          <m:rPr>
            <m:sty m:val="p"/>
          </m:rPr>
          <w:rPr>
            <w:rFonts w:ascii="Cambria Math" w:hAnsi="Cambria Math"/>
          </w:rPr>
          <m:t>→</m:t>
        </m:r>
        <m:r>
          <w:rPr>
            <w:rFonts w:ascii="Cambria Math" w:hAnsi="Cambria Math"/>
          </w:rPr>
          <m:t>2</m:t>
        </m:r>
      </m:oMath>
      <w:r>
        <w:t xml:space="preserve"> transition at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0.175</m:t>
        </m:r>
      </m:oMath>
      <w:r>
        <w:t xml:space="preserve"> was a pixel artefact. So was the supposed divergence at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0.220</m:t>
        </m:r>
      </m:oMath>
      <w:r>
        <w:t xml:space="preserve"> offered in the first attempted repair. Result R3 is withdrawn, and the repair built on it is withdrawn with it. Chapter 10 records the failure rather than hiding it.</w:t>
      </w:r>
    </w:p>
    <w:p w14:paraId="220D27B4" w14:textId="77777777" w:rsidR="00937C4A" w:rsidRDefault="00000000">
      <w:pPr>
        <w:pStyle w:val="BodyText"/>
      </w:pPr>
      <w:r>
        <w:t>The mutual-information claim is separately and flatly wrong. One binary survival observation cannot carry ten bits:</w:t>
      </w:r>
    </w:p>
    <w:p w14:paraId="6DB8FA55" w14:textId="77777777" w:rsidR="00937C4A" w:rsidRDefault="00000000">
      <w:pPr>
        <w:pStyle w:val="BodyText"/>
        <w:spacing w:before="100" w:after="140"/>
        <w:jc w:val="center"/>
      </w:pPr>
      <m:oMathPara>
        <m:oMathParaPr>
          <m:jc m:val="center"/>
        </m:oMathParaPr>
        <m:oMath>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ϑ</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1 </m:t>
          </m:r>
          <m:r>
            <m:rPr>
              <m:nor/>
            </m:rPr>
            <m:t>bit</m:t>
          </m:r>
          <m:r>
            <m:rPr>
              <m:sty m:val="p"/>
            </m:rPr>
            <w:rPr>
              <w:rFonts w:ascii="Cambria Math" w:hAnsi="Cambria Math"/>
            </w:rPr>
            <m:t>.</m:t>
          </m:r>
        </m:oMath>
      </m:oMathPara>
    </w:p>
    <w:p w14:paraId="6C6875D4" w14:textId="77777777" w:rsidR="00937C4A" w:rsidRDefault="00000000">
      <w:r>
        <w:t xml:space="preserve">Result R4 is therefore also withdrawn. Chapter 15 retains only the valid precision cost </w:t>
      </w:r>
      <m:oMath>
        <m:sSup>
          <m:sSupPr>
            <m:ctrlPr>
              <w:rPr>
                <w:rFonts w:ascii="Cambria Math" w:hAnsi="Cambria Math"/>
              </w:rPr>
            </m:ctrlPr>
          </m:sSupPr>
          <m:e>
            <m:r>
              <w:rPr>
                <w:rFonts w:ascii="Cambria Math" w:hAnsi="Cambria Math"/>
              </w:rPr>
              <m:t>2</m:t>
            </m:r>
          </m:e>
          <m:sup>
            <m:r>
              <w:rPr>
                <w:rFonts w:ascii="Cambria Math" w:hAnsi="Cambria Math"/>
              </w:rPr>
              <m:t>1</m:t>
            </m:r>
            <m:r>
              <m:rPr>
                <m:sty m:val="p"/>
              </m:rPr>
              <w:rPr>
                <w:rFonts w:ascii="Cambria Math" w:hAnsi="Cambria Math"/>
              </w:rPr>
              <m:t>/</m:t>
            </m:r>
            <m:r>
              <w:rPr>
                <w:rFonts w:ascii="Cambria Math" w:hAnsi="Cambria Math"/>
              </w:rPr>
              <m:t>γ</m:t>
            </m:r>
          </m:sup>
        </m:sSup>
      </m:oMath>
      <w:r>
        <w:t xml:space="preserve"> per bit of ambiguity suppression, with the exponent itself marked unconverged.</w:t>
      </w:r>
    </w:p>
    <w:p w14:paraId="7E7D3608" w14:textId="77777777" w:rsidR="00937C4A" w:rsidRDefault="00000000">
      <w:pPr>
        <w:pStyle w:val="BodyText"/>
      </w:pPr>
      <w:r>
        <w:t>Two checks survived cleanly. First, the distinguished limit</w:t>
      </w:r>
    </w:p>
    <w:p w14:paraId="248EC007" w14:textId="77777777" w:rsidR="00937C4A" w:rsidRDefault="00000000">
      <w:pPr>
        <w:pStyle w:val="BodyText"/>
        <w:spacing w:before="100" w:after="140"/>
        <w:jc w:val="center"/>
      </w:pPr>
      <m:oMathPara>
        <m:oMathParaPr>
          <m:jc m:val="center"/>
        </m:oMathParaP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2</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3</m:t>
                  </m:r>
                </m:sup>
              </m:sSup>
            </m:e>
          </m:d>
        </m:oMath>
      </m:oMathPara>
    </w:p>
    <w:p w14:paraId="13698E68" w14:textId="77777777" w:rsidR="00937C4A" w:rsidRDefault="00000000">
      <w:r>
        <w:t xml:space="preserve">balances the dissipative and forcing contributions at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4</m:t>
                </m:r>
              </m:sup>
            </m:sSup>
          </m:e>
        </m:d>
      </m:oMath>
      <w:r>
        <w:t xml:space="preserve">; the computed ratios converge to </w:t>
      </w:r>
      <m:oMath>
        <m:r>
          <w:rPr>
            <w:rFonts w:ascii="Cambria Math" w:hAnsi="Cambria Math"/>
          </w:rPr>
          <m:t>1.499</m:t>
        </m:r>
      </m:oMath>
      <w:r>
        <w:t xml:space="preserve"> and </w:t>
      </w:r>
      <m:oMath>
        <m:r>
          <w:rPr>
            <w:rFonts w:ascii="Cambria Math" w:hAnsi="Cambria Math"/>
          </w:rPr>
          <m:t>0.400</m:t>
        </m:r>
      </m:oMath>
      <w:r>
        <w:t xml:space="preserve">. Second, the impact-centred separatrix validates to </w:t>
      </w:r>
      <m:oMath>
        <m:r>
          <w:rPr>
            <w:rFonts w:ascii="Cambria Math" w:hAnsi="Cambria Math"/>
          </w:rPr>
          <m:t>6.9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with</w:t>
      </w:r>
    </w:p>
    <w:p w14:paraId="5388F8A8"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0.348148</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sin</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0.348216</m:t>
          </m:r>
          <m:r>
            <m:rPr>
              <m:sty m:val="p"/>
            </m:rPr>
            <w:rPr>
              <w:rFonts w:ascii="Cambria Math" w:hAnsi="Cambria Math"/>
            </w:rPr>
            <m:t>.</m:t>
          </m:r>
        </m:oMath>
      </m:oMathPara>
    </w:p>
    <w:p w14:paraId="48B82CCF" w14:textId="77777777" w:rsidR="00937C4A" w:rsidRDefault="00000000">
      <w:r>
        <w:t>The book is built on what survived. The most promising open question now comes from grazing. The vanishing saltation denominator, the loss of an isolating neighbourhood, and the disappearance of the categorical coherence square are one event in three formalisms. Because the Nordmark square-root normal form has explicit local structure, a grazing-generated uncertainty exponent may be analytically computable rather than fitted. If so, the cost-of-certainty programme gains one rigorous regime even though the original numerical result died.</w:t>
      </w:r>
    </w:p>
    <w:p w14:paraId="5C9BCAA1" w14:textId="77777777" w:rsidR="00937C4A" w:rsidRDefault="00000000">
      <w:pPr>
        <w:pStyle w:val="Heading2"/>
        <w:pageBreakBefore/>
        <w:spacing w:before="320" w:after="280"/>
        <w:jc w:val="center"/>
      </w:pPr>
      <w:bookmarkStart w:id="3" w:name="a-note-on-epistemic-status"/>
      <w:bookmarkEnd w:id="2"/>
      <w:r>
        <w:rPr>
          <w:rFonts w:ascii="EB Garamond" w:eastAsia="EB Garamond" w:hAnsi="EB Garamond"/>
          <w:color w:val="283037"/>
          <w:sz w:val="34"/>
        </w:rPr>
        <w:lastRenderedPageBreak/>
        <w:t>A Note on Epistemic Status</w:t>
      </w:r>
    </w:p>
    <w:p w14:paraId="5FB95CA0" w14:textId="77777777" w:rsidR="00937C4A" w:rsidRDefault="00000000">
      <w:r>
        <w:t xml:space="preserve">This book carries a status tag on every substantive claim. The tags are not decoration and they are not modesty. They are the load-bearing structure of the argument, because the subject of the book is exactly the gap between </w:t>
      </w:r>
      <w:r>
        <w:rPr>
          <w:i/>
          <w:iCs/>
        </w:rPr>
        <w:t>what happened</w:t>
      </w:r>
      <w:r>
        <w:t xml:space="preserve"> and </w:t>
      </w:r>
      <w:r>
        <w:rPr>
          <w:i/>
          <w:iCs/>
        </w:rPr>
        <w:t>what may be concluded</w:t>
      </w:r>
      <w:r>
        <w:t>, and it would be incoherent to write about that gap while concealing it in my own text.</w:t>
      </w:r>
    </w:p>
    <w:tbl>
      <w:tblPr>
        <w:tblStyle w:val="TableGrid"/>
        <w:tblW w:w="9400" w:type="dxa"/>
        <w:jc w:val="center"/>
        <w:tblLayout w:type="fixed"/>
        <w:tblLook w:val="04A0" w:firstRow="1" w:lastRow="0" w:firstColumn="1" w:lastColumn="0" w:noHBand="0" w:noVBand="1"/>
      </w:tblPr>
      <w:tblGrid>
        <w:gridCol w:w="1150"/>
        <w:gridCol w:w="8250"/>
      </w:tblGrid>
      <w:tr w:rsidR="00937C4A" w14:paraId="1B5AEA0E" w14:textId="77777777">
        <w:trPr>
          <w:cantSplit/>
          <w:tblHeader/>
          <w:jc w:val="center"/>
        </w:trPr>
        <w:tc>
          <w:tcPr>
            <w:tcW w:w="1150" w:type="dxa"/>
            <w:shd w:val="clear" w:color="auto" w:fill="495A65"/>
            <w:tcMar>
              <w:top w:w="55" w:type="dxa"/>
              <w:left w:w="65" w:type="dxa"/>
              <w:bottom w:w="55" w:type="dxa"/>
              <w:right w:w="65" w:type="dxa"/>
            </w:tcMar>
            <w:vAlign w:val="center"/>
          </w:tcPr>
          <w:p w14:paraId="652353AB" w14:textId="77777777" w:rsidR="00937C4A" w:rsidRDefault="00000000">
            <w:pPr>
              <w:spacing w:after="0" w:line="240" w:lineRule="auto"/>
              <w:jc w:val="center"/>
            </w:pPr>
            <w:r>
              <w:rPr>
                <w:rFonts w:ascii="Noto Sans" w:hAnsi="Noto Sans"/>
                <w:b/>
                <w:color w:val="FFFFFF"/>
                <w:sz w:val="16"/>
              </w:rPr>
              <w:t>Tag</w:t>
            </w:r>
          </w:p>
        </w:tc>
        <w:tc>
          <w:tcPr>
            <w:tcW w:w="8250" w:type="dxa"/>
            <w:shd w:val="clear" w:color="auto" w:fill="495A65"/>
            <w:tcMar>
              <w:top w:w="55" w:type="dxa"/>
              <w:left w:w="65" w:type="dxa"/>
              <w:bottom w:w="55" w:type="dxa"/>
              <w:right w:w="65" w:type="dxa"/>
            </w:tcMar>
            <w:vAlign w:val="center"/>
          </w:tcPr>
          <w:p w14:paraId="174DB664" w14:textId="77777777" w:rsidR="00937C4A" w:rsidRDefault="00000000">
            <w:pPr>
              <w:spacing w:after="0" w:line="240" w:lineRule="auto"/>
              <w:jc w:val="left"/>
            </w:pPr>
            <w:r>
              <w:rPr>
                <w:rFonts w:ascii="Noto Sans" w:hAnsi="Noto Sans"/>
                <w:b/>
                <w:color w:val="FFFFFF"/>
                <w:sz w:val="16"/>
              </w:rPr>
              <w:t>Meaning</w:t>
            </w:r>
          </w:p>
        </w:tc>
      </w:tr>
      <w:tr w:rsidR="00937C4A" w14:paraId="73E84D10" w14:textId="77777777">
        <w:trPr>
          <w:cantSplit/>
          <w:jc w:val="center"/>
        </w:trPr>
        <w:tc>
          <w:tcPr>
            <w:tcW w:w="1150" w:type="dxa"/>
            <w:tcMar>
              <w:top w:w="55" w:type="dxa"/>
              <w:left w:w="65" w:type="dxa"/>
              <w:bottom w:w="55" w:type="dxa"/>
              <w:right w:w="65" w:type="dxa"/>
            </w:tcMar>
            <w:vAlign w:val="center"/>
          </w:tcPr>
          <w:p w14:paraId="09D1D8C1" w14:textId="77777777" w:rsidR="00937C4A" w:rsidRDefault="00000000">
            <w:pPr>
              <w:spacing w:after="0" w:line="240" w:lineRule="auto"/>
              <w:jc w:val="center"/>
            </w:pPr>
            <w:r>
              <w:rPr>
                <w:rFonts w:ascii="Noto Sans" w:hAnsi="Noto Sans"/>
                <w:b/>
                <w:color w:val="1D6848"/>
                <w:sz w:val="16"/>
              </w:rPr>
              <w:t>[T]</w:t>
            </w:r>
          </w:p>
        </w:tc>
        <w:tc>
          <w:tcPr>
            <w:tcW w:w="8250" w:type="dxa"/>
            <w:tcMar>
              <w:top w:w="55" w:type="dxa"/>
              <w:left w:w="65" w:type="dxa"/>
              <w:bottom w:w="55" w:type="dxa"/>
              <w:right w:w="65" w:type="dxa"/>
            </w:tcMar>
            <w:vAlign w:val="center"/>
          </w:tcPr>
          <w:p w14:paraId="52752A65" w14:textId="77777777" w:rsidR="00937C4A" w:rsidRDefault="00000000">
            <w:pPr>
              <w:spacing w:after="0" w:line="240" w:lineRule="auto"/>
              <w:jc w:val="left"/>
            </w:pPr>
            <w:r>
              <w:rPr>
                <w:rFonts w:ascii="Noto Sans" w:hAnsi="Noto Sans"/>
                <w:sz w:val="16"/>
              </w:rPr>
              <w:t>Theorem. Proved, with hypotheses stated. Falsifiable only by finding an error in the proof.</w:t>
            </w:r>
          </w:p>
        </w:tc>
      </w:tr>
      <w:tr w:rsidR="00937C4A" w14:paraId="747D7B97" w14:textId="77777777">
        <w:trPr>
          <w:cantSplit/>
          <w:jc w:val="center"/>
        </w:trPr>
        <w:tc>
          <w:tcPr>
            <w:tcW w:w="1150" w:type="dxa"/>
            <w:shd w:val="clear" w:color="auto" w:fill="F4F6F7"/>
            <w:tcMar>
              <w:top w:w="55" w:type="dxa"/>
              <w:left w:w="65" w:type="dxa"/>
              <w:bottom w:w="55" w:type="dxa"/>
              <w:right w:w="65" w:type="dxa"/>
            </w:tcMar>
            <w:vAlign w:val="center"/>
          </w:tcPr>
          <w:p w14:paraId="31E15FFD" w14:textId="77777777" w:rsidR="00937C4A" w:rsidRDefault="00000000">
            <w:pPr>
              <w:spacing w:after="0" w:line="240" w:lineRule="auto"/>
              <w:jc w:val="center"/>
            </w:pPr>
            <w:r>
              <w:rPr>
                <w:rFonts w:ascii="Noto Sans" w:hAnsi="Noto Sans"/>
                <w:b/>
                <w:color w:val="255B8D"/>
                <w:sz w:val="16"/>
              </w:rPr>
              <w:t>[A]</w:t>
            </w:r>
          </w:p>
        </w:tc>
        <w:tc>
          <w:tcPr>
            <w:tcW w:w="8250" w:type="dxa"/>
            <w:shd w:val="clear" w:color="auto" w:fill="F4F6F7"/>
            <w:tcMar>
              <w:top w:w="55" w:type="dxa"/>
              <w:left w:w="65" w:type="dxa"/>
              <w:bottom w:w="55" w:type="dxa"/>
              <w:right w:w="65" w:type="dxa"/>
            </w:tcMar>
            <w:vAlign w:val="center"/>
          </w:tcPr>
          <w:p w14:paraId="2E2C4C72" w14:textId="77777777" w:rsidR="00937C4A" w:rsidRDefault="00000000">
            <w:pPr>
              <w:spacing w:after="0" w:line="240" w:lineRule="auto"/>
              <w:jc w:val="left"/>
            </w:pPr>
            <w:r>
              <w:rPr>
                <w:rFonts w:ascii="Noto Sans" w:hAnsi="Noto Sans"/>
                <w:sz w:val="16"/>
              </w:rPr>
              <w:t>Asymptotic result. Derived in a stated distinguished limit and confirmed numerically. Not a theorem; the error terms are not controlled uniformly.</w:t>
            </w:r>
          </w:p>
        </w:tc>
      </w:tr>
      <w:tr w:rsidR="00937C4A" w14:paraId="52B4215D" w14:textId="77777777">
        <w:trPr>
          <w:cantSplit/>
          <w:jc w:val="center"/>
        </w:trPr>
        <w:tc>
          <w:tcPr>
            <w:tcW w:w="1150" w:type="dxa"/>
            <w:tcMar>
              <w:top w:w="55" w:type="dxa"/>
              <w:left w:w="65" w:type="dxa"/>
              <w:bottom w:w="55" w:type="dxa"/>
              <w:right w:w="65" w:type="dxa"/>
            </w:tcMar>
            <w:vAlign w:val="center"/>
          </w:tcPr>
          <w:p w14:paraId="0CFB4951" w14:textId="77777777" w:rsidR="00937C4A" w:rsidRDefault="00000000">
            <w:pPr>
              <w:spacing w:after="0" w:line="240" w:lineRule="auto"/>
              <w:jc w:val="center"/>
            </w:pPr>
            <w:r>
              <w:rPr>
                <w:rFonts w:ascii="Noto Sans" w:hAnsi="Noto Sans"/>
                <w:b/>
                <w:color w:val="55626E"/>
                <w:sz w:val="16"/>
              </w:rPr>
              <w:t>[N]</w:t>
            </w:r>
          </w:p>
        </w:tc>
        <w:tc>
          <w:tcPr>
            <w:tcW w:w="8250" w:type="dxa"/>
            <w:tcMar>
              <w:top w:w="55" w:type="dxa"/>
              <w:left w:w="65" w:type="dxa"/>
              <w:bottom w:w="55" w:type="dxa"/>
              <w:right w:w="65" w:type="dxa"/>
            </w:tcMar>
            <w:vAlign w:val="center"/>
          </w:tcPr>
          <w:p w14:paraId="1F386CD6" w14:textId="77777777" w:rsidR="00937C4A" w:rsidRDefault="00000000">
            <w:pPr>
              <w:spacing w:after="0" w:line="240" w:lineRule="auto"/>
              <w:jc w:val="left"/>
            </w:pPr>
            <w:r>
              <w:rPr>
                <w:rFonts w:ascii="Noto Sans" w:hAnsi="Noto Sans"/>
                <w:sz w:val="16"/>
              </w:rPr>
              <w:t>Numerical result. Established by computation that has passed a stated convergence and discretisation audit.</w:t>
            </w:r>
          </w:p>
        </w:tc>
      </w:tr>
      <w:tr w:rsidR="00937C4A" w14:paraId="3CAF68AE" w14:textId="77777777">
        <w:trPr>
          <w:cantSplit/>
          <w:jc w:val="center"/>
        </w:trPr>
        <w:tc>
          <w:tcPr>
            <w:tcW w:w="1150" w:type="dxa"/>
            <w:shd w:val="clear" w:color="auto" w:fill="F4F6F7"/>
            <w:tcMar>
              <w:top w:w="55" w:type="dxa"/>
              <w:left w:w="65" w:type="dxa"/>
              <w:bottom w:w="55" w:type="dxa"/>
              <w:right w:w="65" w:type="dxa"/>
            </w:tcMar>
            <w:vAlign w:val="center"/>
          </w:tcPr>
          <w:p w14:paraId="6370BB88" w14:textId="77777777" w:rsidR="00937C4A" w:rsidRDefault="00000000">
            <w:pPr>
              <w:spacing w:after="0" w:line="240" w:lineRule="auto"/>
              <w:jc w:val="center"/>
            </w:pPr>
            <w:r>
              <w:rPr>
                <w:rFonts w:ascii="Noto Sans" w:hAnsi="Noto Sans"/>
                <w:b/>
                <w:color w:val="A95B00"/>
                <w:sz w:val="16"/>
              </w:rPr>
              <w:t>[C]</w:t>
            </w:r>
          </w:p>
        </w:tc>
        <w:tc>
          <w:tcPr>
            <w:tcW w:w="8250" w:type="dxa"/>
            <w:shd w:val="clear" w:color="auto" w:fill="F4F6F7"/>
            <w:tcMar>
              <w:top w:w="55" w:type="dxa"/>
              <w:left w:w="65" w:type="dxa"/>
              <w:bottom w:w="55" w:type="dxa"/>
              <w:right w:w="65" w:type="dxa"/>
            </w:tcMar>
            <w:vAlign w:val="center"/>
          </w:tcPr>
          <w:p w14:paraId="76D74CEF" w14:textId="77777777" w:rsidR="00937C4A" w:rsidRDefault="00000000">
            <w:pPr>
              <w:spacing w:after="0" w:line="240" w:lineRule="auto"/>
              <w:jc w:val="left"/>
            </w:pPr>
            <w:r>
              <w:rPr>
                <w:rFonts w:ascii="Noto Sans" w:hAnsi="Noto Sans"/>
                <w:sz w:val="16"/>
              </w:rPr>
              <w:t>Conjecture. Sharply stated, with the falsification test specified. Not established.</w:t>
            </w:r>
          </w:p>
        </w:tc>
      </w:tr>
      <w:tr w:rsidR="00937C4A" w14:paraId="728912DD" w14:textId="77777777">
        <w:trPr>
          <w:cantSplit/>
          <w:jc w:val="center"/>
        </w:trPr>
        <w:tc>
          <w:tcPr>
            <w:tcW w:w="1150" w:type="dxa"/>
            <w:tcMar>
              <w:top w:w="55" w:type="dxa"/>
              <w:left w:w="65" w:type="dxa"/>
              <w:bottom w:w="55" w:type="dxa"/>
              <w:right w:w="65" w:type="dxa"/>
            </w:tcMar>
            <w:vAlign w:val="center"/>
          </w:tcPr>
          <w:p w14:paraId="304FBECB" w14:textId="77777777" w:rsidR="00937C4A" w:rsidRDefault="00000000">
            <w:pPr>
              <w:spacing w:after="0" w:line="240" w:lineRule="auto"/>
              <w:jc w:val="center"/>
            </w:pPr>
            <w:r>
              <w:rPr>
                <w:rFonts w:ascii="Noto Sans" w:hAnsi="Noto Sans"/>
                <w:b/>
                <w:color w:val="6F4C91"/>
                <w:sz w:val="16"/>
              </w:rPr>
              <w:t>[P]</w:t>
            </w:r>
          </w:p>
        </w:tc>
        <w:tc>
          <w:tcPr>
            <w:tcW w:w="8250" w:type="dxa"/>
            <w:tcMar>
              <w:top w:w="55" w:type="dxa"/>
              <w:left w:w="65" w:type="dxa"/>
              <w:bottom w:w="55" w:type="dxa"/>
              <w:right w:w="65" w:type="dxa"/>
            </w:tcMar>
            <w:vAlign w:val="center"/>
          </w:tcPr>
          <w:p w14:paraId="7E573494" w14:textId="77777777" w:rsidR="00937C4A" w:rsidRDefault="00000000">
            <w:pPr>
              <w:spacing w:after="0" w:line="240" w:lineRule="auto"/>
              <w:jc w:val="left"/>
            </w:pPr>
            <w:r>
              <w:rPr>
                <w:rFonts w:ascii="Noto Sans" w:hAnsi="Noto Sans"/>
                <w:sz w:val="16"/>
              </w:rPr>
              <w:t>Programme. A construction proposed and formulated precisely enough to attempt. Not executed.</w:t>
            </w:r>
          </w:p>
        </w:tc>
      </w:tr>
      <w:tr w:rsidR="00937C4A" w14:paraId="2E2961A4" w14:textId="77777777">
        <w:trPr>
          <w:cantSplit/>
          <w:jc w:val="center"/>
        </w:trPr>
        <w:tc>
          <w:tcPr>
            <w:tcW w:w="1150" w:type="dxa"/>
            <w:shd w:val="clear" w:color="auto" w:fill="F4F6F7"/>
            <w:tcMar>
              <w:top w:w="55" w:type="dxa"/>
              <w:left w:w="65" w:type="dxa"/>
              <w:bottom w:w="55" w:type="dxa"/>
              <w:right w:w="65" w:type="dxa"/>
            </w:tcMar>
            <w:vAlign w:val="center"/>
          </w:tcPr>
          <w:p w14:paraId="0FA5A74B" w14:textId="77777777" w:rsidR="00937C4A" w:rsidRDefault="00000000">
            <w:pPr>
              <w:spacing w:after="0" w:line="240" w:lineRule="auto"/>
              <w:jc w:val="center"/>
            </w:pPr>
            <w:r>
              <w:rPr>
                <w:rFonts w:ascii="Noto Sans" w:hAnsi="Noto Sans"/>
                <w:b/>
                <w:color w:val="216F72"/>
                <w:sz w:val="16"/>
              </w:rPr>
              <w:t>[I]</w:t>
            </w:r>
          </w:p>
        </w:tc>
        <w:tc>
          <w:tcPr>
            <w:tcW w:w="8250" w:type="dxa"/>
            <w:shd w:val="clear" w:color="auto" w:fill="F4F6F7"/>
            <w:tcMar>
              <w:top w:w="55" w:type="dxa"/>
              <w:left w:w="65" w:type="dxa"/>
              <w:bottom w:w="55" w:type="dxa"/>
              <w:right w:w="65" w:type="dxa"/>
            </w:tcMar>
            <w:vAlign w:val="center"/>
          </w:tcPr>
          <w:p w14:paraId="610F9739" w14:textId="77777777" w:rsidR="00937C4A" w:rsidRDefault="00000000">
            <w:pPr>
              <w:spacing w:after="0" w:line="240" w:lineRule="auto"/>
              <w:jc w:val="left"/>
            </w:pPr>
            <w:r>
              <w:rPr>
                <w:rFonts w:ascii="Noto Sans" w:hAnsi="Noto Sans"/>
                <w:sz w:val="16"/>
              </w:rPr>
              <w:t>Interpretation. A reading of a formal object. Explicitly not a claim about the world.</w:t>
            </w:r>
          </w:p>
        </w:tc>
      </w:tr>
      <w:tr w:rsidR="00937C4A" w14:paraId="43A76598" w14:textId="77777777">
        <w:trPr>
          <w:cantSplit/>
          <w:jc w:val="center"/>
        </w:trPr>
        <w:tc>
          <w:tcPr>
            <w:tcW w:w="1150" w:type="dxa"/>
            <w:tcMar>
              <w:top w:w="55" w:type="dxa"/>
              <w:left w:w="65" w:type="dxa"/>
              <w:bottom w:w="55" w:type="dxa"/>
              <w:right w:w="65" w:type="dxa"/>
            </w:tcMar>
            <w:vAlign w:val="center"/>
          </w:tcPr>
          <w:p w14:paraId="049394B1" w14:textId="77777777" w:rsidR="00937C4A" w:rsidRDefault="00000000">
            <w:pPr>
              <w:spacing w:after="0" w:line="240" w:lineRule="auto"/>
              <w:jc w:val="center"/>
            </w:pPr>
            <w:r>
              <w:rPr>
                <w:rFonts w:ascii="Noto Sans" w:hAnsi="Noto Sans"/>
                <w:b/>
                <w:color w:val="A62A2A"/>
                <w:sz w:val="16"/>
              </w:rPr>
              <w:t>[X]</w:t>
            </w:r>
          </w:p>
        </w:tc>
        <w:tc>
          <w:tcPr>
            <w:tcW w:w="8250" w:type="dxa"/>
            <w:tcMar>
              <w:top w:w="55" w:type="dxa"/>
              <w:left w:w="65" w:type="dxa"/>
              <w:bottom w:w="55" w:type="dxa"/>
              <w:right w:w="65" w:type="dxa"/>
            </w:tcMar>
            <w:vAlign w:val="center"/>
          </w:tcPr>
          <w:p w14:paraId="2CBC020D" w14:textId="77777777" w:rsidR="00937C4A" w:rsidRDefault="00000000">
            <w:pPr>
              <w:spacing w:after="0" w:line="240" w:lineRule="auto"/>
              <w:jc w:val="left"/>
            </w:pPr>
            <w:r>
              <w:rPr>
                <w:rFonts w:ascii="Noto Sans" w:hAnsi="Noto Sans"/>
                <w:sz w:val="16"/>
              </w:rPr>
              <w:t>Retracted. A claim made in the working notes preceding this book, withdrawn here, and left visible.</w:t>
            </w:r>
          </w:p>
        </w:tc>
      </w:tr>
    </w:tbl>
    <w:p w14:paraId="07F14CE4" w14:textId="77777777" w:rsidR="00937C4A" w:rsidRDefault="00000000">
      <w:pPr>
        <w:pStyle w:val="BodyText"/>
      </w:pPr>
      <w:r>
        <w:t xml:space="preserve">The </w:t>
      </w:r>
      <w:r>
        <w:rPr>
          <w:rFonts w:ascii="Noto Sans" w:eastAsia="Noto Sans" w:hAnsi="Noto Sans"/>
          <w:b/>
          <w:bCs/>
          <w:color w:val="A62A2A"/>
          <w:sz w:val="19"/>
        </w:rPr>
        <w:t>[X]</w:t>
      </w:r>
      <w:r>
        <w:t xml:space="preserve"> tag is the one that matters. Two of the four headline results in the working notes that preceded this manuscript did not survive audit. They are not quietly absent. They are Chapter 10 and Chapter 15, they are named as failures in the table of contents, and the arithmetic that killed them is reproduced in Appendix C. A book about the limits of inference from survivors that buried its own casualties would be a book making the error it describes.</w:t>
      </w:r>
    </w:p>
    <w:p w14:paraId="4F1F840B" w14:textId="77777777" w:rsidR="00937C4A" w:rsidRDefault="00000000">
      <w:pPr>
        <w:pStyle w:val="BodyText"/>
      </w:pPr>
      <w:r>
        <w:t>The reader is entitled to know the running count after completion of Parts II and III:</w:t>
      </w:r>
    </w:p>
    <w:p w14:paraId="07198333" w14:textId="77777777" w:rsidR="00937C4A" w:rsidRDefault="00000000">
      <w:pPr>
        <w:numPr>
          <w:ilvl w:val="0"/>
          <w:numId w:val="11"/>
        </w:numPr>
      </w:pPr>
      <w:r>
        <w:t xml:space="preserve">four results are </w:t>
      </w:r>
      <w:r>
        <w:rPr>
          <w:rFonts w:ascii="Noto Sans" w:eastAsia="Noto Sans" w:hAnsi="Noto Sans"/>
          <w:b/>
          <w:bCs/>
          <w:color w:val="1D6848"/>
          <w:sz w:val="19"/>
        </w:rPr>
        <w:t>[T]</w:t>
      </w:r>
      <w:r>
        <w:t>,</w:t>
      </w:r>
    </w:p>
    <w:p w14:paraId="78CAEFE6" w14:textId="77777777" w:rsidR="00937C4A" w:rsidRDefault="00000000">
      <w:pPr>
        <w:numPr>
          <w:ilvl w:val="0"/>
          <w:numId w:val="11"/>
        </w:numPr>
      </w:pPr>
      <w:r>
        <w:t xml:space="preserve">three are </w:t>
      </w:r>
      <w:r>
        <w:rPr>
          <w:rFonts w:ascii="Noto Sans" w:eastAsia="Noto Sans" w:hAnsi="Noto Sans"/>
          <w:b/>
          <w:bCs/>
          <w:color w:val="255B8D"/>
          <w:sz w:val="19"/>
        </w:rPr>
        <w:t>[A]</w:t>
      </w:r>
      <w:r>
        <w:t>,</w:t>
      </w:r>
    </w:p>
    <w:p w14:paraId="1C62497C" w14:textId="77777777" w:rsidR="00937C4A" w:rsidRDefault="00000000">
      <w:pPr>
        <w:numPr>
          <w:ilvl w:val="0"/>
          <w:numId w:val="11"/>
        </w:numPr>
      </w:pPr>
      <w:r>
        <w:t xml:space="preserve">four are </w:t>
      </w:r>
      <w:r>
        <w:rPr>
          <w:rFonts w:ascii="Noto Sans" w:eastAsia="Noto Sans" w:hAnsi="Noto Sans"/>
          <w:b/>
          <w:bCs/>
          <w:color w:val="55626E"/>
          <w:sz w:val="19"/>
        </w:rPr>
        <w:t>[N]</w:t>
      </w:r>
      <w:r>
        <w:t>,</w:t>
      </w:r>
    </w:p>
    <w:p w14:paraId="01A9E880" w14:textId="77777777" w:rsidR="00937C4A" w:rsidRDefault="00000000">
      <w:pPr>
        <w:numPr>
          <w:ilvl w:val="0"/>
          <w:numId w:val="11"/>
        </w:numPr>
      </w:pPr>
      <w:r>
        <w:t xml:space="preserve">five are </w:t>
      </w:r>
      <w:r>
        <w:rPr>
          <w:rFonts w:ascii="Noto Sans" w:eastAsia="Noto Sans" w:hAnsi="Noto Sans"/>
          <w:b/>
          <w:bCs/>
          <w:color w:val="A95B00"/>
          <w:sz w:val="19"/>
        </w:rPr>
        <w:t>[C]</w:t>
      </w:r>
      <w:r>
        <w:t xml:space="preserve"> so far,</w:t>
      </w:r>
    </w:p>
    <w:p w14:paraId="6E4930CB" w14:textId="77777777" w:rsidR="00937C4A" w:rsidRDefault="00000000">
      <w:pPr>
        <w:numPr>
          <w:ilvl w:val="0"/>
          <w:numId w:val="11"/>
        </w:numPr>
      </w:pPr>
      <w:r>
        <w:t xml:space="preserve">seven are </w:t>
      </w:r>
      <w:r>
        <w:rPr>
          <w:rFonts w:ascii="Noto Sans" w:eastAsia="Noto Sans" w:hAnsi="Noto Sans"/>
          <w:b/>
          <w:bCs/>
          <w:color w:val="6F4C91"/>
          <w:sz w:val="19"/>
        </w:rPr>
        <w:t>[P]</w:t>
      </w:r>
      <w:r>
        <w:t xml:space="preserve"> so far,</w:t>
      </w:r>
    </w:p>
    <w:p w14:paraId="08E1C1BA" w14:textId="77777777" w:rsidR="00937C4A" w:rsidRDefault="00000000">
      <w:pPr>
        <w:numPr>
          <w:ilvl w:val="0"/>
          <w:numId w:val="11"/>
        </w:numPr>
      </w:pPr>
      <w:r>
        <w:t xml:space="preserve">the whole of Part VI remains </w:t>
      </w:r>
      <w:r>
        <w:rPr>
          <w:rFonts w:ascii="Noto Sans" w:eastAsia="Noto Sans" w:hAnsi="Noto Sans"/>
          <w:b/>
          <w:bCs/>
          <w:color w:val="216F72"/>
          <w:sz w:val="19"/>
        </w:rPr>
        <w:t>[I]</w:t>
      </w:r>
      <w:r>
        <w:t xml:space="preserve"> and </w:t>
      </w:r>
      <w:r>
        <w:rPr>
          <w:rFonts w:ascii="Noto Sans" w:eastAsia="Noto Sans" w:hAnsi="Noto Sans"/>
          <w:b/>
          <w:bCs/>
          <w:color w:val="A95B00"/>
          <w:sz w:val="19"/>
        </w:rPr>
        <w:t>[C]</w:t>
      </w:r>
      <w:r>
        <w:t>,</w:t>
      </w:r>
    </w:p>
    <w:p w14:paraId="57D1C3D3" w14:textId="77777777" w:rsidR="00937C4A" w:rsidRDefault="00000000">
      <w:pPr>
        <w:numPr>
          <w:ilvl w:val="0"/>
          <w:numId w:val="11"/>
        </w:numPr>
      </w:pPr>
      <w:r>
        <w:t xml:space="preserve">and three claims or numerical results carry </w:t>
      </w:r>
      <w:r>
        <w:rPr>
          <w:rFonts w:ascii="Noto Sans" w:eastAsia="Noto Sans" w:hAnsi="Noto Sans"/>
          <w:b/>
          <w:bCs/>
          <w:color w:val="A62A2A"/>
          <w:sz w:val="19"/>
        </w:rPr>
        <w:t>[X]</w:t>
      </w:r>
      <w:r>
        <w:t>.</w:t>
      </w:r>
    </w:p>
    <w:p w14:paraId="25526BE4" w14:textId="77777777" w:rsidR="00937C4A" w:rsidRDefault="00000000">
      <w:r>
        <w:t>The count will change as the unfinished parts are completed. Its present distribution is already instructive: the exact impact law, the quasi-static and impulsive limiting scalings, and Maxwell–Calladine as an Euler characteristic are the only proved results in the mechanical core. The Melnikov threshold and the regime boundary are asymptotic or weaker. Writing the book made that distribution impossible to hide, which is the purpose of the taxonomy.</w:t>
      </w:r>
    </w:p>
    <w:p w14:paraId="6601D56E" w14:textId="77777777" w:rsidR="00937C4A" w:rsidRDefault="00000000">
      <w:pPr>
        <w:pStyle w:val="Heading2"/>
        <w:pageBreakBefore/>
        <w:spacing w:before="320" w:after="280"/>
        <w:jc w:val="center"/>
      </w:pPr>
      <w:bookmarkStart w:id="4" w:name="preface-how-this-began"/>
      <w:bookmarkEnd w:id="3"/>
      <w:r>
        <w:rPr>
          <w:rFonts w:ascii="EB Garamond" w:eastAsia="EB Garamond" w:hAnsi="EB Garamond"/>
          <w:color w:val="283037"/>
          <w:sz w:val="34"/>
        </w:rPr>
        <w:lastRenderedPageBreak/>
        <w:t>Preface: How This Began</w:t>
      </w:r>
    </w:p>
    <w:p w14:paraId="6F65C15D" w14:textId="77777777" w:rsidR="00937C4A" w:rsidRDefault="00000000">
      <w:r>
        <w:t>It began with a photograph on Facebook.</w:t>
      </w:r>
    </w:p>
    <w:p w14:paraId="2DB7F5E9" w14:textId="77777777" w:rsidR="00937C4A" w:rsidRDefault="00000000">
      <w:pPr>
        <w:pStyle w:val="BodyText"/>
      </w:pPr>
      <w:r>
        <w:t>Professor Manohar had been walking at Hampi, among the granite tors of the Eastern Dharwar craton, and had noticed clusters of small stacked cairns — stones piled two, three, five high, in their hundreds, on the flat rock apron beneath the boulders. He was told they were prayers: that people building houses stacked them in the hope that their walls would stand as the balanced rocks above them had stood, unmoving, for longer than anyone could name.</w:t>
      </w:r>
    </w:p>
    <w:p w14:paraId="0561BF7E" w14:textId="77777777" w:rsidR="00937C4A" w:rsidRDefault="00000000">
      <w:pPr>
        <w:pStyle w:val="BodyText"/>
      </w:pPr>
      <w:r>
        <w:t xml:space="preserve">He noted that he had not verified the ethnography. Then he did the thing that makes an engineer worth reading. He observed that the same stones admit four readings — a devotee’s prayer, an engineer’s instrument, a geologist’s page, an anthropologist’s mimesis — and he wrote down what an engineer would want from them: </w:t>
      </w:r>
      <w:r>
        <w:rPr>
          <w:i/>
          <w:iCs/>
        </w:rPr>
        <w:t>if someone kept careful records of the geometry and stacking, the field could serve as a seismic observatory, since toppling or survival would reveal gross properties of the ground motion.</w:t>
      </w:r>
    </w:p>
    <w:p w14:paraId="11FC0211" w14:textId="77777777" w:rsidR="00937C4A" w:rsidRDefault="00000000">
      <w:pPr>
        <w:pStyle w:val="BodyText"/>
      </w:pPr>
      <w:r>
        <w:t>That sentence is the seed of this book, and this book spends four hundred pages explaining why it is almost, but not quite, true — and what would have to be done to make it true.</w:t>
      </w:r>
    </w:p>
    <w:p w14:paraId="0BE80FFC" w14:textId="77777777" w:rsidR="00937C4A" w:rsidRDefault="00000000">
      <w:pPr>
        <w:pStyle w:val="BodyText"/>
      </w:pPr>
      <w:r>
        <w:t>The short version is this. A surviving rock is a binary observation of a rich history. The map from history to survival is many-to-one, and the fibres of that map are not small. Worse, in a large region of parameter space the boundary between the fibres is not a surface but a fractal, so that improving your instruments buys you information at a punishing exchange rate. And worse still, you do not observe the population that fell.</w:t>
      </w:r>
    </w:p>
    <w:p w14:paraId="60B9E6CD" w14:textId="77777777" w:rsidR="00937C4A" w:rsidRDefault="00000000">
      <w:pPr>
        <w:pStyle w:val="BodyText"/>
      </w:pPr>
      <w:r>
        <w:t xml:space="preserve">Every discipline that reads survival as a record makes the same error, and the mathematics of the error is the same in each. The devotee infers </w:t>
      </w:r>
      <w:r>
        <w:rPr>
          <w:i/>
          <w:iCs/>
        </w:rPr>
        <w:t>these stood, so mine will stand</w:t>
      </w:r>
      <w:r>
        <w:t xml:space="preserve">. The engineer infers </w:t>
      </w:r>
      <w:r>
        <w:rPr>
          <w:i/>
          <w:iCs/>
        </w:rPr>
        <w:t>these stood, so the ground did not shake</w:t>
      </w:r>
      <w:r>
        <w:t>. Both condition on the same event and both treat the conditioning as if it identified its cause.</w:t>
      </w:r>
    </w:p>
    <w:p w14:paraId="56D81F69" w14:textId="77777777" w:rsidR="00937C4A" w:rsidRDefault="00000000">
      <w:pPr>
        <w:pStyle w:val="BodyText"/>
      </w:pPr>
      <w:r>
        <w:t xml:space="preserve">But there is a second half, and it is why this is a book and not a paper. If survival carries little information, what does? The answer is </w:t>
      </w:r>
      <w:r>
        <w:rPr>
          <w:b/>
          <w:bCs/>
        </w:rPr>
        <w:t>structural reconfiguration</w:t>
      </w:r>
      <w:r>
        <w:t xml:space="preserve">. A tor that has never moved tells you almost nothing. A cairn whose stones have micro-slipped into a new contact configuration has been </w:t>
      </w:r>
      <w:r>
        <w:rPr>
          <w:i/>
          <w:iCs/>
        </w:rPr>
        <w:t>changed</w:t>
      </w:r>
      <w:r>
        <w:t xml:space="preserve"> by an event, and what it now does under a small tap differs from what it would have done before. That difference is a record. And the mathematics of “what change survives, and what may be recovered from it” turns out to be the mathematics of memory.</w:t>
      </w:r>
    </w:p>
    <w:p w14:paraId="3C39F049" w14:textId="77777777" w:rsidR="00937C4A" w:rsidRDefault="00000000">
      <w:pPr>
        <w:pStyle w:val="BodyText"/>
      </w:pPr>
      <w:r>
        <w:t xml:space="preserve">So the book climbs a ladder. A tor is a </w:t>
      </w:r>
      <w:r>
        <w:rPr>
          <w:b/>
          <w:bCs/>
        </w:rPr>
        <w:t>survivor</w:t>
      </w:r>
      <w:r>
        <w:t xml:space="preserve">. A cairn is a primitive </w:t>
      </w:r>
      <w:r>
        <w:rPr>
          <w:b/>
          <w:bCs/>
        </w:rPr>
        <w:t>recorder</w:t>
      </w:r>
      <w:r>
        <w:t xml:space="preserve">. A neocortical microcircuit is an </w:t>
      </w:r>
      <w:r>
        <w:rPr>
          <w:b/>
          <w:bCs/>
        </w:rPr>
        <w:t>adaptive recorder with a write gate</w:t>
      </w:r>
      <w:r>
        <w:t xml:space="preserve"> — a cairn that decides which earthquakes are allowed to become history. The final part of the book takes that correspondence as seriously as I can defend, and no more seriously than that, which is why it is tagged </w:t>
      </w:r>
      <w:r>
        <w:rPr>
          <w:rFonts w:ascii="Noto Sans" w:eastAsia="Noto Sans" w:hAnsi="Noto Sans"/>
          <w:b/>
          <w:bCs/>
          <w:color w:val="216F72"/>
          <w:sz w:val="19"/>
        </w:rPr>
        <w:t>[I]</w:t>
      </w:r>
      <w:r>
        <w:t xml:space="preserve"> and </w:t>
      </w:r>
      <w:r>
        <w:rPr>
          <w:rFonts w:ascii="Noto Sans" w:eastAsia="Noto Sans" w:hAnsi="Noto Sans"/>
          <w:b/>
          <w:bCs/>
          <w:color w:val="A95B00"/>
          <w:sz w:val="19"/>
        </w:rPr>
        <w:t>[C]</w:t>
      </w:r>
      <w:r>
        <w:t xml:space="preserve"> throughout.</w:t>
      </w:r>
    </w:p>
    <w:p w14:paraId="15C40500" w14:textId="77777777" w:rsidR="00937C4A" w:rsidRDefault="00000000">
      <w:pPr>
        <w:pStyle w:val="BodyText"/>
      </w:pPr>
      <w:r>
        <w:t>A word on how this manuscript was made. Its predecessor notes were subjected to a hostile technical audit, conducted specifically to break them. It broke two of four headline results. The most important number in this book is not in any of the derivations; it is the fraction of my own claims that failed. I have chosen to publish that fraction rather than the polished remainder, because a method that only ever reports its survivors is the method this book exists to criticise.</w:t>
      </w:r>
    </w:p>
    <w:p w14:paraId="1C009ABB" w14:textId="77777777" w:rsidR="00937C4A" w:rsidRDefault="00000000">
      <w:pPr>
        <w:pStyle w:val="BodyText"/>
        <w:jc w:val="right"/>
      </w:pPr>
      <w:r>
        <w:rPr>
          <w:i/>
          <w:iCs/>
          <w:color w:val="4E5254"/>
        </w:rPr>
        <w:t>Kolkata</w:t>
      </w:r>
    </w:p>
    <w:p w14:paraId="5E3CC795" w14:textId="77777777" w:rsidR="00937C4A" w:rsidRDefault="00000000">
      <w:pPr>
        <w:pStyle w:val="Heading2"/>
        <w:pageBreakBefore/>
        <w:spacing w:before="320" w:after="280"/>
        <w:jc w:val="center"/>
      </w:pPr>
      <w:bookmarkStart w:id="5" w:name="acknowledgements"/>
      <w:bookmarkEnd w:id="4"/>
      <w:r>
        <w:rPr>
          <w:rFonts w:ascii="EB Garamond" w:eastAsia="EB Garamond" w:hAnsi="EB Garamond"/>
          <w:color w:val="283037"/>
          <w:sz w:val="34"/>
        </w:rPr>
        <w:lastRenderedPageBreak/>
        <w:t>Acknowledgements</w:t>
      </w:r>
    </w:p>
    <w:p w14:paraId="5CC17C30" w14:textId="77777777" w:rsidR="00937C4A" w:rsidRDefault="00000000">
      <w:r>
        <w:t>To Professor C. S. Manohar, for the observation and for the discipline.</w:t>
      </w:r>
    </w:p>
    <w:p w14:paraId="05C62E35" w14:textId="77777777" w:rsidR="00937C4A" w:rsidRDefault="00000000">
      <w:pPr>
        <w:pStyle w:val="BodyText"/>
      </w:pPr>
      <w:r>
        <w:t>To the auditor of the working notes, whose corrections in §§1, 2, 3, 5 and 6 are incorporated throughout and whose demolition of the persistent-homology result was both correct and more severe than claimed. Appendix C is theirs as much as mine.</w:t>
      </w:r>
    </w:p>
    <w:p w14:paraId="1EE768E5" w14:textId="77777777" w:rsidR="00937C4A" w:rsidRDefault="00000000">
      <w:pPr>
        <w:pStyle w:val="BodyText"/>
      </w:pPr>
      <w:r>
        <w:t>To the anonymous pilgrims of Hampi, who built the apparatus without knowing it, and who will almost certainly knock it over.</w:t>
      </w:r>
    </w:p>
    <w:p w14:paraId="2EAFD12A" w14:textId="77777777" w:rsidR="00937C4A" w:rsidRDefault="00000000">
      <w:pPr>
        <w:pStyle w:val="Heading2"/>
        <w:pageBreakBefore/>
        <w:spacing w:before="320" w:after="280"/>
        <w:jc w:val="center"/>
      </w:pPr>
      <w:bookmarkStart w:id="6" w:name="notation"/>
      <w:bookmarkEnd w:id="5"/>
      <w:r>
        <w:rPr>
          <w:rFonts w:ascii="EB Garamond" w:eastAsia="EB Garamond" w:hAnsi="EB Garamond"/>
          <w:color w:val="283037"/>
          <w:sz w:val="34"/>
        </w:rPr>
        <w:lastRenderedPageBreak/>
        <w:t>Notation</w:t>
      </w:r>
    </w:p>
    <w:tbl>
      <w:tblPr>
        <w:tblStyle w:val="TableGrid"/>
        <w:tblW w:w="9400" w:type="dxa"/>
        <w:jc w:val="center"/>
        <w:tblLayout w:type="fixed"/>
        <w:tblLook w:val="04A0" w:firstRow="1" w:lastRow="0" w:firstColumn="1" w:lastColumn="0" w:noHBand="0" w:noVBand="1"/>
      </w:tblPr>
      <w:tblGrid>
        <w:gridCol w:w="1900"/>
        <w:gridCol w:w="7500"/>
      </w:tblGrid>
      <w:tr w:rsidR="00937C4A" w14:paraId="12559F1C" w14:textId="77777777">
        <w:trPr>
          <w:cantSplit/>
          <w:tblHeader/>
          <w:jc w:val="center"/>
        </w:trPr>
        <w:tc>
          <w:tcPr>
            <w:tcW w:w="1900" w:type="dxa"/>
            <w:shd w:val="clear" w:color="auto" w:fill="495A65"/>
            <w:tcMar>
              <w:top w:w="55" w:type="dxa"/>
              <w:left w:w="65" w:type="dxa"/>
              <w:bottom w:w="55" w:type="dxa"/>
              <w:right w:w="65" w:type="dxa"/>
            </w:tcMar>
            <w:vAlign w:val="center"/>
          </w:tcPr>
          <w:p w14:paraId="29F80609" w14:textId="77777777" w:rsidR="00937C4A" w:rsidRDefault="00000000">
            <w:pPr>
              <w:spacing w:after="0" w:line="240" w:lineRule="auto"/>
              <w:jc w:val="center"/>
            </w:pPr>
            <w:r>
              <w:rPr>
                <w:rFonts w:ascii="Noto Sans" w:hAnsi="Noto Sans"/>
                <w:b/>
                <w:color w:val="FFFFFF"/>
                <w:sz w:val="16"/>
              </w:rPr>
              <w:t>Symbol</w:t>
            </w:r>
          </w:p>
        </w:tc>
        <w:tc>
          <w:tcPr>
            <w:tcW w:w="7500" w:type="dxa"/>
            <w:shd w:val="clear" w:color="auto" w:fill="495A65"/>
            <w:tcMar>
              <w:top w:w="55" w:type="dxa"/>
              <w:left w:w="65" w:type="dxa"/>
              <w:bottom w:w="55" w:type="dxa"/>
              <w:right w:w="65" w:type="dxa"/>
            </w:tcMar>
            <w:vAlign w:val="center"/>
          </w:tcPr>
          <w:p w14:paraId="2B0C4F94" w14:textId="77777777" w:rsidR="00937C4A" w:rsidRDefault="00000000">
            <w:pPr>
              <w:spacing w:after="0" w:line="240" w:lineRule="auto"/>
              <w:jc w:val="left"/>
            </w:pPr>
            <w:r>
              <w:rPr>
                <w:rFonts w:ascii="Noto Sans" w:hAnsi="Noto Sans"/>
                <w:b/>
                <w:color w:val="FFFFFF"/>
                <w:sz w:val="16"/>
              </w:rPr>
              <w:t>Meaning</w:t>
            </w:r>
          </w:p>
        </w:tc>
      </w:tr>
      <w:tr w:rsidR="00937C4A" w14:paraId="02FCFE5E" w14:textId="77777777">
        <w:trPr>
          <w:cantSplit/>
          <w:jc w:val="center"/>
        </w:trPr>
        <w:tc>
          <w:tcPr>
            <w:tcW w:w="1900" w:type="dxa"/>
            <w:tcMar>
              <w:top w:w="55" w:type="dxa"/>
              <w:left w:w="65" w:type="dxa"/>
              <w:bottom w:w="55" w:type="dxa"/>
              <w:right w:w="65" w:type="dxa"/>
            </w:tcMar>
            <w:vAlign w:val="center"/>
          </w:tcPr>
          <w:p w14:paraId="79C5AD71" w14:textId="77777777" w:rsidR="00937C4A" w:rsidRDefault="00000000">
            <w:pPr>
              <w:spacing w:after="0" w:line="240" w:lineRule="auto"/>
              <w:jc w:val="center"/>
            </w:pPr>
            <w:r>
              <w:rPr>
                <w:rFonts w:ascii="Noto Sans" w:hAnsi="Noto Sans"/>
                <w:sz w:val="16"/>
              </w:rPr>
              <w:t>b, h, R</w:t>
            </w:r>
          </w:p>
        </w:tc>
        <w:tc>
          <w:tcPr>
            <w:tcW w:w="7500" w:type="dxa"/>
            <w:tcMar>
              <w:top w:w="55" w:type="dxa"/>
              <w:left w:w="65" w:type="dxa"/>
              <w:bottom w:w="55" w:type="dxa"/>
              <w:right w:w="65" w:type="dxa"/>
            </w:tcMar>
            <w:vAlign w:val="center"/>
          </w:tcPr>
          <w:p w14:paraId="2F9BB1B3" w14:textId="77777777" w:rsidR="00937C4A" w:rsidRDefault="00000000">
            <w:pPr>
              <w:spacing w:after="0" w:line="240" w:lineRule="auto"/>
              <w:jc w:val="left"/>
            </w:pPr>
            <w:r>
              <w:rPr>
                <w:rFonts w:ascii="Noto Sans" w:hAnsi="Noto Sans"/>
                <w:sz w:val="16"/>
              </w:rPr>
              <w:t>block half-width, half-height, half-diagonal $R=\sqrt{b^2+h^2}$</w:t>
            </w:r>
          </w:p>
        </w:tc>
      </w:tr>
      <w:tr w:rsidR="00937C4A" w14:paraId="2830701B" w14:textId="77777777">
        <w:trPr>
          <w:cantSplit/>
          <w:jc w:val="center"/>
        </w:trPr>
        <w:tc>
          <w:tcPr>
            <w:tcW w:w="1900" w:type="dxa"/>
            <w:shd w:val="clear" w:color="auto" w:fill="F4F6F7"/>
            <w:tcMar>
              <w:top w:w="55" w:type="dxa"/>
              <w:left w:w="65" w:type="dxa"/>
              <w:bottom w:w="55" w:type="dxa"/>
              <w:right w:w="65" w:type="dxa"/>
            </w:tcMar>
            <w:vAlign w:val="center"/>
          </w:tcPr>
          <w:p w14:paraId="3EB70390" w14:textId="77777777" w:rsidR="00937C4A" w:rsidRDefault="00000000">
            <w:pPr>
              <w:spacing w:after="0" w:line="240" w:lineRule="auto"/>
              <w:jc w:val="center"/>
            </w:pPr>
            <w:r>
              <w:rPr>
                <w:rFonts w:ascii="Noto Sans" w:hAnsi="Noto Sans"/>
                <w:sz w:val="16"/>
              </w:rPr>
              <w:t>α</w:t>
            </w:r>
          </w:p>
        </w:tc>
        <w:tc>
          <w:tcPr>
            <w:tcW w:w="7500" w:type="dxa"/>
            <w:shd w:val="clear" w:color="auto" w:fill="F4F6F7"/>
            <w:tcMar>
              <w:top w:w="55" w:type="dxa"/>
              <w:left w:w="65" w:type="dxa"/>
              <w:bottom w:w="55" w:type="dxa"/>
              <w:right w:w="65" w:type="dxa"/>
            </w:tcMar>
            <w:vAlign w:val="center"/>
          </w:tcPr>
          <w:p w14:paraId="0E1073A0" w14:textId="77777777" w:rsidR="00937C4A" w:rsidRDefault="00000000">
            <w:pPr>
              <w:spacing w:after="0" w:line="240" w:lineRule="auto"/>
              <w:jc w:val="left"/>
            </w:pPr>
            <w:r>
              <w:rPr>
                <w:rFonts w:ascii="Noto Sans" w:hAnsi="Noto Sans"/>
                <w:sz w:val="16"/>
              </w:rPr>
              <w:t>slenderness, α = arctan (b/h); the balance angle</w:t>
            </w:r>
          </w:p>
        </w:tc>
      </w:tr>
      <w:tr w:rsidR="00937C4A" w14:paraId="07430672" w14:textId="77777777">
        <w:trPr>
          <w:cantSplit/>
          <w:jc w:val="center"/>
        </w:trPr>
        <w:tc>
          <w:tcPr>
            <w:tcW w:w="1900" w:type="dxa"/>
            <w:tcMar>
              <w:top w:w="55" w:type="dxa"/>
              <w:left w:w="65" w:type="dxa"/>
              <w:bottom w:w="55" w:type="dxa"/>
              <w:right w:w="65" w:type="dxa"/>
            </w:tcMar>
            <w:vAlign w:val="center"/>
          </w:tcPr>
          <w:p w14:paraId="65499160" w14:textId="77777777" w:rsidR="00937C4A" w:rsidRDefault="00000000">
            <w:pPr>
              <w:spacing w:after="0" w:line="240" w:lineRule="auto"/>
              <w:jc w:val="center"/>
            </w:pPr>
            <w:r>
              <w:rPr>
                <w:rFonts w:ascii="Noto Sans" w:hAnsi="Noto Sans"/>
                <w:sz w:val="16"/>
              </w:rPr>
              <w:t>θ</w:t>
            </w:r>
          </w:p>
        </w:tc>
        <w:tc>
          <w:tcPr>
            <w:tcW w:w="7500" w:type="dxa"/>
            <w:tcMar>
              <w:top w:w="55" w:type="dxa"/>
              <w:left w:w="65" w:type="dxa"/>
              <w:bottom w:w="55" w:type="dxa"/>
              <w:right w:w="65" w:type="dxa"/>
            </w:tcMar>
            <w:vAlign w:val="center"/>
          </w:tcPr>
          <w:p w14:paraId="525AFA59" w14:textId="77777777" w:rsidR="00937C4A" w:rsidRDefault="00000000">
            <w:pPr>
              <w:spacing w:after="0" w:line="240" w:lineRule="auto"/>
              <w:jc w:val="left"/>
            </w:pPr>
            <w:r>
              <w:rPr>
                <w:rFonts w:ascii="Noto Sans" w:hAnsi="Noto Sans"/>
                <w:sz w:val="16"/>
              </w:rPr>
              <w:t>rotation about the active pivot</w:t>
            </w:r>
          </w:p>
        </w:tc>
      </w:tr>
      <w:tr w:rsidR="00937C4A" w14:paraId="6A708204" w14:textId="77777777">
        <w:trPr>
          <w:cantSplit/>
          <w:jc w:val="center"/>
        </w:trPr>
        <w:tc>
          <w:tcPr>
            <w:tcW w:w="1900" w:type="dxa"/>
            <w:shd w:val="clear" w:color="auto" w:fill="F4F6F7"/>
            <w:tcMar>
              <w:top w:w="55" w:type="dxa"/>
              <w:left w:w="65" w:type="dxa"/>
              <w:bottom w:w="55" w:type="dxa"/>
              <w:right w:w="65" w:type="dxa"/>
            </w:tcMar>
            <w:vAlign w:val="center"/>
          </w:tcPr>
          <w:p w14:paraId="315AFC49" w14:textId="77777777" w:rsidR="00937C4A" w:rsidRDefault="00000000">
            <w:pPr>
              <w:spacing w:after="0" w:line="240" w:lineRule="auto"/>
              <w:jc w:val="center"/>
            </w:pPr>
            <w:r>
              <w:rPr>
                <w:rFonts w:ascii="Noto Sans" w:hAnsi="Noto Sans"/>
                <w:sz w:val="16"/>
              </w:rPr>
              <w:t>p</w:t>
            </w:r>
          </w:p>
        </w:tc>
        <w:tc>
          <w:tcPr>
            <w:tcW w:w="7500" w:type="dxa"/>
            <w:shd w:val="clear" w:color="auto" w:fill="F4F6F7"/>
            <w:tcMar>
              <w:top w:w="55" w:type="dxa"/>
              <w:left w:w="65" w:type="dxa"/>
              <w:bottom w:w="55" w:type="dxa"/>
              <w:right w:w="65" w:type="dxa"/>
            </w:tcMar>
            <w:vAlign w:val="center"/>
          </w:tcPr>
          <w:p w14:paraId="0A8D5131" w14:textId="77777777" w:rsidR="00937C4A" w:rsidRDefault="00000000">
            <w:pPr>
              <w:spacing w:after="0" w:line="240" w:lineRule="auto"/>
              <w:jc w:val="left"/>
            </w:pPr>
            <w:r>
              <w:rPr>
                <w:rFonts w:ascii="Noto Sans" w:hAnsi="Noto Sans"/>
                <w:sz w:val="16"/>
              </w:rPr>
              <w:t>frequency parameter, $p=\sqrt{3g/4R}$</w:t>
            </w:r>
          </w:p>
        </w:tc>
      </w:tr>
      <w:tr w:rsidR="00937C4A" w14:paraId="6B9CC76B" w14:textId="77777777">
        <w:trPr>
          <w:cantSplit/>
          <w:jc w:val="center"/>
        </w:trPr>
        <w:tc>
          <w:tcPr>
            <w:tcW w:w="1900" w:type="dxa"/>
            <w:tcMar>
              <w:top w:w="55" w:type="dxa"/>
              <w:left w:w="65" w:type="dxa"/>
              <w:bottom w:w="55" w:type="dxa"/>
              <w:right w:w="65" w:type="dxa"/>
            </w:tcMar>
            <w:vAlign w:val="center"/>
          </w:tcPr>
          <w:p w14:paraId="7938BCA6" w14:textId="77777777" w:rsidR="00937C4A" w:rsidRDefault="00000000">
            <w:pPr>
              <w:spacing w:after="0" w:line="240" w:lineRule="auto"/>
              <w:jc w:val="center"/>
            </w:pPr>
            <w:r>
              <w:rPr>
                <w:rFonts w:ascii="Noto Sans" w:hAnsi="Noto Sans"/>
                <w:sz w:val="16"/>
              </w:rPr>
              <w:t>τ</w:t>
            </w:r>
          </w:p>
        </w:tc>
        <w:tc>
          <w:tcPr>
            <w:tcW w:w="7500" w:type="dxa"/>
            <w:tcMar>
              <w:top w:w="55" w:type="dxa"/>
              <w:left w:w="65" w:type="dxa"/>
              <w:bottom w:w="55" w:type="dxa"/>
              <w:right w:w="65" w:type="dxa"/>
            </w:tcMar>
            <w:vAlign w:val="center"/>
          </w:tcPr>
          <w:p w14:paraId="10AA2D69" w14:textId="77777777" w:rsidR="00937C4A" w:rsidRDefault="00000000">
            <w:pPr>
              <w:spacing w:after="0" w:line="240" w:lineRule="auto"/>
              <w:jc w:val="left"/>
            </w:pPr>
            <w:r>
              <w:rPr>
                <w:rFonts w:ascii="Noto Sans" w:hAnsi="Noto Sans"/>
                <w:sz w:val="16"/>
              </w:rPr>
              <w:t>dimensionless time, τ = pt; primes denote d/dτ</w:t>
            </w:r>
          </w:p>
        </w:tc>
      </w:tr>
      <w:tr w:rsidR="00937C4A" w14:paraId="07471B48" w14:textId="77777777">
        <w:trPr>
          <w:cantSplit/>
          <w:jc w:val="center"/>
        </w:trPr>
        <w:tc>
          <w:tcPr>
            <w:tcW w:w="1900" w:type="dxa"/>
            <w:shd w:val="clear" w:color="auto" w:fill="F4F6F7"/>
            <w:tcMar>
              <w:top w:w="55" w:type="dxa"/>
              <w:left w:w="65" w:type="dxa"/>
              <w:bottom w:w="55" w:type="dxa"/>
              <w:right w:w="65" w:type="dxa"/>
            </w:tcMar>
            <w:vAlign w:val="center"/>
          </w:tcPr>
          <w:p w14:paraId="789B4F80" w14:textId="77777777" w:rsidR="00937C4A" w:rsidRDefault="00000000">
            <w:pPr>
              <w:spacing w:after="0" w:line="240" w:lineRule="auto"/>
              <w:jc w:val="center"/>
            </w:pPr>
            <w:r>
              <w:rPr>
                <w:rFonts w:ascii="Noto Sans" w:hAnsi="Noto Sans"/>
                <w:sz w:val="16"/>
              </w:rPr>
              <w:t>Ω</w:t>
            </w:r>
          </w:p>
        </w:tc>
        <w:tc>
          <w:tcPr>
            <w:tcW w:w="7500" w:type="dxa"/>
            <w:shd w:val="clear" w:color="auto" w:fill="F4F6F7"/>
            <w:tcMar>
              <w:top w:w="55" w:type="dxa"/>
              <w:left w:w="65" w:type="dxa"/>
              <w:bottom w:w="55" w:type="dxa"/>
              <w:right w:w="65" w:type="dxa"/>
            </w:tcMar>
            <w:vAlign w:val="center"/>
          </w:tcPr>
          <w:p w14:paraId="7945D69C" w14:textId="77777777" w:rsidR="00937C4A" w:rsidRDefault="00000000">
            <w:pPr>
              <w:spacing w:after="0" w:line="240" w:lineRule="auto"/>
              <w:jc w:val="left"/>
            </w:pPr>
            <w:r>
              <w:rPr>
                <w:rFonts w:ascii="Noto Sans" w:hAnsi="Noto Sans"/>
                <w:sz w:val="16"/>
              </w:rPr>
              <w:t>dimensionless forcing frequency, Ω = ω/p = 2π/pT</w:t>
            </w:r>
          </w:p>
        </w:tc>
      </w:tr>
      <w:tr w:rsidR="00937C4A" w14:paraId="4D473622" w14:textId="77777777">
        <w:trPr>
          <w:cantSplit/>
          <w:jc w:val="center"/>
        </w:trPr>
        <w:tc>
          <w:tcPr>
            <w:tcW w:w="1900" w:type="dxa"/>
            <w:tcMar>
              <w:top w:w="55" w:type="dxa"/>
              <w:left w:w="65" w:type="dxa"/>
              <w:bottom w:w="55" w:type="dxa"/>
              <w:right w:w="65" w:type="dxa"/>
            </w:tcMar>
            <w:vAlign w:val="center"/>
          </w:tcPr>
          <w:p w14:paraId="4DEE4F54" w14:textId="77777777" w:rsidR="00937C4A" w:rsidRDefault="00000000">
            <w:pPr>
              <w:spacing w:after="0" w:line="240" w:lineRule="auto"/>
              <w:jc w:val="center"/>
            </w:pPr>
            <w:r>
              <w:rPr>
                <w:rFonts w:ascii="Noto Sans" w:hAnsi="Noto Sans"/>
                <w:sz w:val="16"/>
              </w:rPr>
              <w:t>r</w:t>
            </w:r>
          </w:p>
        </w:tc>
        <w:tc>
          <w:tcPr>
            <w:tcW w:w="7500" w:type="dxa"/>
            <w:tcMar>
              <w:top w:w="55" w:type="dxa"/>
              <w:left w:w="65" w:type="dxa"/>
              <w:bottom w:w="55" w:type="dxa"/>
              <w:right w:w="65" w:type="dxa"/>
            </w:tcMar>
            <w:vAlign w:val="center"/>
          </w:tcPr>
          <w:p w14:paraId="4A662FDE" w14:textId="77777777" w:rsidR="00937C4A" w:rsidRDefault="00000000">
            <w:pPr>
              <w:spacing w:after="0" w:line="240" w:lineRule="auto"/>
              <w:jc w:val="left"/>
            </w:pPr>
            <w:r>
              <w:rPr>
                <w:rFonts w:ascii="Noto Sans" w:hAnsi="Noto Sans"/>
                <w:sz w:val="16"/>
              </w:rPr>
              <w:t>Housner restitution, $r=1-\tfrac32\sin^2\alpha$</w:t>
            </w:r>
          </w:p>
        </w:tc>
      </w:tr>
      <w:tr w:rsidR="00937C4A" w14:paraId="69BD479C" w14:textId="77777777">
        <w:trPr>
          <w:cantSplit/>
          <w:jc w:val="center"/>
        </w:trPr>
        <w:tc>
          <w:tcPr>
            <w:tcW w:w="1900" w:type="dxa"/>
            <w:shd w:val="clear" w:color="auto" w:fill="F4F6F7"/>
            <w:tcMar>
              <w:top w:w="55" w:type="dxa"/>
              <w:left w:w="65" w:type="dxa"/>
              <w:bottom w:w="55" w:type="dxa"/>
              <w:right w:w="65" w:type="dxa"/>
            </w:tcMar>
            <w:vAlign w:val="center"/>
          </w:tcPr>
          <w:p w14:paraId="3FF49210" w14:textId="77777777" w:rsidR="00937C4A" w:rsidRDefault="00000000">
            <w:pPr>
              <w:spacing w:after="0" w:line="240" w:lineRule="auto"/>
              <w:jc w:val="center"/>
            </w:pPr>
            <w:r>
              <w:rPr>
                <w:rFonts w:ascii="Noto Sans" w:hAnsi="Noto Sans"/>
                <w:sz w:val="16"/>
              </w:rPr>
              <w:t>σ₀</w:t>
            </w:r>
          </w:p>
        </w:tc>
        <w:tc>
          <w:tcPr>
            <w:tcW w:w="7500" w:type="dxa"/>
            <w:shd w:val="clear" w:color="auto" w:fill="F4F6F7"/>
            <w:tcMar>
              <w:top w:w="55" w:type="dxa"/>
              <w:left w:w="65" w:type="dxa"/>
              <w:bottom w:w="55" w:type="dxa"/>
              <w:right w:w="65" w:type="dxa"/>
            </w:tcMar>
            <w:vAlign w:val="center"/>
          </w:tcPr>
          <w:p w14:paraId="2494563E" w14:textId="77777777" w:rsidR="00937C4A" w:rsidRDefault="00000000">
            <w:pPr>
              <w:spacing w:after="0" w:line="240" w:lineRule="auto"/>
              <w:jc w:val="left"/>
            </w:pPr>
            <w:r>
              <w:rPr>
                <w:rFonts w:ascii="Noto Sans" w:hAnsi="Noto Sans"/>
                <w:sz w:val="16"/>
              </w:rPr>
              <w:t>separatrix offset, σ₀ = ln cot (α/4)</w:t>
            </w:r>
          </w:p>
        </w:tc>
      </w:tr>
      <w:tr w:rsidR="00937C4A" w14:paraId="30F3F708" w14:textId="77777777">
        <w:trPr>
          <w:cantSplit/>
          <w:jc w:val="center"/>
        </w:trPr>
        <w:tc>
          <w:tcPr>
            <w:tcW w:w="1900" w:type="dxa"/>
            <w:tcMar>
              <w:top w:w="55" w:type="dxa"/>
              <w:left w:w="65" w:type="dxa"/>
              <w:bottom w:w="55" w:type="dxa"/>
              <w:right w:w="65" w:type="dxa"/>
            </w:tcMar>
            <w:vAlign w:val="center"/>
          </w:tcPr>
          <w:p w14:paraId="1D7129A1" w14:textId="77777777" w:rsidR="00937C4A" w:rsidRDefault="00000000">
            <w:pPr>
              <w:spacing w:after="0" w:line="240" w:lineRule="auto"/>
              <w:jc w:val="center"/>
            </w:pPr>
            <w:r>
              <w:rPr>
                <w:rFonts w:ascii="Noto Sans" w:hAnsi="Noto Sans"/>
                <w:sz w:val="16"/>
              </w:rPr>
              <w:t>a₀</w:t>
            </w:r>
          </w:p>
        </w:tc>
        <w:tc>
          <w:tcPr>
            <w:tcW w:w="7500" w:type="dxa"/>
            <w:tcMar>
              <w:top w:w="55" w:type="dxa"/>
              <w:left w:w="65" w:type="dxa"/>
              <w:bottom w:w="55" w:type="dxa"/>
              <w:right w:w="65" w:type="dxa"/>
            </w:tcMar>
            <w:vAlign w:val="center"/>
          </w:tcPr>
          <w:p w14:paraId="1956C5EE" w14:textId="77777777" w:rsidR="00937C4A" w:rsidRDefault="00000000">
            <w:pPr>
              <w:spacing w:after="0" w:line="240" w:lineRule="auto"/>
              <w:jc w:val="left"/>
            </w:pPr>
            <w:r>
              <w:rPr>
                <w:rFonts w:ascii="Noto Sans" w:hAnsi="Noto Sans"/>
                <w:sz w:val="16"/>
              </w:rPr>
              <w:t>forcing amplitude in units of g</w:t>
            </w:r>
          </w:p>
        </w:tc>
      </w:tr>
      <w:tr w:rsidR="00937C4A" w14:paraId="719E3C2F" w14:textId="77777777">
        <w:trPr>
          <w:cantSplit/>
          <w:jc w:val="center"/>
        </w:trPr>
        <w:tc>
          <w:tcPr>
            <w:tcW w:w="1900" w:type="dxa"/>
            <w:shd w:val="clear" w:color="auto" w:fill="F4F6F7"/>
            <w:tcMar>
              <w:top w:w="55" w:type="dxa"/>
              <w:left w:w="65" w:type="dxa"/>
              <w:bottom w:w="55" w:type="dxa"/>
              <w:right w:w="65" w:type="dxa"/>
            </w:tcMar>
            <w:vAlign w:val="center"/>
          </w:tcPr>
          <w:p w14:paraId="1A58B0E5" w14:textId="77777777" w:rsidR="00937C4A" w:rsidRDefault="00000000">
            <w:pPr>
              <w:spacing w:after="0" w:line="240" w:lineRule="auto"/>
              <w:jc w:val="center"/>
            </w:pPr>
            <w:r>
              <w:rPr>
                <w:rFonts w:ascii="Noto Sans" w:hAnsi="Noto Sans"/>
                <w:sz w:val="16"/>
              </w:rPr>
              <w:t>a₀cr</w:t>
            </w:r>
          </w:p>
        </w:tc>
        <w:tc>
          <w:tcPr>
            <w:tcW w:w="7500" w:type="dxa"/>
            <w:shd w:val="clear" w:color="auto" w:fill="F4F6F7"/>
            <w:tcMar>
              <w:top w:w="55" w:type="dxa"/>
              <w:left w:w="65" w:type="dxa"/>
              <w:bottom w:w="55" w:type="dxa"/>
              <w:right w:w="65" w:type="dxa"/>
            </w:tcMar>
            <w:vAlign w:val="center"/>
          </w:tcPr>
          <w:p w14:paraId="57870380" w14:textId="77777777" w:rsidR="00937C4A" w:rsidRDefault="00000000">
            <w:pPr>
              <w:spacing w:after="0" w:line="240" w:lineRule="auto"/>
              <w:jc w:val="left"/>
            </w:pPr>
            <w:r>
              <w:rPr>
                <w:rFonts w:ascii="Noto Sans" w:hAnsi="Noto Sans"/>
                <w:sz w:val="16"/>
              </w:rPr>
              <w:t>heteroclinic-intersection threshold (not an overturning threshold)</w:t>
            </w:r>
          </w:p>
        </w:tc>
      </w:tr>
      <w:tr w:rsidR="00937C4A" w14:paraId="753C4E3B" w14:textId="77777777">
        <w:trPr>
          <w:cantSplit/>
          <w:jc w:val="center"/>
        </w:trPr>
        <w:tc>
          <w:tcPr>
            <w:tcW w:w="1900" w:type="dxa"/>
            <w:tcMar>
              <w:top w:w="55" w:type="dxa"/>
              <w:left w:w="65" w:type="dxa"/>
              <w:bottom w:w="55" w:type="dxa"/>
              <w:right w:w="65" w:type="dxa"/>
            </w:tcMar>
            <w:vAlign w:val="center"/>
          </w:tcPr>
          <w:p w14:paraId="5E77CC7C" w14:textId="77777777" w:rsidR="00937C4A" w:rsidRDefault="00000000">
            <w:pPr>
              <w:spacing w:after="0" w:line="240" w:lineRule="auto"/>
              <w:jc w:val="center"/>
            </w:pPr>
            <w:r>
              <w:rPr>
                <w:rFonts w:ascii="Noto Sans" w:hAnsi="Noto Sans"/>
                <w:sz w:val="16"/>
              </w:rPr>
              <w:t>ℐ</w:t>
            </w:r>
          </w:p>
        </w:tc>
        <w:tc>
          <w:tcPr>
            <w:tcW w:w="7500" w:type="dxa"/>
            <w:tcMar>
              <w:top w:w="55" w:type="dxa"/>
              <w:left w:w="65" w:type="dxa"/>
              <w:bottom w:w="55" w:type="dxa"/>
              <w:right w:w="65" w:type="dxa"/>
            </w:tcMar>
            <w:vAlign w:val="center"/>
          </w:tcPr>
          <w:p w14:paraId="34ECA32A" w14:textId="77777777" w:rsidR="00937C4A" w:rsidRDefault="00000000">
            <w:pPr>
              <w:spacing w:after="0" w:line="240" w:lineRule="auto"/>
              <w:jc w:val="left"/>
            </w:pPr>
            <w:r>
              <w:rPr>
                <w:rFonts w:ascii="Noto Sans" w:hAnsi="Noto Sans"/>
                <w:sz w:val="16"/>
              </w:rPr>
              <w:t>Melnikov forcing kernel</w:t>
            </w:r>
          </w:p>
        </w:tc>
      </w:tr>
      <w:tr w:rsidR="00937C4A" w14:paraId="7AC67A72" w14:textId="77777777">
        <w:trPr>
          <w:cantSplit/>
          <w:jc w:val="center"/>
        </w:trPr>
        <w:tc>
          <w:tcPr>
            <w:tcW w:w="1900" w:type="dxa"/>
            <w:shd w:val="clear" w:color="auto" w:fill="F4F6F7"/>
            <w:tcMar>
              <w:top w:w="55" w:type="dxa"/>
              <w:left w:w="65" w:type="dxa"/>
              <w:bottom w:w="55" w:type="dxa"/>
              <w:right w:w="65" w:type="dxa"/>
            </w:tcMar>
            <w:vAlign w:val="center"/>
          </w:tcPr>
          <w:p w14:paraId="259234AE" w14:textId="77777777" w:rsidR="00937C4A" w:rsidRDefault="00000000">
            <w:pPr>
              <w:spacing w:after="0" w:line="240" w:lineRule="auto"/>
              <w:jc w:val="center"/>
            </w:pPr>
            <w:r>
              <w:rPr>
                <w:rFonts w:ascii="Noto Sans" w:hAnsi="Noto Sans"/>
                <w:sz w:val="16"/>
              </w:rPr>
              <w:t>Σ⁺</w:t>
            </w:r>
          </w:p>
        </w:tc>
        <w:tc>
          <w:tcPr>
            <w:tcW w:w="7500" w:type="dxa"/>
            <w:shd w:val="clear" w:color="auto" w:fill="F4F6F7"/>
            <w:tcMar>
              <w:top w:w="55" w:type="dxa"/>
              <w:left w:w="65" w:type="dxa"/>
              <w:bottom w:w="55" w:type="dxa"/>
              <w:right w:w="65" w:type="dxa"/>
            </w:tcMar>
            <w:vAlign w:val="center"/>
          </w:tcPr>
          <w:p w14:paraId="74FBCBCD" w14:textId="77777777" w:rsidR="00937C4A" w:rsidRDefault="00000000">
            <w:pPr>
              <w:spacing w:after="0" w:line="240" w:lineRule="auto"/>
              <w:jc w:val="left"/>
            </w:pPr>
            <w:r>
              <w:rPr>
                <w:rFonts w:ascii="Noto Sans" w:hAnsi="Noto Sans"/>
                <w:sz w:val="16"/>
              </w:rPr>
              <w:t>impact section,  ≃ S_(ϕ)¹ × (0, v_(max)] — a cylinder</w:t>
            </w:r>
          </w:p>
        </w:tc>
      </w:tr>
      <w:tr w:rsidR="00937C4A" w14:paraId="032E315B" w14:textId="77777777">
        <w:trPr>
          <w:cantSplit/>
          <w:jc w:val="center"/>
        </w:trPr>
        <w:tc>
          <w:tcPr>
            <w:tcW w:w="1900" w:type="dxa"/>
            <w:tcMar>
              <w:top w:w="55" w:type="dxa"/>
              <w:left w:w="65" w:type="dxa"/>
              <w:bottom w:w="55" w:type="dxa"/>
              <w:right w:w="65" w:type="dxa"/>
            </w:tcMar>
            <w:vAlign w:val="center"/>
          </w:tcPr>
          <w:p w14:paraId="2B5454BC" w14:textId="77777777" w:rsidR="00937C4A" w:rsidRDefault="00000000">
            <w:pPr>
              <w:spacing w:after="0" w:line="240" w:lineRule="auto"/>
              <w:jc w:val="center"/>
            </w:pPr>
            <w:r>
              <w:rPr>
                <w:rFonts w:ascii="Noto Sans" w:hAnsi="Noto Sans"/>
                <w:sz w:val="16"/>
              </w:rPr>
              <w:t>ℬ_(T, Θ)</w:t>
            </w:r>
          </w:p>
        </w:tc>
        <w:tc>
          <w:tcPr>
            <w:tcW w:w="7500" w:type="dxa"/>
            <w:tcMar>
              <w:top w:w="55" w:type="dxa"/>
              <w:left w:w="65" w:type="dxa"/>
              <w:bottom w:w="55" w:type="dxa"/>
              <w:right w:w="65" w:type="dxa"/>
            </w:tcMar>
            <w:vAlign w:val="center"/>
          </w:tcPr>
          <w:p w14:paraId="5D438ABC" w14:textId="77777777" w:rsidR="00937C4A" w:rsidRDefault="00000000">
            <w:pPr>
              <w:spacing w:after="0" w:line="240" w:lineRule="auto"/>
              <w:jc w:val="left"/>
            </w:pPr>
            <w:r>
              <w:rPr>
                <w:rFonts w:ascii="Noto Sans" w:hAnsi="Noto Sans"/>
                <w:sz w:val="16"/>
              </w:rPr>
              <w:t>finite-time non-escape set, horizon T, exit threshold Θ</w:t>
            </w:r>
          </w:p>
        </w:tc>
      </w:tr>
      <w:tr w:rsidR="00937C4A" w14:paraId="43F2FC3A" w14:textId="77777777">
        <w:trPr>
          <w:cantSplit/>
          <w:jc w:val="center"/>
        </w:trPr>
        <w:tc>
          <w:tcPr>
            <w:tcW w:w="1900" w:type="dxa"/>
            <w:shd w:val="clear" w:color="auto" w:fill="F4F6F7"/>
            <w:tcMar>
              <w:top w:w="55" w:type="dxa"/>
              <w:left w:w="65" w:type="dxa"/>
              <w:bottom w:w="55" w:type="dxa"/>
              <w:right w:w="65" w:type="dxa"/>
            </w:tcMar>
            <w:vAlign w:val="center"/>
          </w:tcPr>
          <w:p w14:paraId="1E28287B" w14:textId="77777777" w:rsidR="00937C4A" w:rsidRDefault="00000000">
            <w:pPr>
              <w:spacing w:after="0" w:line="240" w:lineRule="auto"/>
              <w:jc w:val="center"/>
            </w:pPr>
            <w:r>
              <w:rPr>
                <w:rFonts w:ascii="Noto Sans" w:hAnsi="Noto Sans"/>
                <w:sz w:val="16"/>
              </w:rPr>
              <w:t>γ</w:t>
            </w:r>
          </w:p>
        </w:tc>
        <w:tc>
          <w:tcPr>
            <w:tcW w:w="7500" w:type="dxa"/>
            <w:shd w:val="clear" w:color="auto" w:fill="F4F6F7"/>
            <w:tcMar>
              <w:top w:w="55" w:type="dxa"/>
              <w:left w:w="65" w:type="dxa"/>
              <w:bottom w:w="55" w:type="dxa"/>
              <w:right w:w="65" w:type="dxa"/>
            </w:tcMar>
            <w:vAlign w:val="center"/>
          </w:tcPr>
          <w:p w14:paraId="05A5C7E9" w14:textId="77777777" w:rsidR="00937C4A" w:rsidRDefault="00000000">
            <w:pPr>
              <w:spacing w:after="0" w:line="240" w:lineRule="auto"/>
              <w:jc w:val="left"/>
            </w:pPr>
            <w:r>
              <w:rPr>
                <w:rFonts w:ascii="Noto Sans" w:hAnsi="Noto Sans"/>
                <w:sz w:val="16"/>
              </w:rPr>
              <w:t>uncertainty exponent, f(ε) ∼ ε^(γ)</w:t>
            </w:r>
          </w:p>
        </w:tc>
      </w:tr>
      <w:tr w:rsidR="00937C4A" w14:paraId="519CE4E9" w14:textId="77777777">
        <w:trPr>
          <w:cantSplit/>
          <w:jc w:val="center"/>
        </w:trPr>
        <w:tc>
          <w:tcPr>
            <w:tcW w:w="1900" w:type="dxa"/>
            <w:tcMar>
              <w:top w:w="55" w:type="dxa"/>
              <w:left w:w="65" w:type="dxa"/>
              <w:bottom w:w="55" w:type="dxa"/>
              <w:right w:w="65" w:type="dxa"/>
            </w:tcMar>
            <w:vAlign w:val="center"/>
          </w:tcPr>
          <w:p w14:paraId="5BC31AF4" w14:textId="77777777" w:rsidR="00937C4A" w:rsidRDefault="00000000">
            <w:pPr>
              <w:spacing w:after="0" w:line="240" w:lineRule="auto"/>
              <w:jc w:val="center"/>
            </w:pPr>
            <w:r>
              <w:rPr>
                <w:rFonts w:ascii="Noto Sans" w:hAnsi="Noto Sans"/>
                <w:sz w:val="16"/>
              </w:rPr>
              <w:t>d_(B)</w:t>
            </w:r>
          </w:p>
        </w:tc>
        <w:tc>
          <w:tcPr>
            <w:tcW w:w="7500" w:type="dxa"/>
            <w:tcMar>
              <w:top w:w="55" w:type="dxa"/>
              <w:left w:w="65" w:type="dxa"/>
              <w:bottom w:w="55" w:type="dxa"/>
              <w:right w:w="65" w:type="dxa"/>
            </w:tcMar>
            <w:vAlign w:val="center"/>
          </w:tcPr>
          <w:p w14:paraId="66EDF355" w14:textId="77777777" w:rsidR="00937C4A" w:rsidRDefault="00000000">
            <w:pPr>
              <w:spacing w:after="0" w:line="240" w:lineRule="auto"/>
              <w:jc w:val="left"/>
            </w:pPr>
            <w:r>
              <w:rPr>
                <w:rFonts w:ascii="Noto Sans" w:hAnsi="Noto Sans"/>
                <w:sz w:val="16"/>
              </w:rPr>
              <w:t>box dimension of a basin boundary, d_(B) = D − γ</w:t>
            </w:r>
          </w:p>
        </w:tc>
      </w:tr>
      <w:tr w:rsidR="00937C4A" w14:paraId="16BB63AA" w14:textId="77777777">
        <w:trPr>
          <w:cantSplit/>
          <w:jc w:val="center"/>
        </w:trPr>
        <w:tc>
          <w:tcPr>
            <w:tcW w:w="1900" w:type="dxa"/>
            <w:shd w:val="clear" w:color="auto" w:fill="F4F6F7"/>
            <w:tcMar>
              <w:top w:w="55" w:type="dxa"/>
              <w:left w:w="65" w:type="dxa"/>
              <w:bottom w:w="55" w:type="dxa"/>
              <w:right w:w="65" w:type="dxa"/>
            </w:tcMar>
            <w:vAlign w:val="center"/>
          </w:tcPr>
          <w:p w14:paraId="0B06A11B" w14:textId="77777777" w:rsidR="00937C4A" w:rsidRDefault="00000000">
            <w:pPr>
              <w:spacing w:after="0" w:line="240" w:lineRule="auto"/>
              <w:jc w:val="center"/>
            </w:pPr>
            <w:r>
              <w:rPr>
                <w:rFonts w:ascii="Noto Sans" w:hAnsi="Noto Sans"/>
                <w:sz w:val="16"/>
              </w:rPr>
              <w:t>q(x)</w:t>
            </w:r>
          </w:p>
        </w:tc>
        <w:tc>
          <w:tcPr>
            <w:tcW w:w="7500" w:type="dxa"/>
            <w:shd w:val="clear" w:color="auto" w:fill="F4F6F7"/>
            <w:tcMar>
              <w:top w:w="55" w:type="dxa"/>
              <w:left w:w="65" w:type="dxa"/>
              <w:bottom w:w="55" w:type="dxa"/>
              <w:right w:w="65" w:type="dxa"/>
            </w:tcMar>
            <w:vAlign w:val="center"/>
          </w:tcPr>
          <w:p w14:paraId="185F2FD9" w14:textId="77777777" w:rsidR="00937C4A" w:rsidRDefault="00000000">
            <w:pPr>
              <w:spacing w:after="0" w:line="240" w:lineRule="auto"/>
              <w:jc w:val="left"/>
            </w:pPr>
            <w:r>
              <w:rPr>
                <w:rFonts w:ascii="Noto Sans" w:hAnsi="Noto Sans"/>
                <w:sz w:val="16"/>
              </w:rPr>
              <w:t>per-unit-exposure destruction probability for object type x</w:t>
            </w:r>
          </w:p>
        </w:tc>
      </w:tr>
      <w:tr w:rsidR="00937C4A" w14:paraId="10AA3E0C" w14:textId="77777777">
        <w:trPr>
          <w:cantSplit/>
          <w:jc w:val="center"/>
        </w:trPr>
        <w:tc>
          <w:tcPr>
            <w:tcW w:w="1900" w:type="dxa"/>
            <w:tcMar>
              <w:top w:w="55" w:type="dxa"/>
              <w:left w:w="65" w:type="dxa"/>
              <w:bottom w:w="55" w:type="dxa"/>
              <w:right w:w="65" w:type="dxa"/>
            </w:tcMar>
            <w:vAlign w:val="center"/>
          </w:tcPr>
          <w:p w14:paraId="2DEB1D57" w14:textId="77777777" w:rsidR="00937C4A" w:rsidRDefault="00000000">
            <w:pPr>
              <w:spacing w:after="0" w:line="240" w:lineRule="auto"/>
              <w:jc w:val="center"/>
            </w:pPr>
            <w:r>
              <w:rPr>
                <w:rFonts w:ascii="Noto Sans" w:hAnsi="Noto Sans"/>
                <w:sz w:val="16"/>
              </w:rPr>
              <w:t>H</w:t>
            </w:r>
          </w:p>
        </w:tc>
        <w:tc>
          <w:tcPr>
            <w:tcW w:w="7500" w:type="dxa"/>
            <w:tcMar>
              <w:top w:w="55" w:type="dxa"/>
              <w:left w:w="65" w:type="dxa"/>
              <w:bottom w:w="55" w:type="dxa"/>
              <w:right w:w="65" w:type="dxa"/>
            </w:tcMar>
            <w:vAlign w:val="center"/>
          </w:tcPr>
          <w:p w14:paraId="2FD16F5E" w14:textId="77777777" w:rsidR="00937C4A" w:rsidRDefault="00000000">
            <w:pPr>
              <w:spacing w:after="0" w:line="240" w:lineRule="auto"/>
              <w:jc w:val="left"/>
            </w:pPr>
            <w:r>
              <w:rPr>
                <w:rFonts w:ascii="Noto Sans" w:hAnsi="Noto Sans"/>
                <w:sz w:val="16"/>
              </w:rPr>
              <w:t>cumulative hazard rate</w:t>
            </w:r>
          </w:p>
        </w:tc>
      </w:tr>
      <w:tr w:rsidR="00937C4A" w14:paraId="66B0853B" w14:textId="77777777">
        <w:trPr>
          <w:cantSplit/>
          <w:jc w:val="center"/>
        </w:trPr>
        <w:tc>
          <w:tcPr>
            <w:tcW w:w="1900" w:type="dxa"/>
            <w:shd w:val="clear" w:color="auto" w:fill="F4F6F7"/>
            <w:tcMar>
              <w:top w:w="55" w:type="dxa"/>
              <w:left w:w="65" w:type="dxa"/>
              <w:bottom w:w="55" w:type="dxa"/>
              <w:right w:w="65" w:type="dxa"/>
            </w:tcMar>
            <w:vAlign w:val="center"/>
          </w:tcPr>
          <w:p w14:paraId="6E1AFE1D" w14:textId="77777777" w:rsidR="00937C4A" w:rsidRDefault="00000000">
            <w:pPr>
              <w:spacing w:after="0" w:line="240" w:lineRule="auto"/>
              <w:jc w:val="center"/>
            </w:pPr>
            <w:r>
              <w:rPr>
                <w:rFonts w:ascii="Noto Sans" w:hAnsi="Noto Sans"/>
                <w:sz w:val="16"/>
              </w:rPr>
              <w:t>p_(A)</w:t>
            </w:r>
          </w:p>
        </w:tc>
        <w:tc>
          <w:tcPr>
            <w:tcW w:w="7500" w:type="dxa"/>
            <w:shd w:val="clear" w:color="auto" w:fill="F4F6F7"/>
            <w:tcMar>
              <w:top w:w="55" w:type="dxa"/>
              <w:left w:w="65" w:type="dxa"/>
              <w:bottom w:w="55" w:type="dxa"/>
              <w:right w:w="65" w:type="dxa"/>
            </w:tcMar>
            <w:vAlign w:val="center"/>
          </w:tcPr>
          <w:p w14:paraId="1C93A1BD" w14:textId="77777777" w:rsidR="00937C4A" w:rsidRDefault="00000000">
            <w:pPr>
              <w:spacing w:after="0" w:line="240" w:lineRule="auto"/>
              <w:jc w:val="left"/>
            </w:pPr>
            <w:r>
              <w:rPr>
                <w:rFonts w:ascii="Noto Sans" w:hAnsi="Noto Sans"/>
                <w:sz w:val="16"/>
              </w:rPr>
              <w:t>exposure-age distribution; $\widehat{p_A}$ its Laplace transform</w:t>
            </w:r>
          </w:p>
        </w:tc>
      </w:tr>
      <w:tr w:rsidR="00937C4A" w14:paraId="5444E8F6" w14:textId="77777777">
        <w:trPr>
          <w:cantSplit/>
          <w:jc w:val="center"/>
        </w:trPr>
        <w:tc>
          <w:tcPr>
            <w:tcW w:w="1900" w:type="dxa"/>
            <w:tcMar>
              <w:top w:w="55" w:type="dxa"/>
              <w:left w:w="65" w:type="dxa"/>
              <w:bottom w:w="55" w:type="dxa"/>
              <w:right w:w="65" w:type="dxa"/>
            </w:tcMar>
            <w:vAlign w:val="center"/>
          </w:tcPr>
          <w:p w14:paraId="1CF423C5" w14:textId="77777777" w:rsidR="00937C4A" w:rsidRDefault="00000000">
            <w:pPr>
              <w:spacing w:after="0" w:line="240" w:lineRule="auto"/>
              <w:jc w:val="center"/>
            </w:pPr>
            <w:r>
              <w:rPr>
                <w:rFonts w:ascii="Noto Sans" w:hAnsi="Noto Sans"/>
                <w:sz w:val="16"/>
              </w:rPr>
              <w:t>C</w:t>
            </w:r>
          </w:p>
        </w:tc>
        <w:tc>
          <w:tcPr>
            <w:tcW w:w="7500" w:type="dxa"/>
            <w:tcMar>
              <w:top w:w="55" w:type="dxa"/>
              <w:left w:w="65" w:type="dxa"/>
              <w:bottom w:w="55" w:type="dxa"/>
              <w:right w:w="65" w:type="dxa"/>
            </w:tcMar>
            <w:vAlign w:val="center"/>
          </w:tcPr>
          <w:p w14:paraId="5D0CEF4B" w14:textId="77777777" w:rsidR="00937C4A" w:rsidRDefault="00000000">
            <w:pPr>
              <w:spacing w:after="0" w:line="240" w:lineRule="auto"/>
              <w:jc w:val="left"/>
            </w:pPr>
            <w:r>
              <w:rPr>
                <w:rFonts w:ascii="Noto Sans" w:hAnsi="Noto Sans"/>
                <w:sz w:val="16"/>
              </w:rPr>
              <w:t>compatibility (rigidity) operator, ℝ^(6n) → ℝ^(n_(c))</w:t>
            </w:r>
          </w:p>
        </w:tc>
      </w:tr>
      <w:tr w:rsidR="00937C4A" w14:paraId="19104B24" w14:textId="77777777">
        <w:trPr>
          <w:cantSplit/>
          <w:jc w:val="center"/>
        </w:trPr>
        <w:tc>
          <w:tcPr>
            <w:tcW w:w="1900" w:type="dxa"/>
            <w:shd w:val="clear" w:color="auto" w:fill="F4F6F7"/>
            <w:tcMar>
              <w:top w:w="55" w:type="dxa"/>
              <w:left w:w="65" w:type="dxa"/>
              <w:bottom w:w="55" w:type="dxa"/>
              <w:right w:w="65" w:type="dxa"/>
            </w:tcMar>
            <w:vAlign w:val="center"/>
          </w:tcPr>
          <w:p w14:paraId="72AA019A" w14:textId="77777777" w:rsidR="00937C4A" w:rsidRDefault="00000000">
            <w:pPr>
              <w:spacing w:after="0" w:line="240" w:lineRule="auto"/>
              <w:jc w:val="center"/>
            </w:pPr>
            <w:r>
              <w:rPr>
                <w:rFonts w:ascii="Noto Sans" w:hAnsi="Noto Sans"/>
                <w:sz w:val="16"/>
              </w:rPr>
              <w:t>𝒦</w:t>
            </w:r>
          </w:p>
        </w:tc>
        <w:tc>
          <w:tcPr>
            <w:tcW w:w="7500" w:type="dxa"/>
            <w:shd w:val="clear" w:color="auto" w:fill="F4F6F7"/>
            <w:tcMar>
              <w:top w:w="55" w:type="dxa"/>
              <w:left w:w="65" w:type="dxa"/>
              <w:bottom w:w="55" w:type="dxa"/>
              <w:right w:w="65" w:type="dxa"/>
            </w:tcMar>
            <w:vAlign w:val="center"/>
          </w:tcPr>
          <w:p w14:paraId="7F0C61C9" w14:textId="77777777" w:rsidR="00937C4A" w:rsidRDefault="00000000">
            <w:pPr>
              <w:spacing w:after="0" w:line="240" w:lineRule="auto"/>
              <w:jc w:val="left"/>
            </w:pPr>
            <w:r>
              <w:rPr>
                <w:rFonts w:ascii="Noto Sans" w:hAnsi="Noto Sans"/>
                <w:sz w:val="16"/>
              </w:rPr>
              <w:t>friction cone; ℳ = ker C ∩ 𝒦 the admissible mechanism cone</w:t>
            </w:r>
          </w:p>
        </w:tc>
      </w:tr>
      <w:tr w:rsidR="00937C4A" w14:paraId="48D58C60" w14:textId="77777777">
        <w:trPr>
          <w:cantSplit/>
          <w:jc w:val="center"/>
        </w:trPr>
        <w:tc>
          <w:tcPr>
            <w:tcW w:w="1900" w:type="dxa"/>
            <w:tcMar>
              <w:top w:w="55" w:type="dxa"/>
              <w:left w:w="65" w:type="dxa"/>
              <w:bottom w:w="55" w:type="dxa"/>
              <w:right w:w="65" w:type="dxa"/>
            </w:tcMar>
            <w:vAlign w:val="center"/>
          </w:tcPr>
          <w:p w14:paraId="211F65F1" w14:textId="77777777" w:rsidR="00937C4A" w:rsidRDefault="00000000">
            <w:pPr>
              <w:spacing w:after="0" w:line="240" w:lineRule="auto"/>
              <w:jc w:val="center"/>
            </w:pPr>
            <w:r>
              <w:rPr>
                <w:rFonts w:ascii="Noto Sans" w:hAnsi="Noto Sans"/>
                <w:sz w:val="16"/>
              </w:rPr>
              <w:t>CH*</w:t>
            </w:r>
          </w:p>
        </w:tc>
        <w:tc>
          <w:tcPr>
            <w:tcW w:w="7500" w:type="dxa"/>
            <w:tcMar>
              <w:top w:w="55" w:type="dxa"/>
              <w:left w:w="65" w:type="dxa"/>
              <w:bottom w:w="55" w:type="dxa"/>
              <w:right w:w="65" w:type="dxa"/>
            </w:tcMar>
            <w:vAlign w:val="center"/>
          </w:tcPr>
          <w:p w14:paraId="4C969B6D" w14:textId="77777777" w:rsidR="00937C4A" w:rsidRDefault="00000000">
            <w:pPr>
              <w:spacing w:after="0" w:line="240" w:lineRule="auto"/>
              <w:jc w:val="left"/>
            </w:pPr>
            <w:r>
              <w:rPr>
                <w:rFonts w:ascii="Noto Sans" w:hAnsi="Noto Sans"/>
                <w:sz w:val="16"/>
              </w:rPr>
              <w:t>Conley index</w:t>
            </w:r>
          </w:p>
        </w:tc>
      </w:tr>
      <w:tr w:rsidR="00937C4A" w14:paraId="68E27980" w14:textId="77777777">
        <w:trPr>
          <w:cantSplit/>
          <w:jc w:val="center"/>
        </w:trPr>
        <w:tc>
          <w:tcPr>
            <w:tcW w:w="1900" w:type="dxa"/>
            <w:shd w:val="clear" w:color="auto" w:fill="F4F6F7"/>
            <w:tcMar>
              <w:top w:w="55" w:type="dxa"/>
              <w:left w:w="65" w:type="dxa"/>
              <w:bottom w:w="55" w:type="dxa"/>
              <w:right w:w="65" w:type="dxa"/>
            </w:tcMar>
            <w:vAlign w:val="center"/>
          </w:tcPr>
          <w:p w14:paraId="4377084E" w14:textId="77777777" w:rsidR="00937C4A" w:rsidRDefault="00000000">
            <w:pPr>
              <w:spacing w:after="0" w:line="240" w:lineRule="auto"/>
              <w:jc w:val="center"/>
            </w:pPr>
            <w:r>
              <w:rPr>
                <w:rFonts w:ascii="Noto Sans" w:hAnsi="Noto Sans"/>
                <w:sz w:val="16"/>
              </w:rPr>
              <w:t>Π_(slow)</w:t>
            </w:r>
          </w:p>
        </w:tc>
        <w:tc>
          <w:tcPr>
            <w:tcW w:w="7500" w:type="dxa"/>
            <w:shd w:val="clear" w:color="auto" w:fill="F4F6F7"/>
            <w:tcMar>
              <w:top w:w="55" w:type="dxa"/>
              <w:left w:w="65" w:type="dxa"/>
              <w:bottom w:w="55" w:type="dxa"/>
              <w:right w:w="65" w:type="dxa"/>
            </w:tcMar>
            <w:vAlign w:val="center"/>
          </w:tcPr>
          <w:p w14:paraId="48867279" w14:textId="77777777" w:rsidR="00937C4A" w:rsidRDefault="00000000">
            <w:pPr>
              <w:spacing w:after="0" w:line="240" w:lineRule="auto"/>
              <w:jc w:val="left"/>
            </w:pPr>
            <w:r>
              <w:rPr>
                <w:rFonts w:ascii="Noto Sans" w:hAnsi="Noto Sans"/>
                <w:sz w:val="16"/>
              </w:rPr>
              <w:t>projection onto slow structural variables</w:t>
            </w:r>
          </w:p>
        </w:tc>
      </w:tr>
    </w:tbl>
    <w:p w14:paraId="535C12C5" w14:textId="77777777" w:rsidR="00937C4A" w:rsidRDefault="00000000">
      <w:pPr>
        <w:pStyle w:val="BodyText"/>
      </w:pPr>
      <w:r>
        <w:t xml:space="preserve">Throughout, </w:t>
      </w:r>
      <m:oMath>
        <m:r>
          <w:rPr>
            <w:rFonts w:ascii="Cambria Math" w:hAnsi="Cambria Math"/>
          </w:rPr>
          <m:t>g</m:t>
        </m:r>
        <m:r>
          <m:rPr>
            <m:sty m:val="p"/>
          </m:rPr>
          <w:rPr>
            <w:rFonts w:ascii="Cambria Math" w:hAnsi="Cambria Math"/>
          </w:rPr>
          <m:t>=</m:t>
        </m:r>
        <m:r>
          <w:rPr>
            <w:rFonts w:ascii="Cambria Math" w:hAnsi="Cambria Math"/>
          </w:rPr>
          <m:t>9.81 </m:t>
        </m:r>
        <m:r>
          <m:rPr>
            <m:sty m:val="p"/>
          </m:rPr>
          <w:rPr>
            <w:rFonts w:ascii="Cambria Math" w:hAnsi="Cambria Math"/>
          </w:rPr>
          <m:t>m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oMath>
      <w:r>
        <w:t>.</w:t>
      </w:r>
    </w:p>
    <w:p w14:paraId="0E48DF4B" w14:textId="77777777" w:rsidR="00937C4A" w:rsidRDefault="00000000">
      <w:pPr>
        <w:pStyle w:val="Heading2"/>
        <w:pageBreakBefore/>
        <w:spacing w:before="320" w:after="280"/>
        <w:jc w:val="center"/>
      </w:pPr>
      <w:bookmarkStart w:id="7" w:name="contents"/>
      <w:bookmarkEnd w:id="6"/>
      <w:r>
        <w:rPr>
          <w:rFonts w:ascii="EB Garamond" w:eastAsia="EB Garamond" w:hAnsi="EB Garamond"/>
          <w:color w:val="283037"/>
          <w:sz w:val="34"/>
        </w:rPr>
        <w:lastRenderedPageBreak/>
        <w:t>Contents</w:t>
      </w:r>
    </w:p>
    <w:p w14:paraId="1CAAFDEA" w14:textId="77777777" w:rsidR="00937C4A" w:rsidRDefault="00000000">
      <w:r>
        <w:rPr>
          <w:b/>
          <w:bCs/>
        </w:rPr>
        <w:t>Current manuscript state</w:t>
      </w:r>
    </w:p>
    <w:p w14:paraId="66DBC04A" w14:textId="77777777" w:rsidR="00937C4A" w:rsidRDefault="00000000">
      <w:pPr>
        <w:numPr>
          <w:ilvl w:val="0"/>
          <w:numId w:val="12"/>
        </w:numPr>
      </w:pPr>
      <w:r>
        <w:rPr>
          <w:b/>
          <w:bCs/>
        </w:rPr>
        <w:t>Front matter, Prologue, Part I, Parts II and III:</w:t>
      </w:r>
      <w:r>
        <w:t xml:space="preserve"> complete.</w:t>
      </w:r>
    </w:p>
    <w:p w14:paraId="176CBF43" w14:textId="77777777" w:rsidR="00937C4A" w:rsidRDefault="00000000">
      <w:pPr>
        <w:numPr>
          <w:ilvl w:val="0"/>
          <w:numId w:val="12"/>
        </w:numPr>
      </w:pPr>
      <w:r>
        <w:rPr>
          <w:b/>
          <w:bCs/>
        </w:rPr>
        <w:t>Part IV:</w:t>
      </w:r>
      <w:r>
        <w:t xml:space="preserve"> Chapters 14 and 15 complete; Chapters 13 and 16 retained as detailed chapter briefs.</w:t>
      </w:r>
    </w:p>
    <w:p w14:paraId="41F221CA" w14:textId="77777777" w:rsidR="00937C4A" w:rsidRDefault="00000000">
      <w:pPr>
        <w:numPr>
          <w:ilvl w:val="0"/>
          <w:numId w:val="12"/>
        </w:numPr>
      </w:pPr>
      <w:r>
        <w:rPr>
          <w:b/>
          <w:bCs/>
        </w:rPr>
        <w:t>Part V:</w:t>
      </w:r>
      <w:r>
        <w:t xml:space="preserve"> Chapters 17–19 retained as detailed chapter briefs; this is the next planned installment.</w:t>
      </w:r>
    </w:p>
    <w:p w14:paraId="010721EC" w14:textId="77777777" w:rsidR="00937C4A" w:rsidRDefault="00000000">
      <w:pPr>
        <w:numPr>
          <w:ilvl w:val="0"/>
          <w:numId w:val="12"/>
        </w:numPr>
      </w:pPr>
      <w:r>
        <w:rPr>
          <w:b/>
          <w:bCs/>
        </w:rPr>
        <w:t>Part VI:</w:t>
      </w:r>
      <w:r>
        <w:t xml:space="preserve"> Chapter 20 complete; Chapters 21–23 retained as detailed chapter briefs.</w:t>
      </w:r>
    </w:p>
    <w:p w14:paraId="09ACFE8E" w14:textId="77777777" w:rsidR="00937C4A" w:rsidRDefault="00000000">
      <w:pPr>
        <w:numPr>
          <w:ilvl w:val="0"/>
          <w:numId w:val="12"/>
        </w:numPr>
      </w:pPr>
      <w:r>
        <w:rPr>
          <w:b/>
          <w:bCs/>
        </w:rPr>
        <w:t>Part VII:</w:t>
      </w:r>
      <w:r>
        <w:t xml:space="preserve"> Chapters 24–25 retained as detailed chapter briefs.</w:t>
      </w:r>
    </w:p>
    <w:p w14:paraId="4CAE3A52" w14:textId="77777777" w:rsidR="00937C4A" w:rsidRDefault="00000000">
      <w:pPr>
        <w:numPr>
          <w:ilvl w:val="0"/>
          <w:numId w:val="12"/>
        </w:numPr>
      </w:pPr>
      <w:r>
        <w:rPr>
          <w:b/>
          <w:bCs/>
        </w:rPr>
        <w:t>Appendices:</w:t>
      </w:r>
      <w:r>
        <w:t xml:space="preserve"> Appendix C complete; Appendices A, B and D supplied here as structured briefs.</w:t>
      </w:r>
    </w:p>
    <w:p w14:paraId="53002BA0" w14:textId="77777777" w:rsidR="00937C4A" w:rsidRDefault="00000000">
      <w:pPr>
        <w:pStyle w:val="Heading3"/>
      </w:pPr>
      <w:bookmarkStart w:id="8" w:name="prologue"/>
      <w:r>
        <w:rPr>
          <w:rFonts w:ascii="Noto Sans" w:eastAsia="Noto Sans" w:hAnsi="Noto Sans"/>
        </w:rPr>
        <w:t>Prologue</w:t>
      </w:r>
    </w:p>
    <w:p w14:paraId="48967463" w14:textId="77777777" w:rsidR="00937C4A" w:rsidRDefault="00000000">
      <w:pPr>
        <w:numPr>
          <w:ilvl w:val="0"/>
          <w:numId w:val="13"/>
        </w:numPr>
      </w:pPr>
      <w:r>
        <w:t>The Apron at Hampi</w:t>
      </w:r>
    </w:p>
    <w:p w14:paraId="4EFBDCF2" w14:textId="77777777" w:rsidR="00937C4A" w:rsidRDefault="00000000">
      <w:pPr>
        <w:pStyle w:val="Heading3"/>
      </w:pPr>
      <w:bookmarkStart w:id="9" w:name="part-i-the-error"/>
      <w:bookmarkEnd w:id="8"/>
      <w:r>
        <w:rPr>
          <w:rFonts w:ascii="Noto Sans" w:eastAsia="Noto Sans" w:hAnsi="Noto Sans"/>
        </w:rPr>
        <w:t>Part I — The Error</w:t>
      </w:r>
    </w:p>
    <w:p w14:paraId="2F5807BB" w14:textId="77777777" w:rsidR="00937C4A" w:rsidRDefault="00000000">
      <w:pPr>
        <w:numPr>
          <w:ilvl w:val="0"/>
          <w:numId w:val="14"/>
        </w:numPr>
      </w:pPr>
      <w:r>
        <w:t>Four Readings of a Stone</w:t>
      </w:r>
    </w:p>
    <w:p w14:paraId="5F2D6646" w14:textId="77777777" w:rsidR="00937C4A" w:rsidRDefault="00000000">
      <w:pPr>
        <w:numPr>
          <w:ilvl w:val="0"/>
          <w:numId w:val="14"/>
        </w:numPr>
      </w:pPr>
      <w:r>
        <w:t>Conditioning on Survival</w:t>
      </w:r>
    </w:p>
    <w:p w14:paraId="6BB9875C" w14:textId="77777777" w:rsidR="00937C4A" w:rsidRDefault="00000000">
      <w:pPr>
        <w:numPr>
          <w:ilvl w:val="0"/>
          <w:numId w:val="14"/>
        </w:numPr>
      </w:pPr>
      <w:r>
        <w:t>Survival Is a Projection</w:t>
      </w:r>
    </w:p>
    <w:p w14:paraId="478ABEE5" w14:textId="77777777" w:rsidR="00937C4A" w:rsidRDefault="00000000">
      <w:pPr>
        <w:pStyle w:val="Heading3"/>
      </w:pPr>
      <w:bookmarkStart w:id="10" w:name="part-ii-the-mechanics"/>
      <w:bookmarkEnd w:id="9"/>
      <w:r>
        <w:rPr>
          <w:rFonts w:ascii="Noto Sans" w:eastAsia="Noto Sans" w:hAnsi="Noto Sans"/>
        </w:rPr>
        <w:t>Part II — The Mechanics</w:t>
      </w:r>
    </w:p>
    <w:p w14:paraId="30CA3561" w14:textId="77777777" w:rsidR="00937C4A" w:rsidRDefault="00000000">
      <w:pPr>
        <w:numPr>
          <w:ilvl w:val="0"/>
          <w:numId w:val="15"/>
        </w:numPr>
      </w:pPr>
      <w:r>
        <w:t>Housner’s Block</w:t>
      </w:r>
    </w:p>
    <w:p w14:paraId="586E8A13" w14:textId="77777777" w:rsidR="00937C4A" w:rsidRDefault="00000000">
      <w:pPr>
        <w:numPr>
          <w:ilvl w:val="0"/>
          <w:numId w:val="15"/>
        </w:numPr>
      </w:pPr>
      <w:r>
        <w:t>Uplift Is Not Overturning</w:t>
      </w:r>
    </w:p>
    <w:p w14:paraId="23B3F1D1" w14:textId="77777777" w:rsidR="00937C4A" w:rsidRDefault="00000000">
      <w:pPr>
        <w:numPr>
          <w:ilvl w:val="0"/>
          <w:numId w:val="15"/>
        </w:numPr>
      </w:pPr>
      <w:r>
        <w:t xml:space="preserve">The Impulsive Melnikov Function </w:t>
      </w:r>
      <w:r>
        <w:rPr>
          <w:rFonts w:ascii="Noto Sans" w:eastAsia="Noto Sans" w:hAnsi="Noto Sans"/>
          <w:b/>
          <w:bCs/>
          <w:color w:val="255B8D"/>
          <w:sz w:val="19"/>
        </w:rPr>
        <w:t>[A]</w:t>
      </w:r>
    </w:p>
    <w:p w14:paraId="49509C84" w14:textId="77777777" w:rsidR="00937C4A" w:rsidRDefault="00000000">
      <w:pPr>
        <w:numPr>
          <w:ilvl w:val="0"/>
          <w:numId w:val="15"/>
        </w:numPr>
      </w:pPr>
      <w:r>
        <w:t xml:space="preserve">The Regime Boundary </w:t>
      </w:r>
      <w:r>
        <w:rPr>
          <w:rFonts w:ascii="Noto Sans" w:eastAsia="Noto Sans" w:hAnsi="Noto Sans"/>
          <w:b/>
          <w:bCs/>
          <w:color w:val="255B8D"/>
          <w:sz w:val="19"/>
        </w:rPr>
        <w:t>[A]</w:t>
      </w:r>
    </w:p>
    <w:p w14:paraId="349159A2" w14:textId="77777777" w:rsidR="00937C4A" w:rsidRDefault="00000000">
      <w:pPr>
        <w:numPr>
          <w:ilvl w:val="0"/>
          <w:numId w:val="15"/>
        </w:numPr>
      </w:pPr>
      <w:r>
        <w:t>A Cairn Is Not a Block</w:t>
      </w:r>
    </w:p>
    <w:p w14:paraId="472861FC" w14:textId="77777777" w:rsidR="00937C4A" w:rsidRDefault="00000000">
      <w:pPr>
        <w:pStyle w:val="Heading3"/>
      </w:pPr>
      <w:bookmarkStart w:id="11" w:name="part-iii-what-survives-perturbation"/>
      <w:bookmarkEnd w:id="10"/>
      <w:r>
        <w:rPr>
          <w:rFonts w:ascii="Noto Sans" w:eastAsia="Noto Sans" w:hAnsi="Noto Sans"/>
        </w:rPr>
        <w:t>Part III — What Survives Perturbation</w:t>
      </w:r>
    </w:p>
    <w:p w14:paraId="7343DAFC" w14:textId="77777777" w:rsidR="00937C4A" w:rsidRDefault="00000000">
      <w:pPr>
        <w:numPr>
          <w:ilvl w:val="0"/>
          <w:numId w:val="16"/>
        </w:numPr>
      </w:pPr>
      <w:r>
        <w:t>Basins and Their Boundaries</w:t>
      </w:r>
    </w:p>
    <w:p w14:paraId="0D34D89B" w14:textId="77777777" w:rsidR="00937C4A" w:rsidRDefault="00000000">
      <w:pPr>
        <w:numPr>
          <w:ilvl w:val="0"/>
          <w:numId w:val="16"/>
        </w:numPr>
      </w:pPr>
      <w:r>
        <w:t xml:space="preserve">Measure Detects Erosion; Homology Detects Disconnection — and Why the Numerical Instance Failed </w:t>
      </w:r>
      <w:r>
        <w:rPr>
          <w:rFonts w:ascii="Noto Sans" w:eastAsia="Noto Sans" w:hAnsi="Noto Sans"/>
          <w:b/>
          <w:bCs/>
          <w:color w:val="A62A2A"/>
          <w:sz w:val="19"/>
        </w:rPr>
        <w:t>[X]</w:t>
      </w:r>
    </w:p>
    <w:p w14:paraId="3F666AE1" w14:textId="77777777" w:rsidR="00937C4A" w:rsidRDefault="00000000">
      <w:pPr>
        <w:numPr>
          <w:ilvl w:val="0"/>
          <w:numId w:val="16"/>
        </w:numPr>
      </w:pPr>
      <w:r>
        <w:t>The Conley Index and the Isolation Condition</w:t>
      </w:r>
    </w:p>
    <w:p w14:paraId="571F18E5" w14:textId="77777777" w:rsidR="00937C4A" w:rsidRDefault="00000000">
      <w:pPr>
        <w:numPr>
          <w:ilvl w:val="0"/>
          <w:numId w:val="16"/>
        </w:numPr>
      </w:pPr>
      <w:r>
        <w:t>Grazing: Where the Machinery Breaks</w:t>
      </w:r>
    </w:p>
    <w:p w14:paraId="5F0AFD41" w14:textId="77777777" w:rsidR="00937C4A" w:rsidRDefault="00000000">
      <w:pPr>
        <w:pStyle w:val="Heading3"/>
      </w:pPr>
      <w:bookmarkStart w:id="12" w:name="part-iv-the-inverse-problem"/>
      <w:bookmarkEnd w:id="11"/>
      <w:r>
        <w:rPr>
          <w:rFonts w:ascii="Noto Sans" w:eastAsia="Noto Sans" w:hAnsi="Noto Sans"/>
        </w:rPr>
        <w:t>Part IV — The Inverse Problem</w:t>
      </w:r>
    </w:p>
    <w:p w14:paraId="43A28E50" w14:textId="77777777" w:rsidR="00937C4A" w:rsidRDefault="00000000">
      <w:pPr>
        <w:numPr>
          <w:ilvl w:val="0"/>
          <w:numId w:val="17"/>
        </w:numPr>
      </w:pPr>
      <w:r>
        <w:t xml:space="preserve">The Fragility Manifold </w:t>
      </w:r>
      <w:r>
        <w:rPr>
          <w:i/>
          <w:iCs/>
        </w:rPr>
        <w:t>(chapter brief)</w:t>
      </w:r>
    </w:p>
    <w:p w14:paraId="4E3A7BE3" w14:textId="77777777" w:rsidR="00937C4A" w:rsidRDefault="00000000">
      <w:pPr>
        <w:numPr>
          <w:ilvl w:val="0"/>
          <w:numId w:val="17"/>
        </w:numPr>
      </w:pPr>
      <w:r>
        <w:t xml:space="preserve">Survivor-Only Identifiability </w:t>
      </w:r>
      <w:r>
        <w:rPr>
          <w:rFonts w:ascii="Noto Sans" w:eastAsia="Noto Sans" w:hAnsi="Noto Sans"/>
          <w:b/>
          <w:bCs/>
          <w:color w:val="1D6848"/>
          <w:sz w:val="19"/>
        </w:rPr>
        <w:t>[T]</w:t>
      </w:r>
    </w:p>
    <w:p w14:paraId="34AF91BA" w14:textId="77777777" w:rsidR="00937C4A" w:rsidRDefault="00000000">
      <w:pPr>
        <w:numPr>
          <w:ilvl w:val="0"/>
          <w:numId w:val="17"/>
        </w:numPr>
      </w:pPr>
      <w:r>
        <w:t xml:space="preserve">The Cost of Certainty — and the Information-Theoretic Error </w:t>
      </w:r>
      <w:r>
        <w:rPr>
          <w:rFonts w:ascii="Noto Sans" w:eastAsia="Noto Sans" w:hAnsi="Noto Sans"/>
          <w:b/>
          <w:bCs/>
          <w:color w:val="A62A2A"/>
          <w:sz w:val="19"/>
        </w:rPr>
        <w:t>[X]</w:t>
      </w:r>
    </w:p>
    <w:p w14:paraId="4E765361" w14:textId="77777777" w:rsidR="00937C4A" w:rsidRDefault="00000000">
      <w:pPr>
        <w:numPr>
          <w:ilvl w:val="0"/>
          <w:numId w:val="17"/>
        </w:numPr>
      </w:pPr>
      <w:r>
        <w:t xml:space="preserve">Designing an Identifiable Experiment </w:t>
      </w:r>
      <w:r>
        <w:rPr>
          <w:i/>
          <w:iCs/>
        </w:rPr>
        <w:t>(chapter brief)</w:t>
      </w:r>
    </w:p>
    <w:p w14:paraId="2C697CAB" w14:textId="77777777" w:rsidR="00937C4A" w:rsidRDefault="00000000">
      <w:pPr>
        <w:pStyle w:val="Heading3"/>
      </w:pPr>
      <w:bookmarkStart w:id="13" w:name="part-v-transport"/>
      <w:bookmarkEnd w:id="12"/>
      <w:r>
        <w:rPr>
          <w:rFonts w:ascii="Noto Sans" w:eastAsia="Noto Sans" w:hAnsi="Noto Sans"/>
        </w:rPr>
        <w:t>Part V — Transport</w:t>
      </w:r>
    </w:p>
    <w:p w14:paraId="65E06A16" w14:textId="77777777" w:rsidR="00937C4A" w:rsidRDefault="00000000">
      <w:pPr>
        <w:numPr>
          <w:ilvl w:val="0"/>
          <w:numId w:val="18"/>
        </w:numPr>
      </w:pPr>
      <w:r>
        <w:t xml:space="preserve">When Is a Result Transportable? </w:t>
      </w:r>
      <w:r>
        <w:rPr>
          <w:i/>
          <w:iCs/>
        </w:rPr>
        <w:t>(chapter brief)</w:t>
      </w:r>
    </w:p>
    <w:p w14:paraId="6D52B025" w14:textId="77777777" w:rsidR="00937C4A" w:rsidRDefault="00000000">
      <w:pPr>
        <w:numPr>
          <w:ilvl w:val="0"/>
          <w:numId w:val="18"/>
        </w:numPr>
      </w:pPr>
      <w:r>
        <w:t xml:space="preserve">The Hybrid Fragility Transport Statement </w:t>
      </w:r>
      <w:r>
        <w:rPr>
          <w:i/>
          <w:iCs/>
        </w:rPr>
        <w:t>(chapter brief)</w:t>
      </w:r>
    </w:p>
    <w:p w14:paraId="183C79B3" w14:textId="77777777" w:rsidR="00937C4A" w:rsidRDefault="00000000">
      <w:pPr>
        <w:numPr>
          <w:ilvl w:val="0"/>
          <w:numId w:val="18"/>
        </w:numPr>
      </w:pPr>
      <w:r>
        <w:t xml:space="preserve">Two Levels of Obstruction </w:t>
      </w:r>
      <w:r>
        <w:rPr>
          <w:i/>
          <w:iCs/>
        </w:rPr>
        <w:t>(chapter brief)</w:t>
      </w:r>
    </w:p>
    <w:p w14:paraId="63157E0D" w14:textId="77777777" w:rsidR="00937C4A" w:rsidRDefault="00000000">
      <w:pPr>
        <w:pStyle w:val="Heading3"/>
      </w:pPr>
      <w:bookmarkStart w:id="14" w:name="part-vi-the-cortical-cairn"/>
      <w:bookmarkEnd w:id="13"/>
      <w:r>
        <w:rPr>
          <w:rFonts w:ascii="Noto Sans" w:eastAsia="Noto Sans" w:hAnsi="Noto Sans"/>
        </w:rPr>
        <w:lastRenderedPageBreak/>
        <w:t>Part VI — The Cortical Cairn</w:t>
      </w:r>
    </w:p>
    <w:p w14:paraId="4A919123" w14:textId="77777777" w:rsidR="00937C4A" w:rsidRDefault="00000000">
      <w:pPr>
        <w:numPr>
          <w:ilvl w:val="0"/>
          <w:numId w:val="19"/>
        </w:numPr>
      </w:pPr>
      <w:r>
        <w:t>From Survivor to Recorder</w:t>
      </w:r>
    </w:p>
    <w:p w14:paraId="4D79D271" w14:textId="77777777" w:rsidR="00937C4A" w:rsidRDefault="00000000">
      <w:pPr>
        <w:numPr>
          <w:ilvl w:val="0"/>
          <w:numId w:val="19"/>
        </w:numPr>
      </w:pPr>
      <w:r>
        <w:t xml:space="preserve">Memory as an Equivalence Class of Causes </w:t>
      </w:r>
      <w:r>
        <w:rPr>
          <w:i/>
          <w:iCs/>
        </w:rPr>
        <w:t>(chapter brief)</w:t>
      </w:r>
    </w:p>
    <w:p w14:paraId="558B1403" w14:textId="77777777" w:rsidR="00937C4A" w:rsidRDefault="00000000">
      <w:pPr>
        <w:numPr>
          <w:ilvl w:val="0"/>
          <w:numId w:val="19"/>
        </w:numPr>
      </w:pPr>
      <w:r>
        <w:t xml:space="preserve">The Write Gate </w:t>
      </w:r>
      <w:r>
        <w:rPr>
          <w:i/>
          <w:iCs/>
        </w:rPr>
        <w:t>(chapter brief)</w:t>
      </w:r>
    </w:p>
    <w:p w14:paraId="538BA48F" w14:textId="77777777" w:rsidR="00937C4A" w:rsidRDefault="00000000">
      <w:pPr>
        <w:numPr>
          <w:ilvl w:val="0"/>
          <w:numId w:val="19"/>
        </w:numPr>
      </w:pPr>
      <w:r>
        <w:t xml:space="preserve">Five Falsifiable Predictions </w:t>
      </w:r>
      <w:r>
        <w:rPr>
          <w:i/>
          <w:iCs/>
        </w:rPr>
        <w:t>(chapter brief)</w:t>
      </w:r>
    </w:p>
    <w:p w14:paraId="2F34EA40" w14:textId="77777777" w:rsidR="00937C4A" w:rsidRDefault="00000000">
      <w:pPr>
        <w:pStyle w:val="Heading3"/>
      </w:pPr>
      <w:bookmarkStart w:id="15" w:name="part-vii-closing"/>
      <w:bookmarkEnd w:id="14"/>
      <w:r>
        <w:rPr>
          <w:rFonts w:ascii="Noto Sans" w:eastAsia="Noto Sans" w:hAnsi="Noto Sans"/>
        </w:rPr>
        <w:t>Part VII — Closing</w:t>
      </w:r>
    </w:p>
    <w:p w14:paraId="1C0B6D19" w14:textId="77777777" w:rsidR="00937C4A" w:rsidRDefault="00000000">
      <w:pPr>
        <w:numPr>
          <w:ilvl w:val="0"/>
          <w:numId w:val="20"/>
        </w:numPr>
      </w:pPr>
      <w:r>
        <w:t xml:space="preserve">The Hampi Programme </w:t>
      </w:r>
      <w:r>
        <w:rPr>
          <w:i/>
          <w:iCs/>
        </w:rPr>
        <w:t>(chapter brief)</w:t>
      </w:r>
    </w:p>
    <w:p w14:paraId="7D65155F" w14:textId="77777777" w:rsidR="00937C4A" w:rsidRDefault="00000000">
      <w:pPr>
        <w:numPr>
          <w:ilvl w:val="0"/>
          <w:numId w:val="20"/>
        </w:numPr>
      </w:pPr>
      <w:r>
        <w:t xml:space="preserve">What Would Falsify This Book </w:t>
      </w:r>
      <w:r>
        <w:rPr>
          <w:i/>
          <w:iCs/>
        </w:rPr>
        <w:t>(chapter brief)</w:t>
      </w:r>
    </w:p>
    <w:p w14:paraId="29F1CDAE" w14:textId="77777777" w:rsidR="00937C4A" w:rsidRDefault="00000000">
      <w:pPr>
        <w:pStyle w:val="Heading3"/>
      </w:pPr>
      <w:bookmarkStart w:id="16" w:name="appendices"/>
      <w:bookmarkEnd w:id="15"/>
      <w:r>
        <w:rPr>
          <w:rFonts w:ascii="Noto Sans" w:eastAsia="Noto Sans" w:hAnsi="Noto Sans"/>
        </w:rPr>
        <w:t>Appendices</w:t>
      </w:r>
    </w:p>
    <w:p w14:paraId="3C6C62E7" w14:textId="77777777" w:rsidR="00937C4A" w:rsidRDefault="00000000">
      <w:r>
        <w:t xml:space="preserve">A. Derivations </w:t>
      </w:r>
      <w:r>
        <w:rPr>
          <w:i/>
          <w:iCs/>
        </w:rPr>
        <w:t>(structured brief)</w:t>
      </w:r>
      <w:r>
        <w:t xml:space="preserve"> B. Corrected Numerical Protocols </w:t>
      </w:r>
      <w:r>
        <w:rPr>
          <w:i/>
          <w:iCs/>
        </w:rPr>
        <w:t>(structured brief)</w:t>
      </w:r>
      <w:r>
        <w:t xml:space="preserve"> C. Errata from the Working Notes D. Reproduction Code and Test Manifest </w:t>
      </w:r>
      <w:r>
        <w:rPr>
          <w:i/>
          <w:iCs/>
        </w:rPr>
        <w:t>(structured brief)</w:t>
      </w:r>
    </w:p>
    <w:p w14:paraId="251B17D4" w14:textId="77777777" w:rsidR="00937C4A" w:rsidRDefault="00000000">
      <w:pPr>
        <w:pStyle w:val="Heading1"/>
        <w:pageBreakBefore/>
        <w:spacing w:before="1900" w:after="440"/>
      </w:pPr>
      <w:bookmarkStart w:id="17" w:name="prologue-the-apron-at-hampi"/>
      <w:bookmarkEnd w:id="7"/>
      <w:bookmarkEnd w:id="16"/>
      <w:r>
        <w:rPr>
          <w:rFonts w:ascii="Noto Sans" w:eastAsia="Noto Sans" w:hAnsi="Noto Sans"/>
          <w:sz w:val="38"/>
        </w:rPr>
        <w:lastRenderedPageBreak/>
        <w:t>PROLOGUE — THE APRON AT HAMPI</w:t>
      </w:r>
    </w:p>
    <w:p w14:paraId="1B6DE6AD" w14:textId="77777777" w:rsidR="00937C4A" w:rsidRDefault="00000000">
      <w:r>
        <w:t>The apron is a sheet of granite the size of a tennis court, worn to the colour of ash, sloping perhaps three degrees toward a line of thorn scrub. Above it, the tors: rounded boulders the size of rooms, stacked by nothing, resting on contact patches you could cover with a dinner plate. They have been doing this since before the Vijayanagara masons cut the temples below, since before there were masons.</w:t>
      </w:r>
    </w:p>
    <w:p w14:paraId="62373956" w14:textId="77777777" w:rsidR="00937C4A" w:rsidRDefault="00000000">
      <w:pPr>
        <w:pStyle w:val="BodyText"/>
      </w:pPr>
      <w:r>
        <w:t>On the apron there are several hundred cairns. Most are three stones. Some are seven. They are made of whatever was lying about — schist chips, granite spall, a brick from somewhere. They are not beautiful. They lean.</w:t>
      </w:r>
    </w:p>
    <w:p w14:paraId="7B9F84CF" w14:textId="77777777" w:rsidR="00937C4A" w:rsidRDefault="00000000">
      <w:pPr>
        <w:pStyle w:val="BodyText"/>
      </w:pPr>
      <w:r>
        <w:t>The claim attached to them is that they are prayers for the stability of houses not yet built. The claim is plausible and I have not verified it, and the reader should hold that in mind for the whole of Part I, because a book about unverified inference should start by admitting one.</w:t>
      </w:r>
    </w:p>
    <w:p w14:paraId="31B700F8" w14:textId="77777777" w:rsidR="00937C4A" w:rsidRDefault="00000000">
      <w:pPr>
        <w:pStyle w:val="BodyText"/>
      </w:pPr>
      <w:r>
        <w:t xml:space="preserve">What is verifiable is the geometry. The tors are large and the cairns are small, and the whole of Part II is an argument that this single fact — a ratio of linear dimensions, perhaps thirty to one — is not a matter of scale but a matter of </w:t>
      </w:r>
      <w:r>
        <w:rPr>
          <w:i/>
          <w:iCs/>
        </w:rPr>
        <w:t>kind</w:t>
      </w:r>
      <w:r>
        <w:t>. Two objects with the same silhouette, one thirty times the other, are not the same instrument reading the same signal at different sensitivities. Under some ground motions they are not even in the same dynamical regime. The prayer copies the geometry and discards the physics, and the physics it discards is precisely the part that makes the tors impressive.</w:t>
      </w:r>
    </w:p>
    <w:p w14:paraId="54AD0907" w14:textId="77777777" w:rsidR="00937C4A" w:rsidRDefault="00000000">
      <w:pPr>
        <w:pStyle w:val="BodyText"/>
      </w:pPr>
      <w:r>
        <w:t>But I want to begin with something else, which is what the apron looks like when you stop doing mechanics.</w:t>
      </w:r>
    </w:p>
    <w:p w14:paraId="0D4030B5" w14:textId="77777777" w:rsidR="00937C4A" w:rsidRDefault="00000000">
      <w:pPr>
        <w:pStyle w:val="BodyText"/>
      </w:pPr>
      <w:r>
        <w:t>It looks like a landscape talking to itself. The cairns are small copies of the tors, made by hand, from the debris of the tors, arranged on the floor beneath the tors. Nobody instructed this. It emerges. People arrive, see enormous stones balanced impossibly, and their hands make small ones. The formal name is environmental mimesis; the honest description is that a landscape has induced in a species a compulsion to restate it at a scale the hand can manage.</w:t>
      </w:r>
    </w:p>
    <w:p w14:paraId="72993717" w14:textId="77777777" w:rsidR="00937C4A" w:rsidRDefault="00000000">
      <w:pPr>
        <w:pStyle w:val="BodyText"/>
      </w:pPr>
      <w:r>
        <w:t xml:space="preserve">That compulsion is not separate from the mathematics. It </w:t>
      </w:r>
      <w:r>
        <w:rPr>
          <w:i/>
          <w:iCs/>
        </w:rPr>
        <w:t>is</w:t>
      </w:r>
      <w:r>
        <w:t xml:space="preserve"> the mathematics, in a naive register. To make a small copy of a stable thing in the hope of inheriting its stability is to assert that stability is a property of shape. Chapter 5 will show, with a closed form, that it is not — that stability is a property of shape </w:t>
      </w:r>
      <w:r>
        <w:rPr>
          <w:i/>
          <w:iCs/>
        </w:rPr>
        <w:t>and a time scale</w:t>
      </w:r>
      <w:r>
        <w:t>, and that the time scale is the thing your hands cannot copy.</w:t>
      </w:r>
    </w:p>
    <w:p w14:paraId="7AE3550E" w14:textId="77777777" w:rsidR="00937C4A" w:rsidRDefault="00000000">
      <w:pPr>
        <w:pStyle w:val="BodyText"/>
      </w:pPr>
      <w:r>
        <w:t>So the devotee is not being superstitious in some way that engineering is exempt from. The devotee is running a dimensional analysis with one group missing. Every engineer who has ever tested a scale model without checking Froude number has run the same one.</w:t>
      </w:r>
    </w:p>
    <w:p w14:paraId="7E42E2E8" w14:textId="77777777" w:rsidR="00937C4A" w:rsidRDefault="00000000">
      <w:pPr>
        <w:pStyle w:val="BodyText"/>
      </w:pPr>
      <w:r>
        <w:t>That is the book in a sentence, and the rest is detail.</w:t>
      </w:r>
    </w:p>
    <w:p w14:paraId="6707E2FA" w14:textId="77777777" w:rsidR="00937C4A" w:rsidRDefault="00000000">
      <w:pPr>
        <w:pStyle w:val="Heading1"/>
        <w:pageBreakBefore/>
        <w:spacing w:before="3800" w:after="0"/>
      </w:pPr>
      <w:bookmarkStart w:id="18" w:name="part-i-the-error-1"/>
      <w:bookmarkEnd w:id="17"/>
      <w:r>
        <w:rPr>
          <w:rFonts w:ascii="Noto Sans" w:eastAsia="Noto Sans" w:hAnsi="Noto Sans"/>
          <w:sz w:val="44"/>
        </w:rPr>
        <w:lastRenderedPageBreak/>
        <w:t>PART I — THE ERROR</w:t>
      </w:r>
    </w:p>
    <w:p w14:paraId="349B8509" w14:textId="77777777" w:rsidR="00937C4A" w:rsidRDefault="00000000">
      <w:pPr>
        <w:pStyle w:val="Heading2"/>
        <w:pageBreakBefore/>
        <w:pBdr>
          <w:bottom w:val="single" w:sz="5" w:space="5" w:color="B8C1C6"/>
        </w:pBdr>
        <w:spacing w:after="280"/>
      </w:pPr>
      <w:bookmarkStart w:id="19" w:name="chapter-1-four-readings-of-a-stone"/>
      <w:r>
        <w:rPr>
          <w:rFonts w:ascii="EB Garamond" w:eastAsia="EB Garamond" w:hAnsi="EB Garamond"/>
          <w:sz w:val="40"/>
        </w:rPr>
        <w:lastRenderedPageBreak/>
        <w:t>Chapter 1 — Four Readings of a Stone</w:t>
      </w:r>
    </w:p>
    <w:p w14:paraId="4D4B798B" w14:textId="77777777" w:rsidR="00937C4A" w:rsidRDefault="00000000">
      <w:r>
        <w:t>Manohar’s observation identifies four disciplines reading one object, and it is usually cited as a nice illustration of interdisciplinarity. It is not. It is an illustration of a single shared mistake, appearing four times in four vocabularies, and the interdisciplinarity is the symptom rather than the point.</w:t>
      </w:r>
    </w:p>
    <w:p w14:paraId="6382AA14" w14:textId="77777777" w:rsidR="00937C4A" w:rsidRDefault="00000000">
      <w:pPr>
        <w:pStyle w:val="BodyText"/>
      </w:pPr>
      <w:r>
        <w:rPr>
          <w:b/>
          <w:bCs/>
        </w:rPr>
        <w:t>The devotional reading.</w:t>
      </w:r>
      <w:r>
        <w:t xml:space="preserve"> These rocks have stood for ages; a house built in their spirit will stand. The inference runs from </w:t>
      </w:r>
      <w:r>
        <w:rPr>
          <w:i/>
          <w:iCs/>
        </w:rPr>
        <w:t>observed persistence</w:t>
      </w:r>
      <w:r>
        <w:t xml:space="preserve"> to </w:t>
      </w:r>
      <w:r>
        <w:rPr>
          <w:i/>
          <w:iCs/>
        </w:rPr>
        <w:t>transferable property</w:t>
      </w:r>
      <w:r>
        <w:t>.</w:t>
      </w:r>
    </w:p>
    <w:p w14:paraId="26C3A047" w14:textId="77777777" w:rsidR="00937C4A" w:rsidRDefault="00000000">
      <w:pPr>
        <w:pStyle w:val="BodyText"/>
      </w:pPr>
      <w:r>
        <w:rPr>
          <w:b/>
          <w:bCs/>
        </w:rPr>
        <w:t>The engineering reading.</w:t>
      </w:r>
      <w:r>
        <w:t xml:space="preserve"> These rocks would have fallen under strong shaking; they have not fallen; therefore the ground has not shaken strongly. The inference runs from </w:t>
      </w:r>
      <w:r>
        <w:rPr>
          <w:i/>
          <w:iCs/>
        </w:rPr>
        <w:t>observed persistence</w:t>
      </w:r>
      <w:r>
        <w:t xml:space="preserve"> to </w:t>
      </w:r>
      <w:r>
        <w:rPr>
          <w:i/>
          <w:iCs/>
        </w:rPr>
        <w:t>bound on an unobserved forcing</w:t>
      </w:r>
      <w:r>
        <w:t>.</w:t>
      </w:r>
    </w:p>
    <w:p w14:paraId="39E8838F" w14:textId="77777777" w:rsidR="00937C4A" w:rsidRDefault="00000000">
      <w:pPr>
        <w:pStyle w:val="BodyText"/>
      </w:pPr>
      <w:r>
        <w:rPr>
          <w:b/>
          <w:bCs/>
        </w:rPr>
        <w:t>The geological reading.</w:t>
      </w:r>
      <w:r>
        <w:t xml:space="preserve"> The configuration is old; therefore it encodes a long interval of quiescence. The inference runs from </w:t>
      </w:r>
      <w:r>
        <w:rPr>
          <w:i/>
          <w:iCs/>
        </w:rPr>
        <w:t>observed persistence</w:t>
      </w:r>
      <w:r>
        <w:t xml:space="preserve"> to </w:t>
      </w:r>
      <w:r>
        <w:rPr>
          <w:i/>
          <w:iCs/>
        </w:rPr>
        <w:t>duration</w:t>
      </w:r>
      <w:r>
        <w:t>.</w:t>
      </w:r>
    </w:p>
    <w:p w14:paraId="280BCE88" w14:textId="77777777" w:rsidR="00937C4A" w:rsidRDefault="00000000">
      <w:pPr>
        <w:pStyle w:val="BodyText"/>
      </w:pPr>
      <w:r>
        <w:rPr>
          <w:b/>
          <w:bCs/>
        </w:rPr>
        <w:t>The behavioural reading.</w:t>
      </w:r>
      <w:r>
        <w:t xml:space="preserve"> The form recurs across many builders; therefore the meaning recurs. The inference runs from </w:t>
      </w:r>
      <w:r>
        <w:rPr>
          <w:i/>
          <w:iCs/>
        </w:rPr>
        <w:t>observed persistence of form</w:t>
      </w:r>
      <w:r>
        <w:t xml:space="preserve"> to </w:t>
      </w:r>
      <w:r>
        <w:rPr>
          <w:i/>
          <w:iCs/>
        </w:rPr>
        <w:t>persistence of intent</w:t>
      </w:r>
      <w:r>
        <w:t>.</w:t>
      </w:r>
    </w:p>
    <w:p w14:paraId="67FEF91E" w14:textId="77777777" w:rsidR="00937C4A" w:rsidRDefault="00000000">
      <w:pPr>
        <w:pStyle w:val="BodyText"/>
      </w:pPr>
      <w:r>
        <w:t>Set them side by side and the common structure is unmissable. Each takes an object that is present, notes that its presence required it not to have been destroyed, and treats that non-destruction as an informative measurement of the destroying process.</w:t>
      </w:r>
    </w:p>
    <w:p w14:paraId="3BA7D934" w14:textId="77777777" w:rsidR="00937C4A" w:rsidRDefault="00000000">
      <w:pPr>
        <w:pStyle w:val="BodyText"/>
      </w:pPr>
      <w:r>
        <w:t>Formally, each conditions on</w:t>
      </w:r>
    </w:p>
    <w:p w14:paraId="3144698C" w14:textId="77777777" w:rsidR="00937C4A" w:rsidRDefault="00000000">
      <w:pPr>
        <w:pStyle w:val="BodyText"/>
        <w:spacing w:before="100" w:after="140"/>
        <w:jc w:val="center"/>
      </w:pPr>
      <m:oMathPara>
        <m:oMathParaPr>
          <m:jc m:val="center"/>
        </m:oMathParaPr>
        <m:oMath>
          <m:r>
            <w:rPr>
              <w:rFonts w:ascii="Cambria Math" w:hAnsi="Cambria Math"/>
            </w:rPr>
            <m:t>S</m:t>
          </m:r>
          <m:r>
            <m:rPr>
              <m:sty m:val="p"/>
            </m:rPr>
            <w:rPr>
              <w:rFonts w:ascii="Cambria Math" w:hAnsi="Cambria Math"/>
            </w:rPr>
            <m:t>={</m:t>
          </m:r>
          <m:r>
            <m:rPr>
              <m:nor/>
            </m:rPr>
            <m:t>the object is standing at observation time</m:t>
          </m:r>
          <m:r>
            <m:rPr>
              <m:sty m:val="p"/>
            </m:rPr>
            <w:rPr>
              <w:rFonts w:ascii="Cambria Math" w:hAnsi="Cambria Math"/>
            </w:rPr>
            <m:t>}</m:t>
          </m:r>
        </m:oMath>
      </m:oMathPara>
    </w:p>
    <w:p w14:paraId="2891E88B" w14:textId="77777777" w:rsidR="00937C4A" w:rsidRDefault="00000000">
      <w:r>
        <w:t xml:space="preserve">and then reasons about the unobserved history as though </w:t>
      </w:r>
      <m:oMath>
        <m:r>
          <w:rPr>
            <w:rFonts w:ascii="Cambria Math" w:hAnsi="Cambria Math"/>
          </w:rPr>
          <m:t>S</m:t>
        </m:r>
      </m:oMath>
      <w:r>
        <w:t xml:space="preserve"> identified it.</w:t>
      </w:r>
    </w:p>
    <w:p w14:paraId="0092D752" w14:textId="77777777" w:rsidR="00937C4A" w:rsidRDefault="00000000">
      <w:pPr>
        <w:pStyle w:val="BodyText"/>
      </w:pPr>
      <w:r>
        <w:t>The remainder of Part I is an argument that this is not a small error, that it is not fixed by being careful, and that in a large and identifiable region of parameter space it is not fixable at all by improving measurement — only by changing the experiment.</w:t>
      </w:r>
    </w:p>
    <w:p w14:paraId="1C5B0875" w14:textId="77777777" w:rsidR="00937C4A" w:rsidRDefault="00000000">
      <w:pPr>
        <w:pStyle w:val="BodyText"/>
      </w:pPr>
      <w:r>
        <w:t xml:space="preserve">There is a fifth reading that Manohar did not list, and it is the one this book eventually adopts. It is the reading that asks not </w:t>
      </w:r>
      <w:r>
        <w:rPr>
          <w:i/>
          <w:iCs/>
        </w:rPr>
        <w:t>what did this object survive?</w:t>
      </w:r>
      <w:r>
        <w:t xml:space="preserve"> but </w:t>
      </w:r>
      <w:r>
        <w:rPr>
          <w:i/>
          <w:iCs/>
        </w:rPr>
        <w:t>what did this object become?</w:t>
      </w:r>
      <w:r>
        <w:t xml:space="preserve"> Chapter 20 takes it up. It is the only one of the five that has a chance of working, and it works because it stops using survival as the observable.</w:t>
      </w:r>
    </w:p>
    <w:p w14:paraId="6B6035A9" w14:textId="77777777" w:rsidR="00937C4A" w:rsidRDefault="00000000">
      <w:pPr>
        <w:pStyle w:val="Heading2"/>
        <w:pageBreakBefore/>
        <w:pBdr>
          <w:bottom w:val="single" w:sz="5" w:space="5" w:color="B8C1C6"/>
        </w:pBdr>
        <w:spacing w:after="280"/>
      </w:pPr>
      <w:bookmarkStart w:id="20" w:name="chapter-2-conditioning-on-survival"/>
      <w:bookmarkEnd w:id="19"/>
      <w:r>
        <w:rPr>
          <w:rFonts w:ascii="EB Garamond" w:eastAsia="EB Garamond" w:hAnsi="EB Garamond"/>
          <w:sz w:val="40"/>
        </w:rPr>
        <w:lastRenderedPageBreak/>
        <w:t>Chapter 2 — Conditioning on Survival</w:t>
      </w:r>
    </w:p>
    <w:p w14:paraId="64F792D6" w14:textId="77777777" w:rsidR="00937C4A" w:rsidRDefault="00000000">
      <w:r>
        <w:t>Consider a population of fragile configurations formed at unknown times, of unknown initial abundance, subjected to an unknown history of destructive events, and observed once, now.</w:t>
      </w:r>
    </w:p>
    <w:p w14:paraId="08C8F656" w14:textId="77777777" w:rsidR="00937C4A" w:rsidRDefault="00000000">
      <w:pPr>
        <w:pStyle w:val="BodyText"/>
      </w:pPr>
      <w:r>
        <w:t xml:space="preserve">Write </w:t>
      </w:r>
      <m:oMath>
        <m:r>
          <w:rPr>
            <w:rFonts w:ascii="Cambria Math" w:hAnsi="Cambria Math"/>
          </w:rPr>
          <m:t>b</m:t>
        </m:r>
        <m:d>
          <m:dPr>
            <m:ctrlPr>
              <w:rPr>
                <w:rFonts w:ascii="Cambria Math" w:hAnsi="Cambria Math"/>
              </w:rPr>
            </m:ctrlPr>
          </m:dPr>
          <m:e>
            <m:r>
              <w:rPr>
                <w:rFonts w:ascii="Cambria Math" w:hAnsi="Cambria Math"/>
              </w:rPr>
              <m:t>x</m:t>
            </m:r>
          </m:e>
        </m:d>
      </m:oMath>
      <w:r>
        <w:t xml:space="preserve"> for the density of configurations of type </w:t>
      </w:r>
      <m:oMath>
        <m:r>
          <w:rPr>
            <w:rFonts w:ascii="Cambria Math" w:hAnsi="Cambria Math"/>
          </w:rPr>
          <m:t>x</m:t>
        </m:r>
      </m:oMath>
      <w:r>
        <w:t xml:space="preserve"> at formation, </w:t>
      </w:r>
      <m:oMath>
        <m:r>
          <w:rPr>
            <w:rFonts w:ascii="Cambria Math" w:hAnsi="Cambria Math"/>
          </w:rPr>
          <m:t>q</m:t>
        </m:r>
        <m:d>
          <m:dPr>
            <m:ctrlPr>
              <w:rPr>
                <w:rFonts w:ascii="Cambria Math" w:hAnsi="Cambria Math"/>
              </w:rPr>
            </m:ctrlPr>
          </m:dPr>
          <m:e>
            <m:r>
              <w:rPr>
                <w:rFonts w:ascii="Cambria Math" w:hAnsi="Cambria Math"/>
              </w:rPr>
              <m:t>x</m:t>
            </m:r>
          </m:e>
        </m:d>
      </m:oMath>
      <w:r>
        <w:t xml:space="preserve"> for the probability that one unit of cumulative exposure destroys a configuration of type </w:t>
      </w:r>
      <m:oMath>
        <m:r>
          <w:rPr>
            <w:rFonts w:ascii="Cambria Math" w:hAnsi="Cambria Math"/>
          </w:rPr>
          <m:t>x</m:t>
        </m:r>
      </m:oMath>
      <w:r>
        <w:t xml:space="preserve">, </w:t>
      </w:r>
      <m:oMath>
        <m:r>
          <w:rPr>
            <w:rFonts w:ascii="Cambria Math" w:hAnsi="Cambria Math"/>
          </w:rPr>
          <m:t>H</m:t>
        </m:r>
      </m:oMath>
      <w:r>
        <w:t xml:space="preserve"> for the cumulative exposure, and </w:t>
      </w:r>
      <m:oMath>
        <m:r>
          <w:rPr>
            <w:rFonts w:ascii="Cambria Math" w:hAnsi="Cambria Math"/>
          </w:rPr>
          <m:t>s</m:t>
        </m:r>
        <m:d>
          <m:dPr>
            <m:ctrlPr>
              <w:rPr>
                <w:rFonts w:ascii="Cambria Math" w:hAnsi="Cambria Math"/>
              </w:rPr>
            </m:ctrlPr>
          </m:dPr>
          <m:e>
            <m:r>
              <w:rPr>
                <w:rFonts w:ascii="Cambria Math" w:hAnsi="Cambria Math"/>
              </w:rPr>
              <m:t>x</m:t>
            </m:r>
          </m:e>
        </m:d>
      </m:oMath>
      <w:r>
        <w:t xml:space="preserve"> for the observed density of survivors. In the simplest reading,</w:t>
      </w:r>
    </w:p>
    <w:p w14:paraId="209EE582" w14:textId="77777777" w:rsidR="00937C4A" w:rsidRDefault="00000000">
      <w:pPr>
        <w:pStyle w:val="BodyText"/>
        <w:spacing w:before="100" w:after="140"/>
        <w:jc w:val="cente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Hq</m:t>
              </m:r>
              <m:d>
                <m:dPr>
                  <m:ctrlPr>
                    <w:rPr>
                      <w:rFonts w:ascii="Cambria Math" w:hAnsi="Cambria Math"/>
                    </w:rPr>
                  </m:ctrlPr>
                </m:dPr>
                <m:e>
                  <m:r>
                    <w:rPr>
                      <w:rFonts w:ascii="Cambria Math" w:hAnsi="Cambria Math"/>
                    </w:rPr>
                    <m:t>x</m:t>
                  </m:r>
                </m:e>
              </m:d>
            </m:sup>
          </m:sSup>
          <m:r>
            <m:rPr>
              <m:sty m:val="p"/>
            </m:rPr>
            <w:rPr>
              <w:rFonts w:ascii="Cambria Math" w:hAnsi="Cambria Math"/>
            </w:rPr>
            <m:t>.</m:t>
          </m:r>
        </m:oMath>
      </m:oMathPara>
    </w:p>
    <w:p w14:paraId="0AD782C6" w14:textId="77777777" w:rsidR="00937C4A" w:rsidRDefault="00000000">
      <w:r>
        <w:t xml:space="preserve">Only </w:t>
      </w:r>
      <m:oMath>
        <m:r>
          <w:rPr>
            <w:rFonts w:ascii="Cambria Math" w:hAnsi="Cambria Math"/>
          </w:rPr>
          <m:t>s</m:t>
        </m:r>
      </m:oMath>
      <w:r>
        <w:t xml:space="preserve"> is observed.</w:t>
      </w:r>
    </w:p>
    <w:p w14:paraId="08C0918B" w14:textId="77777777" w:rsidR="00937C4A" w:rsidRDefault="00000000">
      <w:pPr>
        <w:pStyle w:val="BodyText"/>
      </w:pPr>
      <w:r>
        <w:t xml:space="preserve">It is often said — and it was said in the working notes for this book — that </w:t>
      </w:r>
      <m:oMath>
        <m:r>
          <w:rPr>
            <w:rFonts w:ascii="Cambria Math" w:hAnsi="Cambria Math"/>
          </w:rPr>
          <m:t>H</m:t>
        </m:r>
      </m:oMath>
      <w:r>
        <w:t xml:space="preserve"> is therefore unidentifiable, because for any proposed </w:t>
      </w:r>
      <m:oMath>
        <m:r>
          <w:rPr>
            <w:rFonts w:ascii="Cambria Math" w:hAnsi="Cambria Math"/>
          </w:rPr>
          <m:t>H</m:t>
        </m:r>
        <m:r>
          <m:rPr>
            <m:sty m:val="p"/>
          </m:rPr>
          <w:rPr>
            <w:rFonts w:ascii="Cambria Math" w:hAnsi="Cambria Math"/>
          </w:rPr>
          <m:t>'</m:t>
        </m:r>
      </m:oMath>
      <w:r>
        <w:t xml:space="preserve"> one may set </w:t>
      </w:r>
      <m:oMath>
        <m:sSub>
          <m:sSubPr>
            <m:ctrlPr>
              <w:rPr>
                <w:rFonts w:ascii="Cambria Math" w:hAnsi="Cambria Math"/>
              </w:rPr>
            </m:ctrlPr>
          </m:sSubPr>
          <m:e>
            <m:r>
              <w:rPr>
                <w:rFonts w:ascii="Cambria Math" w:hAnsi="Cambria Math"/>
              </w:rPr>
              <m:t>b</m:t>
            </m:r>
          </m:e>
          <m:sub>
            <m:r>
              <w:rPr>
                <w:rFonts w:ascii="Cambria Math" w:hAnsi="Cambria Math"/>
              </w:rPr>
              <m:t>H</m:t>
            </m:r>
            <m:r>
              <m:rPr>
                <m:sty m:val="p"/>
              </m:rPr>
              <w:rPr>
                <w:rFonts w:ascii="Cambria Math" w:hAnsi="Cambria Math"/>
              </w:rPr>
              <m:t>'</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w:rPr>
                <w:rFonts w:ascii="Cambria Math" w:hAnsi="Cambria Math"/>
              </w:rPr>
              <m:t>H</m:t>
            </m:r>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x</m:t>
                </m:r>
              </m:e>
            </m:d>
          </m:sup>
        </m:sSup>
      </m:oMath>
      <w:r>
        <w:t xml:space="preserve"> and reproduce </w:t>
      </w:r>
      <m:oMath>
        <m:r>
          <w:rPr>
            <w:rFonts w:ascii="Cambria Math" w:hAnsi="Cambria Math"/>
          </w:rPr>
          <m:t>s</m:t>
        </m:r>
      </m:oMath>
      <w:r>
        <w:t xml:space="preserve"> exactly. This is true. It is also very nearly empty, because it says only that a completely unconstrained latent function can absorb anything. Every latent-variable model has that property; it is not a fact about survivorship.</w:t>
      </w:r>
    </w:p>
    <w:p w14:paraId="5E9C2A08" w14:textId="77777777" w:rsidR="00937C4A" w:rsidRDefault="00000000">
      <w:pPr>
        <w:pStyle w:val="BodyText"/>
      </w:pPr>
      <w:r>
        <w:t xml:space="preserve">The useful statement is a </w:t>
      </w:r>
      <w:r>
        <w:rPr>
          <w:b/>
          <w:bCs/>
        </w:rPr>
        <w:t>transversality condition</w:t>
      </w:r>
      <w:r>
        <w:t>. Taking logarithms,</w:t>
      </w:r>
    </w:p>
    <w:p w14:paraId="28055903" w14:textId="77777777" w:rsidR="00937C4A" w:rsidRDefault="00000000">
      <w:pPr>
        <w:pStyle w:val="BodyText"/>
        <w:spacing w:before="100" w:after="140"/>
        <w:jc w:val="center"/>
      </w:pPr>
      <m:oMathPara>
        <m:oMathParaPr>
          <m:jc m:val="center"/>
        </m:oMathParaPr>
        <m:oMath>
          <m:r>
            <m:rPr>
              <m:sty m:val="p"/>
            </m:rPr>
            <w:rPr>
              <w:rFonts w:ascii="Cambria Math" w:hAnsi="Cambria Math"/>
            </w:rPr>
            <m:t>ln</m:t>
          </m:r>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=ln</m:t>
          </m:r>
          <m:r>
            <w:rPr>
              <w:rFonts w:ascii="Cambria Math" w:hAnsi="Cambria Math"/>
            </w:rPr>
            <m:t>b</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 q</m:t>
          </m:r>
          <m:d>
            <m:dPr>
              <m:ctrlPr>
                <w:rPr>
                  <w:rFonts w:ascii="Cambria Math" w:hAnsi="Cambria Math"/>
                </w:rPr>
              </m:ctrlPr>
            </m:dPr>
            <m:e>
              <m:r>
                <w:rPr>
                  <w:rFonts w:ascii="Cambria Math" w:hAnsi="Cambria Math"/>
                </w:rPr>
                <m:t>x</m:t>
              </m:r>
            </m:e>
          </m:d>
          <m:r>
            <m:rPr>
              <m:sty m:val="p"/>
            </m:rPr>
            <w:rPr>
              <w:rFonts w:ascii="Cambria Math" w:hAnsi="Cambria Math"/>
            </w:rPr>
            <m:t>,</m:t>
          </m:r>
        </m:oMath>
      </m:oMathPara>
    </w:p>
    <w:p w14:paraId="70349557" w14:textId="77777777" w:rsidR="00937C4A" w:rsidRDefault="00000000">
      <w:r>
        <w:t xml:space="preserve">which is linear. </w:t>
      </w:r>
      <m:oMath>
        <m:r>
          <w:rPr>
            <w:rFonts w:ascii="Cambria Math" w:hAnsi="Cambria Math"/>
          </w:rPr>
          <m:t>H</m:t>
        </m:r>
      </m:oMath>
      <w:r>
        <w:t xml:space="preserve"> is identifiable if and only if </w:t>
      </w:r>
      <m:oMath>
        <m:r>
          <w:rPr>
            <w:rFonts w:ascii="Cambria Math" w:hAnsi="Cambria Math"/>
          </w:rPr>
          <m:t>q</m:t>
        </m:r>
      </m:oMath>
      <w:r>
        <w:t xml:space="preserve"> does not lie in the span of the admissible variation of </w:t>
      </w:r>
      <m:oMath>
        <m:r>
          <m:rPr>
            <m:sty m:val="p"/>
          </m:rPr>
          <w:rPr>
            <w:rFonts w:ascii="Cambria Math" w:hAnsi="Cambria Math"/>
          </w:rPr>
          <m:t>ln</m:t>
        </m:r>
        <m:r>
          <w:rPr>
            <w:rFonts w:ascii="Cambria Math" w:hAnsi="Cambria Math"/>
          </w:rPr>
          <m:t>b</m:t>
        </m:r>
      </m:oMath>
      <w:r>
        <w:t xml:space="preserve">. If, for instance, </w:t>
      </w:r>
      <m:oMath>
        <m:r>
          <w:rPr>
            <w:rFonts w:ascii="Cambria Math" w:hAnsi="Cambria Math"/>
          </w:rPr>
          <m:t>b</m:t>
        </m:r>
      </m:oMath>
      <w:r>
        <w:t xml:space="preserve"> is constant in </w:t>
      </w:r>
      <m:oMath>
        <m:r>
          <w:rPr>
            <w:rFonts w:ascii="Cambria Math" w:hAnsi="Cambria Math"/>
          </w:rPr>
          <m:t>x</m:t>
        </m:r>
      </m:oMath>
      <w:r>
        <w:t xml:space="preserve"> — a testable assumption about how fragile configurations are produced — then two fragility classes suffice:</w:t>
      </w:r>
    </w:p>
    <w:p w14:paraId="2C520EDC" w14:textId="77777777" w:rsidR="00937C4A" w:rsidRDefault="00000000">
      <w:pPr>
        <w:pStyle w:val="BodyText"/>
        <w:spacing w:before="100" w:after="140"/>
        <w:jc w:val="center"/>
      </w:pPr>
      <m:oMathPara>
        <m:oMathParaPr>
          <m:jc m:val="center"/>
        </m:oMathParaPr>
        <m:oMath>
          <m:r>
            <w:rPr>
              <w:rFonts w:ascii="Cambria Math" w:hAnsi="Cambria Math"/>
            </w:rPr>
            <m:t>H</m:t>
          </m:r>
          <m:r>
            <m:rPr>
              <m:sty m:val="p"/>
            </m:rP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s</m:t>
              </m:r>
              <m:d>
                <m:dPr>
                  <m:ctrlPr>
                    <w:rPr>
                      <w:rFonts w:ascii="Cambria Math" w:hAnsi="Cambria Math"/>
                    </w:rPr>
                  </m:ctrlPr>
                </m:dPr>
                <m:e>
                  <m:r>
                    <w:rPr>
                      <w:rFonts w:ascii="Cambria Math" w:hAnsi="Cambria Math"/>
                    </w:rPr>
                    <m:t>x</m:t>
                  </m:r>
                  <m:r>
                    <m:rPr>
                      <m:sty m:val="p"/>
                    </m:rPr>
                    <w:rPr>
                      <w:rFonts w:ascii="Cambria Math" w:hAnsi="Cambria Math"/>
                    </w:rPr>
                    <m:t>'</m:t>
                  </m:r>
                </m:e>
              </m:d>
              <m:r>
                <m:rPr>
                  <m:sty m:val="p"/>
                </m:rPr>
                <w:rPr>
                  <w:rFonts w:ascii="Cambria Math" w:hAnsi="Cambria Math"/>
                </w:rPr>
                <m:t>-ln</m:t>
              </m:r>
              <m:r>
                <w:rPr>
                  <w:rFonts w:ascii="Cambria Math" w:hAnsi="Cambria Math"/>
                </w:rPr>
                <m:t>s</m:t>
              </m:r>
              <m:d>
                <m:dPr>
                  <m:ctrlPr>
                    <w:rPr>
                      <w:rFonts w:ascii="Cambria Math" w:hAnsi="Cambria Math"/>
                    </w:rPr>
                  </m:ctrlPr>
                </m:dPr>
                <m:e>
                  <m:r>
                    <w:rPr>
                      <w:rFonts w:ascii="Cambria Math" w:hAnsi="Cambria Math"/>
                    </w:rPr>
                    <m:t>x</m:t>
                  </m:r>
                </m:e>
              </m:d>
            </m:num>
            <m:den>
              <m:r>
                <w:rPr>
                  <w:rFonts w:ascii="Cambria Math" w:hAnsi="Cambria Math"/>
                </w:rPr>
                <m:t>q</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x</m:t>
                  </m:r>
                  <m:r>
                    <m:rPr>
                      <m:sty m:val="p"/>
                    </m:rPr>
                    <w:rPr>
                      <w:rFonts w:ascii="Cambria Math" w:hAnsi="Cambria Math"/>
                    </w:rPr>
                    <m:t>'</m:t>
                  </m:r>
                </m:e>
              </m:d>
            </m:den>
          </m:f>
          <m:r>
            <m:rPr>
              <m:sty m:val="p"/>
            </m:rPr>
            <w:rPr>
              <w:rFonts w:ascii="Cambria Math" w:hAnsi="Cambria Math"/>
            </w:rPr>
            <m:t>.</m:t>
          </m:r>
        </m:oMath>
      </m:oMathPara>
    </w:p>
    <w:p w14:paraId="6310E942" w14:textId="77777777" w:rsidR="00937C4A" w:rsidRDefault="00000000">
      <w:r>
        <w:t>So survivorship bias is not a property of survivor data. It is a property of an unconstrained prior on formation. That distinction is the difference between an unfalsifiable complaint and a research design, and Chapter 14 pushes it to a theorem.</w:t>
      </w:r>
    </w:p>
    <w:p w14:paraId="1AD172EE" w14:textId="77777777" w:rsidR="00937C4A" w:rsidRDefault="00000000">
      <w:pPr>
        <w:pStyle w:val="BodyText"/>
      </w:pPr>
      <w:r>
        <w:rPr>
          <w:b/>
          <w:bCs/>
        </w:rPr>
        <w:t>The devotee and the engineer make the same error, and it is worth saying plainly which one.</w:t>
      </w:r>
      <w:r>
        <w:t xml:space="preserve"> It is not that either is unscientific. It is that both compute a posterior over histories from a likelihood that is nearly flat over those histories, and both then report the mode as though the posterior were sharp. The devotee’s version is warmer and the engineer’s has more decimal places. Neither has more information than the other, because the information content is set by the observable, and the observable is one bit.</w:t>
      </w:r>
    </w:p>
    <w:p w14:paraId="7032C1CA" w14:textId="77777777" w:rsidR="00937C4A" w:rsidRDefault="00000000">
      <w:pPr>
        <w:pStyle w:val="BodyText"/>
      </w:pPr>
      <w:r>
        <w:t>That last sentence is exact and will be made exact in Chapter 15 — where it also becomes the instrument that destroys one of this book’s own results.</w:t>
      </w:r>
    </w:p>
    <w:p w14:paraId="66415E76" w14:textId="77777777" w:rsidR="00937C4A" w:rsidRDefault="00000000">
      <w:pPr>
        <w:pStyle w:val="Heading2"/>
        <w:pageBreakBefore/>
        <w:pBdr>
          <w:bottom w:val="single" w:sz="5" w:space="5" w:color="B8C1C6"/>
        </w:pBdr>
        <w:spacing w:after="280"/>
      </w:pPr>
      <w:bookmarkStart w:id="21" w:name="chapter-3-survival-is-a-projection"/>
      <w:bookmarkEnd w:id="20"/>
      <w:r>
        <w:rPr>
          <w:rFonts w:ascii="EB Garamond" w:eastAsia="EB Garamond" w:hAnsi="EB Garamond"/>
          <w:sz w:val="40"/>
        </w:rPr>
        <w:lastRenderedPageBreak/>
        <w:t>Chapter 3 — Survival Is a Projection</w:t>
      </w:r>
    </w:p>
    <w:p w14:paraId="74D1CD46" w14:textId="77777777" w:rsidR="00937C4A" w:rsidRDefault="00000000">
      <w:r>
        <w:t xml:space="preserve">Let </w:t>
      </w:r>
      <m:oMath>
        <m:r>
          <m:rPr>
            <m:scr m:val="script"/>
            <m:sty m:val="p"/>
          </m:rPr>
          <w:rPr>
            <w:rFonts w:ascii="Cambria Math" w:hAnsi="Cambria Math"/>
          </w:rPr>
          <m:t>E</m:t>
        </m:r>
      </m:oMath>
      <w:r>
        <w:t xml:space="preserve"> be the space of possible excitation histories, </w:t>
      </w:r>
      <m:oMath>
        <m:r>
          <m:rPr>
            <m:scr m:val="script"/>
            <m:sty m:val="p"/>
          </m:rPr>
          <w:rPr>
            <w:rFonts w:ascii="Cambria Math" w:hAnsi="Cambria Math"/>
          </w:rPr>
          <m:t>X</m:t>
        </m:r>
      </m:oMath>
      <w:r>
        <w:t xml:space="preserve"> the state space of the configuration, and</w:t>
      </w:r>
    </w:p>
    <w:p w14:paraId="2FBCF2AA" w14:textId="77777777" w:rsidR="00937C4A" w:rsidRDefault="00000000">
      <w:pPr>
        <w:pStyle w:val="BodyText"/>
        <w:spacing w:before="100" w:after="140"/>
        <w:jc w:val="center"/>
      </w:pPr>
      <m:oMathPara>
        <m:oMathParaPr>
          <m:jc m:val="center"/>
        </m:oMathParaPr>
        <m:oMath>
          <m:r>
            <w:rPr>
              <w:rFonts w:ascii="Cambria Math" w:hAnsi="Cambria Math"/>
            </w:rPr>
            <m:t>Φ</m:t>
          </m:r>
          <m:r>
            <m:rPr>
              <m:scr m:val="script"/>
              <m:sty m:val="p"/>
            </m:rPr>
            <w:rPr>
              <w:rFonts w:ascii="Cambria Math" w:hAnsi="Cambria Math"/>
            </w:rPr>
            <m:t>:E×X→X</m:t>
          </m:r>
        </m:oMath>
      </m:oMathPara>
    </w:p>
    <w:p w14:paraId="7EB61D86" w14:textId="77777777" w:rsidR="00937C4A" w:rsidRDefault="00000000">
      <w:r>
        <w:t xml:space="preserve">the (hybrid, nonsmooth) evolution. Survival is the composition of </w:t>
      </w:r>
      <m:oMath>
        <m:r>
          <w:rPr>
            <w:rFonts w:ascii="Cambria Math" w:hAnsi="Cambria Math"/>
          </w:rPr>
          <m:t>Φ</m:t>
        </m:r>
      </m:oMath>
      <w:r>
        <w:t xml:space="preserve"> with an indicator:</w:t>
      </w:r>
    </w:p>
    <w:p w14:paraId="2B979F9B" w14:textId="77777777" w:rsidR="00937C4A" w:rsidRDefault="00000000">
      <w:pPr>
        <w:pStyle w:val="BodyText"/>
        <w:spacing w:before="100" w:after="140"/>
        <w:jc w:val="center"/>
      </w:pPr>
      <m:oMathPara>
        <m:oMathParaPr>
          <m:jc m:val="center"/>
        </m:oMathParaPr>
        <m:oMath>
          <m:r>
            <w:rPr>
              <w:rFonts w:ascii="Cambria Math" w:hAnsi="Cambria Math"/>
            </w:rPr>
            <m:t>χ</m:t>
          </m:r>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t>
          </m:r>
          <m:r>
            <m:rPr>
              <m:sty m:val="b"/>
            </m:rPr>
            <w:rPr>
              <w:rFonts w:ascii="Cambria Math" w:hAnsi="Cambria Math"/>
            </w:rPr>
            <m:t>1</m:t>
          </m:r>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Φ</m:t>
                  </m:r>
                </m:e>
                <m:sub>
                  <m:r>
                    <w:rPr>
                      <w:rFonts w:ascii="Cambria Math" w:hAnsi="Cambria Math"/>
                    </w:rPr>
                    <m:t>e</m:t>
                  </m:r>
                </m:sub>
                <m:sup>
                  <m:r>
                    <w:rPr>
                      <w:rFonts w:ascii="Cambria Math" w:hAnsi="Cambria Math"/>
                    </w:rPr>
                    <m:t>T</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m:rPr>
                  <m:scr m:val="script"/>
                  <m:sty m:val="p"/>
                </m:rPr>
                <w:rPr>
                  <w:rFonts w:ascii="Cambria Math" w:hAnsi="Cambria Math"/>
                </w:rPr>
                <m:t>∉T</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2D2D5F2" w14:textId="77777777" w:rsidR="00937C4A" w:rsidRDefault="00000000">
      <w:r>
        <w:t xml:space="preserve">where </w:t>
      </w:r>
      <m:oMath>
        <m:r>
          <m:rPr>
            <m:scr m:val="script"/>
            <m:sty m:val="p"/>
          </m:rPr>
          <w:rPr>
            <w:rFonts w:ascii="Cambria Math" w:hAnsi="Cambria Math"/>
          </w:rPr>
          <m:t>T</m:t>
        </m:r>
      </m:oMath>
      <w:r>
        <w:t xml:space="preserve"> is the toppled set.</w:t>
      </w:r>
    </w:p>
    <w:p w14:paraId="1D66A08C" w14:textId="77777777" w:rsidR="00937C4A" w:rsidRDefault="00000000">
      <w:pPr>
        <w:pStyle w:val="BodyText"/>
      </w:pPr>
      <w:r>
        <w:t xml:space="preserve">Three properties of </w:t>
      </w:r>
      <m:oMath>
        <m:r>
          <w:rPr>
            <w:rFonts w:ascii="Cambria Math" w:hAnsi="Cambria Math"/>
          </w:rPr>
          <m:t>χ</m:t>
        </m:r>
      </m:oMath>
      <w:r>
        <w:t xml:space="preserve"> organise the entire book.</w:t>
      </w:r>
    </w:p>
    <w:p w14:paraId="0529E99D" w14:textId="77777777" w:rsidR="00937C4A" w:rsidRDefault="00000000">
      <w:pPr>
        <w:pStyle w:val="BodyText"/>
      </w:pPr>
      <w:r>
        <w:rPr>
          <w:b/>
          <w:bCs/>
        </w:rPr>
        <w:t>(i) It is many-to-one, and the fibres are large.</w:t>
      </w:r>
      <w:r>
        <w:t xml:space="preserve"> </w:t>
      </w:r>
      <m:oMath>
        <m:sSup>
          <m:sSupPr>
            <m:ctrlPr>
              <w:rPr>
                <w:rFonts w:ascii="Cambria Math" w:hAnsi="Cambria Math"/>
              </w:rPr>
            </m:ctrlPr>
          </m:sSupPr>
          <m:e>
            <m:r>
              <w:rPr>
                <w:rFonts w:ascii="Cambria Math" w:hAnsi="Cambria Math"/>
              </w:rPr>
              <m:t>χ</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1</m:t>
            </m:r>
          </m:e>
        </m:d>
      </m:oMath>
      <w:r>
        <w:t xml:space="preserve"> is a set of positive measure in </w:t>
      </w:r>
      <m:oMath>
        <m:r>
          <m:rPr>
            <m:scr m:val="script"/>
            <m:sty m:val="p"/>
          </m:rPr>
          <w:rPr>
            <w:rFonts w:ascii="Cambria Math" w:hAnsi="Cambria Math"/>
          </w:rPr>
          <m:t>E</m:t>
        </m:r>
      </m:oMath>
      <w:r>
        <w:t xml:space="preserve">, generally with nonempty interior. No amount of care in observing </w:t>
      </w:r>
      <m:oMath>
        <m:r>
          <w:rPr>
            <w:rFonts w:ascii="Cambria Math" w:hAnsi="Cambria Math"/>
          </w:rPr>
          <m:t>χ</m:t>
        </m:r>
      </m:oMath>
      <w:r>
        <w:t xml:space="preserve"> shrinks it.</w:t>
      </w:r>
    </w:p>
    <w:p w14:paraId="33F3DBD7" w14:textId="77777777" w:rsidR="00937C4A" w:rsidRDefault="00000000">
      <w:pPr>
        <w:pStyle w:val="BodyText"/>
      </w:pPr>
      <w:r>
        <w:rPr>
          <w:b/>
          <w:bCs/>
        </w:rPr>
        <w:t>(ii) Its level sets can have fractal boundary.</w:t>
      </w:r>
      <w:r>
        <w:t xml:space="preserve"> In a region of parameter space that Chapter 6 locates analytically, the boundary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1</m:t>
            </m:r>
          </m:e>
        </m:d>
      </m:oMath>
      <w:r>
        <w:t xml:space="preserve"> is not a surface. This is not measurement noise; it is a property of the dynamics, and it sets an exchange rate between measurement precision and classification reliability that Chapter 15 computes. </w:t>
      </w:r>
      <w:r>
        <w:rPr>
          <w:rFonts w:ascii="Noto Sans" w:eastAsia="Noto Sans" w:hAnsi="Noto Sans"/>
          <w:b/>
          <w:bCs/>
          <w:color w:val="A95B00"/>
          <w:sz w:val="19"/>
        </w:rPr>
        <w:t>[C]</w:t>
      </w:r>
    </w:p>
    <w:p w14:paraId="2D459C9A" w14:textId="77777777" w:rsidR="00937C4A" w:rsidRDefault="00000000">
      <w:pPr>
        <w:pStyle w:val="BodyText"/>
      </w:pPr>
      <w:r>
        <w:rPr>
          <w:b/>
          <w:bCs/>
        </w:rPr>
        <w:t>(iii) You observe it only on the survivors.</w:t>
      </w:r>
      <w:r>
        <w:t xml:space="preserve"> The set </w:t>
      </w:r>
      <m:oMath>
        <m:sSup>
          <m:sSupPr>
            <m:ctrlPr>
              <w:rPr>
                <w:rFonts w:ascii="Cambria Math" w:hAnsi="Cambria Math"/>
              </w:rPr>
            </m:ctrlPr>
          </m:sSupPr>
          <m:e>
            <m:r>
              <w:rPr>
                <w:rFonts w:ascii="Cambria Math" w:hAnsi="Cambria Math"/>
              </w:rPr>
              <m:t>χ</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0</m:t>
            </m:r>
          </m:e>
        </m:d>
      </m:oMath>
      <w:r>
        <w:t xml:space="preserve"> is, in the field, physically absent and often indistinguishable from configurations that were never fragile at all.</w:t>
      </w:r>
    </w:p>
    <w:p w14:paraId="62957D16" w14:textId="77777777" w:rsidR="00937C4A" w:rsidRDefault="00000000">
      <w:pPr>
        <w:pStyle w:val="BodyText"/>
      </w:pPr>
      <w:r>
        <w:t xml:space="preserve">Property (iii) is the one that ordinary practice underrates, and it is worth a concrete illustration. In the Hampi apron, a toppled cairn is a small pile of stones. So is a place where nobody ever built one. So is a place where a langur was bored. The failed population is not merely unobserved; it is </w:t>
      </w:r>
      <w:r>
        <w:rPr>
          <w:i/>
          <w:iCs/>
        </w:rPr>
        <w:t>not distinguishable from the null population</w:t>
      </w:r>
      <w:r>
        <w:t>, which is a strictly worse epistemic situation than censoring, because censoring at least tells you a trial occurred.</w:t>
      </w:r>
    </w:p>
    <w:p w14:paraId="1BEC973A" w14:textId="77777777" w:rsidR="00937C4A" w:rsidRDefault="00000000">
      <w:pPr>
        <w:pStyle w:val="BodyText"/>
      </w:pPr>
      <w:r>
        <w:t xml:space="preserve">The constructive response occupies Parts IV and VII, and it has one idea in it: </w:t>
      </w:r>
      <w:r>
        <w:rPr>
          <w:b/>
          <w:bCs/>
        </w:rPr>
        <w:t>stop treating survival as the observable.</w:t>
      </w:r>
      <w:r>
        <w:t xml:space="preserve"> Either replace it with something that varies continuously (Chapter 16: a designed population with known installation time, so that age is known rather than inferred), or replace it with something that records rather than persists (Part VI: internal reconfiguration).</w:t>
      </w:r>
    </w:p>
    <w:p w14:paraId="5E724491" w14:textId="77777777" w:rsidR="00937C4A" w:rsidRDefault="00000000">
      <w:pPr>
        <w:pStyle w:val="Heading1"/>
        <w:pageBreakBefore/>
        <w:spacing w:before="3800" w:after="0"/>
      </w:pPr>
      <w:bookmarkStart w:id="22" w:name="part-ii-the-mechanics-1"/>
      <w:bookmarkEnd w:id="18"/>
      <w:bookmarkEnd w:id="21"/>
      <w:r>
        <w:rPr>
          <w:rFonts w:ascii="Noto Sans" w:eastAsia="Noto Sans" w:hAnsi="Noto Sans"/>
          <w:sz w:val="44"/>
        </w:rPr>
        <w:lastRenderedPageBreak/>
        <w:t>PART II — THE MECHANICS</w:t>
      </w:r>
    </w:p>
    <w:p w14:paraId="60BD46DD" w14:textId="77777777" w:rsidR="00937C4A" w:rsidRDefault="00000000">
      <w:pPr>
        <w:pStyle w:val="Heading2"/>
        <w:pageBreakBefore/>
        <w:pBdr>
          <w:bottom w:val="single" w:sz="5" w:space="5" w:color="B8C1C6"/>
        </w:pBdr>
        <w:spacing w:after="280"/>
      </w:pPr>
      <w:bookmarkStart w:id="23" w:name="chapter-4-housners-block"/>
      <w:r>
        <w:rPr>
          <w:rFonts w:ascii="EB Garamond" w:eastAsia="EB Garamond" w:hAnsi="EB Garamond"/>
          <w:sz w:val="40"/>
        </w:rPr>
        <w:lastRenderedPageBreak/>
        <w:t>Chapter 4 — Housner’s Block</w:t>
      </w:r>
    </w:p>
    <w:p w14:paraId="58548478" w14:textId="77777777" w:rsidR="00937C4A" w:rsidRDefault="00000000">
      <w:pPr>
        <w:pStyle w:val="Heading3"/>
      </w:pPr>
      <w:bookmarkStart w:id="24" w:name="an-idealisation-and-what-it-costs"/>
      <w:r>
        <w:rPr>
          <w:rFonts w:ascii="Noto Sans" w:eastAsia="Noto Sans" w:hAnsi="Noto Sans"/>
        </w:rPr>
        <w:t>4.1 An idealisation, and what it costs</w:t>
      </w:r>
    </w:p>
    <w:p w14:paraId="3D6AD6EC" w14:textId="77777777" w:rsidR="00937C4A" w:rsidRDefault="00000000">
      <w:r>
        <w:t>In 1963 George Housner set out to explain something that had puzzled observers of the 1960 Chilean earthquakes: tall, slender objects — water towers, monuments, elevated tanks — had survived shaking that toppled shorter, squatter objects of similar proportion. The intuition of the time, which is still the intuition of most people, said that slenderness is fragility. The field said otherwise.</w:t>
      </w:r>
    </w:p>
    <w:p w14:paraId="46C3E1B8" w14:textId="77777777" w:rsidR="00937C4A" w:rsidRDefault="00000000">
      <w:pPr>
        <w:pStyle w:val="BodyText"/>
      </w:pPr>
      <w:r>
        <w:t>His explanation required almost nothing. Take a rigid rectangular body resting on a rigid base. Allow it to rotate about its base corners and nothing else. Forbid sliding. Assume impacts are instantaneous and that the body pivots cleanly from one corner to the other. That is the whole model.</w:t>
      </w:r>
    </w:p>
    <w:p w14:paraId="63B71C58" w14:textId="77777777" w:rsidR="00937C4A" w:rsidRDefault="00000000">
      <w:pPr>
        <w:pStyle w:val="BodyText"/>
      </w:pPr>
      <w:r>
        <w:t>Five assumptions, and it is worth naming what each one costs, because Chapter 8 will have to pay for all of them.</w:t>
      </w:r>
    </w:p>
    <w:p w14:paraId="02C74745" w14:textId="77777777" w:rsidR="00937C4A" w:rsidRDefault="00000000">
      <w:pPr>
        <w:numPr>
          <w:ilvl w:val="0"/>
          <w:numId w:val="21"/>
        </w:numPr>
      </w:pPr>
      <w:r>
        <w:rPr>
          <w:b/>
          <w:bCs/>
        </w:rPr>
        <w:t>Rigid body.</w:t>
      </w:r>
      <w:r>
        <w:t xml:space="preserve"> No deformation, no crushing at the contact. Real granite crushes at the contact patch, and the patch is where all the interesting uncertainty lives.</w:t>
      </w:r>
    </w:p>
    <w:p w14:paraId="3205D9BD" w14:textId="77777777" w:rsidR="00937C4A" w:rsidRDefault="00000000">
      <w:pPr>
        <w:numPr>
          <w:ilvl w:val="0"/>
          <w:numId w:val="21"/>
        </w:numPr>
      </w:pPr>
      <w:r>
        <w:rPr>
          <w:b/>
          <w:bCs/>
        </w:rPr>
        <w:t>Rigid base.</w:t>
      </w:r>
      <w:r>
        <w:t xml:space="preserve"> No foundation compliance. The measured sensitivity of overturning to contact normal stiffness is severe enough that this assumption alone can move a computed threshold by a factor of two.</w:t>
      </w:r>
    </w:p>
    <w:p w14:paraId="257EFFEE" w14:textId="77777777" w:rsidR="00937C4A" w:rsidRDefault="00000000">
      <w:pPr>
        <w:numPr>
          <w:ilvl w:val="0"/>
          <w:numId w:val="21"/>
        </w:numPr>
      </w:pPr>
      <w:r>
        <w:rPr>
          <w:b/>
          <w:bCs/>
        </w:rPr>
        <w:t>No sliding.</w:t>
      </w:r>
      <w:r>
        <w:t xml:space="preserve"> Requires </w:t>
      </w:r>
      <m:oMath>
        <m:r>
          <w:rPr>
            <w:rFonts w:ascii="Cambria Math" w:hAnsi="Cambria Math"/>
          </w:rPr>
          <m:t>μ</m:t>
        </m:r>
        <m:r>
          <m:rPr>
            <m:sty m:val="p"/>
          </m:rPr>
          <w:rPr>
            <w:rFonts w:ascii="Cambria Math" w:hAnsi="Cambria Math"/>
          </w:rPr>
          <m:t>&gt;tan</m:t>
        </m:r>
        <m:r>
          <w:rPr>
            <w:rFonts w:ascii="Cambria Math" w:hAnsi="Cambria Math"/>
          </w:rPr>
          <m:t>α</m:t>
        </m:r>
      </m:oMath>
      <w:r>
        <w:t>. On weathered granite in monsoon, this is a hypothesis, not a fact.</w:t>
      </w:r>
    </w:p>
    <w:p w14:paraId="142D16E5" w14:textId="77777777" w:rsidR="00937C4A" w:rsidRDefault="00000000">
      <w:pPr>
        <w:numPr>
          <w:ilvl w:val="0"/>
          <w:numId w:val="21"/>
        </w:numPr>
      </w:pPr>
      <w:r>
        <w:rPr>
          <w:b/>
          <w:bCs/>
        </w:rPr>
        <w:t>Planar motion.</w:t>
      </w:r>
      <w:r>
        <w:t xml:space="preserve"> Two dimensions. A real precariously balanced rock wobbles in three, and its pivot is not a fixed edge but a migrating contact point.</w:t>
      </w:r>
    </w:p>
    <w:p w14:paraId="20D402F8" w14:textId="77777777" w:rsidR="00937C4A" w:rsidRDefault="00000000">
      <w:pPr>
        <w:numPr>
          <w:ilvl w:val="0"/>
          <w:numId w:val="21"/>
        </w:numPr>
      </w:pPr>
      <w:r>
        <w:rPr>
          <w:b/>
          <w:bCs/>
        </w:rPr>
        <w:t>A single scalar restitution.</w:t>
      </w:r>
      <w:r>
        <w:t xml:space="preserve"> Derived below from a clean momentum argument, and contradicted by experiment for irregular contacts.</w:t>
      </w:r>
    </w:p>
    <w:p w14:paraId="0082AB48" w14:textId="77777777" w:rsidR="00937C4A" w:rsidRDefault="00000000">
      <w:r>
        <w:t>Every one of these is false for a Hampi cairn. The model is still the right place to begin, because it is the only member of the family that can be solved in closed form, and because the structure it reveals — the hyperbolicity, the amplitude-dependent time scale, the size effect — survives into the messier models even when the numbers do not.</w:t>
      </w:r>
    </w:p>
    <w:p w14:paraId="2FF18BB3" w14:textId="77777777" w:rsidR="00937C4A" w:rsidRDefault="00000000">
      <w:pPr>
        <w:pStyle w:val="Heading3"/>
      </w:pPr>
      <w:bookmarkStart w:id="25" w:name="geometry-and-equation-of-motion"/>
      <w:bookmarkEnd w:id="24"/>
      <w:r>
        <w:rPr>
          <w:rFonts w:ascii="Noto Sans" w:eastAsia="Noto Sans" w:hAnsi="Noto Sans"/>
        </w:rPr>
        <w:t>4.2 Geometry and equation of motion</w:t>
      </w:r>
    </w:p>
    <w:p w14:paraId="608921C0" w14:textId="77777777" w:rsidR="00937C4A" w:rsidRDefault="00000000">
      <w:r>
        <w:t xml:space="preserve">Let the block have half-width </w:t>
      </w:r>
      <m:oMath>
        <m:r>
          <w:rPr>
            <w:rFonts w:ascii="Cambria Math" w:hAnsi="Cambria Math"/>
          </w:rPr>
          <m:t>b</m:t>
        </m:r>
      </m:oMath>
      <w:r>
        <w:t xml:space="preserve">, half-height </w:t>
      </w:r>
      <m:oMath>
        <m:r>
          <w:rPr>
            <w:rFonts w:ascii="Cambria Math" w:hAnsi="Cambria Math"/>
          </w:rPr>
          <m:t>h</m:t>
        </m:r>
      </m:oMath>
      <w:r>
        <w:t xml:space="preserve">, half-diagonal </w:t>
      </w:r>
      <m:oMath>
        <m:r>
          <w:rPr>
            <w:rFonts w:ascii="Cambria Math" w:hAnsi="Cambria Math"/>
          </w:rPr>
          <m:t>R</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e>
        </m:rad>
      </m:oMath>
      <w:r>
        <w:t>, and slenderness</w:t>
      </w:r>
    </w:p>
    <w:p w14:paraId="07E0B249" w14:textId="77777777" w:rsidR="00937C4A" w:rsidRDefault="00000000">
      <w:pPr>
        <w:pStyle w:val="BodyText"/>
        <w:spacing w:before="100" w:after="140"/>
        <w:jc w:val="center"/>
      </w:pPr>
      <m:oMathPara>
        <m:oMathParaPr>
          <m:jc m:val="center"/>
        </m:oMathParaPr>
        <m:oMath>
          <m:r>
            <w:rPr>
              <w:rFonts w:ascii="Cambria Math" w:hAnsi="Cambria Math"/>
            </w:rPr>
            <m:t>α</m:t>
          </m:r>
          <m:r>
            <m:rPr>
              <m:sty m:val="p"/>
            </m:rPr>
            <w:rPr>
              <w:rFonts w:ascii="Cambria Math" w:hAnsi="Cambria Math"/>
            </w:rPr>
            <m:t>=arctan</m:t>
          </m:r>
          <m:f>
            <m:fPr>
              <m:ctrlPr>
                <w:rPr>
                  <w:rFonts w:ascii="Cambria Math" w:hAnsi="Cambria Math"/>
                </w:rPr>
              </m:ctrlPr>
            </m:fPr>
            <m:num>
              <m:r>
                <w:rPr>
                  <w:rFonts w:ascii="Cambria Math" w:hAnsi="Cambria Math"/>
                </w:rPr>
                <m:t>b</m:t>
              </m:r>
            </m:num>
            <m:den>
              <m:r>
                <w:rPr>
                  <w:rFonts w:ascii="Cambria Math" w:hAnsi="Cambria Math"/>
                </w:rPr>
                <m:t>h</m:t>
              </m:r>
            </m:den>
          </m:f>
          <m:r>
            <m:rPr>
              <m:sty m:val="p"/>
            </m:rPr>
            <w:rPr>
              <w:rFonts w:ascii="Cambria Math" w:hAnsi="Cambria Math"/>
            </w:rPr>
            <m:t>,</m:t>
          </m:r>
        </m:oMath>
      </m:oMathPara>
    </w:p>
    <w:p w14:paraId="52244920" w14:textId="77777777" w:rsidR="00937C4A" w:rsidRDefault="00000000">
      <w:r>
        <w:t xml:space="preserve">the angle at the pivot between the vertical and the line to the centroid. For a homogeneous rectangle, </w:t>
      </w:r>
      <m:oMath>
        <m:sSub>
          <m:sSubPr>
            <m:ctrlPr>
              <w:rPr>
                <w:rFonts w:ascii="Cambria Math" w:hAnsi="Cambria Math"/>
              </w:rPr>
            </m:ctrlPr>
          </m:sSubPr>
          <m:e>
            <m:r>
              <w:rPr>
                <w:rFonts w:ascii="Cambria Math" w:hAnsi="Cambria Math"/>
              </w:rPr>
              <m:t>I</m:t>
            </m:r>
          </m:e>
          <m:sub>
            <m:r>
              <w:rPr>
                <w:rFonts w:ascii="Cambria Math" w:hAnsi="Cambria Math"/>
              </w:rPr>
              <m:t>G</m:t>
            </m:r>
          </m:sub>
        </m:sSub>
        <m:r>
          <m:rPr>
            <m:sty m:val="p"/>
          </m:rPr>
          <w:rPr>
            <w:rFonts w:ascii="Cambria Math" w:hAnsi="Cambria Math"/>
          </w:rPr>
          <m:t>=</m:t>
        </m:r>
        <m:f>
          <m:fPr>
            <m:type m:val="lin"/>
            <m:ctrlPr>
              <w:rPr>
                <w:rFonts w:ascii="Cambria Math" w:hAnsi="Cambria Math"/>
              </w:rPr>
            </m:ctrlPr>
          </m:fPr>
          <m:num>
            <m:r>
              <w:rPr>
                <w:rFonts w:ascii="Cambria Math" w:hAnsi="Cambria Math"/>
              </w:rPr>
              <m:t>m</m:t>
            </m:r>
          </m:num>
          <m:den>
            <m:r>
              <w:rPr>
                <w:rFonts w:ascii="Cambria Math" w:hAnsi="Cambria Math"/>
              </w:rPr>
              <m:t>12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2b</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r>
                      <w:rPr>
                        <w:rFonts w:ascii="Cambria Math" w:hAnsi="Cambria Math"/>
                      </w:rPr>
                      <m:t>h</m:t>
                    </m:r>
                  </m:e>
                </m:d>
              </m:e>
              <m:sup>
                <m:r>
                  <w:rPr>
                    <w:rFonts w:ascii="Cambria Math" w:hAnsi="Cambria Math"/>
                  </w:rPr>
                  <m:t>2</m:t>
                </m:r>
              </m:sup>
            </m:sSup>
          </m:e>
        </m:d>
        <m:r>
          <m:rPr>
            <m:sty m:val="p"/>
          </m:rPr>
          <w:rPr>
            <w:rFonts w:ascii="Cambria Math" w:hAnsi="Cambria Math"/>
          </w:rPr>
          <m:t>=</m:t>
        </m:r>
        <m:f>
          <m:fPr>
            <m:type m:val="lin"/>
            <m:ctrlPr>
              <w:rPr>
                <w:rFonts w:ascii="Cambria Math" w:hAnsi="Cambria Math"/>
              </w:rPr>
            </m:ctrlPr>
          </m:fPr>
          <m:num>
            <m:r>
              <w:rPr>
                <w:rFonts w:ascii="Cambria Math" w:hAnsi="Cambria Math"/>
              </w:rPr>
              <m:t>m</m:t>
            </m:r>
          </m:num>
          <m:den>
            <m:r>
              <w:rPr>
                <w:rFonts w:ascii="Cambria Math" w:hAnsi="Cambria Math"/>
              </w:rPr>
              <m:t>3</m:t>
            </m:r>
          </m:den>
        </m:f>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and the parallel-axis theorem about a base corner at distance </w:t>
      </w:r>
      <m:oMath>
        <m:r>
          <w:rPr>
            <w:rFonts w:ascii="Cambria Math" w:hAnsi="Cambria Math"/>
          </w:rPr>
          <m:t>R</m:t>
        </m:r>
      </m:oMath>
      <w:r>
        <w:t xml:space="preserve"> gives</w:t>
      </w:r>
    </w:p>
    <w:p w14:paraId="551629B7"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m:t>
              </m:r>
            </m:sub>
          </m:sSub>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f>
            <m:fPr>
              <m:type m:val="lin"/>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oMath>
      </m:oMathPara>
    </w:p>
    <w:p w14:paraId="4E4B2A32" w14:textId="77777777" w:rsidR="00937C4A" w:rsidRDefault="00000000">
      <w:r>
        <w:t xml:space="preserve">Taking moments about the active pivot under horizontal base acceleration </w:t>
      </w: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g</m:t>
            </m:r>
          </m:sub>
        </m:sSub>
      </m:oMath>
      <w:r>
        <w:t>,</w:t>
      </w:r>
    </w:p>
    <w:p w14:paraId="349E9C67" w14:textId="77777777" w:rsidR="00937C4A" w:rsidRDefault="00000000">
      <w:pPr>
        <w:pStyle w:val="BodyText"/>
        <w:spacing w:before="100" w:after="140"/>
        <w:jc w:val="center"/>
      </w:pPr>
      <m:oMathPara>
        <m:oMathParaPr>
          <m:jc m:val="center"/>
        </m:oMathParaPr>
        <m:oMath>
          <m:f>
            <m:fPr>
              <m:type m:val="lin"/>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mgR</m:t>
          </m:r>
          <m:r>
            <m:rPr>
              <m:sty m:val="p"/>
            </m:rPr>
            <w:rPr>
              <w:rFonts w:ascii="Cambria Math" w:hAnsi="Cambria Math"/>
            </w:rPr>
            <m:t>sin</m:t>
          </m:r>
          <m:d>
            <m:dPr>
              <m:ctrlPr>
                <w:rPr>
                  <w:rFonts w:ascii="Cambria Math" w:hAnsi="Cambria Math"/>
                </w:rPr>
              </m:ctrlPr>
            </m:dPr>
            <m:e>
              <m:r>
                <w:rPr>
                  <w:rFonts w:ascii="Cambria Math" w:hAnsi="Cambria Math"/>
                </w:rPr>
                <m:t>α </m:t>
              </m:r>
              <m:r>
                <m:rPr>
                  <m:sty m:val="p"/>
                </m:rPr>
                <w:rPr>
                  <w:rFonts w:ascii="Cambria Math" w:hAnsi="Cambria Math"/>
                </w:rPr>
                <m:t>sgn</m:t>
              </m:r>
              <m:r>
                <w:rPr>
                  <w:rFonts w:ascii="Cambria Math" w:hAnsi="Cambria Math"/>
                </w:rPr>
                <m:t> θ</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m</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g</m:t>
              </m:r>
            </m:sub>
          </m:sSub>
          <m:r>
            <w:rPr>
              <w:rFonts w:ascii="Cambria Math" w:hAnsi="Cambria Math"/>
            </w:rPr>
            <m:t>R</m:t>
          </m:r>
          <m:r>
            <m:rPr>
              <m:sty m:val="p"/>
            </m:rPr>
            <w:rPr>
              <w:rFonts w:ascii="Cambria Math" w:hAnsi="Cambria Math"/>
            </w:rPr>
            <m:t>cos</m:t>
          </m:r>
          <m:d>
            <m:dPr>
              <m:ctrlPr>
                <w:rPr>
                  <w:rFonts w:ascii="Cambria Math" w:hAnsi="Cambria Math"/>
                </w:rPr>
              </m:ctrlPr>
            </m:dPr>
            <m:e>
              <m:r>
                <w:rPr>
                  <w:rFonts w:ascii="Cambria Math" w:hAnsi="Cambria Math"/>
                </w:rPr>
                <m:t>α </m:t>
              </m:r>
              <m:r>
                <m:rPr>
                  <m:sty m:val="p"/>
                </m:rPr>
                <w:rPr>
                  <w:rFonts w:ascii="Cambria Math" w:hAnsi="Cambria Math"/>
                </w:rPr>
                <m:t>sgn</m:t>
              </m:r>
              <m:r>
                <w:rPr>
                  <w:rFonts w:ascii="Cambria Math" w:hAnsi="Cambria Math"/>
                </w:rPr>
                <m:t> θ</m:t>
              </m:r>
              <m:r>
                <m:rPr>
                  <m:sty m:val="p"/>
                </m:rPr>
                <w:rPr>
                  <w:rFonts w:ascii="Cambria Math" w:hAnsi="Cambria Math"/>
                </w:rPr>
                <m:t>-</m:t>
              </m:r>
              <m:r>
                <w:rPr>
                  <w:rFonts w:ascii="Cambria Math" w:hAnsi="Cambria Math"/>
                </w:rPr>
                <m:t>θ</m:t>
              </m:r>
            </m:e>
          </m:d>
          <m:r>
            <m:rPr>
              <m:sty m:val="p"/>
            </m:rPr>
            <w:rPr>
              <w:rFonts w:ascii="Cambria Math" w:hAnsi="Cambria Math"/>
            </w:rPr>
            <m:t>,</m:t>
          </m:r>
        </m:oMath>
      </m:oMathPara>
    </w:p>
    <w:p w14:paraId="43E2E5E6" w14:textId="77777777" w:rsidR="00937C4A" w:rsidRDefault="00000000">
      <w:r>
        <w:t>so that with</w:t>
      </w:r>
    </w:p>
    <w:p w14:paraId="729A7128" w14:textId="77777777" w:rsidR="00937C4A" w:rsidRDefault="00000000">
      <w:pPr>
        <w:pStyle w:val="BodyText"/>
        <w:spacing w:before="100" w:after="140"/>
        <w:jc w:val="center"/>
      </w:pPr>
      <m:oMathPara>
        <m:oMathParaPr>
          <m:jc m:val="center"/>
        </m:oMathParaPr>
        <m:oMath>
          <m:r>
            <w:rPr>
              <w:rFonts w:ascii="Cambria Math" w:hAnsi="Cambria Math"/>
            </w:rPr>
            <m:t>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3g</m:t>
                  </m:r>
                </m:num>
                <m:den>
                  <m:r>
                    <w:rPr>
                      <w:rFonts w:ascii="Cambria Math" w:hAnsi="Cambria Math"/>
                    </w:rPr>
                    <m:t>4R</m:t>
                  </m:r>
                </m:den>
              </m:f>
            </m:e>
          </m:rad>
        </m:oMath>
      </m:oMathPara>
    </w:p>
    <w:p w14:paraId="29F40C1C" w14:textId="77777777" w:rsidR="00937C4A" w:rsidRDefault="00000000">
      <w:r>
        <w:t>we have</w:t>
      </w:r>
    </w:p>
    <w:p w14:paraId="12815C53" w14:textId="77777777" w:rsidR="00937C4A" w:rsidRDefault="00000000">
      <w:pPr>
        <w:pStyle w:val="BodyText"/>
        <w:spacing w:before="100" w:after="140"/>
        <w:jc w:val="center"/>
      </w:pPr>
      <m:oMathPara>
        <m:oMathParaPr>
          <m:jc m:val="center"/>
        </m:oMathParaPr>
        <m:oMath>
          <m:acc>
            <m:accPr>
              <m:chr m:val="̈"/>
              <m:ctrlPr>
                <w:rPr>
                  <w:rFonts w:ascii="Cambria Math" w:hAnsi="Cambria Math"/>
                </w:rPr>
              </m:ctrlPr>
            </m:accPr>
            <m:e>
              <m:r>
                <w:rPr>
                  <w:rFonts w:ascii="Cambria Math" w:hAnsi="Cambria Math"/>
                </w:rPr>
                <m:t>θ</m:t>
              </m:r>
            </m:e>
          </m:acc>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d>
            <m:dPr>
              <m:begChr m:val="["/>
              <m:endChr m:val="]"/>
              <m:ctrlPr>
                <w:rPr>
                  <w:rFonts w:ascii="Cambria Math" w:hAnsi="Cambria Math"/>
                </w:rPr>
              </m:ctrlPr>
            </m:dPr>
            <m:e>
              <m:r>
                <m:rPr>
                  <m:sty m:val="p"/>
                </m:rPr>
                <w:rPr>
                  <w:rFonts w:ascii="Cambria Math" w:hAnsi="Cambria Math"/>
                </w:rPr>
                <m:t>sin(</m:t>
              </m:r>
              <m:r>
                <w:rPr>
                  <w:rFonts w:ascii="Cambria Math" w:hAnsi="Cambria Math"/>
                </w:rPr>
                <m:t>α </m:t>
              </m:r>
              <m:r>
                <m:rPr>
                  <m:sty m:val="p"/>
                </m:rPr>
                <w:rPr>
                  <w:rFonts w:ascii="Cambria Math" w:hAnsi="Cambria Math"/>
                </w:rPr>
                <m:t>sgn</m:t>
              </m:r>
              <m:r>
                <w:rPr>
                  <w:rFonts w:ascii="Cambria Math" w:hAnsi="Cambria Math"/>
                </w:rPr>
                <m:t> θ</m:t>
              </m:r>
              <m:r>
                <m:rPr>
                  <m:sty m:val="p"/>
                </m:rPr>
                <w:rPr>
                  <w:rFonts w:ascii="Cambria Math" w:hAnsi="Cambria Math"/>
                </w:rPr>
                <m:t>-</m:t>
              </m:r>
              <m:r>
                <w:rPr>
                  <w:rFonts w:ascii="Cambria Math" w:hAnsi="Cambria Math"/>
                </w:rPr>
                <m:t>θ</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g</m:t>
                      </m:r>
                    </m:sub>
                  </m:sSub>
                </m:num>
                <m:den>
                  <m:r>
                    <w:rPr>
                      <w:rFonts w:ascii="Cambria Math" w:hAnsi="Cambria Math"/>
                    </w:rPr>
                    <m:t>g</m:t>
                  </m:r>
                </m:den>
              </m:f>
              <m:r>
                <m:rPr>
                  <m:sty m:val="p"/>
                </m:rPr>
                <w:rPr>
                  <w:rFonts w:ascii="Cambria Math" w:hAnsi="Cambria Math"/>
                </w:rPr>
                <m:t>cos(</m:t>
              </m:r>
              <m:r>
                <w:rPr>
                  <w:rFonts w:ascii="Cambria Math" w:hAnsi="Cambria Math"/>
                </w:rPr>
                <m:t>α </m:t>
              </m:r>
              <m:r>
                <m:rPr>
                  <m:sty m:val="p"/>
                </m:rPr>
                <w:rPr>
                  <w:rFonts w:ascii="Cambria Math" w:hAnsi="Cambria Math"/>
                </w:rPr>
                <m:t>sgn</m:t>
              </m:r>
              <m:r>
                <w:rPr>
                  <w:rFonts w:ascii="Cambria Math" w:hAnsi="Cambria Math"/>
                </w:rPr>
                <m:t> θ</m:t>
              </m:r>
              <m:r>
                <m:rPr>
                  <m:sty m:val="p"/>
                </m:rPr>
                <w:rPr>
                  <w:rFonts w:ascii="Cambria Math" w:hAnsi="Cambria Math"/>
                </w:rPr>
                <m:t>-</m:t>
              </m:r>
              <m:r>
                <w:rPr>
                  <w:rFonts w:ascii="Cambria Math" w:hAnsi="Cambria Math"/>
                </w:rPr>
                <m:t>θ</m:t>
              </m:r>
              <m:r>
                <m:rPr>
                  <m:sty m:val="p"/>
                </m:rPr>
                <w:rPr>
                  <w:rFonts w:ascii="Cambria Math" w:hAnsi="Cambria Math"/>
                </w:rPr>
                <m:t>)</m:t>
              </m:r>
            </m:e>
          </m:d>
          <m:r>
            <m:rPr>
              <m:sty m:val="p"/>
            </m:rPr>
            <w:rPr>
              <w:rFonts w:ascii="Cambria Math" w:hAnsi="Cambria Math"/>
            </w:rPr>
            <m:t>.</m:t>
          </m:r>
        </m:oMath>
      </m:oMathPara>
    </w:p>
    <w:p w14:paraId="07BFA0F1" w14:textId="77777777" w:rsidR="00937C4A" w:rsidRDefault="00000000">
      <w:r>
        <w:lastRenderedPageBreak/>
        <w:t xml:space="preserve">The parameter </w:t>
      </w:r>
      <m:oMath>
        <m:r>
          <w:rPr>
            <w:rFonts w:ascii="Cambria Math" w:hAnsi="Cambria Math"/>
          </w:rPr>
          <m:t>p</m:t>
        </m:r>
      </m:oMath>
      <w:r>
        <w:t xml:space="preserve"> has dimensions of frequency but is </w:t>
      </w:r>
      <w:r>
        <w:rPr>
          <w:b/>
          <w:bCs/>
        </w:rPr>
        <w:t>not</w:t>
      </w:r>
      <w:r>
        <w:t xml:space="preserve"> a natural frequency. It is a rate. Section 4.4 explains the difference, and the difference is the entire chapter.</w:t>
      </w:r>
    </w:p>
    <w:p w14:paraId="5D8DE749" w14:textId="77777777" w:rsidR="00937C4A" w:rsidRDefault="00000000">
      <w:pPr>
        <w:pStyle w:val="Heading3"/>
      </w:pPr>
      <w:bookmarkStart w:id="26" w:name="the-impact-law"/>
      <w:bookmarkEnd w:id="25"/>
      <w:r>
        <w:rPr>
          <w:rFonts w:ascii="Noto Sans" w:eastAsia="Noto Sans" w:hAnsi="Noto Sans"/>
        </w:rPr>
        <w:t>4.3 The impact law</w:t>
      </w:r>
    </w:p>
    <w:p w14:paraId="27EEBC07" w14:textId="77777777" w:rsidR="00937C4A" w:rsidRDefault="00000000">
      <w:r>
        <w:t xml:space="preserve">At </w:t>
      </w:r>
      <m:oMath>
        <m:r>
          <w:rPr>
            <w:rFonts w:ascii="Cambria Math" w:hAnsi="Cambria Math"/>
          </w:rPr>
          <m:t>θ</m:t>
        </m:r>
        <m:r>
          <m:rPr>
            <m:sty m:val="p"/>
          </m:rPr>
          <w:rPr>
            <w:rFonts w:ascii="Cambria Math" w:hAnsi="Cambria Math"/>
          </w:rPr>
          <m:t>=</m:t>
        </m:r>
        <m:r>
          <w:rPr>
            <w:rFonts w:ascii="Cambria Math" w:hAnsi="Cambria Math"/>
          </w:rPr>
          <m:t>0</m:t>
        </m:r>
      </m:oMath>
      <w:r>
        <w:t xml:space="preserve"> the pivot switches from one corner to the other. Housner’s assumption is that the impact is instantaneous, that no bouncing occurs, and that angular momentum about the </w:t>
      </w:r>
      <w:r>
        <w:rPr>
          <w:i/>
          <w:iCs/>
        </w:rPr>
        <w:t>new</w:t>
      </w:r>
      <w:r>
        <w:t xml:space="preserve"> pivot is conserved through it.</w:t>
      </w:r>
    </w:p>
    <w:p w14:paraId="0CB03096" w14:textId="77777777" w:rsidR="00937C4A" w:rsidRDefault="00000000">
      <w:pPr>
        <w:pStyle w:val="BodyText"/>
      </w:pPr>
      <w:r>
        <w:t xml:space="preserve">Place the old pivot </w:t>
      </w:r>
      <m:oMath>
        <m:r>
          <w:rPr>
            <w:rFonts w:ascii="Cambria Math" w:hAnsi="Cambria Math"/>
          </w:rPr>
          <m:t>O</m:t>
        </m:r>
      </m:oMath>
      <w:r>
        <w:t xml:space="preserve"> at the origin, the new pivot </w:t>
      </w:r>
      <m:oMath>
        <m:r>
          <w:rPr>
            <w:rFonts w:ascii="Cambria Math" w:hAnsi="Cambria Math"/>
          </w:rPr>
          <m:t>O</m:t>
        </m:r>
        <m:r>
          <m:rPr>
            <m:sty m:val="p"/>
          </m:rPr>
          <w:rPr>
            <w:rFonts w:ascii="Cambria Math" w:hAnsi="Cambria Math"/>
          </w:rPr>
          <m:t>'</m:t>
        </m:r>
      </m:oMath>
      <w:r>
        <w:t xml:space="preserve"> at </w:t>
      </w:r>
      <m:oMath>
        <m:d>
          <m:dPr>
            <m:ctrlPr>
              <w:rPr>
                <w:rFonts w:ascii="Cambria Math" w:hAnsi="Cambria Math"/>
              </w:rPr>
            </m:ctrlPr>
          </m:dPr>
          <m:e>
            <m:r>
              <w:rPr>
                <w:rFonts w:ascii="Cambria Math" w:hAnsi="Cambria Math"/>
              </w:rPr>
              <m:t>2b</m:t>
            </m:r>
            <m:r>
              <m:rPr>
                <m:sty m:val="p"/>
              </m:rPr>
              <w:rPr>
                <w:rFonts w:ascii="Cambria Math" w:hAnsi="Cambria Math"/>
              </w:rPr>
              <m:t>,</m:t>
            </m:r>
            <m:r>
              <w:rPr>
                <w:rFonts w:ascii="Cambria Math" w:hAnsi="Cambria Math"/>
              </w:rPr>
              <m:t>0</m:t>
            </m:r>
          </m:e>
        </m:d>
      </m:oMath>
      <w:r>
        <w:t xml:space="preserve">, the centroid </w:t>
      </w:r>
      <m:oMath>
        <m:r>
          <w:rPr>
            <w:rFonts w:ascii="Cambria Math" w:hAnsi="Cambria Math"/>
          </w:rPr>
          <m:t>G</m:t>
        </m:r>
      </m:oMath>
      <w:r>
        <w:t xml:space="preserve"> at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h</m:t>
            </m:r>
          </m:e>
        </m:d>
      </m:oMath>
      <w:r>
        <w:t xml:space="preserve">. Immediately before impact the block rotates about </w:t>
      </w:r>
      <m:oMath>
        <m:r>
          <w:rPr>
            <w:rFonts w:ascii="Cambria Math" w:hAnsi="Cambria Math"/>
          </w:rPr>
          <m:t>O</m:t>
        </m:r>
      </m:oMath>
      <w:r>
        <w:t xml:space="preserve"> with </w:t>
      </w:r>
      <m:oMath>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m:t>
            </m:r>
          </m:sup>
        </m:sSup>
      </m:oMath>
      <w:r>
        <w:t>, so</w:t>
      </w:r>
    </w:p>
    <w:p w14:paraId="5E44AE60"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m:rPr>
                  <m:sty m:val="b"/>
                </m:rPr>
                <w:rPr>
                  <w:rFonts w:ascii="Cambria Math" w:hAnsi="Cambria Math"/>
                </w:rPr>
                <m:t>v</m:t>
              </m:r>
            </m:e>
            <m:sub>
              <m:r>
                <w:rPr>
                  <w:rFonts w:ascii="Cambria Math" w:hAnsi="Cambria Math"/>
                </w:rPr>
                <m:t>G</m:t>
              </m:r>
            </m:sub>
          </m:sSub>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m:t>
              </m:r>
            </m:sup>
          </m:sSup>
          <m:r>
            <w:rPr>
              <w:rFonts w:ascii="Cambria Math" w:hAnsi="Cambria Math"/>
            </w:rPr>
            <m:t> </m:t>
          </m:r>
          <m:acc>
            <m:accPr>
              <m:ctrlPr>
                <w:rPr>
                  <w:rFonts w:ascii="Cambria Math" w:hAnsi="Cambria Math"/>
                </w:rPr>
              </m:ctrlPr>
            </m:accPr>
            <m:e>
              <m:r>
                <w:rPr>
                  <w:rFonts w:ascii="Cambria Math" w:hAnsi="Cambria Math"/>
                </w:rPr>
                <m:t>k</m:t>
              </m:r>
            </m:e>
          </m:acc>
          <m:r>
            <m:rPr>
              <m:sty m:val="p"/>
            </m:rPr>
            <w:rPr>
              <w:rFonts w:ascii="Cambria Math" w:hAnsi="Cambria Math"/>
            </w:rPr>
            <m:t>×</m:t>
          </m:r>
          <m:d>
            <m:dPr>
              <m:ctrlPr>
                <w:rPr>
                  <w:rFonts w:ascii="Cambria Math" w:hAnsi="Cambria Math"/>
                </w:rPr>
              </m:ctrlPr>
            </m:dPr>
            <m:e>
              <m:r>
                <w:rPr>
                  <w:rFonts w:ascii="Cambria Math" w:hAnsi="Cambria Math"/>
                </w:rPr>
                <m:t>b</m:t>
              </m:r>
              <m:acc>
                <m:accPr>
                  <m:ctrlPr>
                    <w:rPr>
                      <w:rFonts w:ascii="Cambria Math" w:hAnsi="Cambria Math"/>
                    </w:rPr>
                  </m:ctrlPr>
                </m:accPr>
                <m:e>
                  <m:r>
                    <w:rPr>
                      <w:rFonts w:ascii="Cambria Math" w:hAnsi="Cambria Math"/>
                    </w:rPr>
                    <m:t>i</m:t>
                  </m:r>
                </m:e>
              </m:acc>
              <m:r>
                <m:rPr>
                  <m:sty m:val="p"/>
                </m:rPr>
                <w:rPr>
                  <w:rFonts w:ascii="Cambria Math" w:hAnsi="Cambria Math"/>
                </w:rPr>
                <m:t>+</m:t>
              </m:r>
              <m:r>
                <w:rPr>
                  <w:rFonts w:ascii="Cambria Math" w:hAnsi="Cambria Math"/>
                </w:rPr>
                <m:t>h</m:t>
              </m:r>
              <m:acc>
                <m:accPr>
                  <m:ctrlPr>
                    <w:rPr>
                      <w:rFonts w:ascii="Cambria Math" w:hAnsi="Cambria Math"/>
                    </w:rPr>
                  </m:ctrlPr>
                </m:accPr>
                <m:e>
                  <m:r>
                    <w:rPr>
                      <w:rFonts w:ascii="Cambria Math" w:hAnsi="Cambria Math"/>
                    </w:rPr>
                    <m:t>j</m:t>
                  </m:r>
                </m:e>
              </m:acc>
            </m:e>
          </m:d>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m:t>
              </m:r>
            </m:sup>
          </m:sSup>
          <m:d>
            <m:dPr>
              <m:ctrlPr>
                <w:rPr>
                  <w:rFonts w:ascii="Cambria Math" w:hAnsi="Cambria Math"/>
                </w:rPr>
              </m:ctrlPr>
            </m:dPr>
            <m:e>
              <m:r>
                <m:rPr>
                  <m:sty m:val="p"/>
                </m:rPr>
                <w:rPr>
                  <w:rFonts w:ascii="Cambria Math" w:hAnsi="Cambria Math"/>
                </w:rPr>
                <m:t>-</m:t>
              </m:r>
              <m:r>
                <w:rPr>
                  <w:rFonts w:ascii="Cambria Math" w:hAnsi="Cambria Math"/>
                </w:rPr>
                <m:t>h </m:t>
              </m:r>
              <m:acc>
                <m:accPr>
                  <m:ctrlPr>
                    <w:rPr>
                      <w:rFonts w:ascii="Cambria Math" w:hAnsi="Cambria Math"/>
                    </w:rPr>
                  </m:ctrlPr>
                </m:accPr>
                <m:e>
                  <m:r>
                    <w:rPr>
                      <w:rFonts w:ascii="Cambria Math" w:hAnsi="Cambria Math"/>
                    </w:rPr>
                    <m:t>i</m:t>
                  </m:r>
                </m:e>
              </m:acc>
              <m:r>
                <m:rPr>
                  <m:sty m:val="p"/>
                </m:rPr>
                <w:rPr>
                  <w:rFonts w:ascii="Cambria Math" w:hAnsi="Cambria Math"/>
                </w:rPr>
                <m:t>+</m:t>
              </m:r>
              <m:r>
                <w:rPr>
                  <w:rFonts w:ascii="Cambria Math" w:hAnsi="Cambria Math"/>
                </w:rPr>
                <m:t>b </m:t>
              </m:r>
              <m:acc>
                <m:accPr>
                  <m:ctrlPr>
                    <w:rPr>
                      <w:rFonts w:ascii="Cambria Math" w:hAnsi="Cambria Math"/>
                    </w:rPr>
                  </m:ctrlPr>
                </m:accPr>
                <m:e>
                  <m:r>
                    <w:rPr>
                      <w:rFonts w:ascii="Cambria Math" w:hAnsi="Cambria Math"/>
                    </w:rPr>
                    <m:t>j</m:t>
                  </m:r>
                </m:e>
              </m:acc>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O</m:t>
              </m:r>
              <m:r>
                <m:rPr>
                  <m:sty m:val="p"/>
                </m:rPr>
                <w:rPr>
                  <w:rFonts w:ascii="Cambria Math" w:hAnsi="Cambria Math"/>
                </w:rPr>
                <m:t>'</m:t>
              </m:r>
            </m:sub>
          </m:sSub>
          <m:r>
            <m:rPr>
              <m:sty m:val="p"/>
            </m:rPr>
            <w:rPr>
              <w:rFonts w:ascii="Cambria Math" w:hAnsi="Cambria Math"/>
            </w:rPr>
            <m:t>=-</m:t>
          </m:r>
          <m:r>
            <w:rPr>
              <w:rFonts w:ascii="Cambria Math" w:hAnsi="Cambria Math"/>
            </w:rPr>
            <m:t>b </m:t>
          </m:r>
          <m:acc>
            <m:accPr>
              <m:ctrlPr>
                <w:rPr>
                  <w:rFonts w:ascii="Cambria Math" w:hAnsi="Cambria Math"/>
                </w:rPr>
              </m:ctrlPr>
            </m:accPr>
            <m:e>
              <m:r>
                <w:rPr>
                  <w:rFonts w:ascii="Cambria Math" w:hAnsi="Cambria Math"/>
                </w:rPr>
                <m:t>i</m:t>
              </m:r>
            </m:e>
          </m:acc>
          <m:r>
            <m:rPr>
              <m:sty m:val="p"/>
            </m:rPr>
            <w:rPr>
              <w:rFonts w:ascii="Cambria Math" w:hAnsi="Cambria Math"/>
            </w:rPr>
            <m:t>+</m:t>
          </m:r>
          <m:r>
            <w:rPr>
              <w:rFonts w:ascii="Cambria Math" w:hAnsi="Cambria Math"/>
            </w:rPr>
            <m:t>h </m:t>
          </m:r>
          <m:acc>
            <m:accPr>
              <m:ctrlPr>
                <w:rPr>
                  <w:rFonts w:ascii="Cambria Math" w:hAnsi="Cambria Math"/>
                </w:rPr>
              </m:ctrlPr>
            </m:accPr>
            <m:e>
              <m:r>
                <w:rPr>
                  <w:rFonts w:ascii="Cambria Math" w:hAnsi="Cambria Math"/>
                </w:rPr>
                <m:t>j</m:t>
              </m:r>
            </m:e>
          </m:acc>
          <m:r>
            <m:rPr>
              <m:sty m:val="p"/>
            </m:rPr>
            <w:rPr>
              <w:rFonts w:ascii="Cambria Math" w:hAnsi="Cambria Math"/>
            </w:rPr>
            <m:t>.</m:t>
          </m:r>
        </m:oMath>
      </m:oMathPara>
    </w:p>
    <w:p w14:paraId="0BE28872" w14:textId="77777777" w:rsidR="00937C4A" w:rsidRDefault="00000000">
      <w:r>
        <w:t xml:space="preserve">Angular momentum about </w:t>
      </w:r>
      <m:oMath>
        <m:r>
          <w:rPr>
            <w:rFonts w:ascii="Cambria Math" w:hAnsi="Cambria Math"/>
          </w:rPr>
          <m:t>O</m:t>
        </m:r>
        <m:r>
          <m:rPr>
            <m:sty m:val="p"/>
          </m:rPr>
          <w:rPr>
            <w:rFonts w:ascii="Cambria Math" w:hAnsi="Cambria Math"/>
          </w:rPr>
          <m:t>'</m:t>
        </m:r>
      </m:oMath>
      <w:r>
        <w:t xml:space="preserve"> before impact:</w:t>
      </w:r>
    </w:p>
    <w:p w14:paraId="0C9942A7" w14:textId="77777777" w:rsidR="00937C4A" w:rsidRDefault="00000000">
      <w:pPr>
        <w:pStyle w:val="BodyText"/>
        <w:spacing w:before="100" w:after="14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O</m:t>
              </m:r>
              <m:r>
                <m:rPr>
                  <m:sty m:val="p"/>
                </m:rPr>
                <w:rPr>
                  <w:rFonts w:ascii="Cambria Math" w:hAnsi="Cambria Math"/>
                </w:rPr>
                <m: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O</m:t>
                  </m:r>
                  <m:r>
                    <m:rPr>
                      <m:sty m:val="p"/>
                    </m:rPr>
                    <w:rPr>
                      <w:rFonts w:ascii="Cambria Math" w:hAnsi="Cambria Math"/>
                    </w:rPr>
                    <m:t>'</m:t>
                  </m:r>
                </m:sub>
              </m:sSub>
              <m:r>
                <m:rPr>
                  <m:sty m:val="p"/>
                </m:rPr>
                <w:rPr>
                  <w:rFonts w:ascii="Cambria Math" w:hAnsi="Cambria Math"/>
                </w:rPr>
                <m:t>×</m:t>
              </m:r>
              <m:r>
                <w:rPr>
                  <w:rFonts w:ascii="Cambria Math" w:hAnsi="Cambria Math"/>
                </w:rPr>
                <m:t>m</m:t>
              </m:r>
              <m:sSub>
                <m:sSubPr>
                  <m:ctrlPr>
                    <w:rPr>
                      <w:rFonts w:ascii="Cambria Math" w:hAnsi="Cambria Math"/>
                    </w:rPr>
                  </m:ctrlPr>
                </m:sSubPr>
                <m:e>
                  <m:r>
                    <m:rPr>
                      <m:sty m:val="b"/>
                    </m:rPr>
                    <w:rPr>
                      <w:rFonts w:ascii="Cambria Math" w:hAnsi="Cambria Math"/>
                    </w:rPr>
                    <m:t>v</m:t>
                  </m:r>
                </m:e>
                <m:sub>
                  <m:r>
                    <w:rPr>
                      <w:rFonts w:ascii="Cambria Math" w:hAnsi="Cambria Math"/>
                    </w:rPr>
                    <m:t>G</m:t>
                  </m:r>
                </m:sub>
              </m:sSub>
            </m:e>
          </m:d>
          <m:r>
            <m:rPr>
              <m:sty m:val="p"/>
            </m:rPr>
            <w:rPr>
              <w:rFonts w:ascii="Cambria Math" w:hAnsi="Cambria Math"/>
            </w:rPr>
            <m:t>⋅</m:t>
          </m:r>
          <m:acc>
            <m:accPr>
              <m:ctrlPr>
                <w:rPr>
                  <w:rFonts w:ascii="Cambria Math" w:hAnsi="Cambria Math"/>
                </w:rPr>
              </m:ctrlPr>
            </m:accPr>
            <m:e>
              <m:r>
                <w:rPr>
                  <w:rFonts w:ascii="Cambria Math" w:hAnsi="Cambria Math"/>
                </w:rPr>
                <m:t>k</m:t>
              </m:r>
            </m:e>
          </m:acc>
          <m:r>
            <m:rPr>
              <m:sty m:val="p"/>
            </m:rPr>
            <w:rPr>
              <w:rFonts w:ascii="Cambria Math" w:hAnsi="Cambria Math"/>
            </w:rPr>
            <m:t>=</m:t>
          </m:r>
          <m:r>
            <w:rPr>
              <w:rFonts w:ascii="Cambria Math" w:hAnsi="Cambria Math"/>
            </w:rPr>
            <m:t>m</m:t>
          </m:r>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m:t>
              </m:r>
            </m:sup>
          </m:sSup>
          <m:d>
            <m:dPr>
              <m:begChr m:val="["/>
              <m:endChr m:val="]"/>
              <m:ctrlPr>
                <w:rPr>
                  <w:rFonts w:ascii="Cambria Math" w:hAnsi="Cambria Math"/>
                </w:rPr>
              </m:ctrlPr>
            </m:dPr>
            <m:e>
              <m:f>
                <m:fPr>
                  <m:type m:val="lin"/>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3</m:t>
                  </m:r>
                </m:den>
              </m:f>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d>
          <m:r>
            <m:rPr>
              <m:sty m:val="p"/>
            </m:rPr>
            <w:rPr>
              <w:rFonts w:ascii="Cambria Math" w:hAnsi="Cambria Math"/>
            </w:rPr>
            <m:t>.</m:t>
          </m:r>
        </m:oMath>
      </m:oMathPara>
    </w:p>
    <w:p w14:paraId="6E9EADD9" w14:textId="77777777" w:rsidR="00937C4A" w:rsidRDefault="00000000">
      <w:r>
        <w:t xml:space="preserve">After impact the block rotates about </w:t>
      </w:r>
      <m:oMath>
        <m:r>
          <w:rPr>
            <w:rFonts w:ascii="Cambria Math" w:hAnsi="Cambria Math"/>
          </w:rPr>
          <m:t>O</m:t>
        </m:r>
        <m:r>
          <m:rPr>
            <m:sty m:val="p"/>
          </m:rPr>
          <w:rPr>
            <w:rFonts w:ascii="Cambria Math" w:hAnsi="Cambria Math"/>
          </w:rPr>
          <m:t>'</m:t>
        </m:r>
      </m:oMath>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O</m:t>
            </m:r>
            <m:r>
              <m:rPr>
                <m:sty m:val="p"/>
              </m:rPr>
              <w:rPr>
                <w:rFonts w:ascii="Cambria Math" w:hAnsi="Cambria Math"/>
              </w:rPr>
              <m:t>'</m:t>
            </m:r>
          </m:sub>
          <m:sup>
            <m:r>
              <m:rPr>
                <m:sty m:val="p"/>
              </m:rPr>
              <w:rPr>
                <w:rFonts w:ascii="Cambria Math" w:hAnsi="Cambria Math"/>
              </w:rPr>
              <m:t>+</m:t>
            </m:r>
          </m:sup>
        </m:sSubSup>
        <m:r>
          <m:rPr>
            <m:sty m:val="p"/>
          </m:rPr>
          <w:rPr>
            <w:rFonts w:ascii="Cambria Math" w:hAnsi="Cambria Math"/>
          </w:rPr>
          <m:t>=</m:t>
        </m:r>
        <m:f>
          <m:fPr>
            <m:type m:val="lin"/>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m:t>
            </m:r>
          </m:sup>
        </m:sSup>
      </m:oMath>
      <w:r>
        <w:t xml:space="preserve">. Setting them equal, and using </w:t>
      </w:r>
      <m:oMath>
        <m:r>
          <w:rPr>
            <w:rFonts w:ascii="Cambria Math" w:hAnsi="Cambria Math"/>
          </w:rPr>
          <m:t>b</m:t>
        </m:r>
        <m:r>
          <m:rPr>
            <m:sty m:val="p"/>
          </m:rPr>
          <w:rPr>
            <w:rFonts w:ascii="Cambria Math" w:hAnsi="Cambria Math"/>
          </w:rPr>
          <m:t>=</m:t>
        </m:r>
        <m:r>
          <w:rPr>
            <w:rFonts w:ascii="Cambria Math" w:hAnsi="Cambria Math"/>
          </w:rPr>
          <m:t>R</m:t>
        </m:r>
        <m:r>
          <m:rPr>
            <m:sty m:val="p"/>
          </m:rPr>
          <w:rPr>
            <w:rFonts w:ascii="Cambria Math" w:hAnsi="Cambria Math"/>
          </w:rPr>
          <m:t>sin</m:t>
        </m:r>
        <m:r>
          <w:rPr>
            <w:rFonts w:ascii="Cambria Math" w:hAnsi="Cambria Math"/>
          </w:rPr>
          <m:t>α</m:t>
        </m:r>
      </m:oMath>
      <w:r>
        <w:t xml:space="preserve">, </w:t>
      </w:r>
      <m:oMath>
        <m:r>
          <w:rPr>
            <w:rFonts w:ascii="Cambria Math" w:hAnsi="Cambria Math"/>
          </w:rPr>
          <m:t>h</m:t>
        </m:r>
        <m:r>
          <m:rPr>
            <m:sty m:val="p"/>
          </m:rPr>
          <w:rPr>
            <w:rFonts w:ascii="Cambria Math" w:hAnsi="Cambria Math"/>
          </w:rPr>
          <m:t>=</m:t>
        </m:r>
        <m:r>
          <w:rPr>
            <w:rFonts w:ascii="Cambria Math" w:hAnsi="Cambria Math"/>
          </w:rPr>
          <m:t>R</m:t>
        </m:r>
        <m:r>
          <m:rPr>
            <m:sty m:val="p"/>
          </m:rPr>
          <w:rPr>
            <w:rFonts w:ascii="Cambria Math" w:hAnsi="Cambria Math"/>
          </w:rPr>
          <m:t>cos</m:t>
        </m:r>
        <m:r>
          <w:rPr>
            <w:rFonts w:ascii="Cambria Math" w:hAnsi="Cambria Math"/>
          </w:rPr>
          <m:t>α</m:t>
        </m:r>
      </m:oMath>
      <w:r>
        <w:t>:</w:t>
      </w:r>
    </w:p>
    <w:p w14:paraId="58804BFA" w14:textId="77777777" w:rsidR="00937C4A" w:rsidRDefault="00000000">
      <w:pPr>
        <w:pStyle w:val="BodyText"/>
        <w:spacing w:before="100" w:after="140"/>
        <w:jc w:val="center"/>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m:t>
                  </m:r>
                </m:sup>
              </m:sSup>
            </m:num>
            <m:den>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4</m:t>
              </m:r>
              <m:sSup>
                <m:sSupPr>
                  <m:ctrlPr>
                    <w:rPr>
                      <w:rFonts w:ascii="Cambria Math" w:hAnsi="Cambria Math"/>
                    </w:rPr>
                  </m:ctrlPr>
                </m:sSupPr>
                <m:e>
                  <m:r>
                    <w:rPr>
                      <w:rFonts w:ascii="Cambria Math" w:hAnsi="Cambria Math"/>
                    </w:rPr>
                    <m:t>R</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4</m:t>
              </m:r>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4</m:t>
              </m:r>
              <m:sSup>
                <m:sSupPr>
                  <m:ctrlPr>
                    <w:rPr>
                      <w:rFonts w:ascii="Cambria Math" w:hAnsi="Cambria Math"/>
                    </w:rPr>
                  </m:ctrlPr>
                </m:sSupPr>
                <m:e>
                  <m:r>
                    <w:rPr>
                      <w:rFonts w:ascii="Cambria Math" w:hAnsi="Cambria Math"/>
                    </w:rPr>
                    <m:t>R</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3</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num>
            <m:den>
              <m:r>
                <w:rPr>
                  <w:rFonts w:ascii="Cambria Math" w:hAnsi="Cambria Math"/>
                </w:rPr>
                <m:t>2</m:t>
              </m:r>
            </m:den>
          </m:f>
          <m:r>
            <m:rPr>
              <m:sty m:val="p"/>
            </m:rPr>
            <w:rPr>
              <w:rFonts w:ascii="Cambria Math" w:hAnsi="Cambria Math"/>
            </w:rPr>
            <m:t>,</m:t>
          </m:r>
        </m:oMath>
      </m:oMathPara>
    </w:p>
    <w:p w14:paraId="4CEF9042" w14:textId="77777777" w:rsidR="00937C4A" w:rsidRDefault="00000000">
      <w:pPr>
        <w:spacing w:before="100" w:after="140"/>
        <w:jc w:val="center"/>
      </w:pPr>
      <m:oMathPara>
        <m:oMathParaPr>
          <m:jc m:val="center"/>
        </m:oMathParaPr>
        <m:oMath>
          <m:borderBox>
            <m:borderBoxPr>
              <m:ctrlPr>
                <w:rPr>
                  <w:rFonts w:ascii="Cambria Math" w:hAnsi="Cambria Math"/>
                </w:rPr>
              </m:ctrlPr>
            </m:borderBoxPr>
            <m:e>
              <m:r>
                <w:rPr>
                  <w:rFonts w:ascii="Cambria Math" w:hAnsi="Cambria Math"/>
                </w:rPr>
                <m:t> r</m:t>
              </m:r>
              <m:r>
                <m:rPr>
                  <m:sty m:val="p"/>
                </m:rPr>
                <w:rPr>
                  <w:rFonts w:ascii="Cambria Math" w:hAnsi="Cambria Math"/>
                </w:rPr>
                <m:t>=</m:t>
              </m:r>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3</m:t>
                  </m:r>
                </m:num>
                <m:den>
                  <m:r>
                    <w:rPr>
                      <w:rFonts w:ascii="Cambria Math" w:hAnsi="Cambria Math"/>
                    </w:rPr>
                    <m:t>2</m:t>
                  </m:r>
                </m:den>
              </m:f>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r>
                <m:rPr>
                  <m:sty m:val="p"/>
                </m:rPr>
                <w:rPr>
                  <w:rFonts w:ascii="Cambria Math" w:hAnsi="Cambria Math"/>
                </w:rPr>
                <m:t>,</m:t>
              </m:r>
              <m:r>
                <w:rPr>
                  <w:rFonts w:ascii="Cambria Math" w:hAnsi="Cambria Math"/>
                </w:rPr>
                <m:t>  1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3</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r>
                <m:rPr>
                  <m:sty m:val="p"/>
                </m:rPr>
                <w:rPr>
                  <w:rFonts w:ascii="Cambria Math" w:hAnsi="Cambria Math"/>
                </w:rPr>
                <m:t>-</m:t>
              </m:r>
              <m:f>
                <m:fPr>
                  <m:type m:val="lin"/>
                  <m:ctrlPr>
                    <w:rPr>
                      <w:rFonts w:ascii="Cambria Math" w:hAnsi="Cambria Math"/>
                    </w:rPr>
                  </m:ctrlPr>
                </m:fPr>
                <m:num>
                  <m:r>
                    <w:rPr>
                      <w:rFonts w:ascii="Cambria Math" w:hAnsi="Cambria Math"/>
                    </w:rPr>
                    <m:t>9</m:t>
                  </m:r>
                </m:num>
                <m:den>
                  <m:r>
                    <w:rPr>
                      <w:rFonts w:ascii="Cambria Math" w:hAnsi="Cambria Math"/>
                    </w:rPr>
                    <m:t>4</m:t>
                  </m:r>
                </m:den>
              </m:f>
              <m:sSup>
                <m:sSupPr>
                  <m:ctrlPr>
                    <w:rPr>
                      <w:rFonts w:ascii="Cambria Math" w:hAnsi="Cambria Math"/>
                    </w:rPr>
                  </m:ctrlPr>
                </m:sSupPr>
                <m:e>
                  <m:r>
                    <m:rPr>
                      <m:sty m:val="p"/>
                    </m:rPr>
                    <w:rPr>
                      <w:rFonts w:ascii="Cambria Math" w:hAnsi="Cambria Math"/>
                    </w:rPr>
                    <m:t>sin</m:t>
                  </m:r>
                </m:e>
                <m:sup>
                  <m:r>
                    <w:rPr>
                      <w:rFonts w:ascii="Cambria Math" w:hAnsi="Cambria Math"/>
                    </w:rPr>
                    <m:t>4</m:t>
                  </m:r>
                </m:sup>
              </m:sSup>
              <m:r>
                <w:rPr>
                  <w:rFonts w:ascii="Cambria Math" w:hAnsi="Cambria Math"/>
                </w:rPr>
                <m:t>α</m:t>
              </m:r>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α</m:t>
                  </m:r>
                </m:e>
                <m:sup>
                  <m:r>
                    <w:rPr>
                      <w:rFonts w:ascii="Cambria Math" w:hAnsi="Cambria Math"/>
                    </w:rPr>
                    <m:t>2</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4</m:t>
                      </m:r>
                    </m:sup>
                  </m:sSup>
                </m:e>
              </m:d>
              <m:r>
                <m:rPr>
                  <m:sty m:val="p"/>
                </m:rPr>
                <w:rPr>
                  <w:rFonts w:ascii="Cambria Math" w:hAnsi="Cambria Math"/>
                </w:rPr>
                <m:t>.</m:t>
              </m:r>
              <m:r>
                <w:rPr>
                  <w:rFonts w:ascii="Cambria Math" w:hAnsi="Cambria Math"/>
                </w:rPr>
                <m:t> </m:t>
              </m:r>
            </m:e>
          </m:borderBox>
        </m:oMath>
      </m:oMathPara>
    </w:p>
    <w:p w14:paraId="1D7E1709" w14:textId="77777777" w:rsidR="00937C4A" w:rsidRDefault="00000000">
      <w:r>
        <w:t xml:space="preserve">Energy is multiplied by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at each impact. Note that </w:t>
      </w:r>
      <m:oMath>
        <m:r>
          <w:rPr>
            <w:rFonts w:ascii="Cambria Math" w:hAnsi="Cambria Math"/>
          </w:rPr>
          <m:t>r</m:t>
        </m:r>
      </m:oMath>
      <w:r>
        <w:t xml:space="preserve"> depends only on </w:t>
      </w:r>
      <m:oMath>
        <m:r>
          <w:rPr>
            <w:rFonts w:ascii="Cambria Math" w:hAnsi="Cambria Math"/>
          </w:rPr>
          <m:t>α</m:t>
        </m:r>
      </m:oMath>
      <w:r>
        <w:t>: slender blocks lose almost nothing per impact (</w:t>
      </w:r>
      <m:oMath>
        <m:r>
          <w:rPr>
            <w:rFonts w:ascii="Cambria Math" w:hAnsi="Cambria Math"/>
          </w:rPr>
          <m:t>r</m:t>
        </m:r>
        <m:r>
          <m:rPr>
            <m:sty m:val="p"/>
          </m:rPr>
          <w:rPr>
            <w:rFonts w:ascii="Cambria Math" w:hAnsi="Cambria Math"/>
          </w:rPr>
          <m:t>→</m:t>
        </m:r>
        <m:r>
          <w:rPr>
            <w:rFonts w:ascii="Cambria Math" w:hAnsi="Cambria Math"/>
          </w:rPr>
          <m:t>1</m:t>
        </m:r>
      </m:oMath>
      <w:r>
        <w:t xml:space="preserve"> as </w:t>
      </w:r>
      <m:oMath>
        <m:r>
          <w:rPr>
            <w:rFonts w:ascii="Cambria Math" w:hAnsi="Cambria Math"/>
          </w:rPr>
          <m:t>α</m:t>
        </m:r>
        <m:r>
          <m:rPr>
            <m:sty m:val="p"/>
          </m:rPr>
          <w:rPr>
            <w:rFonts w:ascii="Cambria Math" w:hAnsi="Cambria Math"/>
          </w:rPr>
          <m:t>→</m:t>
        </m:r>
        <m:r>
          <w:rPr>
            <w:rFonts w:ascii="Cambria Math" w:hAnsi="Cambria Math"/>
          </w:rPr>
          <m:t>0</m:t>
        </m:r>
      </m:oMath>
      <w:r>
        <w:t xml:space="preserve">), squat blocks lose a great deal. A block with </w:t>
      </w:r>
      <m:oMath>
        <m:r>
          <w:rPr>
            <w:rFonts w:ascii="Cambria Math" w:hAnsi="Cambria Math"/>
          </w:rPr>
          <m:t>α</m:t>
        </m:r>
        <m:r>
          <m:rPr>
            <m:sty m:val="p"/>
          </m:rPr>
          <w:rPr>
            <w:rFonts w:ascii="Cambria Math" w:hAnsi="Cambria Math"/>
          </w:rPr>
          <m:t>&gt;arcsin</m:t>
        </m:r>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3</m:t>
            </m:r>
          </m:e>
        </m:rad>
        <m:r>
          <m:rPr>
            <m:sty m:val="p"/>
          </m:rPr>
          <w:rPr>
            <w:rFonts w:ascii="Cambria Math" w:hAnsi="Cambria Math"/>
          </w:rPr>
          <m:t>=</m:t>
        </m:r>
        <m:r>
          <w:rPr>
            <w:rFonts w:ascii="Cambria Math" w:hAnsi="Cambria Math"/>
          </w:rPr>
          <m:t>0.9553</m:t>
        </m:r>
      </m:oMath>
      <w:r>
        <w:t xml:space="preserve"> rad has </w:t>
      </w:r>
      <m:oMath>
        <m:r>
          <w:rPr>
            <w:rFonts w:ascii="Cambria Math" w:hAnsi="Cambria Math"/>
          </w:rPr>
          <m:t>r</m:t>
        </m:r>
        <m:r>
          <m:rPr>
            <m:sty m:val="p"/>
          </m:rPr>
          <w:rPr>
            <w:rFonts w:ascii="Cambria Math" w:hAnsi="Cambria Math"/>
          </w:rPr>
          <m:t>&lt;</m:t>
        </m:r>
        <m:r>
          <w:rPr>
            <w:rFonts w:ascii="Cambria Math" w:hAnsi="Cambria Math"/>
          </w:rPr>
          <m:t>0</m:t>
        </m:r>
      </m:oMath>
      <w:r>
        <w:t>, which the model interprets as the block bouncing back — the point at which the idealisation stops meaning anything.</w:t>
      </w:r>
    </w:p>
    <w:p w14:paraId="09466CB2" w14:textId="77777777" w:rsidR="00937C4A" w:rsidRDefault="00000000">
      <w:pPr>
        <w:pStyle w:val="BodyText"/>
      </w:pPr>
      <w:r>
        <w:rPr>
          <w:b/>
          <w:bCs/>
        </w:rPr>
        <w:t xml:space="preserve">The status of </w:t>
      </w:r>
      <m:oMath>
        <m:r>
          <w:rPr>
            <w:rFonts w:ascii="Cambria Math" w:hAnsi="Cambria Math"/>
          </w:rPr>
          <m:t>r</m:t>
        </m:r>
      </m:oMath>
      <w:r>
        <w:rPr>
          <w:b/>
          <w:bCs/>
        </w:rPr>
        <w:t>.</w:t>
      </w:r>
      <w:r>
        <w:t xml:space="preserve"> This derivation is clean and it is the reason the model is teachable. It is also the assumption experiment most reliably breaks. Real restitution varies with impact velocity, with the microscopic state of the contact, and with where on the base the impact occurs. For a rock with a concealed irregular basal contact it is not a scalar at all. Chapter 8 replaces it; this chapter uses it because everything downstream in Part II depends on it being a number.</w:t>
      </w:r>
    </w:p>
    <w:p w14:paraId="6DC49385" w14:textId="77777777" w:rsidR="00937C4A" w:rsidRDefault="00000000">
      <w:pPr>
        <w:pStyle w:val="Heading3"/>
      </w:pPr>
      <w:bookmarkStart w:id="27" w:name="X0cadb8fc7f070e821479205fcd0b99a0e0f6c41"/>
      <w:bookmarkEnd w:id="26"/>
      <w:r>
        <w:rPr>
          <w:rFonts w:ascii="Noto Sans" w:eastAsia="Noto Sans" w:hAnsi="Noto Sans"/>
        </w:rPr>
        <w:t>4.4 The structural fact: this system is hyperbolic</w:t>
      </w:r>
    </w:p>
    <w:p w14:paraId="295C51A0" w14:textId="77777777" w:rsidR="00937C4A" w:rsidRDefault="00000000">
      <w:r>
        <w:t xml:space="preserve">Linearise about </w:t>
      </w:r>
      <m:oMath>
        <m:r>
          <w:rPr>
            <w:rFonts w:ascii="Cambria Math" w:hAnsi="Cambria Math"/>
          </w:rPr>
          <m:t>θ</m:t>
        </m:r>
        <m:r>
          <m:rPr>
            <m:sty m:val="p"/>
          </m:rPr>
          <w:rPr>
            <w:rFonts w:ascii="Cambria Math" w:hAnsi="Cambria Math"/>
          </w:rPr>
          <m:t>=</m:t>
        </m:r>
        <m:r>
          <w:rPr>
            <w:rFonts w:ascii="Cambria Math" w:hAnsi="Cambria Math"/>
          </w:rPr>
          <m:t>0</m:t>
        </m:r>
      </m:oMath>
      <w:r>
        <w:t xml:space="preserve">. With </w:t>
      </w:r>
      <m:oMath>
        <m:r>
          <m:rPr>
            <m:sty m:val="p"/>
          </m:rPr>
          <w:rPr>
            <w:rFonts w:ascii="Cambria Math" w:hAnsi="Cambria Math"/>
          </w:rPr>
          <m:t>sin</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θ</m:t>
        </m:r>
      </m:oMath>
      <w:r>
        <w:t xml:space="preserve"> and </w:t>
      </w:r>
      <m:oMath>
        <m:r>
          <m:rPr>
            <m:sty m:val="p"/>
          </m:rPr>
          <w:rPr>
            <w:rFonts w:ascii="Cambria Math" w:hAnsi="Cambria Math"/>
          </w:rPr>
          <m:t>cos≈</m:t>
        </m:r>
        <m:r>
          <w:rPr>
            <w:rFonts w:ascii="Cambria Math" w:hAnsi="Cambria Math"/>
          </w:rPr>
          <m:t>1</m:t>
        </m:r>
      </m:oMath>
      <w:r>
        <w:t xml:space="preserve">, and in dimensionless time </w:t>
      </w:r>
      <m:oMath>
        <m:r>
          <w:rPr>
            <w:rFonts w:ascii="Cambria Math" w:hAnsi="Cambria Math"/>
          </w:rPr>
          <m:t>τ</m:t>
        </m:r>
        <m:r>
          <m:rPr>
            <m:sty m:val="p"/>
          </m:rPr>
          <w:rPr>
            <w:rFonts w:ascii="Cambria Math" w:hAnsi="Cambria Math"/>
          </w:rPr>
          <m:t>=</m:t>
        </m:r>
        <m:r>
          <w:rPr>
            <w:rFonts w:ascii="Cambria Math" w:hAnsi="Cambria Math"/>
          </w:rPr>
          <m:t>pt</m:t>
        </m:r>
      </m:oMath>
      <w:r>
        <w:t>,</w:t>
      </w:r>
    </w:p>
    <w:p w14:paraId="55B427CA" w14:textId="77777777" w:rsidR="00937C4A" w:rsidRDefault="00000000">
      <w:pPr>
        <w:pStyle w:val="BodyText"/>
        <w:spacing w:before="100" w:after="140"/>
        <w:jc w:val="center"/>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 </m:t>
          </m:r>
          <m:r>
            <m:rPr>
              <m:sty m:val="p"/>
            </m:rPr>
            <w:rPr>
              <w:rFonts w:ascii="Cambria Math" w:hAnsi="Cambria Math"/>
            </w:rPr>
            <m:t>sgn</m:t>
          </m:r>
          <m:r>
            <w:rPr>
              <w:rFonts w:ascii="Cambria Math" w:hAnsi="Cambria Math"/>
            </w:rPr>
            <m:t> θ</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τ</m:t>
              </m:r>
            </m:e>
          </m:d>
          <m:r>
            <m:rPr>
              <m:sty m:val="p"/>
            </m:rPr>
            <w:rPr>
              <w:rFonts w:ascii="Cambria Math" w:hAnsi="Cambria Math"/>
            </w:rPr>
            <m:t>.</m:t>
          </m:r>
        </m:oMath>
      </m:oMathPara>
    </w:p>
    <w:p w14:paraId="7B6740DA" w14:textId="77777777" w:rsidR="00937C4A" w:rsidRDefault="00000000">
      <w:r>
        <w:t xml:space="preserve">Read that carefully. The unforced homogeneous equation is </w:t>
      </w:r>
      <m:oMath>
        <m:r>
          <w:rPr>
            <w:rFonts w:ascii="Cambria Math" w:hAnsi="Cambria Math"/>
          </w:rPr>
          <m:t>θ</m:t>
        </m:r>
        <m:r>
          <m:rPr>
            <m:sty m:val="p"/>
          </m:rPr>
          <w:rPr>
            <w:rFonts w:ascii="Cambria Math" w:hAnsi="Cambria Math"/>
          </w:rPr>
          <m:t>″=</m:t>
        </m:r>
        <m:r>
          <w:rPr>
            <w:rFonts w:ascii="Cambria Math" w:hAnsi="Cambria Math"/>
          </w:rPr>
          <m:t>θ</m:t>
        </m:r>
      </m:oMath>
      <w:r>
        <w:t xml:space="preserve">, with eigenvalues </w:t>
      </w:r>
      <m:oMath>
        <m:r>
          <m:rPr>
            <m:sty m:val="p"/>
          </m:rPr>
          <w:rPr>
            <w:rFonts w:ascii="Cambria Math" w:hAnsi="Cambria Math"/>
          </w:rPr>
          <m:t>±</m:t>
        </m:r>
        <m:r>
          <w:rPr>
            <w:rFonts w:ascii="Cambria Math" w:hAnsi="Cambria Math"/>
          </w:rPr>
          <m:t>1</m:t>
        </m:r>
      </m:oMath>
      <w:r>
        <w:t xml:space="preserve"> — </w:t>
      </w:r>
      <w:r>
        <w:rPr>
          <w:b/>
          <w:bCs/>
        </w:rPr>
        <w:t>real</w:t>
      </w:r>
      <w:r>
        <w:t xml:space="preserve">, not imaginary. The free system does not oscillate. It grows and decays exponentially, and the balance points </w:t>
      </w:r>
      <m:oMath>
        <m:d>
          <m:dPr>
            <m:ctrlPr>
              <w:rPr>
                <w:rFonts w:ascii="Cambria Math" w:hAnsi="Cambria Math"/>
              </w:rPr>
            </m:ctrlPr>
          </m:dPr>
          <m:e>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m:t>
            </m:r>
          </m:e>
        </m:d>
      </m:oMath>
      <w:r>
        <w:t xml:space="preserve"> are saddles.</w:t>
      </w:r>
    </w:p>
    <w:p w14:paraId="432FEE8B" w14:textId="77777777" w:rsidR="00937C4A" w:rsidRDefault="00000000">
      <w:pPr>
        <w:pStyle w:val="BodyText"/>
      </w:pPr>
      <w:r>
        <w:t>The consequences are not subtle.</w:t>
      </w:r>
    </w:p>
    <w:p w14:paraId="20DF345F" w14:textId="77777777" w:rsidR="00937C4A" w:rsidRDefault="00000000">
      <w:pPr>
        <w:pStyle w:val="BodyText"/>
      </w:pPr>
      <w:r>
        <w:rPr>
          <w:b/>
          <w:bCs/>
        </w:rPr>
        <w:t>There is no natural frequency.</w:t>
      </w:r>
      <w:r>
        <w:t xml:space="preserve"> The quantity </w:t>
      </w:r>
      <m:oMath>
        <m:r>
          <w:rPr>
            <w:rFonts w:ascii="Cambria Math" w:hAnsi="Cambria Math"/>
          </w:rPr>
          <m:t>p</m:t>
        </m:r>
      </m:oMath>
      <w:r>
        <w:t xml:space="preserve"> is the exponential rate, not a circular frequency. Nothing resonates with it.</w:t>
      </w:r>
    </w:p>
    <w:p w14:paraId="2DE8ED3D" w14:textId="77777777" w:rsidR="00937C4A" w:rsidRDefault="00000000">
      <w:pPr>
        <w:pStyle w:val="BodyText"/>
      </w:pPr>
      <w:r>
        <w:rPr>
          <w:b/>
          <w:bCs/>
        </w:rPr>
        <w:t>The free-rocking period depends on amplitude, and does so backwards.</w:t>
      </w:r>
      <w:r>
        <w:t xml:space="preserve"> Released from rest at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write </w:t>
      </w:r>
      <m:oMath>
        <m:r>
          <w:rPr>
            <w:rFonts w:ascii="Cambria Math" w:hAnsi="Cambria Math"/>
          </w:rPr>
          <m:t>ψ</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oMath>
      <w:r>
        <w:t xml:space="preserve">, so </w:t>
      </w:r>
      <m:oMath>
        <m:r>
          <w:rPr>
            <w:rFonts w:ascii="Cambria Math" w:hAnsi="Cambria Math"/>
          </w:rPr>
          <m:t>ψ</m:t>
        </m:r>
        <m:r>
          <m:rPr>
            <m:sty m:val="p"/>
          </m:rPr>
          <w:rPr>
            <w:rFonts w:ascii="Cambria Math" w:hAnsi="Cambria Math"/>
          </w:rPr>
          <m:t>″=</m:t>
        </m:r>
        <m:r>
          <w:rPr>
            <w:rFonts w:ascii="Cambria Math" w:hAnsi="Cambria Math"/>
          </w:rPr>
          <m:t>ψ</m:t>
        </m:r>
      </m:oMath>
      <w:r>
        <w:t xml:space="preserve"> and </w:t>
      </w:r>
      <m:oMath>
        <m:r>
          <w:rPr>
            <w:rFonts w:ascii="Cambria Math" w:hAnsi="Cambria Math"/>
          </w:rPr>
          <m:t>ψ</m:t>
        </m:r>
        <m:d>
          <m:dPr>
            <m:ctrlPr>
              <w:rPr>
                <w:rFonts w:ascii="Cambria Math" w:hAnsi="Cambria Math"/>
              </w:rPr>
            </m:ctrlPr>
          </m:dPr>
          <m:e>
            <m:r>
              <w:rPr>
                <w:rFonts w:ascii="Cambria Math" w:hAnsi="Cambria Math"/>
              </w:rPr>
              <m:t>τ</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α</m:t>
            </m:r>
          </m:e>
        </m:d>
        <m:r>
          <m:rPr>
            <m:sty m:val="p"/>
          </m:rPr>
          <w:rPr>
            <w:rFonts w:ascii="Cambria Math" w:hAnsi="Cambria Math"/>
          </w:rPr>
          <m:t>cosh</m:t>
        </m:r>
        <m:r>
          <w:rPr>
            <w:rFonts w:ascii="Cambria Math" w:hAnsi="Cambria Math"/>
          </w:rPr>
          <m:t>τ</m:t>
        </m:r>
      </m:oMath>
      <w:r>
        <w:t xml:space="preserve">. The block reaches </w:t>
      </w:r>
      <m:oMath>
        <m:r>
          <w:rPr>
            <w:rFonts w:ascii="Cambria Math" w:hAnsi="Cambria Math"/>
          </w:rPr>
          <m:t>θ</m:t>
        </m:r>
        <m:r>
          <m:rPr>
            <m:sty m:val="p"/>
          </m:rPr>
          <w:rPr>
            <w:rFonts w:ascii="Cambria Math" w:hAnsi="Cambria Math"/>
          </w:rPr>
          <m:t>=</m:t>
        </m:r>
        <m:r>
          <w:rPr>
            <w:rFonts w:ascii="Cambria Math" w:hAnsi="Cambria Math"/>
          </w:rPr>
          <m:t>0</m:t>
        </m:r>
      </m:oMath>
      <w:r>
        <w:t xml:space="preserve"> when </w:t>
      </w:r>
      <m:oMath>
        <m:r>
          <m:rPr>
            <m:sty m:val="p"/>
          </m:rPr>
          <w:rPr>
            <w:rFonts w:ascii="Cambria Math" w:hAnsi="Cambria Math"/>
          </w:rPr>
          <m:t>cosh</m:t>
        </m:r>
        <m:r>
          <w:rPr>
            <w:rFonts w:ascii="Cambria Math" w:hAnsi="Cambria Math"/>
          </w:rPr>
          <m:t>τ</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oMath>
      <w:r>
        <w:t>, giving Housner’s period</w:t>
      </w:r>
    </w:p>
    <w:p w14:paraId="5BE216FF"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rock</m:t>
              </m:r>
            </m:sub>
          </m:sSub>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p</m:t>
              </m:r>
            </m:den>
          </m:f>
          <m:r>
            <w:rPr>
              <w:rFonts w:ascii="Cambria Math" w:hAnsi="Cambria Math"/>
            </w:rPr>
            <m:t> </m:t>
          </m:r>
          <m:sSup>
            <m:sSupPr>
              <m:ctrlPr>
                <w:rPr>
                  <w:rFonts w:ascii="Cambria Math" w:hAnsi="Cambria Math"/>
                </w:rPr>
              </m:ctrlPr>
            </m:sSupPr>
            <m:e>
              <m:r>
                <m:rPr>
                  <m:sty m:val="p"/>
                </m:rPr>
                <w:rPr>
                  <w:rFonts w:ascii="Cambria Math" w:hAnsi="Cambria Math"/>
                </w:rPr>
                <m:t>cosh</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α</m:t>
                  </m:r>
                </m:den>
              </m:f>
            </m:e>
          </m:d>
          <m:r>
            <m:rPr>
              <m:sty m:val="p"/>
            </m:rPr>
            <w:rPr>
              <w:rFonts w:ascii="Cambria Math" w:hAnsi="Cambria Math"/>
            </w:rPr>
            <m:t>.</m:t>
          </m:r>
        </m:oMath>
      </m:oMathPara>
    </w:p>
    <w:p w14:paraId="0B992CAD" w14:textId="77777777" w:rsidR="00937C4A" w:rsidRDefault="00000000">
      <w:r>
        <w:t xml:space="preserve">As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m:t>
        </m:r>
      </m:oMath>
      <w:r>
        <w:t xml:space="preserve"> the period tends to </w:t>
      </w:r>
      <w:r>
        <w:rPr>
          <w:b/>
          <w:bCs/>
        </w:rPr>
        <w:t>zero</w:t>
      </w:r>
      <w:r>
        <w:t xml:space="preserve">; as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α</m:t>
        </m:r>
      </m:oMath>
      <w:r>
        <w:t xml:space="preserve"> it tends to </w:t>
      </w:r>
      <w:r>
        <w:rPr>
          <w:b/>
          <w:bCs/>
        </w:rPr>
        <w:t>infinity</w:t>
      </w:r>
      <w:r>
        <w:t>. Small rocking is fast; large rocking is arbitrarily slow. A linear oscillator has a period independent of amplitude; a softening oscillator lengthens gently. This lengthens without bound, because near the balance point the restoring moment vanishes and the block dawdles at the top.</w:t>
      </w:r>
    </w:p>
    <w:p w14:paraId="0E539BE1" w14:textId="77777777" w:rsidR="00937C4A" w:rsidRDefault="00000000">
      <w:pPr>
        <w:pStyle w:val="BodyText"/>
      </w:pPr>
      <w:r>
        <w:rPr>
          <w:b/>
          <w:bCs/>
        </w:rPr>
        <w:t>Therefore no response spectrum applies.</w:t>
      </w:r>
      <w:r>
        <w:t xml:space="preserve"> A rocking block cannot be assigned an equivalent single-degree-of-freedom oscillator, because the map from amplitude to period is not a property of the system but of the trajectory. Makris and Konstantinidis made this point with some force two decades ago and it is still routinely ignored in practice.</w:t>
      </w:r>
    </w:p>
    <w:p w14:paraId="388FAE9A" w14:textId="77777777" w:rsidR="00937C4A" w:rsidRDefault="00000000">
      <w:pPr>
        <w:pStyle w:val="BodyText"/>
      </w:pPr>
      <w:r>
        <w:rPr>
          <w:b/>
          <w:bCs/>
        </w:rPr>
        <w:lastRenderedPageBreak/>
        <w:t>And therefore the size effect is not a stiffness effect.</w:t>
      </w:r>
      <w:r>
        <w:t xml:space="preserve"> Two geometrically similar blocks share </w:t>
      </w:r>
      <m:oMath>
        <m:r>
          <w:rPr>
            <w:rFonts w:ascii="Cambria Math" w:hAnsi="Cambria Math"/>
          </w:rPr>
          <m:t>α</m:t>
        </m:r>
      </m:oMath>
      <w:r>
        <w:t xml:space="preserve"> exactly, hence share </w:t>
      </w:r>
      <m:oMath>
        <m:r>
          <w:rPr>
            <w:rFonts w:ascii="Cambria Math" w:hAnsi="Cambria Math"/>
          </w:rPr>
          <m:t>r</m:t>
        </m:r>
      </m:oMath>
      <w:r>
        <w:t xml:space="preserve"> exactly, hence share the uplift threshold exactly. What they do not share is </w:t>
      </w:r>
      <m:oMath>
        <m:r>
          <w:rPr>
            <w:rFonts w:ascii="Cambria Math" w:hAnsi="Cambria Math"/>
          </w:rPr>
          <m:t>p</m:t>
        </m:r>
        <m:r>
          <m:rPr>
            <m:sty m:val="p"/>
          </m:rPr>
          <w:rPr>
            <w:rFonts w:ascii="Cambria Math" w:hAnsi="Cambria Math"/>
          </w:rPr>
          <m:t>=</m:t>
        </m:r>
        <m:rad>
          <m:radPr>
            <m:degHide m:val="1"/>
            <m:ctrlPr>
              <w:rPr>
                <w:rFonts w:ascii="Cambria Math" w:hAnsi="Cambria Math"/>
              </w:rPr>
            </m:ctrlPr>
          </m:radPr>
          <m:deg/>
          <m:e>
            <m:r>
              <w:rPr>
                <w:rFonts w:ascii="Cambria Math" w:hAnsi="Cambria Math"/>
              </w:rPr>
              <m:t>3g</m:t>
            </m:r>
            <m:r>
              <m:rPr>
                <m:sty m:val="p"/>
              </m:rPr>
              <w:rPr>
                <w:rFonts w:ascii="Cambria Math" w:hAnsi="Cambria Math"/>
              </w:rPr>
              <m:t>/</m:t>
            </m:r>
            <m:r>
              <w:rPr>
                <w:rFonts w:ascii="Cambria Math" w:hAnsi="Cambria Math"/>
              </w:rPr>
              <m:t>4R</m:t>
            </m:r>
          </m:e>
        </m:rad>
      </m:oMath>
      <w:r>
        <w:t>. The larger block has a slower rate. Everything that distinguishes the tor from the cairn passes through that one parameter, and Chapter 5 works out what it does.</w:t>
      </w:r>
    </w:p>
    <w:p w14:paraId="7B2A15B2" w14:textId="77777777" w:rsidR="00937C4A" w:rsidRDefault="00000000">
      <w:pPr>
        <w:pStyle w:val="Heading3"/>
      </w:pPr>
      <w:bookmarkStart w:id="28" w:name="what-to-carry-forward"/>
      <w:bookmarkEnd w:id="27"/>
      <w:r>
        <w:rPr>
          <w:rFonts w:ascii="Noto Sans" w:eastAsia="Noto Sans" w:hAnsi="Noto Sans"/>
        </w:rPr>
        <w:t>4.5 What to carry forward</w:t>
      </w:r>
    </w:p>
    <w:p w14:paraId="188F4002" w14:textId="77777777" w:rsidR="00937C4A" w:rsidRDefault="00000000">
      <w:r>
        <w:t>Three things.</w:t>
      </w:r>
    </w:p>
    <w:p w14:paraId="4A974765" w14:textId="77777777" w:rsidR="00937C4A" w:rsidRDefault="00000000">
      <w:pPr>
        <w:numPr>
          <w:ilvl w:val="0"/>
          <w:numId w:val="22"/>
        </w:numPr>
      </w:pPr>
      <w:r>
        <w:t xml:space="preserve">The system is a planar </w:t>
      </w:r>
      <w:r>
        <w:rPr>
          <w:b/>
          <w:bCs/>
        </w:rPr>
        <w:t>impulsive hybrid system</w:t>
      </w:r>
      <w:r>
        <w:t xml:space="preserve">: smooth flow on </w:t>
      </w:r>
      <m:oMath>
        <m:r>
          <w:rPr>
            <w:rFonts w:ascii="Cambria Math" w:hAnsi="Cambria Math"/>
          </w:rPr>
          <m:t>θ</m:t>
        </m:r>
        <m:r>
          <m:rPr>
            <m:sty m:val="p"/>
          </m:rPr>
          <w:rPr>
            <w:rFonts w:ascii="Cambria Math" w:hAnsi="Cambria Math"/>
          </w:rPr>
          <m:t>≷</m:t>
        </m:r>
        <m:r>
          <w:rPr>
            <w:rFonts w:ascii="Cambria Math" w:hAnsi="Cambria Math"/>
          </w:rPr>
          <m:t>0</m:t>
        </m:r>
      </m:oMath>
      <w:r>
        <w:t xml:space="preserve">, reset at </w:t>
      </w:r>
      <m:oMath>
        <m:r>
          <w:rPr>
            <w:rFonts w:ascii="Cambria Math" w:hAnsi="Cambria Math"/>
          </w:rPr>
          <m:t>θ</m:t>
        </m:r>
        <m:r>
          <m:rPr>
            <m:sty m:val="p"/>
          </m:rPr>
          <w:rPr>
            <w:rFonts w:ascii="Cambria Math" w:hAnsi="Cambria Math"/>
          </w:rPr>
          <m:t>=</m:t>
        </m:r>
        <m:r>
          <w:rPr>
            <w:rFonts w:ascii="Cambria Math" w:hAnsi="Cambria Math"/>
          </w:rPr>
          <m:t>0</m:t>
        </m:r>
      </m:oMath>
      <w:r>
        <w:t>.</w:t>
      </w:r>
    </w:p>
    <w:p w14:paraId="289AD026" w14:textId="77777777" w:rsidR="00937C4A" w:rsidRDefault="00000000">
      <w:pPr>
        <w:numPr>
          <w:ilvl w:val="0"/>
          <w:numId w:val="22"/>
        </w:numPr>
      </w:pPr>
      <w:r>
        <w:t xml:space="preserve">The balance points are </w:t>
      </w:r>
      <w:r>
        <w:rPr>
          <w:b/>
          <w:bCs/>
        </w:rPr>
        <w:t>saddles</w:t>
      </w:r>
      <w:r>
        <w:t>, so there is a separatrix, so there is a stable and an unstable manifold, so Melnikov theory has something to bite on. Chapter 6 bites.</w:t>
      </w:r>
    </w:p>
    <w:p w14:paraId="56300F34" w14:textId="77777777" w:rsidR="00937C4A" w:rsidRDefault="00000000">
      <w:pPr>
        <w:numPr>
          <w:ilvl w:val="0"/>
          <w:numId w:val="22"/>
        </w:numPr>
      </w:pPr>
      <w:r>
        <w:t xml:space="preserve">The only parameter that breaks geometric similarity is </w:t>
      </w:r>
      <m:oMath>
        <m:r>
          <w:rPr>
            <w:rFonts w:ascii="Cambria Math" w:hAnsi="Cambria Math"/>
          </w:rPr>
          <m:t>p</m:t>
        </m:r>
      </m:oMath>
      <w:r>
        <w:t xml:space="preserve">, and it appears everywhere downstream in the combination </w:t>
      </w:r>
      <m:oMath>
        <m:r>
          <w:rPr>
            <w:rFonts w:ascii="Cambria Math" w:hAnsi="Cambria Math"/>
          </w:rPr>
          <m:t>Ω</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p</m:t>
        </m:r>
      </m:oMath>
      <w:r>
        <w:t xml:space="preserve">, equivalently </w:t>
      </w:r>
      <m:oMath>
        <m:r>
          <w:rPr>
            <w:rFonts w:ascii="Cambria Math" w:hAnsi="Cambria Math"/>
          </w:rPr>
          <m:t>2π</m:t>
        </m:r>
        <m:r>
          <m:rPr>
            <m:sty m:val="p"/>
          </m:rPr>
          <w:rPr>
            <w:rFonts w:ascii="Cambria Math" w:hAnsi="Cambria Math"/>
          </w:rPr>
          <m:t>/</m:t>
        </m:r>
        <m:r>
          <w:rPr>
            <w:rFonts w:ascii="Cambria Math" w:hAnsi="Cambria Math"/>
          </w:rPr>
          <m:t>pT</m:t>
        </m:r>
      </m:oMath>
      <w:r>
        <w:t>.</w:t>
      </w:r>
    </w:p>
    <w:p w14:paraId="0CC43016" w14:textId="77777777" w:rsidR="00937C4A" w:rsidRDefault="00000000">
      <w:pPr>
        <w:pStyle w:val="Heading2"/>
        <w:pageBreakBefore/>
        <w:pBdr>
          <w:bottom w:val="single" w:sz="5" w:space="5" w:color="B8C1C6"/>
        </w:pBdr>
        <w:spacing w:after="280"/>
      </w:pPr>
      <w:bookmarkStart w:id="29" w:name="chapter-5-uplift-is-not-overturning"/>
      <w:bookmarkEnd w:id="23"/>
      <w:bookmarkEnd w:id="28"/>
      <w:r>
        <w:rPr>
          <w:rFonts w:ascii="EB Garamond" w:eastAsia="EB Garamond" w:hAnsi="EB Garamond"/>
          <w:sz w:val="40"/>
        </w:rPr>
        <w:lastRenderedPageBreak/>
        <w:t>Chapter 5 — Uplift Is Not Overturning</w:t>
      </w:r>
    </w:p>
    <w:p w14:paraId="5D756893" w14:textId="77777777" w:rsidR="00937C4A" w:rsidRDefault="00000000">
      <w:pPr>
        <w:pStyle w:val="Heading3"/>
      </w:pPr>
      <w:bookmarkStart w:id="30" w:name="the-condition-that-is-not-the-condition"/>
      <w:r>
        <w:rPr>
          <w:rFonts w:ascii="Noto Sans" w:eastAsia="Noto Sans" w:hAnsi="Noto Sans"/>
        </w:rPr>
        <w:t>5.1 The condition that is not the condition</w:t>
      </w:r>
    </w:p>
    <w:p w14:paraId="7C39AC29" w14:textId="77777777" w:rsidR="00937C4A" w:rsidRDefault="00000000">
      <w:r>
        <w:t xml:space="preserve">Set </w:t>
      </w:r>
      <m:oMath>
        <m:r>
          <w:rPr>
            <w:rFonts w:ascii="Cambria Math" w:hAnsi="Cambria Math"/>
          </w:rPr>
          <m:t>θ</m:t>
        </m:r>
        <m:r>
          <m:rPr>
            <m:sty m:val="p"/>
          </m:rPr>
          <w:rPr>
            <w:rFonts w:ascii="Cambria Math" w:hAnsi="Cambria Math"/>
          </w:rPr>
          <m:t>=</m:t>
        </m:r>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0</m:t>
        </m:r>
      </m:oMath>
      <w:r>
        <w:t xml:space="preserve"> and ask when the block can begin to rotate. Taking moments about the downwind corner, rotation initiates when the overturning moment from the base acceleration exceeds the restoring moment from gravity:</w:t>
      </w:r>
    </w:p>
    <w:p w14:paraId="4B8E9C27" w14:textId="77777777" w:rsidR="00937C4A" w:rsidRDefault="00000000">
      <w:pPr>
        <w:pStyle w:val="BodyText"/>
        <w:spacing w:before="100" w:after="140"/>
        <w:jc w:val="center"/>
      </w:pPr>
      <m:oMathPara>
        <m:oMathParaPr>
          <m:jc m:val="center"/>
        </m:oMathParaP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g</m:t>
                      </m:r>
                    </m:sub>
                  </m:sSub>
                </m:num>
                <m:den>
                  <m:r>
                    <w:rPr>
                      <w:rFonts w:ascii="Cambria Math" w:hAnsi="Cambria Math"/>
                    </w:rPr>
                    <m:t>g</m:t>
                  </m:r>
                </m:den>
              </m:f>
            </m:e>
          </m:d>
          <m:r>
            <m:rPr>
              <m:sty m:val="p"/>
            </m:rPr>
            <w:rPr>
              <w:rFonts w:ascii="Cambria Math" w:hAnsi="Cambria Math"/>
            </w:rPr>
            <m:t>&gt;tan</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h</m:t>
              </m:r>
            </m:den>
          </m:f>
          <m:r>
            <m:rPr>
              <m:sty m:val="p"/>
            </m:rPr>
            <w:rPr>
              <w:rFonts w:ascii="Cambria Math" w:hAnsi="Cambria Math"/>
            </w:rPr>
            <m:t>.</m:t>
          </m:r>
        </m:oMath>
      </m:oMathPara>
    </w:p>
    <w:p w14:paraId="3909565D" w14:textId="77777777" w:rsidR="00937C4A" w:rsidRDefault="00000000">
      <w:r>
        <w:t xml:space="preserve">This is correct, it is elementary, and it is quoted far more often than it deserves to be. What it says is that </w:t>
      </w:r>
      <w:r>
        <w:rPr>
          <w:i/>
          <w:iCs/>
        </w:rPr>
        <w:t>one edge loses contact</w:t>
      </w:r>
      <w:r>
        <w:t>. It says nothing whatever about whether the centre of mass will cross the vertical through the new pivot, which is what toppling requires.</w:t>
      </w:r>
    </w:p>
    <w:p w14:paraId="36431197" w14:textId="77777777" w:rsidR="00937C4A" w:rsidRDefault="00000000">
      <w:pPr>
        <w:pStyle w:val="BodyText"/>
      </w:pPr>
      <w:r>
        <w:t xml:space="preserve">The distinction is not pedantic. In the quasi-static limit the two conditions coincide, because the block has time to complete its rotation while the acceleration persists. In every other limit they diverge, sometimes by more than an order of magnitude. A block can uplift a thousand times and never fall. A block can be pushed past </w:t>
      </w:r>
      <m:oMath>
        <m:r>
          <m:rPr>
            <m:sty m:val="p"/>
          </m:rPr>
          <w:rPr>
            <w:rFonts w:ascii="Cambria Math" w:hAnsi="Cambria Math"/>
          </w:rPr>
          <m:t>tan</m:t>
        </m:r>
        <m:r>
          <w:rPr>
            <w:rFonts w:ascii="Cambria Math" w:hAnsi="Cambria Math"/>
          </w:rPr>
          <m:t>α</m:t>
        </m:r>
      </m:oMath>
      <w:r>
        <w:t xml:space="preserve"> briefly and return, because the acceleration reverses before enough angular momentum has accumulated.</w:t>
      </w:r>
    </w:p>
    <w:p w14:paraId="4606A599" w14:textId="77777777" w:rsidR="00937C4A" w:rsidRDefault="00000000">
      <w:pPr>
        <w:pStyle w:val="BodyText"/>
      </w:pPr>
      <w:r>
        <w:t xml:space="preserve">The correct statement of toppling is a statement about a </w:t>
      </w:r>
      <w:r>
        <w:rPr>
          <w:b/>
          <w:bCs/>
        </w:rPr>
        <w:t>trajectory</w:t>
      </w:r>
      <w:r>
        <w:t>, not about an instant: the orbit must reach the separatrix</w:t>
      </w:r>
    </w:p>
    <w:p w14:paraId="080BACF6" w14:textId="77777777" w:rsidR="00937C4A" w:rsidRDefault="00000000">
      <w:pPr>
        <w:pStyle w:val="BodyText"/>
        <w:spacing w:before="100" w:after="140"/>
        <w:jc w:val="center"/>
      </w:pPr>
      <m:oMathPara>
        <m:oMathParaPr>
          <m:jc m:val="center"/>
        </m:oMathParaPr>
        <m:oMath>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θ</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+cos</m:t>
          </m:r>
          <m:d>
            <m:dPr>
              <m:ctrlPr>
                <w:rPr>
                  <w:rFonts w:ascii="Cambria Math" w:hAnsi="Cambria Math"/>
                </w:rPr>
              </m:ctrlPr>
            </m:dPr>
            <m:e>
              <m:r>
                <w:rPr>
                  <w:rFonts w:ascii="Cambria Math" w:hAnsi="Cambria Math"/>
                </w:rPr>
                <m:t>α</m:t>
              </m:r>
              <m:r>
                <m:rPr>
                  <m:sty m:val="p"/>
                </m:rPr>
                <w:rPr>
                  <w:rFonts w:ascii="Cambria Math" w:hAnsi="Cambria Math"/>
                </w:rPr>
                <m:t>-</m:t>
              </m:r>
              <m:d>
                <m:dPr>
                  <m:begChr m:val="|"/>
                  <m:endChr m:val="|"/>
                  <m:ctrlPr>
                    <w:rPr>
                      <w:rFonts w:ascii="Cambria Math" w:hAnsi="Cambria Math"/>
                    </w:rPr>
                  </m:ctrlPr>
                </m:dPr>
                <m:e>
                  <m:r>
                    <w:rPr>
                      <w:rFonts w:ascii="Cambria Math" w:hAnsi="Cambria Math"/>
                    </w:rPr>
                    <m:t>θ</m:t>
                  </m:r>
                </m:e>
              </m:d>
            </m:e>
          </m:d>
          <m:r>
            <m:rPr>
              <m:sty m:val="p"/>
            </m:rPr>
            <w:rPr>
              <w:rFonts w:ascii="Cambria Math" w:hAnsi="Cambria Math"/>
            </w:rPr>
            <m:t>=</m:t>
          </m:r>
          <m:r>
            <w:rPr>
              <w:rFonts w:ascii="Cambria Math" w:hAnsi="Cambria Math"/>
            </w:rPr>
            <m:t>1</m:t>
          </m:r>
        </m:oMath>
      </m:oMathPara>
    </w:p>
    <w:p w14:paraId="42F70CB1" w14:textId="77777777" w:rsidR="00937C4A" w:rsidRDefault="00000000">
      <w:r>
        <w:t>with enough kinetic energy not to fall back inside it. That is a condition on the whole history of the forcing, not on its peak.</w:t>
      </w:r>
    </w:p>
    <w:p w14:paraId="1AAECC67" w14:textId="77777777" w:rsidR="00937C4A" w:rsidRDefault="00000000">
      <w:pPr>
        <w:pStyle w:val="Heading3"/>
      </w:pPr>
      <w:bookmarkStart w:id="31" w:name="four-regimes-four-exponents"/>
      <w:bookmarkEnd w:id="30"/>
      <w:r>
        <w:rPr>
          <w:rFonts w:ascii="Noto Sans" w:eastAsia="Noto Sans" w:hAnsi="Noto Sans"/>
        </w:rPr>
        <w:t>5.2 Four regimes, four exponents</w:t>
      </w:r>
    </w:p>
    <w:p w14:paraId="3EE446B0" w14:textId="77777777" w:rsidR="00937C4A" w:rsidRDefault="00000000">
      <w:r>
        <w:t>Because the criterion is trajectory-level, the scale dependence of the threshold is not a single power law. It depends on which threshold you mean and which intensity measure you hold fixed. The working notes for this book asserted a single exponent and were rightly criticised for it. Here is the full accounting.</w:t>
      </w:r>
    </w:p>
    <w:p w14:paraId="56789B6A" w14:textId="77777777" w:rsidR="00937C4A" w:rsidRDefault="00000000">
      <w:pPr>
        <w:pStyle w:val="BodyText"/>
      </w:pPr>
      <w:r>
        <w:rPr>
          <w:b/>
          <w:bCs/>
        </w:rPr>
        <w:t xml:space="preserve">Regime I — quasi-static, </w:t>
      </w:r>
      <m:oMath>
        <m:r>
          <w:rPr>
            <w:rFonts w:ascii="Cambria Math" w:hAnsi="Cambria Math"/>
          </w:rPr>
          <m:t>pT</m:t>
        </m:r>
        <m:r>
          <m:rPr>
            <m:sty m:val="p"/>
          </m:rPr>
          <w:rPr>
            <w:rFonts w:ascii="Cambria Math" w:hAnsi="Cambria Math"/>
          </w:rPr>
          <m:t>≫</m:t>
        </m:r>
        <m:r>
          <w:rPr>
            <w:rFonts w:ascii="Cambria Math" w:hAnsi="Cambria Math"/>
          </w:rPr>
          <m:t>1</m:t>
        </m:r>
      </m:oMath>
      <w:r>
        <w:rPr>
          <w:b/>
          <w:bCs/>
        </w:rPr>
        <w:t>.</w:t>
      </w:r>
      <w:r>
        <w:t xml:space="preserve"> The forcing is slow compared with the rocking rate. The block follows the acceleration adiabatically and topples essentially when it uplifts.</w:t>
      </w:r>
    </w:p>
    <w:p w14:paraId="6BEF044D" w14:textId="77777777" w:rsidR="00937C4A" w:rsidRDefault="00000000">
      <w:pPr>
        <w:pStyle w:val="BodyText"/>
        <w:spacing w:before="100" w:after="140"/>
        <w:jc w:val="center"/>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cr</m:t>
                  </m:r>
                </m:sup>
              </m:sSup>
            </m:num>
            <m:den>
              <m:r>
                <w:rPr>
                  <w:rFonts w:ascii="Cambria Math" w:hAnsi="Cambria Math"/>
                </w:rPr>
                <m:t>g</m:t>
              </m:r>
            </m:den>
          </m:f>
          <m:r>
            <m:rPr>
              <m:sty m:val="p"/>
            </m:rPr>
            <w:rPr>
              <w:rFonts w:ascii="Cambria Math" w:hAnsi="Cambria Math"/>
            </w:rPr>
            <m:t>=tan</m:t>
          </m:r>
          <m:r>
            <w:rPr>
              <w:rFonts w:ascii="Cambria Math" w:hAnsi="Cambria Math"/>
            </w:rPr>
            <m:t>α</m:t>
          </m:r>
          <m:r>
            <m:rPr>
              <m:sty m:val="p"/>
            </m:rPr>
            <w:rPr>
              <w:rFonts w:ascii="Cambria Math" w:hAnsi="Cambria Math"/>
            </w:rPr>
            <m:t>,</m:t>
          </m:r>
          <m:r>
            <w:rPr>
              <w:rFonts w:ascii="Cambria Math" w:hAnsi="Cambria Math"/>
            </w:rPr>
            <m:t>  </m:t>
          </m:r>
          <m:r>
            <m:rPr>
              <m:nor/>
            </m:rPr>
            <m:t xml:space="preserve">scaling </m:t>
          </m:r>
          <m:sSup>
            <m:sSupPr>
              <m:ctrlPr>
                <w:rPr>
                  <w:rFonts w:ascii="Cambria Math" w:hAnsi="Cambria Math"/>
                </w:rPr>
              </m:ctrlPr>
            </m:sSupPr>
            <m:e>
              <m:r>
                <w:rPr>
                  <w:rFonts w:ascii="Cambria Math" w:hAnsi="Cambria Math"/>
                </w:rPr>
                <m:t>R</m:t>
              </m:r>
            </m:e>
            <m:sup>
              <m:r>
                <w:rPr>
                  <w:rFonts w:ascii="Cambria Math" w:hAnsi="Cambria Math"/>
                </w:rPr>
                <m:t>0</m:t>
              </m:r>
            </m:sup>
          </m:sSup>
          <m:r>
            <m:rPr>
              <m:sty m:val="p"/>
            </m:rPr>
            <w:rPr>
              <w:rFonts w:ascii="Cambria Math" w:hAnsi="Cambria Math"/>
            </w:rPr>
            <m:t>.</m:t>
          </m:r>
          <m:r>
            <w:rPr>
              <w:rFonts w:ascii="Cambria Math" w:hAnsi="Cambria Math"/>
            </w:rPr>
            <m:t>  </m:t>
          </m:r>
          <m:r>
            <m:rPr>
              <m:nor/>
            </m:rPr>
            <m:t>[T]</m:t>
          </m:r>
        </m:oMath>
      </m:oMathPara>
    </w:p>
    <w:p w14:paraId="4B84F329" w14:textId="77777777" w:rsidR="00937C4A" w:rsidRDefault="00000000">
      <w:r>
        <w:t>Scale-free. This is the regime in which the devotee’s intuition is correct, and it is the regime real earthquakes are never in.</w:t>
      </w:r>
    </w:p>
    <w:p w14:paraId="46714908" w14:textId="77777777" w:rsidR="00937C4A" w:rsidRDefault="00000000">
      <w:pPr>
        <w:pStyle w:val="BodyText"/>
      </w:pPr>
      <w:r>
        <w:rPr>
          <w:b/>
          <w:bCs/>
        </w:rPr>
        <w:t xml:space="preserve">Regime II — impulsive, </w:t>
      </w:r>
      <m:oMath>
        <m:r>
          <w:rPr>
            <w:rFonts w:ascii="Cambria Math" w:hAnsi="Cambria Math"/>
          </w:rPr>
          <m:t>pT</m:t>
        </m:r>
        <m:r>
          <m:rPr>
            <m:sty m:val="p"/>
          </m:rPr>
          <w:rPr>
            <w:rFonts w:ascii="Cambria Math" w:hAnsi="Cambria Math"/>
          </w:rPr>
          <m:t>≪</m:t>
        </m:r>
        <m:r>
          <w:rPr>
            <w:rFonts w:ascii="Cambria Math" w:hAnsi="Cambria Math"/>
          </w:rPr>
          <m:t>1</m:t>
        </m:r>
      </m:oMath>
      <w:r>
        <w:rPr>
          <w:b/>
          <w:bCs/>
        </w:rPr>
        <w:t>.</w:t>
      </w:r>
      <w:r>
        <w:t xml:space="preserve"> The forcing is fast compared with the rocking rate: a velocity step delivered before the block has moved appreciably. This is the near-fault velocity-pulse regime and it is the one that matters for large objects.</w:t>
      </w:r>
    </w:p>
    <w:p w14:paraId="030B8948" w14:textId="77777777" w:rsidR="00937C4A" w:rsidRDefault="00000000">
      <w:pPr>
        <w:pStyle w:val="BodyText"/>
      </w:pPr>
      <w:r>
        <w:t xml:space="preserve">An instantaneous base velocity change </w:t>
      </w:r>
      <m:oMath>
        <m:r>
          <w:rPr>
            <w:rFonts w:ascii="Cambria Math" w:hAnsi="Cambria Math"/>
          </w:rPr>
          <m:t>Δv</m:t>
        </m:r>
      </m:oMath>
      <w:r>
        <w:t xml:space="preserve"> delivers horizontal impulse </w:t>
      </w:r>
      <m:oMath>
        <m:r>
          <w:rPr>
            <w:rFonts w:ascii="Cambria Math" w:hAnsi="Cambria Math"/>
          </w:rPr>
          <m:t>mΔv</m:t>
        </m:r>
      </m:oMath>
      <w:r>
        <w:t xml:space="preserve"> at the centroid, with moment arm </w:t>
      </w:r>
      <m:oMath>
        <m:r>
          <w:rPr>
            <w:rFonts w:ascii="Cambria Math" w:hAnsi="Cambria Math"/>
          </w:rPr>
          <m:t>h</m:t>
        </m:r>
        <m:r>
          <m:rPr>
            <m:sty m:val="p"/>
          </m:rPr>
          <w:rPr>
            <w:rFonts w:ascii="Cambria Math" w:hAnsi="Cambria Math"/>
          </w:rPr>
          <m:t>=</m:t>
        </m:r>
        <m:r>
          <w:rPr>
            <w:rFonts w:ascii="Cambria Math" w:hAnsi="Cambria Math"/>
          </w:rPr>
          <m:t>R</m:t>
        </m:r>
        <m:r>
          <m:rPr>
            <m:sty m:val="p"/>
          </m:rPr>
          <w:rPr>
            <w:rFonts w:ascii="Cambria Math" w:hAnsi="Cambria Math"/>
          </w:rPr>
          <m:t>cos</m:t>
        </m:r>
        <m:r>
          <w:rPr>
            <w:rFonts w:ascii="Cambria Math" w:hAnsi="Cambria Math"/>
          </w:rPr>
          <m:t>α</m:t>
        </m:r>
      </m:oMath>
      <w:r>
        <w:t xml:space="preserve"> about the pivot:</w:t>
      </w:r>
    </w:p>
    <w:p w14:paraId="6C9E4CAC"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mΔv h</m:t>
              </m:r>
            </m:num>
            <m:den>
              <m:sSub>
                <m:sSubPr>
                  <m:ctrlPr>
                    <w:rPr>
                      <w:rFonts w:ascii="Cambria Math" w:hAnsi="Cambria Math"/>
                    </w:rPr>
                  </m:ctrlPr>
                </m:sSubPr>
                <m:e>
                  <m:r>
                    <w:rPr>
                      <w:rFonts w:ascii="Cambria Math" w:hAnsi="Cambria Math"/>
                    </w:rPr>
                    <m:t>I</m:t>
                  </m:r>
                </m:e>
                <m:sub>
                  <m:r>
                    <w:rPr>
                      <w:rFonts w:ascii="Cambria Math" w:hAnsi="Cambria Math"/>
                    </w:rPr>
                    <m:t>O</m:t>
                  </m:r>
                </m:sub>
              </m:sSub>
            </m:den>
          </m:f>
          <m:r>
            <m:rPr>
              <m:sty m:val="p"/>
            </m:rPr>
            <w:rPr>
              <w:rFonts w:ascii="Cambria Math" w:hAnsi="Cambria Math"/>
            </w:rPr>
            <m:t>=</m:t>
          </m:r>
          <m:f>
            <m:fPr>
              <m:ctrlPr>
                <w:rPr>
                  <w:rFonts w:ascii="Cambria Math" w:hAnsi="Cambria Math"/>
                </w:rPr>
              </m:ctrlPr>
            </m:fPr>
            <m:num>
              <m:r>
                <w:rPr>
                  <w:rFonts w:ascii="Cambria Math" w:hAnsi="Cambria Math"/>
                </w:rPr>
                <m:t>3Δv</m:t>
              </m:r>
              <m:r>
                <m:rPr>
                  <m:sty m:val="p"/>
                </m:rPr>
                <w:rPr>
                  <w:rFonts w:ascii="Cambria Math" w:hAnsi="Cambria Math"/>
                </w:rPr>
                <m:t>cos</m:t>
              </m:r>
              <m:r>
                <w:rPr>
                  <w:rFonts w:ascii="Cambria Math" w:hAnsi="Cambria Math"/>
                </w:rPr>
                <m:t>α</m:t>
              </m:r>
            </m:num>
            <m:den>
              <m:r>
                <w:rPr>
                  <w:rFonts w:ascii="Cambria Math" w:hAnsi="Cambria Math"/>
                </w:rPr>
                <m:t>4R</m:t>
              </m:r>
            </m:den>
          </m:f>
          <m:r>
            <m:rPr>
              <m:sty m:val="p"/>
            </m:rPr>
            <w:rPr>
              <w:rFonts w:ascii="Cambria Math" w:hAnsi="Cambria Math"/>
            </w:rPr>
            <m:t>.</m:t>
          </m:r>
        </m:oMath>
      </m:oMathPara>
    </w:p>
    <w:p w14:paraId="0FF04133" w14:textId="77777777" w:rsidR="00937C4A" w:rsidRDefault="00000000">
      <w:r>
        <w:t>Escape requires the resulting kinetic energy to exceed the potential barrier to the balance point:</w:t>
      </w:r>
    </w:p>
    <w:p w14:paraId="0F01FC80" w14:textId="77777777" w:rsidR="00937C4A" w:rsidRDefault="00000000">
      <w:pPr>
        <w:pStyle w:val="BodyText"/>
        <w:spacing w:before="100" w:after="140"/>
        <w:jc w:val="center"/>
      </w:pPr>
      <m:oMathPara>
        <m:oMathParaPr>
          <m:jc m:val="center"/>
        </m:oMathParaP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type m:val="lin"/>
              <m:ctrlPr>
                <w:rPr>
                  <w:rFonts w:ascii="Cambria Math" w:hAnsi="Cambria Math"/>
                </w:rPr>
              </m:ctrlPr>
            </m:fPr>
            <m:num>
              <m:r>
                <w:rPr>
                  <w:rFonts w:ascii="Cambria Math" w:hAnsi="Cambria Math"/>
                </w:rPr>
                <m:t>4</m:t>
              </m:r>
            </m:num>
            <m:den>
              <m:r>
                <w:rPr>
                  <w:rFonts w:ascii="Cambria Math" w:hAnsi="Cambria Math"/>
                </w:rPr>
                <m:t>3</m:t>
              </m:r>
            </m:den>
          </m:f>
          <m:sSup>
            <m:sSupPr>
              <m:ctrlPr>
                <w:rPr>
                  <w:rFonts w:ascii="Cambria Math" w:hAnsi="Cambria Math"/>
                </w:rPr>
              </m:ctrlPr>
            </m:sSupPr>
            <m:e>
              <m:r>
                <w:rPr>
                  <w:rFonts w:ascii="Cambria Math" w:hAnsi="Cambria Math"/>
                </w:rPr>
                <m:t>R</m:t>
              </m:r>
            </m:e>
            <m:sup>
              <m:r>
                <w:rPr>
                  <w:rFonts w:ascii="Cambria Math" w:hAnsi="Cambria Math"/>
                </w:rPr>
                <m:t>2</m:t>
              </m:r>
            </m:sup>
          </m:sSup>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0</m:t>
              </m:r>
            </m:sub>
            <m:sup>
              <m:r>
                <w:rPr>
                  <w:rFonts w:ascii="Cambria Math" w:hAnsi="Cambria Math"/>
                </w:rPr>
                <m:t>2</m:t>
              </m:r>
            </m:sup>
          </m:sSubSup>
          <m:r>
            <m:rPr>
              <m:sty m:val="p"/>
            </m:rPr>
            <w:rPr>
              <w:rFonts w:ascii="Cambria Math" w:hAnsi="Cambria Math"/>
            </w:rPr>
            <m:t>&gt;</m:t>
          </m:r>
          <m:r>
            <w:rPr>
              <w:rFonts w:ascii="Cambria Math" w:hAnsi="Cambria Math"/>
            </w:rPr>
            <m:t>gR</m:t>
          </m:r>
          <m:d>
            <m:dPr>
              <m:ctrlPr>
                <w:rPr>
                  <w:rFonts w:ascii="Cambria Math" w:hAnsi="Cambria Math"/>
                </w:rPr>
              </m:ctrlPr>
            </m:dPr>
            <m:e>
              <m:r>
                <w:rPr>
                  <w:rFonts w:ascii="Cambria Math" w:hAnsi="Cambria Math"/>
                </w:rPr>
                <m:t>1</m:t>
              </m:r>
              <m:r>
                <m:rPr>
                  <m:sty m:val="p"/>
                </m:rPr>
                <w:rPr>
                  <w:rFonts w:ascii="Cambria Math" w:hAnsi="Cambria Math"/>
                </w:rPr>
                <m:t>-cos</m:t>
              </m:r>
              <m:r>
                <w:rPr>
                  <w:rFonts w:ascii="Cambria Math" w:hAnsi="Cambria Math"/>
                </w:rPr>
                <m:t>α</m:t>
              </m:r>
            </m:e>
          </m:d>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0</m:t>
              </m:r>
            </m:sub>
            <m:sup>
              <m:r>
                <w:rPr>
                  <w:rFonts w:ascii="Cambria Math" w:hAnsi="Cambria Math"/>
                </w:rPr>
                <m:t>2</m:t>
              </m:r>
            </m:sup>
          </m:sSubSup>
          <m:r>
            <m:rPr>
              <m:sty m:val="p"/>
            </m:rPr>
            <w:rPr>
              <w:rFonts w:ascii="Cambria Math" w:hAnsi="Cambria Math"/>
            </w:rPr>
            <m:t>&gt;</m:t>
          </m:r>
          <m:f>
            <m:fPr>
              <m:ctrlPr>
                <w:rPr>
                  <w:rFonts w:ascii="Cambria Math" w:hAnsi="Cambria Math"/>
                </w:rPr>
              </m:ctrlPr>
            </m:fPr>
            <m:num>
              <m:r>
                <w:rPr>
                  <w:rFonts w:ascii="Cambria Math" w:hAnsi="Cambria Math"/>
                </w:rPr>
                <m:t>3g</m:t>
              </m:r>
              <m:d>
                <m:dPr>
                  <m:ctrlPr>
                    <w:rPr>
                      <w:rFonts w:ascii="Cambria Math" w:hAnsi="Cambria Math"/>
                    </w:rPr>
                  </m:ctrlPr>
                </m:dPr>
                <m:e>
                  <m:r>
                    <w:rPr>
                      <w:rFonts w:ascii="Cambria Math" w:hAnsi="Cambria Math"/>
                    </w:rPr>
                    <m:t>1</m:t>
                  </m:r>
                  <m:r>
                    <m:rPr>
                      <m:sty m:val="p"/>
                    </m:rPr>
                    <w:rPr>
                      <w:rFonts w:ascii="Cambria Math" w:hAnsi="Cambria Math"/>
                    </w:rPr>
                    <m:t>-cos</m:t>
                  </m:r>
                  <m:r>
                    <w:rPr>
                      <w:rFonts w:ascii="Cambria Math" w:hAnsi="Cambria Math"/>
                    </w:rPr>
                    <m:t>α</m:t>
                  </m:r>
                </m:e>
              </m:d>
            </m:num>
            <m:den>
              <m:r>
                <w:rPr>
                  <w:rFonts w:ascii="Cambria Math" w:hAnsi="Cambria Math"/>
                </w:rPr>
                <m:t>2R</m:t>
              </m:r>
            </m:den>
          </m:f>
          <m:r>
            <m:rPr>
              <m:sty m:val="p"/>
            </m:rPr>
            <w:rPr>
              <w:rFonts w:ascii="Cambria Math" w:hAnsi="Cambria Math"/>
            </w:rPr>
            <m:t>.</m:t>
          </m:r>
        </m:oMath>
      </m:oMathPara>
    </w:p>
    <w:p w14:paraId="5A406C1A" w14:textId="77777777" w:rsidR="00937C4A" w:rsidRDefault="00000000">
      <w:r>
        <w:t xml:space="preserve">Substituting and using </w:t>
      </w:r>
      <m:oMath>
        <m:r>
          <w:rPr>
            <w:rFonts w:ascii="Cambria Math" w:hAnsi="Cambria Math"/>
          </w:rPr>
          <m:t>1</m:t>
        </m:r>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m:t>
            </m:r>
          </m:e>
        </m:d>
      </m:oMath>
      <w:r>
        <w:t>:</w:t>
      </w:r>
    </w:p>
    <w:p w14:paraId="748004B9" w14:textId="77777777" w:rsidR="00937C4A" w:rsidRDefault="00000000">
      <w:pPr>
        <w:pStyle w:val="BodyText"/>
        <w:spacing w:before="100" w:after="140"/>
        <w:jc w:val="center"/>
      </w:pPr>
      <m:oMathPara>
        <m:oMathParaPr>
          <m:jc m:val="center"/>
        </m:oMathParaPr>
        <m:oMath>
          <m:borderBox>
            <m:borderBoxPr>
              <m:ctrlPr>
                <w:rPr>
                  <w:rFonts w:ascii="Cambria Math" w:hAnsi="Cambria Math"/>
                </w:rPr>
              </m:ctrlPr>
            </m:borderBoxPr>
            <m:e>
              <m:r>
                <w:rPr>
                  <w:rFonts w:ascii="Cambria Math" w:hAnsi="Cambria Math"/>
                </w:rPr>
                <m:t> Δ</m:t>
              </m:r>
              <m:sSup>
                <m:sSupPr>
                  <m:ctrlPr>
                    <w:rPr>
                      <w:rFonts w:ascii="Cambria Math" w:hAnsi="Cambria Math"/>
                    </w:rPr>
                  </m:ctrlPr>
                </m:sSupPr>
                <m:e>
                  <m:r>
                    <w:rPr>
                      <w:rFonts w:ascii="Cambria Math" w:hAnsi="Cambria Math"/>
                    </w:rPr>
                    <m:t>v</m:t>
                  </m:r>
                </m:e>
                <m:sup>
                  <m:r>
                    <m:rPr>
                      <m:sty m:val="p"/>
                    </m:rPr>
                    <w:rPr>
                      <w:rFonts w:ascii="Cambria Math" w:hAnsi="Cambria Math"/>
                    </w:rPr>
                    <m:t>cr</m:t>
                  </m:r>
                </m:sup>
              </m:sSup>
              <m:r>
                <m:rPr>
                  <m:sty m:val="p"/>
                </m:rPr>
                <w:rPr>
                  <w:rFonts w:ascii="Cambria Math" w:hAnsi="Cambria Math"/>
                </w:rPr>
                <m:t>=</m:t>
              </m:r>
              <m:f>
                <m:fPr>
                  <m:ctrlPr>
                    <w:rPr>
                      <w:rFonts w:ascii="Cambria Math" w:hAnsi="Cambria Math"/>
                    </w:rPr>
                  </m:ctrlPr>
                </m:fPr>
                <m:num>
                  <m:r>
                    <w:rPr>
                      <w:rFonts w:ascii="Cambria Math" w:hAnsi="Cambria Math"/>
                    </w:rPr>
                    <m:t>4</m:t>
                  </m:r>
                  <m:rad>
                    <m:radPr>
                      <m:degHide m:val="1"/>
                      <m:ctrlPr>
                        <w:rPr>
                          <w:rFonts w:ascii="Cambria Math" w:hAnsi="Cambria Math"/>
                        </w:rPr>
                      </m:ctrlPr>
                    </m:radPr>
                    <m:deg/>
                    <m:e>
                      <m:r>
                        <w:rPr>
                          <w:rFonts w:ascii="Cambria Math" w:hAnsi="Cambria Math"/>
                        </w:rPr>
                        <m:t>3gR</m:t>
                      </m:r>
                    </m:e>
                  </m:rad>
                  <m:r>
                    <w:rPr>
                      <w:rFonts w:ascii="Cambria Math" w:hAnsi="Cambria Math"/>
                    </w:rPr>
                    <m:t> </m:t>
                  </m:r>
                  <m:r>
                    <m:rPr>
                      <m:sty m:val="p"/>
                    </m:rPr>
                    <w:rPr>
                      <w:rFonts w:ascii="Cambria Math" w:hAnsi="Cambria Math"/>
                    </w:rPr>
                    <m:t>sin</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m:t>
                      </m:r>
                    </m:e>
                  </m:d>
                </m:num>
                <m:den>
                  <m:r>
                    <w:rPr>
                      <w:rFonts w:ascii="Cambria Math" w:hAnsi="Cambria Math"/>
                    </w:rPr>
                    <m:t>3</m:t>
                  </m:r>
                  <m:r>
                    <m:rPr>
                      <m:sty m:val="p"/>
                    </m:rPr>
                    <w:rPr>
                      <w:rFonts w:ascii="Cambria Math" w:hAnsi="Cambria Math"/>
                    </w:rPr>
                    <m:t>cos</m:t>
                  </m:r>
                  <m:r>
                    <w:rPr>
                      <w:rFonts w:ascii="Cambria Math" w:hAnsi="Cambria Math"/>
                    </w:rPr>
                    <m:t>α</m:t>
                  </m:r>
                </m:den>
              </m:f>
              <m:r>
                <w:rPr>
                  <w:rFonts w:ascii="Cambria Math" w:hAnsi="Cambria Math"/>
                </w:rPr>
                <m:t> </m:t>
              </m:r>
            </m:e>
          </m:borderBox>
          <m:r>
            <w:rPr>
              <w:rFonts w:ascii="Cambria Math" w:hAnsi="Cambria Math"/>
            </w:rPr>
            <m:t>  </m:t>
          </m:r>
          <m:r>
            <m:rPr>
              <m:nor/>
            </m:rPr>
            <m:t>[T]</m:t>
          </m:r>
        </m:oMath>
      </m:oMathPara>
    </w:p>
    <w:p w14:paraId="6E4220E5" w14:textId="77777777" w:rsidR="00937C4A" w:rsidRDefault="00000000">
      <w:r>
        <w:lastRenderedPageBreak/>
        <w:t xml:space="preserve">The critical </w:t>
      </w:r>
      <w:r>
        <w:rPr>
          <w:b/>
          <w:bCs/>
        </w:rPr>
        <w:t>velocity</w:t>
      </w:r>
      <w:r>
        <w:t xml:space="preserve"> scales as </w:t>
      </w:r>
      <m:oMath>
        <m:rad>
          <m:radPr>
            <m:degHide m:val="1"/>
            <m:ctrlPr>
              <w:rPr>
                <w:rFonts w:ascii="Cambria Math" w:hAnsi="Cambria Math"/>
              </w:rPr>
            </m:ctrlPr>
          </m:radPr>
          <m:deg/>
          <m:e>
            <m:r>
              <w:rPr>
                <w:rFonts w:ascii="Cambria Math" w:hAnsi="Cambria Math"/>
              </w:rPr>
              <m:t>R</m:t>
            </m:r>
          </m:e>
        </m:rad>
      </m:oMath>
      <w:r>
        <w:t xml:space="preserve">. If one insists on quoting an acceleration, at fixed pulse duration </w:t>
      </w:r>
      <m:oMath>
        <m:r>
          <w:rPr>
            <w:rFonts w:ascii="Cambria Math" w:hAnsi="Cambria Math"/>
          </w:rPr>
          <m:t>T</m:t>
        </m:r>
      </m:oMath>
      <w:r>
        <w:t xml:space="preserve"> one has </w:t>
      </w:r>
      <m:oMath>
        <m:sSup>
          <m:sSupPr>
            <m:ctrlPr>
              <w:rPr>
                <w:rFonts w:ascii="Cambria Math" w:hAnsi="Cambria Math"/>
              </w:rPr>
            </m:ctrlPr>
          </m:sSupPr>
          <m:e>
            <m:r>
              <w:rPr>
                <w:rFonts w:ascii="Cambria Math" w:hAnsi="Cambria Math"/>
              </w:rPr>
              <m:t>a</m:t>
            </m:r>
          </m:e>
          <m:sup>
            <m:r>
              <m:rPr>
                <m:sty m:val="p"/>
              </m:rPr>
              <w:rPr>
                <w:rFonts w:ascii="Cambria Math" w:hAnsi="Cambria Math"/>
              </w:rPr>
              <m:t>cr</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v</m:t>
            </m:r>
          </m:e>
          <m:sup>
            <m:r>
              <m:rPr>
                <m:sty m:val="p"/>
              </m:rPr>
              <w:rPr>
                <w:rFonts w:ascii="Cambria Math" w:hAnsi="Cambria Math"/>
              </w:rPr>
              <m:t>cr</m:t>
            </m:r>
          </m:sup>
        </m:sSup>
        <m:r>
          <m:rPr>
            <m:sty m:val="p"/>
          </m:rPr>
          <w:rPr>
            <w:rFonts w:ascii="Cambria Math" w:hAnsi="Cambria Math"/>
          </w:rPr>
          <m:t>/</m:t>
        </m:r>
        <m:r>
          <w:rPr>
            <w:rFonts w:ascii="Cambria Math" w:hAnsi="Cambria Math"/>
          </w:rPr>
          <m:t>T</m:t>
        </m:r>
        <m:r>
          <m:rPr>
            <m:sty m:val="p"/>
          </m:rPr>
          <w:rPr>
            <w:rFonts w:ascii="Cambria Math" w:hAnsi="Cambria Math"/>
          </w:rPr>
          <m:t>∝</m:t>
        </m:r>
        <m:rad>
          <m:radPr>
            <m:degHide m:val="1"/>
            <m:ctrlPr>
              <w:rPr>
                <w:rFonts w:ascii="Cambria Math" w:hAnsi="Cambria Math"/>
              </w:rPr>
            </m:ctrlPr>
          </m:radPr>
          <m:deg/>
          <m:e>
            <m:r>
              <w:rPr>
                <w:rFonts w:ascii="Cambria Math" w:hAnsi="Cambria Math"/>
              </w:rPr>
              <m:t>R</m:t>
            </m:r>
          </m:e>
        </m:rad>
      </m:oMath>
      <w:r>
        <w:t xml:space="preserve"> — but the honest intensity measure in this regime is velocity, not acceleration, and this is the mechanical reason the PBR literature converged on </w:t>
      </w:r>
      <m:oMath>
        <m:r>
          <m:rPr>
            <m:sty m:val="p"/>
          </m:rPr>
          <w:rPr>
            <w:rFonts w:ascii="Cambria Math" w:hAnsi="Cambria Math"/>
          </w:rPr>
          <m:t>PGV</m:t>
        </m:r>
      </m:oMath>
      <w:r>
        <w:t xml:space="preserve"> and </w:t>
      </w:r>
      <m:oMath>
        <m:r>
          <m:rPr>
            <m:sty m:val="p"/>
          </m:rPr>
          <w:rPr>
            <w:rFonts w:ascii="Cambria Math" w:hAnsi="Cambria Math"/>
          </w:rPr>
          <m:t>PGV/PGA</m:t>
        </m:r>
      </m:oMath>
      <w:r>
        <w:t xml:space="preserve"> rather than </w:t>
      </w:r>
      <m:oMath>
        <m:r>
          <m:rPr>
            <m:sty m:val="p"/>
          </m:rPr>
          <w:rPr>
            <w:rFonts w:ascii="Cambria Math" w:hAnsi="Cambria Math"/>
          </w:rPr>
          <m:t>PGA</m:t>
        </m:r>
      </m:oMath>
      <w:r>
        <w:t xml:space="preserve"> alone.</w:t>
      </w:r>
    </w:p>
    <w:p w14:paraId="79F4DC69" w14:textId="77777777" w:rsidR="00937C4A" w:rsidRDefault="00000000">
      <w:pPr>
        <w:pStyle w:val="BodyText"/>
      </w:pPr>
      <w:r>
        <w:t xml:space="preserve">At </w:t>
      </w:r>
      <m:oMath>
        <m:r>
          <w:rPr>
            <w:rFonts w:ascii="Cambria Math" w:hAnsi="Cambria Math"/>
          </w:rPr>
          <m:t>α</m:t>
        </m:r>
        <m:r>
          <m:rPr>
            <m:sty m:val="p"/>
          </m:rPr>
          <w:rPr>
            <w:rFonts w:ascii="Cambria Math" w:hAnsi="Cambria Math"/>
          </w:rPr>
          <m:t>=</m:t>
        </m:r>
        <m:r>
          <w:rPr>
            <w:rFonts w:ascii="Cambria Math" w:hAnsi="Cambria Math"/>
          </w:rPr>
          <m:t>0.35</m:t>
        </m:r>
      </m:oMath>
      <w:r>
        <w:t>:</w:t>
      </w:r>
    </w:p>
    <w:tbl>
      <w:tblPr>
        <w:tblStyle w:val="TableGrid"/>
        <w:tblW w:w="9400" w:type="dxa"/>
        <w:jc w:val="center"/>
        <w:tblLayout w:type="fixed"/>
        <w:tblLook w:val="04A0" w:firstRow="1" w:lastRow="0" w:firstColumn="1" w:lastColumn="0" w:noHBand="0" w:noVBand="1"/>
      </w:tblPr>
      <w:tblGrid>
        <w:gridCol w:w="5000"/>
        <w:gridCol w:w="1700"/>
        <w:gridCol w:w="2700"/>
      </w:tblGrid>
      <w:tr w:rsidR="00937C4A" w14:paraId="47342FEE" w14:textId="77777777">
        <w:trPr>
          <w:cantSplit/>
          <w:tblHeader/>
          <w:jc w:val="center"/>
        </w:trPr>
        <w:tc>
          <w:tcPr>
            <w:tcW w:w="5000" w:type="dxa"/>
            <w:shd w:val="clear" w:color="auto" w:fill="495A65"/>
            <w:tcMar>
              <w:top w:w="55" w:type="dxa"/>
              <w:left w:w="65" w:type="dxa"/>
              <w:bottom w:w="55" w:type="dxa"/>
              <w:right w:w="65" w:type="dxa"/>
            </w:tcMar>
            <w:vAlign w:val="center"/>
          </w:tcPr>
          <w:p w14:paraId="41B8A5A6" w14:textId="77777777" w:rsidR="00937C4A" w:rsidRDefault="00000000">
            <w:pPr>
              <w:spacing w:after="0" w:line="240" w:lineRule="auto"/>
              <w:jc w:val="left"/>
            </w:pPr>
            <w:r>
              <w:rPr>
                <w:rFonts w:ascii="Noto Sans" w:hAnsi="Noto Sans"/>
                <w:b/>
                <w:color w:val="FFFFFF"/>
                <w:sz w:val="16"/>
              </w:rPr>
              <w:t>Object</w:t>
            </w:r>
          </w:p>
        </w:tc>
        <w:tc>
          <w:tcPr>
            <w:tcW w:w="1700" w:type="dxa"/>
            <w:shd w:val="clear" w:color="auto" w:fill="495A65"/>
            <w:tcMar>
              <w:top w:w="55" w:type="dxa"/>
              <w:left w:w="65" w:type="dxa"/>
              <w:bottom w:w="55" w:type="dxa"/>
              <w:right w:w="65" w:type="dxa"/>
            </w:tcMar>
            <w:vAlign w:val="center"/>
          </w:tcPr>
          <w:p w14:paraId="63B7B4BC" w14:textId="77777777" w:rsidR="00937C4A" w:rsidRDefault="00000000">
            <w:pPr>
              <w:spacing w:after="0" w:line="240" w:lineRule="auto"/>
              <w:jc w:val="center"/>
            </w:pPr>
            <w:r>
              <w:rPr>
                <w:rFonts w:ascii="Noto Sans" w:hAnsi="Noto Sans"/>
                <w:b/>
                <w:color w:val="FFFFFF"/>
                <w:sz w:val="16"/>
              </w:rPr>
              <w:t>R (m)</w:t>
            </w:r>
          </w:p>
        </w:tc>
        <w:tc>
          <w:tcPr>
            <w:tcW w:w="2700" w:type="dxa"/>
            <w:shd w:val="clear" w:color="auto" w:fill="495A65"/>
            <w:tcMar>
              <w:top w:w="55" w:type="dxa"/>
              <w:left w:w="65" w:type="dxa"/>
              <w:bottom w:w="55" w:type="dxa"/>
              <w:right w:w="65" w:type="dxa"/>
            </w:tcMar>
            <w:vAlign w:val="center"/>
          </w:tcPr>
          <w:p w14:paraId="199D6B90" w14:textId="77777777" w:rsidR="00937C4A" w:rsidRDefault="00000000">
            <w:pPr>
              <w:spacing w:after="0" w:line="240" w:lineRule="auto"/>
              <w:jc w:val="center"/>
            </w:pPr>
            <w:r>
              <w:rPr>
                <w:rFonts w:ascii="Noto Sans" w:hAnsi="Noto Sans"/>
                <w:b/>
                <w:color w:val="FFFFFF"/>
                <w:sz w:val="16"/>
              </w:rPr>
              <w:t>Δvcr (m s⁻¹)</w:t>
            </w:r>
          </w:p>
        </w:tc>
      </w:tr>
      <w:tr w:rsidR="00937C4A" w14:paraId="1469E2A2" w14:textId="77777777">
        <w:trPr>
          <w:cantSplit/>
          <w:jc w:val="center"/>
        </w:trPr>
        <w:tc>
          <w:tcPr>
            <w:tcW w:w="5000" w:type="dxa"/>
            <w:tcMar>
              <w:top w:w="55" w:type="dxa"/>
              <w:left w:w="65" w:type="dxa"/>
              <w:bottom w:w="55" w:type="dxa"/>
              <w:right w:w="65" w:type="dxa"/>
            </w:tcMar>
            <w:vAlign w:val="center"/>
          </w:tcPr>
          <w:p w14:paraId="381F9547" w14:textId="77777777" w:rsidR="00937C4A" w:rsidRDefault="00000000">
            <w:pPr>
              <w:spacing w:after="0" w:line="240" w:lineRule="auto"/>
              <w:jc w:val="left"/>
            </w:pPr>
            <w:r>
              <w:rPr>
                <w:rFonts w:ascii="Noto Sans" w:hAnsi="Noto Sans"/>
                <w:sz w:val="16"/>
              </w:rPr>
              <w:t>small cairn</w:t>
            </w:r>
          </w:p>
        </w:tc>
        <w:tc>
          <w:tcPr>
            <w:tcW w:w="1700" w:type="dxa"/>
            <w:tcMar>
              <w:top w:w="55" w:type="dxa"/>
              <w:left w:w="65" w:type="dxa"/>
              <w:bottom w:w="55" w:type="dxa"/>
              <w:right w:w="65" w:type="dxa"/>
            </w:tcMar>
            <w:vAlign w:val="center"/>
          </w:tcPr>
          <w:p w14:paraId="2EAE9A23" w14:textId="77777777" w:rsidR="00937C4A" w:rsidRDefault="00000000">
            <w:pPr>
              <w:spacing w:after="0" w:line="240" w:lineRule="auto"/>
              <w:jc w:val="center"/>
            </w:pPr>
            <w:r>
              <w:rPr>
                <w:rFonts w:ascii="Noto Sans" w:hAnsi="Noto Sans"/>
                <w:sz w:val="16"/>
              </w:rPr>
              <w:t>0.20</w:t>
            </w:r>
          </w:p>
        </w:tc>
        <w:tc>
          <w:tcPr>
            <w:tcW w:w="2700" w:type="dxa"/>
            <w:tcMar>
              <w:top w:w="55" w:type="dxa"/>
              <w:left w:w="65" w:type="dxa"/>
              <w:bottom w:w="55" w:type="dxa"/>
              <w:right w:w="65" w:type="dxa"/>
            </w:tcMar>
            <w:vAlign w:val="center"/>
          </w:tcPr>
          <w:p w14:paraId="7B5C0648" w14:textId="77777777" w:rsidR="00937C4A" w:rsidRDefault="00000000">
            <w:pPr>
              <w:spacing w:after="0" w:line="240" w:lineRule="auto"/>
              <w:jc w:val="center"/>
            </w:pPr>
            <w:r>
              <w:rPr>
                <w:rFonts w:ascii="Noto Sans" w:hAnsi="Noto Sans"/>
                <w:sz w:val="16"/>
              </w:rPr>
              <w:t>0.60</w:t>
            </w:r>
          </w:p>
        </w:tc>
      </w:tr>
      <w:tr w:rsidR="00937C4A" w14:paraId="485D6D00" w14:textId="77777777">
        <w:trPr>
          <w:cantSplit/>
          <w:jc w:val="center"/>
        </w:trPr>
        <w:tc>
          <w:tcPr>
            <w:tcW w:w="5000" w:type="dxa"/>
            <w:shd w:val="clear" w:color="auto" w:fill="F4F6F7"/>
            <w:tcMar>
              <w:top w:w="55" w:type="dxa"/>
              <w:left w:w="65" w:type="dxa"/>
              <w:bottom w:w="55" w:type="dxa"/>
              <w:right w:w="65" w:type="dxa"/>
            </w:tcMar>
            <w:vAlign w:val="center"/>
          </w:tcPr>
          <w:p w14:paraId="3D2818AC" w14:textId="77777777" w:rsidR="00937C4A" w:rsidRDefault="00000000">
            <w:pPr>
              <w:spacing w:after="0" w:line="240" w:lineRule="auto"/>
              <w:jc w:val="left"/>
            </w:pPr>
            <w:r>
              <w:rPr>
                <w:rFonts w:ascii="Noto Sans" w:hAnsi="Noto Sans"/>
                <w:sz w:val="16"/>
              </w:rPr>
              <w:t>large cairn</w:t>
            </w:r>
          </w:p>
        </w:tc>
        <w:tc>
          <w:tcPr>
            <w:tcW w:w="1700" w:type="dxa"/>
            <w:shd w:val="clear" w:color="auto" w:fill="F4F6F7"/>
            <w:tcMar>
              <w:top w:w="55" w:type="dxa"/>
              <w:left w:w="65" w:type="dxa"/>
              <w:bottom w:w="55" w:type="dxa"/>
              <w:right w:w="65" w:type="dxa"/>
            </w:tcMar>
            <w:vAlign w:val="center"/>
          </w:tcPr>
          <w:p w14:paraId="464764B0" w14:textId="77777777" w:rsidR="00937C4A" w:rsidRDefault="00000000">
            <w:pPr>
              <w:spacing w:after="0" w:line="240" w:lineRule="auto"/>
              <w:jc w:val="center"/>
            </w:pPr>
            <w:r>
              <w:rPr>
                <w:rFonts w:ascii="Noto Sans" w:hAnsi="Noto Sans"/>
                <w:sz w:val="16"/>
              </w:rPr>
              <w:t>0.40</w:t>
            </w:r>
          </w:p>
        </w:tc>
        <w:tc>
          <w:tcPr>
            <w:tcW w:w="2700" w:type="dxa"/>
            <w:shd w:val="clear" w:color="auto" w:fill="F4F6F7"/>
            <w:tcMar>
              <w:top w:w="55" w:type="dxa"/>
              <w:left w:w="65" w:type="dxa"/>
              <w:bottom w:w="55" w:type="dxa"/>
              <w:right w:w="65" w:type="dxa"/>
            </w:tcMar>
            <w:vAlign w:val="center"/>
          </w:tcPr>
          <w:p w14:paraId="3BEE847C" w14:textId="77777777" w:rsidR="00937C4A" w:rsidRDefault="00000000">
            <w:pPr>
              <w:spacing w:after="0" w:line="240" w:lineRule="auto"/>
              <w:jc w:val="center"/>
            </w:pPr>
            <w:r>
              <w:rPr>
                <w:rFonts w:ascii="Noto Sans" w:hAnsi="Noto Sans"/>
                <w:sz w:val="16"/>
              </w:rPr>
              <w:t>0.85</w:t>
            </w:r>
          </w:p>
        </w:tc>
      </w:tr>
      <w:tr w:rsidR="00937C4A" w14:paraId="5C0CF1E9" w14:textId="77777777">
        <w:trPr>
          <w:cantSplit/>
          <w:jc w:val="center"/>
        </w:trPr>
        <w:tc>
          <w:tcPr>
            <w:tcW w:w="5000" w:type="dxa"/>
            <w:tcMar>
              <w:top w:w="55" w:type="dxa"/>
              <w:left w:w="65" w:type="dxa"/>
              <w:bottom w:w="55" w:type="dxa"/>
              <w:right w:w="65" w:type="dxa"/>
            </w:tcMar>
            <w:vAlign w:val="center"/>
          </w:tcPr>
          <w:p w14:paraId="432B7EAE" w14:textId="77777777" w:rsidR="00937C4A" w:rsidRDefault="00000000">
            <w:pPr>
              <w:spacing w:after="0" w:line="240" w:lineRule="auto"/>
              <w:jc w:val="left"/>
            </w:pPr>
            <w:r>
              <w:rPr>
                <w:rFonts w:ascii="Noto Sans" w:hAnsi="Noto Sans"/>
                <w:sz w:val="16"/>
              </w:rPr>
              <w:t>boulder</w:t>
            </w:r>
          </w:p>
        </w:tc>
        <w:tc>
          <w:tcPr>
            <w:tcW w:w="1700" w:type="dxa"/>
            <w:tcMar>
              <w:top w:w="55" w:type="dxa"/>
              <w:left w:w="65" w:type="dxa"/>
              <w:bottom w:w="55" w:type="dxa"/>
              <w:right w:w="65" w:type="dxa"/>
            </w:tcMar>
            <w:vAlign w:val="center"/>
          </w:tcPr>
          <w:p w14:paraId="76A79F57" w14:textId="77777777" w:rsidR="00937C4A" w:rsidRDefault="00000000">
            <w:pPr>
              <w:spacing w:after="0" w:line="240" w:lineRule="auto"/>
              <w:jc w:val="center"/>
            </w:pPr>
            <w:r>
              <w:rPr>
                <w:rFonts w:ascii="Noto Sans" w:hAnsi="Noto Sans"/>
                <w:sz w:val="16"/>
              </w:rPr>
              <w:t>1.5</w:t>
            </w:r>
          </w:p>
        </w:tc>
        <w:tc>
          <w:tcPr>
            <w:tcW w:w="2700" w:type="dxa"/>
            <w:tcMar>
              <w:top w:w="55" w:type="dxa"/>
              <w:left w:w="65" w:type="dxa"/>
              <w:bottom w:w="55" w:type="dxa"/>
              <w:right w:w="65" w:type="dxa"/>
            </w:tcMar>
            <w:vAlign w:val="center"/>
          </w:tcPr>
          <w:p w14:paraId="1798CD69" w14:textId="77777777" w:rsidR="00937C4A" w:rsidRDefault="00000000">
            <w:pPr>
              <w:spacing w:after="0" w:line="240" w:lineRule="auto"/>
              <w:jc w:val="center"/>
            </w:pPr>
            <w:r>
              <w:rPr>
                <w:rFonts w:ascii="Noto Sans" w:hAnsi="Noto Sans"/>
                <w:sz w:val="16"/>
              </w:rPr>
              <w:t>1.64</w:t>
            </w:r>
          </w:p>
        </w:tc>
      </w:tr>
      <w:tr w:rsidR="00937C4A" w14:paraId="79C16321" w14:textId="77777777">
        <w:trPr>
          <w:cantSplit/>
          <w:jc w:val="center"/>
        </w:trPr>
        <w:tc>
          <w:tcPr>
            <w:tcW w:w="5000" w:type="dxa"/>
            <w:shd w:val="clear" w:color="auto" w:fill="F4F6F7"/>
            <w:tcMar>
              <w:top w:w="55" w:type="dxa"/>
              <w:left w:w="65" w:type="dxa"/>
              <w:bottom w:w="55" w:type="dxa"/>
              <w:right w:w="65" w:type="dxa"/>
            </w:tcMar>
            <w:vAlign w:val="center"/>
          </w:tcPr>
          <w:p w14:paraId="77A95D65" w14:textId="77777777" w:rsidR="00937C4A" w:rsidRDefault="00000000">
            <w:pPr>
              <w:spacing w:after="0" w:line="240" w:lineRule="auto"/>
              <w:jc w:val="left"/>
            </w:pPr>
            <w:r>
              <w:rPr>
                <w:rFonts w:ascii="Noto Sans" w:hAnsi="Noto Sans"/>
                <w:sz w:val="16"/>
              </w:rPr>
              <w:t>Hampi tor</w:t>
            </w:r>
          </w:p>
        </w:tc>
        <w:tc>
          <w:tcPr>
            <w:tcW w:w="1700" w:type="dxa"/>
            <w:shd w:val="clear" w:color="auto" w:fill="F4F6F7"/>
            <w:tcMar>
              <w:top w:w="55" w:type="dxa"/>
              <w:left w:w="65" w:type="dxa"/>
              <w:bottom w:w="55" w:type="dxa"/>
              <w:right w:w="65" w:type="dxa"/>
            </w:tcMar>
            <w:vAlign w:val="center"/>
          </w:tcPr>
          <w:p w14:paraId="3770DF28" w14:textId="77777777" w:rsidR="00937C4A" w:rsidRDefault="00000000">
            <w:pPr>
              <w:spacing w:after="0" w:line="240" w:lineRule="auto"/>
              <w:jc w:val="center"/>
            </w:pPr>
            <w:r>
              <w:rPr>
                <w:rFonts w:ascii="Noto Sans" w:hAnsi="Noto Sans"/>
                <w:sz w:val="16"/>
              </w:rPr>
              <w:t>4.0</w:t>
            </w:r>
          </w:p>
        </w:tc>
        <w:tc>
          <w:tcPr>
            <w:tcW w:w="2700" w:type="dxa"/>
            <w:shd w:val="clear" w:color="auto" w:fill="F4F6F7"/>
            <w:tcMar>
              <w:top w:w="55" w:type="dxa"/>
              <w:left w:w="65" w:type="dxa"/>
              <w:bottom w:w="55" w:type="dxa"/>
              <w:right w:w="65" w:type="dxa"/>
            </w:tcMar>
            <w:vAlign w:val="center"/>
          </w:tcPr>
          <w:p w14:paraId="002DD7EE" w14:textId="77777777" w:rsidR="00937C4A" w:rsidRDefault="00000000">
            <w:pPr>
              <w:spacing w:after="0" w:line="240" w:lineRule="auto"/>
              <w:jc w:val="center"/>
            </w:pPr>
            <w:r>
              <w:rPr>
                <w:rFonts w:ascii="Noto Sans" w:hAnsi="Noto Sans"/>
                <w:sz w:val="16"/>
              </w:rPr>
              <w:t>2.68</w:t>
            </w:r>
          </w:p>
        </w:tc>
      </w:tr>
      <w:tr w:rsidR="00937C4A" w14:paraId="0F319F29" w14:textId="77777777">
        <w:trPr>
          <w:cantSplit/>
          <w:jc w:val="center"/>
        </w:trPr>
        <w:tc>
          <w:tcPr>
            <w:tcW w:w="5000" w:type="dxa"/>
            <w:tcMar>
              <w:top w:w="55" w:type="dxa"/>
              <w:left w:w="65" w:type="dxa"/>
              <w:bottom w:w="55" w:type="dxa"/>
              <w:right w:w="65" w:type="dxa"/>
            </w:tcMar>
            <w:vAlign w:val="center"/>
          </w:tcPr>
          <w:p w14:paraId="0B04E680" w14:textId="77777777" w:rsidR="00937C4A" w:rsidRDefault="00000000">
            <w:pPr>
              <w:spacing w:after="0" w:line="240" w:lineRule="auto"/>
              <w:jc w:val="left"/>
            </w:pPr>
            <w:r>
              <w:rPr>
                <w:rFonts w:ascii="Noto Sans" w:hAnsi="Noto Sans"/>
                <w:sz w:val="16"/>
              </w:rPr>
              <w:t>large tor</w:t>
            </w:r>
          </w:p>
        </w:tc>
        <w:tc>
          <w:tcPr>
            <w:tcW w:w="1700" w:type="dxa"/>
            <w:tcMar>
              <w:top w:w="55" w:type="dxa"/>
              <w:left w:w="65" w:type="dxa"/>
              <w:bottom w:w="55" w:type="dxa"/>
              <w:right w:w="65" w:type="dxa"/>
            </w:tcMar>
            <w:vAlign w:val="center"/>
          </w:tcPr>
          <w:p w14:paraId="560B6197" w14:textId="77777777" w:rsidR="00937C4A" w:rsidRDefault="00000000">
            <w:pPr>
              <w:spacing w:after="0" w:line="240" w:lineRule="auto"/>
              <w:jc w:val="center"/>
            </w:pPr>
            <w:r>
              <w:rPr>
                <w:rFonts w:ascii="Noto Sans" w:hAnsi="Noto Sans"/>
                <w:sz w:val="16"/>
              </w:rPr>
              <w:t>8.0</w:t>
            </w:r>
          </w:p>
        </w:tc>
        <w:tc>
          <w:tcPr>
            <w:tcW w:w="2700" w:type="dxa"/>
            <w:tcMar>
              <w:top w:w="55" w:type="dxa"/>
              <w:left w:w="65" w:type="dxa"/>
              <w:bottom w:w="55" w:type="dxa"/>
              <w:right w:w="65" w:type="dxa"/>
            </w:tcMar>
            <w:vAlign w:val="center"/>
          </w:tcPr>
          <w:p w14:paraId="0DABB453" w14:textId="77777777" w:rsidR="00937C4A" w:rsidRDefault="00000000">
            <w:pPr>
              <w:spacing w:after="0" w:line="240" w:lineRule="auto"/>
              <w:jc w:val="center"/>
            </w:pPr>
            <w:r>
              <w:rPr>
                <w:rFonts w:ascii="Noto Sans" w:hAnsi="Noto Sans"/>
                <w:sz w:val="16"/>
              </w:rPr>
              <w:t>3.79</w:t>
            </w:r>
          </w:p>
        </w:tc>
      </w:tr>
    </w:tbl>
    <w:p w14:paraId="7DB3948C" w14:textId="77777777" w:rsidR="00937C4A" w:rsidRDefault="00000000">
      <w:pPr>
        <w:pStyle w:val="BodyText"/>
      </w:pPr>
      <w:r>
        <w:t xml:space="preserve">Ratio cairn-to-tor: </w:t>
      </w:r>
      <m:oMath>
        <m:rad>
          <m:radPr>
            <m:degHide m:val="1"/>
            <m:ctrlPr>
              <w:rPr>
                <w:rFonts w:ascii="Cambria Math" w:hAnsi="Cambria Math"/>
              </w:rPr>
            </m:ctrlPr>
          </m:radPr>
          <m:deg/>
          <m:e>
            <m:r>
              <w:rPr>
                <w:rFonts w:ascii="Cambria Math" w:hAnsi="Cambria Math"/>
              </w:rPr>
              <m:t>20</m:t>
            </m:r>
          </m:e>
        </m:rad>
        <m:r>
          <m:rPr>
            <m:sty m:val="p"/>
          </m:rPr>
          <w:rPr>
            <w:rFonts w:ascii="Cambria Math" w:hAnsi="Cambria Math"/>
          </w:rPr>
          <m:t>=</m:t>
        </m:r>
        <m:r>
          <w:rPr>
            <w:rFonts w:ascii="Cambria Math" w:hAnsi="Cambria Math"/>
          </w:rPr>
          <m:t>4.47</m:t>
        </m:r>
      </m:oMath>
      <w:r>
        <w:t>. These are recognisable numbers. A PGV of 0.6 m s⁻¹ is a strong but attainable motion — it is exceeded in the near field of moderate earthquakes. A PGV of 2.7 m s⁻¹ is a near-fault extreme, recorded only a handful of times anywhere.</w:t>
      </w:r>
    </w:p>
    <w:p w14:paraId="6D56C8F3" w14:textId="77777777" w:rsidR="00937C4A" w:rsidRDefault="00000000">
      <w:pPr>
        <w:pStyle w:val="BodyText"/>
      </w:pPr>
      <w:r>
        <w:rPr>
          <w:b/>
          <w:bCs/>
        </w:rPr>
        <w:t>Regime III — sustained harmonic, heteroclinic intersection.</w:t>
      </w:r>
      <w:r>
        <w:t xml:space="preserve"> Chapter 6’s result. At fixed forcing frequency </w:t>
      </w:r>
      <m:oMath>
        <m:r>
          <w:rPr>
            <w:rFonts w:ascii="Cambria Math" w:hAnsi="Cambria Math"/>
          </w:rPr>
          <m:t>ω</m:t>
        </m:r>
      </m:oMath>
      <w:r>
        <w:t>,</w:t>
      </w:r>
    </w:p>
    <w:p w14:paraId="3568097D" w14:textId="77777777" w:rsidR="00937C4A" w:rsidRDefault="00000000">
      <w:pPr>
        <w:pStyle w:val="BodyText"/>
        <w:spacing w:before="100" w:after="140"/>
        <w:jc w:val="center"/>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0</m:t>
              </m:r>
            </m:sub>
            <m:sup>
              <m:r>
                <m:rPr>
                  <m:sty m:val="p"/>
                </m:rPr>
                <w:rPr>
                  <w:rFonts w:ascii="Cambria Math" w:hAnsi="Cambria Math"/>
                </w:rPr>
                <m:t>cr</m:t>
              </m:r>
            </m:sup>
          </m:sSubSup>
          <m:r>
            <m:rPr>
              <m:sty m:val="p"/>
            </m:rPr>
            <w:rPr>
              <w:rFonts w:ascii="Cambria Math" w:hAnsi="Cambria Math"/>
            </w:rPr>
            <m:t>≃</m:t>
          </m:r>
          <m:f>
            <m:fPr>
              <m:type m:val="lin"/>
              <m:ctrlPr>
                <w:rPr>
                  <w:rFonts w:ascii="Cambria Math" w:hAnsi="Cambria Math"/>
                </w:rPr>
              </m:ctrlPr>
            </m:fPr>
            <m:num>
              <m:r>
                <w:rPr>
                  <w:rFonts w:ascii="Cambria Math" w:hAnsi="Cambria Math"/>
                </w:rPr>
                <m:t>3</m:t>
              </m:r>
            </m:num>
            <m:den>
              <m:r>
                <w:rPr>
                  <w:rFonts w:ascii="Cambria Math" w:hAnsi="Cambria Math"/>
                </w:rPr>
                <m:t>4</m:t>
              </m:r>
            </m:den>
          </m:f>
          <m:sSup>
            <m:sSupPr>
              <m:ctrlPr>
                <w:rPr>
                  <w:rFonts w:ascii="Cambria Math" w:hAnsi="Cambria Math"/>
                </w:rPr>
              </m:ctrlPr>
            </m:sSupPr>
            <m:e>
              <m:r>
                <w:rPr>
                  <w:rFonts w:ascii="Cambria Math" w:hAnsi="Cambria Math"/>
                </w:rPr>
                <m:t>α</m:t>
              </m:r>
            </m:e>
            <m:sup>
              <m:r>
                <w:rPr>
                  <w:rFonts w:ascii="Cambria Math" w:hAnsi="Cambria Math"/>
                </w:rPr>
                <m:t>3</m:t>
              </m:r>
            </m:sup>
          </m:sSup>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4R</m:t>
              </m:r>
              <m:sSup>
                <m:sSupPr>
                  <m:ctrlPr>
                    <w:rPr>
                      <w:rFonts w:ascii="Cambria Math" w:hAnsi="Cambria Math"/>
                    </w:rPr>
                  </m:ctrlPr>
                </m:sSupPr>
                <m:e>
                  <m:r>
                    <w:rPr>
                      <w:rFonts w:ascii="Cambria Math" w:hAnsi="Cambria Math"/>
                    </w:rPr>
                    <m:t>ω</m:t>
                  </m:r>
                </m:e>
                <m:sup>
                  <m:r>
                    <w:rPr>
                      <w:rFonts w:ascii="Cambria Math" w:hAnsi="Cambria Math"/>
                    </w:rPr>
                    <m:t>2</m:t>
                  </m:r>
                </m:sup>
              </m:sSup>
            </m:num>
            <m:den>
              <m:r>
                <w:rPr>
                  <w:rFonts w:ascii="Cambria Math" w:hAnsi="Cambria Math"/>
                </w:rPr>
                <m:t>3g</m:t>
              </m:r>
            </m:den>
          </m:f>
          <m:r>
            <m:rPr>
              <m:sty m:val="p"/>
            </m:rPr>
            <w:rPr>
              <w:rFonts w:ascii="Cambria Math" w:hAnsi="Cambria Math"/>
            </w:rPr>
            <m:t>,</m:t>
          </m:r>
          <m:r>
            <w:rPr>
              <w:rFonts w:ascii="Cambria Math" w:hAnsi="Cambria Math"/>
            </w:rPr>
            <m:t>  </m:t>
          </m:r>
          <m:r>
            <m:rPr>
              <m:nor/>
            </m:rPr>
            <m:t xml:space="preserve">scaling </m:t>
          </m:r>
          <m:sSup>
            <m:sSupPr>
              <m:ctrlPr>
                <w:rPr>
                  <w:rFonts w:ascii="Cambria Math" w:hAnsi="Cambria Math"/>
                </w:rPr>
              </m:ctrlPr>
            </m:sSupPr>
            <m:e>
              <m:r>
                <w:rPr>
                  <w:rFonts w:ascii="Cambria Math" w:hAnsi="Cambria Math"/>
                </w:rPr>
                <m:t>R</m:t>
              </m:r>
            </m:e>
            <m:sup>
              <m:r>
                <w:rPr>
                  <w:rFonts w:ascii="Cambria Math" w:hAnsi="Cambria Math"/>
                </w:rPr>
                <m:t>1</m:t>
              </m:r>
            </m:sup>
          </m:sSup>
          <m:r>
            <m:rPr>
              <m:sty m:val="p"/>
            </m:rPr>
            <w:rPr>
              <w:rFonts w:ascii="Cambria Math" w:hAnsi="Cambria Math"/>
            </w:rPr>
            <m:t>.</m:t>
          </m:r>
          <m:r>
            <w:rPr>
              <w:rFonts w:ascii="Cambria Math" w:hAnsi="Cambria Math"/>
            </w:rPr>
            <m:t>  </m:t>
          </m:r>
          <m:r>
            <m:rPr>
              <m:nor/>
            </m:rPr>
            <m:t>[A]</m:t>
          </m:r>
        </m:oMath>
      </m:oMathPara>
    </w:p>
    <w:p w14:paraId="7340D9F2" w14:textId="77777777" w:rsidR="00937C4A" w:rsidRDefault="00000000">
      <w:r>
        <w:t xml:space="preserve">Linear in </w:t>
      </w:r>
      <m:oMath>
        <m:r>
          <w:rPr>
            <w:rFonts w:ascii="Cambria Math" w:hAnsi="Cambria Math"/>
          </w:rPr>
          <m:t>R</m:t>
        </m:r>
      </m:oMath>
      <w:r>
        <w:t xml:space="preserve">. Note this is </w:t>
      </w:r>
      <w:r>
        <w:rPr>
          <w:i/>
          <w:iCs/>
        </w:rPr>
        <w:t>not</w:t>
      </w:r>
      <w:r>
        <w:t xml:space="preserve"> an overturning threshold (Chapter 6, §6.6); it is the onset of transverse manifold intersection.</w:t>
      </w:r>
    </w:p>
    <w:p w14:paraId="19F61B71" w14:textId="77777777" w:rsidR="00937C4A" w:rsidRDefault="00000000">
      <w:pPr>
        <w:pStyle w:val="BodyText"/>
      </w:pPr>
      <w:r>
        <w:rPr>
          <w:b/>
          <w:bCs/>
        </w:rPr>
        <w:t xml:space="preserve">Regime IV — fixed </w:t>
      </w:r>
      <m:oMath>
        <m:r>
          <w:rPr>
            <w:rFonts w:ascii="Cambria Math" w:hAnsi="Cambria Math"/>
          </w:rPr>
          <m:t>pT</m:t>
        </m:r>
      </m:oMath>
      <w:r>
        <w:rPr>
          <w:b/>
          <w:bCs/>
        </w:rPr>
        <w:t>.</w:t>
      </w:r>
      <w:r>
        <w:t xml:space="preserve"> Hold the ratio of pulse duration to rocking rate constant, and the threshold is scale-free by construction, because </w:t>
      </w:r>
      <m:oMath>
        <m:r>
          <w:rPr>
            <w:rFonts w:ascii="Cambria Math" w:hAnsi="Cambria Math"/>
          </w:rPr>
          <m:t>pT</m:t>
        </m:r>
      </m:oMath>
      <w:r>
        <w:t xml:space="preserve"> is the only group in which the scale enters.</w:t>
      </w:r>
    </w:p>
    <w:p w14:paraId="118781B7" w14:textId="77777777" w:rsidR="00937C4A" w:rsidRDefault="00000000">
      <w:pPr>
        <w:pStyle w:val="Heading3"/>
      </w:pPr>
      <w:bookmarkStart w:id="32" w:name="the-invariant-statement"/>
      <w:bookmarkEnd w:id="31"/>
      <w:r>
        <w:rPr>
          <w:rFonts w:ascii="Noto Sans" w:eastAsia="Noto Sans" w:hAnsi="Noto Sans"/>
        </w:rPr>
        <w:t>5.3 The invariant statement</w:t>
      </w:r>
    </w:p>
    <w:p w14:paraId="1687FDC9" w14:textId="77777777" w:rsidR="00937C4A" w:rsidRDefault="00000000">
      <w:pPr>
        <w:spacing w:before="100" w:after="140"/>
        <w:jc w:val="center"/>
      </w:pPr>
      <m:oMathPara>
        <m:oMathParaPr>
          <m:jc m:val="center"/>
        </m:oMathParaPr>
        <m:oMath>
          <m:borderBox>
            <m:borderBoxPr>
              <m:ctrlPr>
                <w:rPr>
                  <w:rFonts w:ascii="Cambria Math" w:hAnsi="Cambria Math"/>
                </w:rPr>
              </m:ctrlPr>
            </m:borderBoxPr>
            <m:e>
              <m:r>
                <w:rPr>
                  <w:rFonts w:ascii="Cambria Math" w:hAnsi="Cambria Math"/>
                </w:rPr>
                <m:t> </m:t>
              </m:r>
              <m:r>
                <m:rPr>
                  <m:nor/>
                </m:rPr>
                <m:t xml:space="preserve">Dynamic similarity requires equal </m:t>
              </m:r>
              <m:r>
                <w:rPr>
                  <w:rFonts w:ascii="Cambria Math" w:hAnsi="Cambria Math"/>
                </w:rPr>
                <m:t>α </m:t>
              </m:r>
              <m:r>
                <m:rPr>
                  <m:nor/>
                </m:rPr>
                <m:t>and</m:t>
              </m:r>
              <m:r>
                <w:rPr>
                  <w:rFonts w:ascii="Cambria Math" w:hAnsi="Cambria Math"/>
                </w:rPr>
                <m:t> </m:t>
              </m:r>
              <m:r>
                <m:rPr>
                  <m:nor/>
                </m:rPr>
                <m:t xml:space="preserve">equal </m:t>
              </m:r>
              <m:r>
                <w:rPr>
                  <w:rFonts w:ascii="Cambria Math" w:hAnsi="Cambria Math"/>
                </w:rPr>
                <m:t>pT</m:t>
              </m:r>
              <m:r>
                <m:rPr>
                  <m:sty m:val="p"/>
                </m:rPr>
                <w:rPr>
                  <w:rFonts w:ascii="Cambria Math" w:hAnsi="Cambria Math"/>
                </w:rPr>
                <m:t>.</m:t>
              </m:r>
              <m:r>
                <w:rPr>
                  <w:rFonts w:ascii="Cambria Math" w:hAnsi="Cambria Math"/>
                </w:rPr>
                <m:t> </m:t>
              </m:r>
            </m:e>
          </m:borderBox>
        </m:oMath>
      </m:oMathPara>
    </w:p>
    <w:p w14:paraId="7A1FB340" w14:textId="77777777" w:rsidR="00937C4A" w:rsidRDefault="00000000">
      <w:r>
        <w:t xml:space="preserve">Anyone who quotes a scale exponent for rocking without specifying the regime and the held-fixed intensity measure is quoting a number with a free index. There are four defensible exponents — </w:t>
      </w:r>
      <m:oMath>
        <m:r>
          <w:rPr>
            <w:rFonts w:ascii="Cambria Math" w:hAnsi="Cambria Math"/>
          </w:rPr>
          <m:t>0</m:t>
        </m:r>
      </m:oMath>
      <w:r>
        <w:t xml:space="preserve">, </w:t>
      </w:r>
      <m:oMath>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w:rPr>
            <w:rFonts w:ascii="Cambria Math" w:hAnsi="Cambria Math"/>
          </w:rPr>
          <m:t>1</m:t>
        </m:r>
      </m:oMath>
      <w:r>
        <w:t xml:space="preserve">, </w:t>
      </w:r>
      <m:oMath>
        <m:r>
          <w:rPr>
            <w:rFonts w:ascii="Cambria Math" w:hAnsi="Cambria Math"/>
          </w:rPr>
          <m:t>0</m:t>
        </m:r>
      </m:oMath>
      <w:r>
        <w:t xml:space="preserve"> — and the disagreement between them is not a controversy but a bookkeeping failure.</w:t>
      </w:r>
    </w:p>
    <w:p w14:paraId="2D2C9709" w14:textId="77777777" w:rsidR="00937C4A" w:rsidRDefault="00000000">
      <w:pPr>
        <w:pStyle w:val="Heading3"/>
      </w:pPr>
      <w:bookmarkStart w:id="33" w:name="what-the-hands-cannot-copy"/>
      <w:bookmarkEnd w:id="32"/>
      <w:r>
        <w:rPr>
          <w:rFonts w:ascii="Noto Sans" w:eastAsia="Noto Sans" w:hAnsi="Noto Sans"/>
        </w:rPr>
        <w:t>5.4 What the hands cannot copy</w:t>
      </w:r>
    </w:p>
    <w:p w14:paraId="22AB069E" w14:textId="77777777" w:rsidR="00937C4A" w:rsidRDefault="00000000">
      <w:r>
        <w:t>Return to the apron.</w:t>
      </w:r>
    </w:p>
    <w:p w14:paraId="1629A6C7" w14:textId="77777777" w:rsidR="00937C4A" w:rsidRDefault="00000000">
      <w:pPr>
        <w:pStyle w:val="BodyText"/>
      </w:pPr>
      <w:r>
        <w:t xml:space="preserve">A person kneels, selects three stones, and stacks them so that the pile has roughly the proportions of the tor overhead. What has been copied is </w:t>
      </w:r>
      <m:oMath>
        <m:r>
          <w:rPr>
            <w:rFonts w:ascii="Cambria Math" w:hAnsi="Cambria Math"/>
          </w:rPr>
          <m:t>α</m:t>
        </m:r>
      </m:oMath>
      <w:r>
        <w:t xml:space="preserve">. What has not been copied — what </w:t>
      </w:r>
      <w:r>
        <w:rPr>
          <w:i/>
          <w:iCs/>
        </w:rPr>
        <w:t>cannot</w:t>
      </w:r>
      <w:r>
        <w:t xml:space="preserve"> be copied, because it is not a property of shape — is </w:t>
      </w:r>
      <m:oMath>
        <m:r>
          <w:rPr>
            <w:rFonts w:ascii="Cambria Math" w:hAnsi="Cambria Math"/>
          </w:rPr>
          <m:t>pT</m:t>
        </m:r>
      </m:oMath>
      <w:r>
        <w:t>.</w:t>
      </w:r>
    </w:p>
    <w:p w14:paraId="56EFEFCA" w14:textId="77777777" w:rsidR="00937C4A" w:rsidRDefault="00000000">
      <w:pPr>
        <w:pStyle w:val="BodyText"/>
      </w:pPr>
      <w:r>
        <w:t xml:space="preserve">The cairn’s </w:t>
      </w:r>
      <m:oMath>
        <m:r>
          <w:rPr>
            <w:rFonts w:ascii="Cambria Math" w:hAnsi="Cambria Math"/>
          </w:rPr>
          <m:t>p</m:t>
        </m:r>
      </m:oMath>
      <w:r>
        <w:t xml:space="preserve"> is </w:t>
      </w:r>
      <m:oMath>
        <m:rad>
          <m:radPr>
            <m:degHide m:val="1"/>
            <m:ctrlPr>
              <w:rPr>
                <w:rFonts w:ascii="Cambria Math" w:hAnsi="Cambria Math"/>
              </w:rPr>
            </m:ctrlPr>
          </m:radPr>
          <m:deg/>
          <m:e>
            <m:r>
              <w:rPr>
                <w:rFonts w:ascii="Cambria Math" w:hAnsi="Cambria Math"/>
              </w:rPr>
              <m:t>3g</m:t>
            </m:r>
            <m:r>
              <m:rPr>
                <m:sty m:val="p"/>
              </m:rPr>
              <w:rPr>
                <w:rFonts w:ascii="Cambria Math" w:hAnsi="Cambria Math"/>
              </w:rPr>
              <m:t>/</m:t>
            </m:r>
            <m:r>
              <w:rPr>
                <w:rFonts w:ascii="Cambria Math" w:hAnsi="Cambria Math"/>
              </w:rPr>
              <m:t>4R</m:t>
            </m:r>
          </m:e>
        </m:rad>
      </m:oMath>
      <w:r>
        <w:t xml:space="preserve"> with </w:t>
      </w:r>
      <m:oMath>
        <m:r>
          <w:rPr>
            <w:rFonts w:ascii="Cambria Math" w:hAnsi="Cambria Math"/>
          </w:rPr>
          <m:t>R</m:t>
        </m:r>
        <m:r>
          <m:rPr>
            <m:sty m:val="p"/>
          </m:rPr>
          <w:rPr>
            <w:rFonts w:ascii="Cambria Math" w:hAnsi="Cambria Math"/>
          </w:rPr>
          <m:t>≈</m:t>
        </m:r>
        <m:r>
          <w:rPr>
            <w:rFonts w:ascii="Cambria Math" w:hAnsi="Cambria Math"/>
          </w:rPr>
          <m:t>0.2</m:t>
        </m:r>
      </m:oMath>
      <w:r>
        <w:t xml:space="preserve"> m: about </w:t>
      </w:r>
      <m:oMath>
        <m:r>
          <w:rPr>
            <w:rFonts w:ascii="Cambria Math" w:hAnsi="Cambria Math"/>
          </w:rPr>
          <m:t>6.1 </m:t>
        </m:r>
        <m:r>
          <m:rPr>
            <m:sty m:val="p"/>
          </m:rPr>
          <w:rPr>
            <w:rFonts w:ascii="Cambria Math" w:hAnsi="Cambria Math"/>
          </w:rPr>
          <m:t>rad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r>
        <w:t xml:space="preserve">. The tor’s is about </w:t>
      </w:r>
      <m:oMath>
        <m:r>
          <w:rPr>
            <w:rFonts w:ascii="Cambria Math" w:hAnsi="Cambria Math"/>
          </w:rPr>
          <m:t>1.36</m:t>
        </m:r>
      </m:oMath>
      <w:r>
        <w:t xml:space="preserve">. For any given ground motion of characteristic duration </w:t>
      </w:r>
      <m:oMath>
        <m:r>
          <w:rPr>
            <w:rFonts w:ascii="Cambria Math" w:hAnsi="Cambria Math"/>
          </w:rPr>
          <m:t>T</m:t>
        </m:r>
      </m:oMath>
      <w:r>
        <w:t xml:space="preserve">, the two objects sit at values of </w:t>
      </w:r>
      <m:oMath>
        <m:r>
          <w:rPr>
            <w:rFonts w:ascii="Cambria Math" w:hAnsi="Cambria Math"/>
          </w:rPr>
          <m:t>pT</m:t>
        </m:r>
      </m:oMath>
      <w:r>
        <w:t xml:space="preserve"> differing by a factor of four and a half, which places them in different regimes of the table above. They are not the same instrument at different sensitivities. Under a long-period velocity pulse the tor is deep in Regime II and the cairn is approaching Regime I; under 5 Hz high-frequency content the reverse.</w:t>
      </w:r>
    </w:p>
    <w:p w14:paraId="4DCF0DDF" w14:textId="77777777" w:rsidR="00937C4A" w:rsidRDefault="00000000">
      <w:pPr>
        <w:pStyle w:val="BodyText"/>
      </w:pPr>
      <w:r>
        <w:t xml:space="preserve">This is the sharp form of the ritual’s error, and it is worth being precise about what kind of error it is. It is </w:t>
      </w:r>
      <w:r>
        <w:rPr>
          <w:b/>
          <w:bCs/>
        </w:rPr>
        <w:t>not</w:t>
      </w:r>
      <w:r>
        <w:t xml:space="preserve"> a failure to understand mechanics. It is a dimensional analysis performed with one </w:t>
      </w:r>
      <m:oMath>
        <m:r>
          <w:rPr>
            <w:rFonts w:ascii="Cambria Math" w:hAnsi="Cambria Math"/>
          </w:rPr>
          <m:t>Π</m:t>
        </m:r>
      </m:oMath>
      <w:r>
        <w:t>-group missing — which is exactly the error made by every engineer who has ever built a scale model and forgotten to check Froude or Cauchy number. The devotee’s version has the advantage of being explicitly a prayer. The engineering version is usually presented as a calculation.</w:t>
      </w:r>
    </w:p>
    <w:p w14:paraId="1B53F6A9" w14:textId="77777777" w:rsidR="00937C4A" w:rsidRDefault="00000000">
      <w:pPr>
        <w:pStyle w:val="Heading2"/>
        <w:pageBreakBefore/>
        <w:pBdr>
          <w:bottom w:val="single" w:sz="5" w:space="5" w:color="B8C1C6"/>
        </w:pBdr>
        <w:spacing w:after="280"/>
      </w:pPr>
      <w:bookmarkStart w:id="34" w:name="Xffb3debb1dae0888943d503fb71965dbe4211b5"/>
      <w:bookmarkEnd w:id="29"/>
      <w:bookmarkEnd w:id="33"/>
      <w:r>
        <w:rPr>
          <w:rFonts w:ascii="EB Garamond" w:eastAsia="EB Garamond" w:hAnsi="EB Garamond"/>
          <w:sz w:val="40"/>
        </w:rPr>
        <w:lastRenderedPageBreak/>
        <w:t xml:space="preserve">Chapter 6 — The Impulsive Melnikov Function </w:t>
      </w:r>
      <w:r>
        <w:rPr>
          <w:rFonts w:ascii="Noto Sans" w:eastAsia="Noto Sans" w:hAnsi="Noto Sans"/>
          <w:color w:val="255B8D"/>
          <w:sz w:val="19"/>
        </w:rPr>
        <w:t>[A]</w:t>
      </w:r>
    </w:p>
    <w:p w14:paraId="7F2A7247" w14:textId="77777777" w:rsidR="00937C4A" w:rsidRDefault="00000000">
      <w:r>
        <w:t>This is the analytical core of the book. It is the one place where a closed form falls out, and it deserves to be derived rather than quoted.</w:t>
      </w:r>
    </w:p>
    <w:p w14:paraId="1A6F1989" w14:textId="77777777" w:rsidR="00937C4A" w:rsidRDefault="00000000">
      <w:pPr>
        <w:pStyle w:val="Heading3"/>
      </w:pPr>
      <w:bookmarkStart w:id="35" w:name="the-system"/>
      <w:r>
        <w:rPr>
          <w:rFonts w:ascii="Noto Sans" w:eastAsia="Noto Sans" w:hAnsi="Noto Sans"/>
        </w:rPr>
        <w:t>6.1 The system</w:t>
      </w:r>
    </w:p>
    <w:p w14:paraId="33336D78" w14:textId="77777777" w:rsidR="00937C4A" w:rsidRDefault="00000000">
      <w:r>
        <w:t xml:space="preserve">Nondimensionalise by </w:t>
      </w:r>
      <m:oMath>
        <m:r>
          <w:rPr>
            <w:rFonts w:ascii="Cambria Math" w:hAnsi="Cambria Math"/>
          </w:rPr>
          <m:t>τ</m:t>
        </m:r>
        <m:r>
          <m:rPr>
            <m:sty m:val="p"/>
          </m:rPr>
          <w:rPr>
            <w:rFonts w:ascii="Cambria Math" w:hAnsi="Cambria Math"/>
          </w:rPr>
          <m:t>=</m:t>
        </m:r>
        <m:r>
          <w:rPr>
            <w:rFonts w:ascii="Cambria Math" w:hAnsi="Cambria Math"/>
          </w:rPr>
          <m:t>pt</m:t>
        </m:r>
      </m:oMath>
      <w:r>
        <w:t xml:space="preserve">, </w:t>
      </w:r>
      <m:oMath>
        <m:r>
          <w:rPr>
            <w:rFonts w:ascii="Cambria Math" w:hAnsi="Cambria Math"/>
          </w:rPr>
          <m:t>a</m:t>
        </m:r>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g</m:t>
            </m:r>
          </m:sub>
        </m:sSub>
        <m:r>
          <m:rPr>
            <m:sty m:val="p"/>
          </m:rPr>
          <w:rPr>
            <w:rFonts w:ascii="Cambria Math" w:hAnsi="Cambria Math"/>
          </w:rPr>
          <m:t>/</m:t>
        </m:r>
        <m:r>
          <w:rPr>
            <w:rFonts w:ascii="Cambria Math" w:hAnsi="Cambria Math"/>
          </w:rPr>
          <m:t>g</m:t>
        </m:r>
      </m:oMath>
      <w:r>
        <w:t>:</w:t>
      </w:r>
    </w:p>
    <w:p w14:paraId="56FB601F" w14:textId="77777777" w:rsidR="00937C4A" w:rsidRDefault="00000000">
      <w:pPr>
        <w:pStyle w:val="BodyText"/>
        <w:spacing w:before="100" w:after="140"/>
        <w:jc w:val="center"/>
      </w:pPr>
      <m:oMathPara>
        <m:oMathParaPr>
          <m:jc m:val="center"/>
        </m:oMathParaPr>
        <m:oMath>
          <m:r>
            <w:rPr>
              <w:rFonts w:ascii="Cambria Math" w:hAnsi="Cambria Math"/>
            </w:rPr>
            <m:t>θ</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sin</m:t>
              </m:r>
              <m:d>
                <m:dPr>
                  <m:ctrlPr>
                    <w:rPr>
                      <w:rFonts w:ascii="Cambria Math" w:hAnsi="Cambria Math"/>
                    </w:rPr>
                  </m:ctrlPr>
                </m:dPr>
                <m:e>
                  <m:r>
                    <w:rPr>
                      <w:rFonts w:ascii="Cambria Math" w:hAnsi="Cambria Math"/>
                    </w:rPr>
                    <m:t>α </m:t>
                  </m:r>
                  <m:r>
                    <m:rPr>
                      <m:sty m:val="p"/>
                    </m:rPr>
                    <w:rPr>
                      <w:rFonts w:ascii="Cambria Math" w:hAnsi="Cambria Math"/>
                    </w:rPr>
                    <m:t>sgn</m:t>
                  </m:r>
                  <m:r>
                    <w:rPr>
                      <w:rFonts w:ascii="Cambria Math" w:hAnsi="Cambria Math"/>
                    </w:rPr>
                    <m:t> θ</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τ</m:t>
                  </m:r>
                </m:e>
              </m:d>
              <m:r>
                <m:rPr>
                  <m:sty m:val="p"/>
                </m:rPr>
                <w:rPr>
                  <w:rFonts w:ascii="Cambria Math" w:hAnsi="Cambria Math"/>
                </w:rPr>
                <m:t>cos</m:t>
              </m:r>
              <m:d>
                <m:dPr>
                  <m:ctrlPr>
                    <w:rPr>
                      <w:rFonts w:ascii="Cambria Math" w:hAnsi="Cambria Math"/>
                    </w:rPr>
                  </m:ctrlPr>
                </m:dPr>
                <m:e>
                  <m:r>
                    <w:rPr>
                      <w:rFonts w:ascii="Cambria Math" w:hAnsi="Cambria Math"/>
                    </w:rPr>
                    <m:t>α </m:t>
                  </m:r>
                  <m:r>
                    <m:rPr>
                      <m:sty m:val="p"/>
                    </m:rPr>
                    <w:rPr>
                      <w:rFonts w:ascii="Cambria Math" w:hAnsi="Cambria Math"/>
                    </w:rPr>
                    <m:t>sgn</m:t>
                  </m:r>
                  <m:r>
                    <w:rPr>
                      <w:rFonts w:ascii="Cambria Math" w:hAnsi="Cambria Math"/>
                    </w:rPr>
                    <m:t> θ</m:t>
                  </m:r>
                  <m:r>
                    <m:rPr>
                      <m:sty m:val="p"/>
                    </m:rPr>
                    <w:rPr>
                      <w:rFonts w:ascii="Cambria Math" w:hAnsi="Cambria Math"/>
                    </w:rPr>
                    <m:t>-</m:t>
                  </m:r>
                  <m:r>
                    <w:rPr>
                      <w:rFonts w:ascii="Cambria Math" w:hAnsi="Cambria Math"/>
                    </w:rPr>
                    <m:t>θ</m:t>
                  </m:r>
                </m:e>
              </m:d>
            </m:e>
          </m:d>
          <m:r>
            <m:rPr>
              <m:sty m:val="p"/>
            </m:rPr>
            <w:rPr>
              <w:rFonts w:ascii="Cambria Math" w:hAnsi="Cambria Math"/>
            </w:rPr>
            <m:t>,</m:t>
          </m:r>
        </m:oMath>
      </m:oMathPara>
    </w:p>
    <w:p w14:paraId="04A362B4" w14:textId="77777777" w:rsidR="00937C4A" w:rsidRDefault="00000000">
      <w:r>
        <w:t xml:space="preserve">with the reset </w:t>
      </w:r>
      <m:oMath>
        <m:r>
          <w:rPr>
            <w:rFonts w:ascii="Cambria Math" w:hAnsi="Cambria Math"/>
          </w:rPr>
          <m:t>θ</m:t>
        </m:r>
        <m:r>
          <m:rPr>
            <m:sty m:val="p"/>
          </m:rPr>
          <w:rPr>
            <w:rFonts w:ascii="Cambria Math" w:hAnsi="Cambria Math"/>
          </w:rPr>
          <m:t>'↦</m:t>
        </m:r>
        <m:r>
          <w:rPr>
            <w:rFonts w:ascii="Cambria Math" w:hAnsi="Cambria Math"/>
          </w:rPr>
          <m:t>rθ</m:t>
        </m:r>
        <m:r>
          <m:rPr>
            <m:sty m:val="p"/>
          </m:rPr>
          <w:rPr>
            <w:rFonts w:ascii="Cambria Math" w:hAnsi="Cambria Math"/>
          </w:rPr>
          <m:t>'</m:t>
        </m:r>
      </m:oMath>
      <w:r>
        <w:t xml:space="preserve"> at </w:t>
      </w:r>
      <m:oMath>
        <m:r>
          <w:rPr>
            <w:rFonts w:ascii="Cambria Math" w:hAnsi="Cambria Math"/>
          </w:rPr>
          <m:t>θ</m:t>
        </m:r>
        <m:r>
          <m:rPr>
            <m:sty m:val="p"/>
          </m:rPr>
          <w:rPr>
            <w:rFonts w:ascii="Cambria Math" w:hAnsi="Cambria Math"/>
          </w:rPr>
          <m:t>=</m:t>
        </m:r>
        <m:r>
          <w:rPr>
            <w:rFonts w:ascii="Cambria Math" w:hAnsi="Cambria Math"/>
          </w:rPr>
          <m:t>0</m:t>
        </m:r>
      </m:oMath>
      <w:r>
        <w:t xml:space="preserve">. This is a planar impulsive hybrid system with discontinuity manifold </w:t>
      </w:r>
      <m:oMath>
        <m:r>
          <w:rPr>
            <w:rFonts w:ascii="Cambria Math" w:hAnsi="Cambria Math"/>
          </w:rPr>
          <m:t>Σ</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oMath>
      <w:r>
        <w:t>.</w:t>
      </w:r>
    </w:p>
    <w:p w14:paraId="0B0E33EA" w14:textId="77777777" w:rsidR="00937C4A" w:rsidRDefault="00000000">
      <w:pPr>
        <w:pStyle w:val="BodyText"/>
      </w:pPr>
      <w:r>
        <w:t xml:space="preserve">Unforced, it is Hamiltonian with </w:t>
      </w:r>
      <m:oMath>
        <m:r>
          <m:rPr>
            <m:scr m:val="script"/>
            <m:sty m:val="p"/>
          </m:rPr>
          <w:rPr>
            <w:rFonts w:ascii="Cambria Math" w:hAnsi="Cambria Math"/>
          </w:rPr>
          <m:t>H=</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θ</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+cos</m:t>
        </m:r>
        <m:d>
          <m:dPr>
            <m:ctrlPr>
              <w:rPr>
                <w:rFonts w:ascii="Cambria Math" w:hAnsi="Cambria Math"/>
              </w:rPr>
            </m:ctrlPr>
          </m:dPr>
          <m:e>
            <m:r>
              <w:rPr>
                <w:rFonts w:ascii="Cambria Math" w:hAnsi="Cambria Math"/>
              </w:rPr>
              <m:t>α</m:t>
            </m:r>
            <m:r>
              <m:rPr>
                <m:sty m:val="p"/>
              </m:rPr>
              <w:rPr>
                <w:rFonts w:ascii="Cambria Math" w:hAnsi="Cambria Math"/>
              </w:rPr>
              <m:t>-</m:t>
            </m:r>
            <m:d>
              <m:dPr>
                <m:begChr m:val="|"/>
                <m:endChr m:val="|"/>
                <m:ctrlPr>
                  <w:rPr>
                    <w:rFonts w:ascii="Cambria Math" w:hAnsi="Cambria Math"/>
                  </w:rPr>
                </m:ctrlPr>
              </m:dPr>
              <m:e>
                <m:r>
                  <w:rPr>
                    <w:rFonts w:ascii="Cambria Math" w:hAnsi="Cambria Math"/>
                  </w:rPr>
                  <m:t>θ</m:t>
                </m:r>
              </m:e>
            </m:d>
          </m:e>
        </m:d>
      </m:oMath>
      <w:r>
        <w:t xml:space="preserve">. The balance points </w:t>
      </w:r>
      <m:oMath>
        <m:d>
          <m:dPr>
            <m:ctrlPr>
              <w:rPr>
                <w:rFonts w:ascii="Cambria Math" w:hAnsi="Cambria Math"/>
              </w:rPr>
            </m:ctrlPr>
          </m:dPr>
          <m:e>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m:t>
            </m:r>
          </m:e>
        </m:d>
      </m:oMath>
      <w:r>
        <w:t xml:space="preserve"> sit at </w:t>
      </w:r>
      <m:oMath>
        <m:r>
          <m:rPr>
            <m:scr m:val="script"/>
            <m:sty m:val="p"/>
          </m:rPr>
          <w:rPr>
            <w:rFonts w:ascii="Cambria Math" w:hAnsi="Cambria Math"/>
          </w:rPr>
          <m:t>H=</m:t>
        </m:r>
        <m:r>
          <w:rPr>
            <w:rFonts w:ascii="Cambria Math" w:hAnsi="Cambria Math"/>
          </w:rPr>
          <m:t>1</m:t>
        </m:r>
      </m:oMath>
      <w:r>
        <w:t xml:space="preserve">, which is a </w:t>
      </w:r>
      <w:r>
        <w:rPr>
          <w:i/>
          <w:iCs/>
        </w:rPr>
        <w:t>maximum</w:t>
      </w:r>
      <w:r>
        <w:t xml:space="preserve"> of the potential — the centroid is highest exactly at the balance point — so they are saddles.</w:t>
      </w:r>
    </w:p>
    <w:p w14:paraId="3AEA450A" w14:textId="77777777" w:rsidR="00937C4A" w:rsidRDefault="00000000">
      <w:pPr>
        <w:pStyle w:val="Heading3"/>
      </w:pPr>
      <w:bookmarkStart w:id="36" w:name="the-separatrix-with-its-offset"/>
      <w:bookmarkEnd w:id="35"/>
      <w:r>
        <w:rPr>
          <w:rFonts w:ascii="Noto Sans" w:eastAsia="Noto Sans" w:hAnsi="Noto Sans"/>
        </w:rPr>
        <w:t>6.2 The separatrix, with its offset</w:t>
      </w:r>
    </w:p>
    <w:p w14:paraId="486770D7" w14:textId="77777777" w:rsidR="00937C4A" w:rsidRDefault="00000000">
      <w:r>
        <w:t xml:space="preserve">On </w:t>
      </w:r>
      <m:oMath>
        <m:r>
          <m:rPr>
            <m:scr m:val="script"/>
            <m:sty m:val="p"/>
          </m:rPr>
          <w:rPr>
            <w:rFonts w:ascii="Cambria Math" w:hAnsi="Cambria Math"/>
          </w:rPr>
          <m:t>H=</m:t>
        </m:r>
        <m:r>
          <w:rPr>
            <w:rFonts w:ascii="Cambria Math" w:hAnsi="Cambria Math"/>
          </w:rPr>
          <m:t>1</m:t>
        </m:r>
      </m:oMath>
      <w:r>
        <w:t xml:space="preserve"> we have </w:t>
      </w:r>
      <m:oMath>
        <m:r>
          <w:rPr>
            <w:rFonts w:ascii="Cambria Math" w:hAnsi="Cambria Math"/>
          </w:rPr>
          <m:t>θ</m:t>
        </m:r>
        <m:r>
          <m:rPr>
            <m:sty m:val="p"/>
          </m:rPr>
          <w:rPr>
            <w:rFonts w:ascii="Cambria Math" w:hAnsi="Cambria Math"/>
          </w:rPr>
          <m:t>'=-</m:t>
        </m:r>
        <m:r>
          <w:rPr>
            <w:rFonts w:ascii="Cambria Math" w:hAnsi="Cambria Math"/>
          </w:rPr>
          <m:t>2</m:t>
        </m:r>
        <m:r>
          <m:rPr>
            <m:sty m:val="p"/>
          </m:rPr>
          <w:rPr>
            <w:rFonts w:ascii="Cambria Math" w:hAnsi="Cambria Math"/>
          </w:rPr>
          <m:t>sin</m:t>
        </m:r>
        <m:f>
          <m:fP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θ</m:t>
            </m:r>
          </m:num>
          <m:den>
            <m:r>
              <w:rPr>
                <w:rFonts w:ascii="Cambria Math" w:hAnsi="Cambria Math"/>
              </w:rPr>
              <m:t>2</m:t>
            </m:r>
          </m:den>
        </m:f>
      </m:oMath>
      <w:r>
        <w:t xml:space="preserve">, which integrates to the pendulum kink. Gluing the two branches at the impact, taken at </w:t>
      </w:r>
      <m:oMath>
        <m:r>
          <w:rPr>
            <w:rFonts w:ascii="Cambria Math" w:hAnsi="Cambria Math"/>
          </w:rPr>
          <m:t>τ</m:t>
        </m:r>
        <m:r>
          <m:rPr>
            <m:sty m:val="p"/>
          </m:rPr>
          <w:rPr>
            <w:rFonts w:ascii="Cambria Math" w:hAnsi="Cambria Math"/>
          </w:rPr>
          <m:t>=</m:t>
        </m:r>
        <m:r>
          <w:rPr>
            <w:rFonts w:ascii="Cambria Math" w:hAnsi="Cambria Math"/>
          </w:rPr>
          <m:t>0</m:t>
        </m:r>
      </m:oMath>
      <w:r>
        <w:t>:</w:t>
      </w:r>
    </w:p>
    <w:p w14:paraId="4360CAA3"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s</m:t>
              </m:r>
            </m:sub>
          </m:sSub>
          <m:d>
            <m:dPr>
              <m:ctrlPr>
                <w:rPr>
                  <w:rFonts w:ascii="Cambria Math" w:hAnsi="Cambria Math"/>
                </w:rPr>
              </m:ctrlPr>
            </m:dPr>
            <m:e>
              <m:r>
                <w:rPr>
                  <w:rFonts w:ascii="Cambria Math" w:hAnsi="Cambria Math"/>
                </w:rPr>
                <m:t>τ</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  α</m:t>
                    </m:r>
                    <m:r>
                      <m:rPr>
                        <m:sty m:val="p"/>
                      </m:rPr>
                      <w:rPr>
                        <w:rFonts w:ascii="Cambria Math" w:hAnsi="Cambria Math"/>
                      </w:rPr>
                      <m:t>-</m:t>
                    </m:r>
                    <m:r>
                      <w:rPr>
                        <w:rFonts w:ascii="Cambria Math" w:hAnsi="Cambria Math"/>
                      </w:rPr>
                      <m:t>4</m:t>
                    </m:r>
                    <m:r>
                      <m:rPr>
                        <m:sty m:val="p"/>
                      </m:rPr>
                      <w:rPr>
                        <w:rFonts w:ascii="Cambria Math" w:hAnsi="Cambria Math"/>
                      </w:rPr>
                      <m:t>arctan</m:t>
                    </m:r>
                    <m:sSup>
                      <m:sSupPr>
                        <m:ctrlPr>
                          <w:rPr>
                            <w:rFonts w:ascii="Cambria Math" w:hAnsi="Cambria Math"/>
                          </w:rPr>
                        </m:ctrlPr>
                      </m:sSupPr>
                      <m:e>
                        <m:r>
                          <w:rPr>
                            <w:rFonts w:ascii="Cambria Math" w:hAnsi="Cambria Math"/>
                          </w:rPr>
                          <m:t>e</m:t>
                        </m:r>
                      </m:e>
                      <m:sup>
                        <m:r>
                          <w:rPr>
                            <w:rFonts w:ascii="Cambria Math" w:hAnsi="Cambria Math"/>
                          </w:rPr>
                          <m:t> τ</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sup>
                    </m:sSup>
                    <m:r>
                      <m:rPr>
                        <m:sty m:val="p"/>
                      </m:rPr>
                      <w:rPr>
                        <w:rFonts w:ascii="Cambria Math" w:hAnsi="Cambria Math"/>
                      </w:rPr>
                      <m:t>,</m:t>
                    </m:r>
                  </m:e>
                  <m:e>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e>
                </m:mr>
                <m:mr>
                  <m:e>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4</m:t>
                    </m:r>
                    <m:r>
                      <m:rPr>
                        <m:sty m:val="p"/>
                      </m:rPr>
                      <w:rPr>
                        <w:rFonts w:ascii="Cambria Math" w:hAnsi="Cambria Math"/>
                      </w:rPr>
                      <m:t>arctan</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sup>
                    </m:sSup>
                    <m:r>
                      <m:rPr>
                        <m:sty m:val="p"/>
                      </m:rPr>
                      <w:rPr>
                        <w:rFonts w:ascii="Cambria Math" w:hAnsi="Cambria Math"/>
                      </w:rPr>
                      <m:t>,</m:t>
                    </m:r>
                  </m:e>
                  <m:e>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e>
                </m:mr>
              </m:m>
            </m:e>
          </m:d>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=lncot</m:t>
          </m:r>
          <m:f>
            <m:fPr>
              <m:ctrlPr>
                <w:rPr>
                  <w:rFonts w:ascii="Cambria Math" w:hAnsi="Cambria Math"/>
                </w:rPr>
              </m:ctrlPr>
            </m:fPr>
            <m:num>
              <m:r>
                <w:rPr>
                  <w:rFonts w:ascii="Cambria Math" w:hAnsi="Cambria Math"/>
                </w:rPr>
                <m:t>α</m:t>
              </m:r>
            </m:num>
            <m:den>
              <m:r>
                <w:rPr>
                  <w:rFonts w:ascii="Cambria Math" w:hAnsi="Cambria Math"/>
                </w:rPr>
                <m:t>4</m:t>
              </m:r>
            </m:den>
          </m:f>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734AA395" w14:textId="77777777" w:rsidR="00937C4A" w:rsidRDefault="00000000">
      <w:r>
        <w:t>and therefore</w:t>
      </w:r>
    </w:p>
    <w:p w14:paraId="11727934" w14:textId="77777777" w:rsidR="00937C4A" w:rsidRDefault="00000000">
      <w:pPr>
        <w:pStyle w:val="BodyText"/>
        <w:spacing w:before="100" w:after="140"/>
        <w:jc w:val="center"/>
      </w:pPr>
      <m:oMathPara>
        <m:oMathParaPr>
          <m:jc m:val="center"/>
        </m:oMathParaPr>
        <m:oMath>
          <m:borderBox>
            <m:borderBoxPr>
              <m:ctrlPr>
                <w:rPr>
                  <w:rFonts w:ascii="Cambria Math" w:hAnsi="Cambria Math"/>
                </w:rPr>
              </m:ctrlPr>
            </m:borderBoxPr>
            <m:e>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2 </m:t>
              </m:r>
              <m:r>
                <m:rPr>
                  <m:sty m:val="p"/>
                </m:rPr>
                <w:rPr>
                  <w:rFonts w:ascii="Cambria Math" w:hAnsi="Cambria Math"/>
                </w:rPr>
                <m:t>sech</m:t>
              </m:r>
              <m:d>
                <m:dPr>
                  <m:ctrlPr>
                    <w:rPr>
                      <w:rFonts w:ascii="Cambria Math" w:hAnsi="Cambria Math"/>
                    </w:rPr>
                  </m:ctrlPr>
                </m:dPr>
                <m:e>
                  <m:d>
                    <m:dPr>
                      <m:begChr m:val="|"/>
                      <m:endChr m:val="|"/>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e>
              </m:d>
              <m:r>
                <m:rPr>
                  <m:sty m:val="p"/>
                </m:rPr>
                <w:rPr>
                  <w:rFonts w:ascii="Cambria Math" w:hAnsi="Cambria Math"/>
                </w:rPr>
                <m:t>.</m:t>
              </m:r>
              <m:r>
                <w:rPr>
                  <w:rFonts w:ascii="Cambria Math" w:hAnsi="Cambria Math"/>
                </w:rPr>
                <m:t> </m:t>
              </m:r>
            </m:e>
          </m:borderBox>
        </m:oMath>
      </m:oMathPara>
    </w:p>
    <w:p w14:paraId="6FA06CEC" w14:textId="77777777" w:rsidR="00937C4A" w:rsidRDefault="00000000">
      <w:r>
        <w:rPr>
          <w:i/>
          <w:iCs/>
        </w:rPr>
        <w:t>Validation.</w:t>
      </w:r>
      <w:r>
        <w:t xml:space="preserve"> For </w:t>
      </w:r>
      <m:oMath>
        <m:r>
          <w:rPr>
            <w:rFonts w:ascii="Cambria Math" w:hAnsi="Cambria Math"/>
          </w:rPr>
          <m:t>α</m:t>
        </m:r>
        <m:r>
          <m:rPr>
            <m:sty m:val="p"/>
          </m:rPr>
          <w:rPr>
            <w:rFonts w:ascii="Cambria Math" w:hAnsi="Cambria Math"/>
          </w:rPr>
          <m:t>=</m:t>
        </m:r>
        <m:r>
          <w:rPr>
            <w:rFonts w:ascii="Cambria Math" w:hAnsi="Cambria Math"/>
          </w:rPr>
          <m:t>0.35</m:t>
        </m:r>
      </m:oMath>
      <w:r>
        <w:t xml:space="preserve"> (</w:t>
      </w:r>
      <m:oMath>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2.7676</m:t>
        </m:r>
      </m:oMath>
      <w:r>
        <w:t xml:space="preserve">): the residual </w:t>
      </w:r>
      <m:oMath>
        <m:sSub>
          <m:sSubPr>
            <m:ctrlPr>
              <w:rPr>
                <w:rFonts w:ascii="Cambria Math" w:hAnsi="Cambria Math"/>
              </w:rPr>
            </m:ctrlPr>
          </m:sSubPr>
          <m:e>
            <m:r>
              <m:rPr>
                <m:sty m:val="p"/>
              </m:rPr>
              <w:rPr>
                <w:rFonts w:ascii="Cambria Math" w:hAnsi="Cambria Math"/>
              </w:rPr>
              <m:t>max</m:t>
            </m:r>
          </m:e>
          <m:sub>
            <m:r>
              <w:rPr>
                <w:rFonts w:ascii="Cambria Math" w:hAnsi="Cambria Math"/>
              </w:rPr>
              <m:t>τ</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r>
              <w:rPr>
                <w:rFonts w:ascii="Cambria Math" w:hAnsi="Cambria Math"/>
              </w:rPr>
              <m:t>2 </m:t>
            </m:r>
            <m:r>
              <m:rPr>
                <m:sty m:val="p"/>
              </m:rPr>
              <w:rPr>
                <w:rFonts w:ascii="Cambria Math" w:hAnsi="Cambria Math"/>
              </w:rPr>
              <m:t>sech</m:t>
            </m:r>
            <m:d>
              <m:dPr>
                <m:ctrlPr>
                  <w:rPr>
                    <w:rFonts w:ascii="Cambria Math" w:hAnsi="Cambria Math"/>
                  </w:rPr>
                </m:ctrlPr>
              </m:dPr>
              <m:e>
                <m:d>
                  <m:dPr>
                    <m:begChr m:val="|"/>
                    <m:endChr m:val="|"/>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e>
            </m:d>
          </m:e>
        </m:d>
      </m:oMath>
      <w:r>
        <w:t xml:space="preserve"> is </w:t>
      </w:r>
      <m:oMath>
        <m:r>
          <w:rPr>
            <w:rFonts w:ascii="Cambria Math" w:hAnsi="Cambria Math"/>
          </w:rPr>
          <m:t>6.9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on a </w:t>
      </w:r>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-point mesh; </w:t>
      </w:r>
      <m:oMath>
        <m:sSub>
          <m:sSubPr>
            <m:ctrlPr>
              <w:rPr>
                <w:rFonts w:ascii="Cambria Math" w:hAnsi="Cambria Math"/>
              </w:rPr>
            </m:ctrlPr>
          </m:sSubPr>
          <m:e>
            <m:r>
              <w:rPr>
                <w:rFonts w:ascii="Cambria Math" w:hAnsi="Cambria Math"/>
              </w:rPr>
              <m:t>θ</m:t>
            </m:r>
          </m:e>
          <m:sub>
            <m:r>
              <w:rPr>
                <w:rFonts w:ascii="Cambria Math" w:hAnsi="Cambria Math"/>
              </w:rPr>
              <m:t>s</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r>
        <w:t xml:space="preserve"> exactly; </w:t>
      </w: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0.348148</m:t>
        </m:r>
      </m:oMath>
      <w:r>
        <w:t xml:space="preserve"> against </w:t>
      </w:r>
      <m:oMath>
        <m:r>
          <m:rPr>
            <m:sty m:val="p"/>
          </m:rPr>
          <w:rPr>
            <w:rFonts w:ascii="Cambria Math" w:hAnsi="Cambria Math"/>
          </w:rPr>
          <m:t>-</m:t>
        </m:r>
        <m:r>
          <w:rPr>
            <w:rFonts w:ascii="Cambria Math" w:hAnsi="Cambria Math"/>
          </w:rPr>
          <m:t>2</m:t>
        </m:r>
        <m:r>
          <m:rPr>
            <m:sty m:val="p"/>
          </m:rPr>
          <w:rPr>
            <w:rFonts w:ascii="Cambria Math" w:hAnsi="Cambria Math"/>
          </w:rPr>
          <m:t>sin</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0.348216</m:t>
        </m:r>
      </m:oMath>
      <w:r>
        <w:t xml:space="preserve">; branchwise energy deviation </w:t>
      </w:r>
      <m:oMath>
        <m:r>
          <w:rPr>
            <w:rFonts w:ascii="Cambria Math" w:hAnsi="Cambria Math"/>
          </w:rPr>
          <m:t>3.0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w:t>
      </w:r>
      <w:r>
        <w:rPr>
          <w:rFonts w:ascii="Noto Sans" w:eastAsia="Noto Sans" w:hAnsi="Noto Sans"/>
          <w:b/>
          <w:bCs/>
          <w:color w:val="55626E"/>
          <w:sz w:val="19"/>
        </w:rPr>
        <w:t>[N]</w:t>
      </w:r>
    </w:p>
    <w:p w14:paraId="787F79F0" w14:textId="77777777" w:rsidR="00937C4A" w:rsidRDefault="00000000">
      <w:pPr>
        <w:pStyle w:val="BodyText"/>
      </w:pPr>
      <w:r>
        <w:rPr>
          <w:i/>
          <w:iCs/>
        </w:rPr>
        <w:t>The offset is the whole chapter.</w:t>
      </w:r>
      <w:r>
        <w:t xml:space="preserve"> For slender blocks </w:t>
      </w:r>
      <m:oMath>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oMath>
      <w:r>
        <w:t xml:space="preserve">, so the orbit lives entirely in the exponential tail of the </w:t>
      </w:r>
      <m:oMath>
        <m:r>
          <m:rPr>
            <m:sty m:val="p"/>
          </m:rPr>
          <w:rPr>
            <w:rFonts w:ascii="Cambria Math" w:hAnsi="Cambria Math"/>
          </w:rPr>
          <m:t>sech</m:t>
        </m:r>
      </m:oMath>
      <w:r>
        <w:t xml:space="preserve"> and never approaches its peak. A </w:t>
      </w:r>
      <m:oMath>
        <m:r>
          <m:rPr>
            <m:sty m:val="p"/>
          </m:rPr>
          <w:rPr>
            <w:rFonts w:ascii="Cambria Math" w:hAnsi="Cambria Math"/>
          </w:rPr>
          <m:t>sech</m:t>
        </m:r>
      </m:oMath>
      <w:r>
        <w:t xml:space="preserve"> transforms to a </w:t>
      </w:r>
      <m:oMath>
        <m:r>
          <m:rPr>
            <m:sty m:val="p"/>
          </m:rPr>
          <w:rPr>
            <w:rFonts w:ascii="Cambria Math" w:hAnsi="Cambria Math"/>
          </w:rPr>
          <m:t>sech</m:t>
        </m:r>
      </m:oMath>
      <w:r>
        <w:t>; an exponential tail transforms to a Lorentzian. Everything downstream follows from which of those two the orbit actually samples.</w:t>
      </w:r>
    </w:p>
    <w:p w14:paraId="4D75F515" w14:textId="77777777" w:rsidR="00937C4A" w:rsidRDefault="00000000">
      <w:pPr>
        <w:pStyle w:val="Heading3"/>
      </w:pPr>
      <w:bookmarkStart w:id="37" w:name="the-distinguished-limit"/>
      <w:bookmarkEnd w:id="36"/>
      <w:r>
        <w:rPr>
          <w:rFonts w:ascii="Noto Sans" w:eastAsia="Noto Sans" w:hAnsi="Noto Sans"/>
        </w:rPr>
        <w:t>6.3 The distinguished limit</w:t>
      </w:r>
    </w:p>
    <w:p w14:paraId="4147FB13" w14:textId="77777777" w:rsidR="00937C4A" w:rsidRDefault="00000000">
      <w:r>
        <w:t xml:space="preserve">The impact loss and the forcing must enter the Melnikov function at the same order. The raw parameters do not obviously balance —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α</m:t>
            </m:r>
          </m:e>
          <m:sup>
            <m:r>
              <w:rPr>
                <w:rFonts w:ascii="Cambria Math" w:hAnsi="Cambria Math"/>
              </w:rPr>
              <m:t>2</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4</m:t>
                </m:r>
              </m:sup>
            </m:sSup>
          </m:e>
        </m:d>
      </m:oMath>
      <w:r>
        <w:t xml:space="preserve"> while the threshold will turn out to be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3</m:t>
                </m:r>
              </m:sup>
            </m:sSup>
          </m:e>
        </m:d>
      </m:oMath>
      <w:r>
        <w:t xml:space="preserve"> — and the working notes flagged this as an unresolved inconsistency. It is not one. The balance is at the level of the </w:t>
      </w:r>
      <w:r>
        <w:rPr>
          <w:i/>
          <w:iCs/>
        </w:rPr>
        <w:t>energy contributions</w:t>
      </w:r>
      <w:r>
        <w:t>, not the parameters.</w:t>
      </w:r>
    </w:p>
    <w:p w14:paraId="0177D695" w14:textId="77777777" w:rsidR="00937C4A" w:rsidRDefault="00000000">
      <w:pPr>
        <w:pStyle w:val="BodyText"/>
      </w:pPr>
      <w:r>
        <w:t xml:space="preserve">Set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2</m:t>
                </m:r>
              </m:sup>
            </m:sSup>
          </m:e>
        </m:d>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3</m:t>
                </m:r>
              </m:sup>
            </m:sSup>
          </m:e>
        </m:d>
      </m:oMath>
      <w:r>
        <w:t>. Then</w:t>
      </w:r>
    </w:p>
    <w:p w14:paraId="6D6FBAF6"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diss</m:t>
              </m:r>
            </m:sub>
          </m:sSub>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sSup>
            <m:sSupPr>
              <m:ctrlPr>
                <w:rPr>
                  <w:rFonts w:ascii="Cambria Math" w:hAnsi="Cambria Math"/>
                </w:rPr>
              </m:ctrlPr>
            </m:sSupPr>
            <m:e>
              <m:r>
                <m:rPr>
                  <m:sty m:val="p"/>
                </m:rPr>
                <w:rPr>
                  <w:rFonts w:ascii="Cambria Math" w:hAnsi="Cambria Math"/>
                </w:rPr>
                <m:t>sin</m:t>
              </m:r>
            </m:e>
            <m:sup>
              <m:r>
                <w:rPr>
                  <w:rFonts w:ascii="Cambria Math" w:hAnsi="Cambria Math"/>
                </w:rPr>
                <m:t>2</m:t>
              </m:r>
            </m:sup>
          </m:sSup>
          <m:f>
            <m:fPr>
              <m:type m:val="lin"/>
              <m:ctrlPr>
                <w:rPr>
                  <w:rFonts w:ascii="Cambria Math" w:hAnsi="Cambria Math"/>
                </w:rPr>
              </m:ctrlPr>
            </m:fPr>
            <m:num>
              <m:r>
                <w:rPr>
                  <w:rFonts w:ascii="Cambria Math" w:hAnsi="Cambria Math"/>
                </w:rPr>
                <m:t>α</m:t>
              </m:r>
            </m:num>
            <m:den>
              <m:r>
                <w:rPr>
                  <w:rFonts w:ascii="Cambria Math" w:hAnsi="Cambria Math"/>
                </w:rPr>
                <m:t>2</m:t>
              </m:r>
            </m:den>
          </m:f>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4</m:t>
                  </m:r>
                </m:sup>
              </m:sSup>
            </m:e>
          </m:d>
          <m:r>
            <m:rPr>
              <m:sty m:val="p"/>
            </m:rPr>
            <w:rPr>
              <w:rFonts w:ascii="Cambria Math" w:hAnsi="Cambria Math"/>
            </w:rPr>
            <m:t>,</m:t>
          </m:r>
          <m:r>
            <w:rPr>
              <w:rFonts w:ascii="Cambria Math" w:hAnsi="Cambria Math"/>
            </w:rPr>
            <m:t>  </m:t>
          </m:r>
          <m:r>
            <m:rPr>
              <m:scr m:val="script"/>
              <m:sty m:val="p"/>
            </m:rPr>
            <w:rPr>
              <w:rFonts w:ascii="Cambria Math" w:hAnsi="Cambria Math"/>
            </w:rPr>
            <m:t>I=</m:t>
          </m:r>
          <m:r>
            <w:rPr>
              <w:rFonts w:ascii="Cambria Math" w:hAnsi="Cambria Math"/>
            </w:rPr>
            <m:t>O</m:t>
          </m:r>
          <m:d>
            <m:dPr>
              <m:ctrlPr>
                <w:rPr>
                  <w:rFonts w:ascii="Cambria Math" w:hAnsi="Cambria Math"/>
                </w:rPr>
              </m:ctrlPr>
            </m:dPr>
            <m:e>
              <m:r>
                <w:rPr>
                  <w:rFonts w:ascii="Cambria Math" w:hAnsi="Cambria Math"/>
                </w:rPr>
                <m:t>α</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m:rPr>
                  <m:sty m:val="p"/>
                </m:rPr>
                <w:rPr>
                  <w:rFonts w:ascii="Cambria Math" w:hAnsi="Cambria Math"/>
                </w:rPr>
                <m:t>force</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cr m:val="script"/>
              <m:sty m:val="p"/>
            </m:rPr>
            <w:rPr>
              <w:rFonts w:ascii="Cambria Math" w:hAnsi="Cambria Math"/>
            </w:rPr>
            <m:t>I=</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4</m:t>
                  </m:r>
                </m:sup>
              </m:sSup>
            </m:e>
          </m:d>
          <m:r>
            <m:rPr>
              <m:sty m:val="p"/>
            </m:rPr>
            <w:rPr>
              <w:rFonts w:ascii="Cambria Math" w:hAnsi="Cambria Math"/>
            </w:rPr>
            <m:t>.</m:t>
          </m:r>
        </m:oMath>
      </m:oMathPara>
    </w:p>
    <w:p w14:paraId="72646F58" w14:textId="77777777" w:rsidR="00937C4A" w:rsidRDefault="00000000">
      <w:r>
        <w:rPr>
          <w:i/>
          <w:iCs/>
        </w:rPr>
        <w:t>Validation.</w:t>
      </w:r>
      <w:r>
        <w:t xml:space="preserve"> At </w:t>
      </w:r>
      <m:oMath>
        <m:r>
          <w:rPr>
            <w:rFonts w:ascii="Cambria Math" w:hAnsi="Cambria Math"/>
          </w:rPr>
          <m:t>Ω</m:t>
        </m:r>
        <m:r>
          <m:rPr>
            <m:sty m:val="p"/>
          </m:rPr>
          <w:rPr>
            <w:rFonts w:ascii="Cambria Math" w:hAnsi="Cambria Math"/>
          </w:rPr>
          <m:t>=</m:t>
        </m:r>
        <m:r>
          <w:rPr>
            <w:rFonts w:ascii="Cambria Math" w:hAnsi="Cambria Math"/>
          </w:rPr>
          <m:t>2</m:t>
        </m:r>
      </m:oMath>
      <w:r>
        <w:t xml:space="preserve">: </w:t>
      </w:r>
      <m:oMath>
        <m:sSub>
          <m:sSubPr>
            <m:ctrlPr>
              <w:rPr>
                <w:rFonts w:ascii="Cambria Math" w:hAnsi="Cambria Math"/>
              </w:rPr>
            </m:ctrlPr>
          </m:sSubPr>
          <m:e>
            <m:r>
              <w:rPr>
                <w:rFonts w:ascii="Cambria Math" w:hAnsi="Cambria Math"/>
              </w:rPr>
              <m:t>M</m:t>
            </m:r>
          </m:e>
          <m:sub>
            <m:r>
              <m:rPr>
                <m:sty m:val="p"/>
              </m:rPr>
              <w:rPr>
                <w:rFonts w:ascii="Cambria Math" w:hAnsi="Cambria Math"/>
              </w:rPr>
              <m:t>diss</m:t>
            </m:r>
          </m:sub>
        </m:sSub>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4</m:t>
            </m:r>
          </m:sup>
        </m:sSup>
        <m:r>
          <m:rPr>
            <m:sty m:val="p"/>
          </m:rPr>
          <w:rPr>
            <w:rFonts w:ascii="Cambria Math" w:hAnsi="Cambria Math"/>
          </w:rPr>
          <m:t>→</m:t>
        </m:r>
        <m:r>
          <w:rPr>
            <w:rFonts w:ascii="Cambria Math" w:hAnsi="Cambria Math"/>
          </w:rPr>
          <m:t>1.499</m:t>
        </m:r>
      </m:oMath>
      <w:r>
        <w:t xml:space="preserve"> and </w:t>
      </w:r>
      <m:oMath>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0</m:t>
            </m:r>
          </m:sub>
        </m:sSub>
        <m:r>
          <m:rPr>
            <m:scr m:val="script"/>
            <m:sty m:val="p"/>
          </m:rPr>
          <w:rPr>
            <w:rFonts w:ascii="Cambria Math" w:hAnsi="Cambria Math"/>
          </w:rPr>
          <m:t>I/</m:t>
        </m:r>
        <m:sSup>
          <m:sSupPr>
            <m:ctrlPr>
              <w:rPr>
                <w:rFonts w:ascii="Cambria Math" w:hAnsi="Cambria Math"/>
              </w:rPr>
            </m:ctrlPr>
          </m:sSupPr>
          <m:e>
            <m:r>
              <w:rPr>
                <w:rFonts w:ascii="Cambria Math" w:hAnsi="Cambria Math"/>
              </w:rPr>
              <m:t>α</m:t>
            </m:r>
          </m:e>
          <m:sup>
            <m:r>
              <w:rPr>
                <w:rFonts w:ascii="Cambria Math" w:hAnsi="Cambria Math"/>
              </w:rPr>
              <m:t>4</m:t>
            </m:r>
          </m:sup>
        </m:sSup>
        <m:r>
          <m:rPr>
            <m:sty m:val="p"/>
          </m:rPr>
          <w:rPr>
            <w:rFonts w:ascii="Cambria Math" w:hAnsi="Cambria Math"/>
          </w:rPr>
          <m:t>→</m:t>
        </m:r>
        <m:r>
          <w:rPr>
            <w:rFonts w:ascii="Cambria Math" w:hAnsi="Cambria Math"/>
          </w:rPr>
          <m:t>0.400</m:t>
        </m:r>
      </m:oMath>
      <w:r>
        <w:t xml:space="preserve"> as </w:t>
      </w:r>
      <m:oMath>
        <m:r>
          <w:rPr>
            <w:rFonts w:ascii="Cambria Math" w:hAnsi="Cambria Math"/>
          </w:rPr>
          <m:t>α</m:t>
        </m:r>
        <m:r>
          <m:rPr>
            <m:sty m:val="p"/>
          </m:rPr>
          <w:rPr>
            <w:rFonts w:ascii="Cambria Math" w:hAnsi="Cambria Math"/>
          </w:rPr>
          <m:t>→</m:t>
        </m:r>
        <m:r>
          <w:rPr>
            <w:rFonts w:ascii="Cambria Math" w:hAnsi="Cambria Math"/>
          </w:rPr>
          <m:t>0</m:t>
        </m:r>
      </m:oMath>
      <w:r>
        <w:t xml:space="preserve"> (values </w:t>
      </w:r>
      <m:oMath>
        <m:r>
          <w:rPr>
            <w:rFonts w:ascii="Cambria Math" w:hAnsi="Cambria Math"/>
          </w:rPr>
          <m:t>1.243</m:t>
        </m:r>
        <m:r>
          <m:rPr>
            <m:sty m:val="p"/>
          </m:rPr>
          <w:rPr>
            <w:rFonts w:ascii="Cambria Math" w:hAnsi="Cambria Math"/>
          </w:rPr>
          <m:t>,</m:t>
        </m:r>
        <m:r>
          <w:rPr>
            <w:rFonts w:ascii="Cambria Math" w:hAnsi="Cambria Math"/>
          </w:rPr>
          <m:t>1.432</m:t>
        </m:r>
        <m:r>
          <m:rPr>
            <m:sty m:val="p"/>
          </m:rPr>
          <w:rPr>
            <w:rFonts w:ascii="Cambria Math" w:hAnsi="Cambria Math"/>
          </w:rPr>
          <m:t>,</m:t>
        </m:r>
        <m:r>
          <w:rPr>
            <w:rFonts w:ascii="Cambria Math" w:hAnsi="Cambria Math"/>
          </w:rPr>
          <m:t>1.483</m:t>
        </m:r>
        <m:r>
          <m:rPr>
            <m:sty m:val="p"/>
          </m:rPr>
          <w:rPr>
            <w:rFonts w:ascii="Cambria Math" w:hAnsi="Cambria Math"/>
          </w:rPr>
          <m:t>,</m:t>
        </m:r>
        <m:r>
          <w:rPr>
            <w:rFonts w:ascii="Cambria Math" w:hAnsi="Cambria Math"/>
          </w:rPr>
          <m:t>1.496</m:t>
        </m:r>
        <m:r>
          <m:rPr>
            <m:sty m:val="p"/>
          </m:rPr>
          <w:rPr>
            <w:rFonts w:ascii="Cambria Math" w:hAnsi="Cambria Math"/>
          </w:rPr>
          <m:t>,</m:t>
        </m:r>
        <m:r>
          <w:rPr>
            <w:rFonts w:ascii="Cambria Math" w:hAnsi="Cambria Math"/>
          </w:rPr>
          <m:t>1.499</m:t>
        </m:r>
      </m:oMath>
      <w:r>
        <w:t xml:space="preserve"> and </w:t>
      </w:r>
      <m:oMath>
        <m:r>
          <w:rPr>
            <w:rFonts w:ascii="Cambria Math" w:hAnsi="Cambria Math"/>
          </w:rPr>
          <m:t>0.397</m:t>
        </m:r>
        <m:r>
          <m:rPr>
            <m:sty m:val="p"/>
          </m:rPr>
          <w:rPr>
            <w:rFonts w:ascii="Cambria Math" w:hAnsi="Cambria Math"/>
          </w:rPr>
          <m:t>,</m:t>
        </m:r>
        <m:r>
          <w:rPr>
            <w:rFonts w:ascii="Cambria Math" w:hAnsi="Cambria Math"/>
          </w:rPr>
          <m:t>0.399</m:t>
        </m:r>
        <m:r>
          <m:rPr>
            <m:sty m:val="p"/>
          </m:rPr>
          <w:rPr>
            <w:rFonts w:ascii="Cambria Math" w:hAnsi="Cambria Math"/>
          </w:rPr>
          <m:t>,</m:t>
        </m:r>
        <m:r>
          <w:rPr>
            <w:rFonts w:ascii="Cambria Math" w:hAnsi="Cambria Math"/>
          </w:rPr>
          <m:t>0.3998</m:t>
        </m:r>
        <m:r>
          <m:rPr>
            <m:sty m:val="p"/>
          </m:rPr>
          <w:rPr>
            <w:rFonts w:ascii="Cambria Math" w:hAnsi="Cambria Math"/>
          </w:rPr>
          <m:t>,</m:t>
        </m:r>
        <m:r>
          <w:rPr>
            <w:rFonts w:ascii="Cambria Math" w:hAnsi="Cambria Math"/>
          </w:rPr>
          <m:t>0.39995</m:t>
        </m:r>
        <m:r>
          <m:rPr>
            <m:sty m:val="p"/>
          </m:rPr>
          <w:rPr>
            <w:rFonts w:ascii="Cambria Math" w:hAnsi="Cambria Math"/>
          </w:rPr>
          <m:t>,</m:t>
        </m:r>
        <m:r>
          <w:rPr>
            <w:rFonts w:ascii="Cambria Math" w:hAnsi="Cambria Math"/>
          </w:rPr>
          <m:t>0.39999</m:t>
        </m:r>
      </m:oMath>
      <w:r>
        <w:t xml:space="preserve"> at </w:t>
      </w:r>
      <m:oMath>
        <m:r>
          <w:rPr>
            <w:rFonts w:ascii="Cambria Math" w:hAnsi="Cambria Math"/>
          </w:rPr>
          <m:t>α</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0.025</m:t>
        </m:r>
      </m:oMath>
      <w:r>
        <w:t xml:space="preserve">). Both converge to constants. </w:t>
      </w:r>
      <w:r>
        <w:rPr>
          <w:rFonts w:ascii="Noto Sans" w:eastAsia="Noto Sans" w:hAnsi="Noto Sans"/>
          <w:b/>
          <w:bCs/>
          <w:color w:val="55626E"/>
          <w:sz w:val="19"/>
        </w:rPr>
        <w:t>[N]</w:t>
      </w:r>
      <w:r>
        <w:t xml:space="preserve"> The ordering is consistent; the caveat is withdrawn.</w:t>
      </w:r>
    </w:p>
    <w:p w14:paraId="121071A4" w14:textId="77777777" w:rsidR="00937C4A" w:rsidRDefault="00000000">
      <w:pPr>
        <w:pStyle w:val="Heading3"/>
      </w:pPr>
      <w:bookmarkStart w:id="38" w:name="the-forcing-kernel"/>
      <w:bookmarkEnd w:id="37"/>
      <w:r>
        <w:rPr>
          <w:rFonts w:ascii="Noto Sans" w:eastAsia="Noto Sans" w:hAnsi="Noto Sans"/>
        </w:rPr>
        <w:t>6.4 The forcing kernel</w:t>
      </w:r>
    </w:p>
    <w:p w14:paraId="1BE45EFF" w14:textId="77777777" w:rsidR="00937C4A" w:rsidRDefault="00000000">
      <w:r>
        <w:t xml:space="preserve">For an impulsive perturbation the Melnikov contribution is the energy jump on the unperturbed orbit, not an integral. For </w:t>
      </w:r>
      <m:oMath>
        <m:r>
          <w:rPr>
            <w:rFonts w:ascii="Cambria Math" w:hAnsi="Cambria Math"/>
          </w:rPr>
          <m:t>a</m:t>
        </m:r>
        <m:d>
          <m:dPr>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cos</m:t>
        </m:r>
        <m:r>
          <w:rPr>
            <w:rFonts w:ascii="Cambria Math" w:hAnsi="Cambria Math"/>
          </w:rPr>
          <m:t>Ωτ</m:t>
        </m:r>
      </m:oMath>
      <w:r>
        <w:t xml:space="preserve"> and </w:t>
      </w:r>
      <m:oMath>
        <m:r>
          <m:rPr>
            <m:sty m:val="p"/>
          </m:rPr>
          <w:rPr>
            <w:rFonts w:ascii="Cambria Math" w:hAnsi="Cambria Math"/>
          </w:rPr>
          <m:t>cos</m:t>
        </m:r>
        <m:d>
          <m:dPr>
            <m:ctrlPr>
              <w:rPr>
                <w:rFonts w:ascii="Cambria Math" w:hAnsi="Cambria Math"/>
              </w:rPr>
            </m:ctrlPr>
          </m:dPr>
          <m:e>
            <m:r>
              <w:rPr>
                <w:rFonts w:ascii="Cambria Math" w:hAnsi="Cambria Math"/>
              </w:rPr>
              <m:t>α</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s</m:t>
                    </m:r>
                  </m:sub>
                </m:sSub>
              </m:e>
            </m:d>
          </m:e>
        </m:d>
        <m:r>
          <m:rPr>
            <m:sty m:val="p"/>
          </m:rPr>
          <w:rPr>
            <w:rFonts w:ascii="Cambria Math" w:hAnsi="Cambria Math"/>
          </w:rPr>
          <m:t>≈</m:t>
        </m:r>
        <m:r>
          <w:rPr>
            <w:rFonts w:ascii="Cambria Math" w:hAnsi="Cambria Math"/>
          </w:rPr>
          <m:t>1</m:t>
        </m:r>
      </m:oMath>
      <w:r>
        <w:t>,</w:t>
      </w:r>
    </w:p>
    <w:p w14:paraId="231D1BE1"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force</m:t>
              </m:r>
            </m:sub>
          </m:sSub>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0</m:t>
                  </m:r>
                </m:sub>
              </m:sSub>
            </m:e>
          </m:d>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cos</m:t>
          </m:r>
          <m:d>
            <m:dPr>
              <m:ctrlPr>
                <w:rPr>
                  <w:rFonts w:ascii="Cambria Math" w:hAnsi="Cambria Math"/>
                </w:rPr>
              </m:ctrlPr>
            </m:dPr>
            <m:e>
              <m:r>
                <w:rPr>
                  <w:rFonts w:ascii="Cambria Math" w:hAnsi="Cambria Math"/>
                </w:rPr>
                <m:t>Ω</m:t>
              </m:r>
              <m:sSub>
                <m:sSubPr>
                  <m:ctrlPr>
                    <w:rPr>
                      <w:rFonts w:ascii="Cambria Math" w:hAnsi="Cambria Math"/>
                    </w:rPr>
                  </m:ctrlPr>
                </m:sSubPr>
                <m:e>
                  <m:r>
                    <w:rPr>
                      <w:rFonts w:ascii="Cambria Math" w:hAnsi="Cambria Math"/>
                    </w:rPr>
                    <m:t>τ</m:t>
                  </m:r>
                </m:e>
                <m:sub>
                  <m:r>
                    <w:rPr>
                      <w:rFonts w:ascii="Cambria Math" w:hAnsi="Cambria Math"/>
                    </w:rPr>
                    <m:t>0</m:t>
                  </m:r>
                </m:sub>
              </m:sSub>
            </m:e>
          </m:d>
          <m:r>
            <w:rPr>
              <w:rFonts w:ascii="Cambria Math" w:hAnsi="Cambria Math"/>
            </w:rPr>
            <m:t> </m:t>
          </m:r>
          <m:r>
            <m:rPr>
              <m:scr m:val="script"/>
              <m:sty m:val="p"/>
            </m:rPr>
            <w:rPr>
              <w:rFonts w:ascii="Cambria Math" w:hAnsi="Cambria Math"/>
            </w:rPr>
            <m:t>I</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  </m:t>
          </m:r>
          <m:r>
            <m:rPr>
              <m:scr m:val="script"/>
              <m:sty m:val="p"/>
            </m:rPr>
            <w:rPr>
              <w:rFonts w:ascii="Cambria Math" w:hAnsi="Cambria Math"/>
            </w:rPr>
            <m:t>I=</m:t>
          </m:r>
          <m:r>
            <w:rPr>
              <w:rFonts w:ascii="Cambria Math" w:hAnsi="Cambria Math"/>
            </w:rPr>
            <m:t>2</m:t>
          </m:r>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f>
                <m:fPr>
                  <m:ctrlPr>
                    <w:rPr>
                      <w:rFonts w:ascii="Cambria Math" w:hAnsi="Cambria Math"/>
                    </w:rPr>
                  </m:ctrlPr>
                </m:fPr>
                <m:num>
                  <m:r>
                    <m:rPr>
                      <m:sty m:val="p"/>
                    </m:rPr>
                    <w:rPr>
                      <w:rFonts w:ascii="Cambria Math" w:hAnsi="Cambria Math"/>
                    </w:rPr>
                    <m:t>cos</m:t>
                  </m:r>
                  <m:r>
                    <w:rPr>
                      <w:rFonts w:ascii="Cambria Math" w:hAnsi="Cambria Math"/>
                    </w:rPr>
                    <m:t>Ωτ</m:t>
                  </m:r>
                </m:num>
                <m:den>
                  <m:r>
                    <m:rPr>
                      <m:sty m:val="p"/>
                    </m:rPr>
                    <w:rPr>
                      <w:rFonts w:ascii="Cambria Math" w:hAnsi="Cambria Math"/>
                    </w:rPr>
                    <m:t>cosh</m:t>
                  </m:r>
                  <m:d>
                    <m:dPr>
                      <m:ctrlPr>
                        <w:rPr>
                          <w:rFonts w:ascii="Cambria Math" w:hAnsi="Cambria Math"/>
                        </w:rPr>
                      </m:ctrlPr>
                    </m:dPr>
                    <m:e>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e>
                  </m:d>
                </m:den>
              </m:f>
            </m:e>
          </m:nary>
          <m:r>
            <w:rPr>
              <w:rFonts w:ascii="Cambria Math" w:hAnsi="Cambria Math"/>
            </w:rPr>
            <m:t> dτ</m:t>
          </m:r>
          <m:r>
            <m:rPr>
              <m:sty m:val="p"/>
            </m:rPr>
            <w:rPr>
              <w:rFonts w:ascii="Cambria Math" w:hAnsi="Cambria Math"/>
            </w:rPr>
            <m:t>.</m:t>
          </m:r>
        </m:oMath>
      </m:oMathPara>
    </w:p>
    <w:p w14:paraId="2EC345E7" w14:textId="77777777" w:rsidR="00937C4A" w:rsidRDefault="00000000">
      <w:r>
        <w:lastRenderedPageBreak/>
        <w:t xml:space="preserve">Using </w:t>
      </w:r>
      <m:oMath>
        <m:r>
          <m:rPr>
            <m:sty m:val="p"/>
          </m:rPr>
          <w:rPr>
            <w:rFonts w:ascii="Cambria Math" w:hAnsi="Cambria Math"/>
          </w:rPr>
          <m:t>sech</m:t>
        </m:r>
        <m:r>
          <w:rPr>
            <w:rFonts w:ascii="Cambria Math" w:hAnsi="Cambria Math"/>
          </w:rPr>
          <m:t> u</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oMath>
      <w:r>
        <w:t xml:space="preserve"> for </w:t>
      </w:r>
      <m:oMath>
        <m:r>
          <w:rPr>
            <w:rFonts w:ascii="Cambria Math" w:hAnsi="Cambria Math"/>
          </w:rPr>
          <m:t>u</m:t>
        </m:r>
        <m:r>
          <m:rPr>
            <m:sty m:val="p"/>
          </m:rPr>
          <w:rPr>
            <w:rFonts w:ascii="Cambria Math" w:hAnsi="Cambria Math"/>
          </w:rPr>
          <m:t>≫</m:t>
        </m:r>
        <m:r>
          <w:rPr>
            <w:rFonts w:ascii="Cambria Math" w:hAnsi="Cambria Math"/>
          </w:rPr>
          <m:t>1</m:t>
        </m:r>
      </m:oMath>
      <w:r>
        <w:t>:</w:t>
      </w:r>
    </w:p>
    <w:p w14:paraId="145D8D7B" w14:textId="77777777" w:rsidR="00937C4A" w:rsidRDefault="00000000">
      <w:pPr>
        <w:pStyle w:val="BodyText"/>
        <w:spacing w:before="100" w:after="140"/>
        <w:jc w:val="center"/>
      </w:pPr>
      <m:oMathPara>
        <m:oMathParaPr>
          <m:jc m:val="center"/>
        </m:oMathParaPr>
        <m:oMath>
          <m:borderBox>
            <m:borderBoxPr>
              <m:ctrlPr>
                <w:rPr>
                  <w:rFonts w:ascii="Cambria Math" w:hAnsi="Cambria Math"/>
                </w:rPr>
              </m:ctrlPr>
            </m:borderBoxPr>
            <m:e>
              <m:r>
                <w:rPr>
                  <w:rFonts w:ascii="Cambria Math" w:hAnsi="Cambria Math"/>
                </w:rPr>
                <m:t> </m:t>
              </m:r>
              <m:r>
                <m:rPr>
                  <m:scr m:val="script"/>
                  <m:sty m:val="p"/>
                </m:rPr>
                <w:rPr>
                  <w:rFonts w:ascii="Cambria Math" w:hAnsi="Cambria Math"/>
                </w:rPr>
                <m:t>I</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tan</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4</m:t>
                      </m:r>
                    </m:e>
                  </m:d>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den>
              </m:f>
              <m:r>
                <w:rPr>
                  <w:rFonts w:ascii="Cambria Math" w:hAnsi="Cambria Math"/>
                </w:rPr>
                <m:t> </m:t>
              </m:r>
            </m:e>
          </m:borderBox>
        </m:oMath>
      </m:oMathPara>
    </w:p>
    <w:p w14:paraId="64096400" w14:textId="77777777" w:rsidR="00937C4A" w:rsidRDefault="00000000">
      <w:r>
        <w:rPr>
          <w:i/>
          <w:iCs/>
        </w:rPr>
        <w:t>Validation.</w:t>
      </w:r>
      <w:r>
        <w:t xml:space="preserve"> Against numerical quadrature, the Lorentzian is accurate to 0.1% at </w:t>
      </w:r>
      <m:oMath>
        <m:r>
          <w:rPr>
            <w:rFonts w:ascii="Cambria Math" w:hAnsi="Cambria Math"/>
          </w:rPr>
          <m:t>α</m:t>
        </m:r>
        <m:r>
          <m:rPr>
            <m:sty m:val="p"/>
          </m:rPr>
          <w:rPr>
            <w:rFonts w:ascii="Cambria Math" w:hAnsi="Cambria Math"/>
          </w:rPr>
          <m:t>=</m:t>
        </m:r>
        <m:r>
          <w:rPr>
            <w:rFonts w:ascii="Cambria Math" w:hAnsi="Cambria Math"/>
          </w:rPr>
          <m:t>0.15</m:t>
        </m:r>
      </m:oMath>
      <w:r>
        <w:t xml:space="preserve">, 1% at </w:t>
      </w:r>
      <m:oMath>
        <m:r>
          <w:rPr>
            <w:rFonts w:ascii="Cambria Math" w:hAnsi="Cambria Math"/>
          </w:rPr>
          <m:t>α</m:t>
        </m:r>
        <m:r>
          <m:rPr>
            <m:sty m:val="p"/>
          </m:rPr>
          <w:rPr>
            <w:rFonts w:ascii="Cambria Math" w:hAnsi="Cambria Math"/>
          </w:rPr>
          <m:t>=</m:t>
        </m:r>
        <m:r>
          <w:rPr>
            <w:rFonts w:ascii="Cambria Math" w:hAnsi="Cambria Math"/>
          </w:rPr>
          <m:t>0.35</m:t>
        </m:r>
      </m:oMath>
      <w:r>
        <w:t xml:space="preserve">, 6% at </w:t>
      </w:r>
      <m:oMath>
        <m:r>
          <w:rPr>
            <w:rFonts w:ascii="Cambria Math" w:hAnsi="Cambria Math"/>
          </w:rPr>
          <m:t>α</m:t>
        </m:r>
        <m:r>
          <m:rPr>
            <m:sty m:val="p"/>
          </m:rPr>
          <w:rPr>
            <w:rFonts w:ascii="Cambria Math" w:hAnsi="Cambria Math"/>
          </w:rPr>
          <m:t>=</m:t>
        </m:r>
        <m:r>
          <w:rPr>
            <w:rFonts w:ascii="Cambria Math" w:hAnsi="Cambria Math"/>
          </w:rPr>
          <m:t>0.60</m:t>
        </m:r>
      </m:oMath>
      <w:r>
        <w:t xml:space="preserve">, across </w:t>
      </w:r>
      <m:oMath>
        <m:r>
          <w:rPr>
            <w:rFonts w:ascii="Cambria Math" w:hAnsi="Cambria Math"/>
          </w:rPr>
          <m:t>Ω</m:t>
        </m:r>
        <m:r>
          <m:rPr>
            <m:sty m:val="p"/>
          </m:rPr>
          <w:rPr>
            <w:rFonts w:ascii="Cambria Math" w:hAnsi="Cambria Math"/>
          </w:rPr>
          <m:t>∈</m:t>
        </m:r>
        <m:d>
          <m:dPr>
            <m:begChr m:val="["/>
            <m:endChr m:val="]"/>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8</m:t>
            </m:r>
          </m:e>
        </m:d>
      </m:oMath>
      <w:r>
        <w:t xml:space="preserve">. Independently reproduced. </w:t>
      </w:r>
      <w:r>
        <w:rPr>
          <w:rFonts w:ascii="Noto Sans" w:eastAsia="Noto Sans" w:hAnsi="Noto Sans"/>
          <w:b/>
          <w:bCs/>
          <w:color w:val="55626E"/>
          <w:sz w:val="19"/>
        </w:rPr>
        <w:t>[N]</w:t>
      </w:r>
    </w:p>
    <w:p w14:paraId="574E364E" w14:textId="77777777" w:rsidR="00937C4A" w:rsidRDefault="00000000">
      <w:pPr>
        <w:pStyle w:val="Heading3"/>
      </w:pPr>
      <w:bookmarkStart w:id="39" w:name="the-threshold"/>
      <w:bookmarkEnd w:id="38"/>
      <w:r>
        <w:rPr>
          <w:rFonts w:ascii="Noto Sans" w:eastAsia="Noto Sans" w:hAnsi="Noto Sans"/>
        </w:rPr>
        <w:t>6.5 The threshold</w:t>
      </w:r>
    </w:p>
    <w:p w14:paraId="6E863429" w14:textId="77777777" w:rsidR="00937C4A" w:rsidRDefault="00000000">
      <w:pPr>
        <w:spacing w:before="100" w:after="140"/>
        <w:jc w:val="center"/>
      </w:pPr>
      <m:oMathPara>
        <m:oMathParaPr>
          <m:jc m:val="center"/>
        </m:oMathParaPr>
        <m:oMath>
          <m:borderBox>
            <m:borderBoxPr>
              <m:ctrlPr>
                <w:rPr>
                  <w:rFonts w:ascii="Cambria Math" w:hAnsi="Cambria Math"/>
                </w:rPr>
              </m:ctrlPr>
            </m:borderBoxPr>
            <m:e>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0</m:t>
                  </m:r>
                </m:sub>
                <m:sup>
                  <m:r>
                    <m:rPr>
                      <m:sty m:val="p"/>
                    </m:rPr>
                    <w:rPr>
                      <w:rFonts w:ascii="Cambria Math" w:hAnsi="Cambria Math"/>
                    </w:rPr>
                    <m:t>cr</m:t>
                  </m:r>
                </m:sup>
              </m:sSubSup>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α</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m:t>
                      </m:r>
                    </m:e>
                  </m:d>
                </m:num>
                <m:den>
                  <m:r>
                    <m:rPr>
                      <m:scr m:val="script"/>
                      <m:sty m:val="p"/>
                    </m:rPr>
                    <w:rPr>
                      <w:rFonts w:ascii="Cambria Math" w:hAnsi="Cambria Math"/>
                    </w:rPr>
                    <m:t>I</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α</m:t>
                      </m:r>
                    </m:e>
                  </m:d>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 </m:t>
              </m:r>
              <m:sSup>
                <m:sSupPr>
                  <m:ctrlPr>
                    <w:rPr>
                      <w:rFonts w:ascii="Cambria Math" w:hAnsi="Cambria Math"/>
                    </w:rPr>
                  </m:ctrlPr>
                </m:sSupPr>
                <m:e>
                  <m:r>
                    <w:rPr>
                      <w:rFonts w:ascii="Cambria Math" w:hAnsi="Cambria Math"/>
                    </w:rPr>
                    <m:t>α</m:t>
                  </m:r>
                </m:e>
                <m:sup>
                  <m:r>
                    <w:rPr>
                      <w:rFonts w:ascii="Cambria Math" w:hAnsi="Cambria Math"/>
                    </w:rPr>
                    <m:t>3</m:t>
                  </m:r>
                </m:sup>
              </m:sSup>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e>
              </m:d>
              <m:r>
                <w:rPr>
                  <w:rFonts w:ascii="Cambria Math" w:hAnsi="Cambria Math"/>
                </w:rPr>
                <m:t> </m:t>
              </m:r>
            </m:e>
          </m:borderBox>
          <m:r>
            <w:rPr>
              <w:rFonts w:ascii="Cambria Math" w:hAnsi="Cambria Math"/>
            </w:rPr>
            <m:t>  </m:t>
          </m:r>
          <m:r>
            <m:rPr>
              <m:nor/>
            </m:rPr>
            <m:t>[A]</m:t>
          </m:r>
        </m:oMath>
      </m:oMathPara>
    </w:p>
    <w:p w14:paraId="2D8C0354" w14:textId="77777777" w:rsidR="00937C4A" w:rsidRDefault="00000000">
      <w:r>
        <w:t xml:space="preserve">with </w:t>
      </w:r>
      <m:oMath>
        <m:sSubSup>
          <m:sSubSupPr>
            <m:ctrlPr>
              <w:rPr>
                <w:rFonts w:ascii="Cambria Math" w:hAnsi="Cambria Math"/>
              </w:rPr>
            </m:ctrlPr>
          </m:sSubSupPr>
          <m:e>
            <m:r>
              <w:rPr>
                <w:rFonts w:ascii="Cambria Math" w:hAnsi="Cambria Math"/>
              </w:rPr>
              <m:t>a</m:t>
            </m:r>
          </m:e>
          <m:sub>
            <m:r>
              <w:rPr>
                <w:rFonts w:ascii="Cambria Math" w:hAnsi="Cambria Math"/>
              </w:rPr>
              <m:t>0</m:t>
            </m:r>
          </m:sub>
          <m:sup>
            <m:r>
              <m:rPr>
                <m:sty m:val="p"/>
              </m:rPr>
              <w:rPr>
                <w:rFonts w:ascii="Cambria Math" w:hAnsi="Cambria Math"/>
              </w:rPr>
              <m:t>cr</m:t>
            </m:r>
          </m:sup>
        </m:sSubSup>
        <m:d>
          <m:dPr>
            <m:ctrlPr>
              <w:rPr>
                <w:rFonts w:ascii="Cambria Math" w:hAnsi="Cambria Math"/>
              </w:rPr>
            </m:ctrlPr>
          </m:dPr>
          <m:e>
            <m:r>
              <w:rPr>
                <w:rFonts w:ascii="Cambria Math" w:hAnsi="Cambria Math"/>
              </w:rPr>
              <m:t>0.35</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0.1401648</m:t>
        </m:r>
      </m:oMath>
      <w:r>
        <w:t>.</w:t>
      </w:r>
    </w:p>
    <w:p w14:paraId="6F687FDC" w14:textId="77777777" w:rsidR="00937C4A" w:rsidRDefault="00000000">
      <w:pPr>
        <w:pStyle w:val="Heading3"/>
      </w:pPr>
      <w:bookmarkStart w:id="40" w:name="two-things-this-result-is-not"/>
      <w:bookmarkEnd w:id="39"/>
      <w:r>
        <w:rPr>
          <w:rFonts w:ascii="Noto Sans" w:eastAsia="Noto Sans" w:hAnsi="Noto Sans"/>
        </w:rPr>
        <w:t>6.6 Two things this result is not</w:t>
      </w:r>
    </w:p>
    <w:p w14:paraId="16FE0CAA" w14:textId="77777777" w:rsidR="00937C4A" w:rsidRDefault="00000000">
      <w:r>
        <w:rPr>
          <w:b/>
          <w:bCs/>
        </w:rPr>
        <w:t>It is not a low-pass filter.</w:t>
      </w:r>
      <w:r>
        <w:t xml:space="preserve"> The working notes called </w:t>
      </w:r>
      <m:oMath>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Ω</m:t>
                </m:r>
              </m:e>
            </m:d>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e>
            </m:d>
          </m:e>
          <m:sup>
            <m:r>
              <m:rPr>
                <m:sty m:val="p"/>
              </m:rPr>
              <w:rPr>
                <w:rFonts w:ascii="Cambria Math" w:hAnsi="Cambria Math"/>
              </w:rPr>
              <m:t>-</m:t>
            </m:r>
            <m:r>
              <w:rPr>
                <w:rFonts w:ascii="Cambria Math" w:hAnsi="Cambria Math"/>
              </w:rPr>
              <m:t>1</m:t>
            </m:r>
          </m:sup>
        </m:sSup>
      </m:oMath>
      <w:r>
        <w:t xml:space="preserve"> a first-order low-pass filter. That is wrong terminology and a competent reviewer will say so. A causal first-order low-pass has </w:t>
      </w:r>
      <m:oMath>
        <m:d>
          <m:dPr>
            <m:begChr m:val="|"/>
            <m:endChr m:val="|"/>
            <m:ctrlPr>
              <w:rPr>
                <w:rFonts w:ascii="Cambria Math" w:hAnsi="Cambria Math"/>
              </w:rPr>
            </m:ctrlPr>
          </m:dPr>
          <m:e>
            <m:r>
              <w:rPr>
                <w:rFonts w:ascii="Cambria Math" w:hAnsi="Cambria Math"/>
              </w:rPr>
              <m:t>H</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e>
            </m:d>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rolling off at </w:t>
      </w:r>
      <m:oMath>
        <m:r>
          <m:rPr>
            <m:sty m:val="p"/>
          </m:rPr>
          <w:rPr>
            <w:rFonts w:ascii="Cambria Math" w:hAnsi="Cambria Math"/>
          </w:rPr>
          <m:t>-</m:t>
        </m:r>
        <m:r>
          <w:rPr>
            <w:rFonts w:ascii="Cambria Math" w:hAnsi="Cambria Math"/>
          </w:rPr>
          <m:t>20</m:t>
        </m:r>
      </m:oMath>
      <w:r>
        <w:t xml:space="preserve"> dB/decade. This kernel goes as </w:t>
      </w:r>
      <m:oMath>
        <m:sSup>
          <m:sSupPr>
            <m:ctrlPr>
              <w:rPr>
                <w:rFonts w:ascii="Cambria Math" w:hAnsi="Cambria Math"/>
              </w:rPr>
            </m:ctrlPr>
          </m:sSupPr>
          <m:e>
            <m:r>
              <w:rPr>
                <w:rFonts w:ascii="Cambria Math" w:hAnsi="Cambria Math"/>
              </w:rPr>
              <m:t>Ω</m:t>
            </m:r>
          </m:e>
          <m:sup>
            <m:r>
              <m:rPr>
                <m:sty m:val="p"/>
              </m:rPr>
              <w:rPr>
                <w:rFonts w:ascii="Cambria Math" w:hAnsi="Cambria Math"/>
              </w:rPr>
              <m:t>-</m:t>
            </m:r>
            <m:r>
              <w:rPr>
                <w:rFonts w:ascii="Cambria Math" w:hAnsi="Cambria Math"/>
              </w:rPr>
              <m:t>2</m:t>
            </m:r>
          </m:sup>
        </m:sSup>
      </m:oMath>
      <w:r>
        <w:t xml:space="preserve">: </w:t>
      </w:r>
      <m:oMath>
        <m:r>
          <m:rPr>
            <m:sty m:val="p"/>
          </m:rPr>
          <w:rPr>
            <w:rFonts w:ascii="Cambria Math" w:hAnsi="Cambria Math"/>
          </w:rPr>
          <m:t>-</m:t>
        </m:r>
        <m:r>
          <w:rPr>
            <w:rFonts w:ascii="Cambria Math" w:hAnsi="Cambria Math"/>
          </w:rPr>
          <m:t>40</m:t>
        </m:r>
      </m:oMath>
      <w:r>
        <w:t xml:space="preserve"> dB/decade. It arises as the Fourier transform of the symmetric exponential kernel </w:t>
      </w:r>
      <m:oMath>
        <m:sSup>
          <m:sSupPr>
            <m:ctrlPr>
              <w:rPr>
                <w:rFonts w:ascii="Cambria Math" w:hAnsi="Cambria Math"/>
              </w:rPr>
            </m:ctrlPr>
          </m:sSupPr>
          <m:e>
            <m:r>
              <w:rPr>
                <w:rFonts w:ascii="Cambria Math" w:hAnsi="Cambria Math"/>
              </w:rPr>
              <m:t>e</m:t>
            </m:r>
          </m:e>
          <m:sup>
            <m:r>
              <m:rPr>
                <m:sty m:val="p"/>
              </m:rPr>
              <w:rPr>
                <w:rFonts w:ascii="Cambria Math" w:hAnsi="Cambria Math"/>
              </w:rPr>
              <m:t>-</m:t>
            </m:r>
            <m:d>
              <m:dPr>
                <m:begChr m:val="|"/>
                <m:endChr m:val="|"/>
                <m:ctrlPr>
                  <w:rPr>
                    <w:rFonts w:ascii="Cambria Math" w:hAnsi="Cambria Math"/>
                  </w:rPr>
                </m:ctrlPr>
              </m:dPr>
              <m:e>
                <m:r>
                  <w:rPr>
                    <w:rFonts w:ascii="Cambria Math" w:hAnsi="Cambria Math"/>
                  </w:rPr>
                  <m:t>τ</m:t>
                </m:r>
              </m:e>
            </m:d>
          </m:sup>
        </m:sSup>
      </m:oMath>
      <w:r>
        <w:t xml:space="preserve">, equivalently as the particular solution of the </w:t>
      </w:r>
      <w:r>
        <w:rPr>
          <w:i/>
          <w:iCs/>
        </w:rPr>
        <w:t>second-order hyperbolic</w:t>
      </w:r>
      <w:r>
        <w:t xml:space="preserve"> equation </w:t>
      </w: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cos</m:t>
        </m:r>
        <m:r>
          <w:rPr>
            <w:rFonts w:ascii="Cambria Math" w:hAnsi="Cambria Math"/>
          </w:rPr>
          <m:t>Ωτ</m:t>
        </m:r>
      </m:oMath>
      <w:r>
        <w:t>, whose poles are real. The correct sentence is:</w:t>
      </w:r>
    </w:p>
    <w:p w14:paraId="2B38A568" w14:textId="77777777" w:rsidR="00937C4A" w:rsidRDefault="00000000">
      <w:r>
        <w:t xml:space="preserve">The Melnikov forcing kernel has </w:t>
      </w:r>
      <w:r>
        <w:rPr>
          <w:b/>
          <w:bCs/>
        </w:rPr>
        <w:t>Lorentzian attenuation</w:t>
      </w:r>
      <w:r>
        <w:t xml:space="preserve">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e>
        </m:d>
      </m:oMath>
      <w:r>
        <w:t xml:space="preserve">, giving a </w:t>
      </w:r>
      <w:r>
        <w:rPr>
          <w:b/>
          <w:bCs/>
        </w:rPr>
        <w:t>second-order high-frequency roll-off</w:t>
      </w:r>
      <w:r>
        <w:t>.</w:t>
      </w:r>
    </w:p>
    <w:p w14:paraId="372E63D8" w14:textId="77777777" w:rsidR="00937C4A" w:rsidRDefault="00000000">
      <w:r>
        <w:rPr>
          <w:b/>
          <w:bCs/>
        </w:rPr>
        <w:t>It is not an overturning threshold.</w:t>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0</m:t>
            </m:r>
          </m:sub>
          <m:sup>
            <m:r>
              <m:rPr>
                <m:sty m:val="p"/>
              </m:rPr>
              <w:rPr>
                <w:rFonts w:ascii="Cambria Math" w:hAnsi="Cambria Math"/>
              </w:rPr>
              <m:t>cr</m:t>
            </m:r>
          </m:sup>
        </m:sSubSup>
      </m:oMath>
      <w:r>
        <w:t xml:space="preserve"> is the amplitude at which the perturbed stable and unstable manifolds of the balance points first intersect transversally — a horseshoe-existence condition. It is not the amplitude at which a block at rest falls over. The two must never be interchanged, and Chapter 7 is careful about exactly what may be concluded from crossing it.</w:t>
      </w:r>
    </w:p>
    <w:p w14:paraId="09B91FE0" w14:textId="77777777" w:rsidR="00937C4A" w:rsidRDefault="00000000">
      <w:pPr>
        <w:pStyle w:val="Heading2"/>
        <w:pageBreakBefore/>
        <w:pBdr>
          <w:bottom w:val="single" w:sz="5" w:space="5" w:color="B8C1C6"/>
        </w:pBdr>
        <w:spacing w:after="280"/>
      </w:pPr>
      <w:bookmarkStart w:id="41" w:name="chapter-7-the-regime-boundary-a"/>
      <w:bookmarkEnd w:id="34"/>
      <w:bookmarkEnd w:id="40"/>
      <w:r>
        <w:rPr>
          <w:rFonts w:ascii="EB Garamond" w:eastAsia="EB Garamond" w:hAnsi="EB Garamond"/>
          <w:sz w:val="40"/>
        </w:rPr>
        <w:lastRenderedPageBreak/>
        <w:t xml:space="preserve">Chapter 7 — The Regime Boundary </w:t>
      </w:r>
      <w:r>
        <w:rPr>
          <w:rFonts w:ascii="Noto Sans" w:eastAsia="Noto Sans" w:hAnsi="Noto Sans"/>
          <w:color w:val="255B8D"/>
          <w:sz w:val="19"/>
        </w:rPr>
        <w:t>[A]</w:t>
      </w:r>
    </w:p>
    <w:p w14:paraId="1E089604" w14:textId="77777777" w:rsidR="00937C4A" w:rsidRDefault="00000000">
      <w:pPr>
        <w:pStyle w:val="Heading3"/>
      </w:pPr>
      <w:bookmarkStart w:id="42" w:name="two-thresholds-and-which-is-lower"/>
      <w:r>
        <w:rPr>
          <w:rFonts w:ascii="Noto Sans" w:eastAsia="Noto Sans" w:hAnsi="Noto Sans"/>
        </w:rPr>
        <w:t>7.1 Two thresholds, and which is lower</w:t>
      </w:r>
    </w:p>
    <w:p w14:paraId="4A6FCF6D" w14:textId="77777777" w:rsidR="00937C4A" w:rsidRDefault="00000000">
      <w:r>
        <w:t>Chapter 5 gives the amplitude at which a block at rest can begin to move:</w:t>
      </w:r>
    </w:p>
    <w:p w14:paraId="3E755660"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up</m:t>
              </m:r>
            </m:sub>
          </m:sSub>
          <m:r>
            <m:rPr>
              <m:sty m:val="p"/>
            </m:rPr>
            <w:rPr>
              <w:rFonts w:ascii="Cambria Math" w:hAnsi="Cambria Math"/>
            </w:rPr>
            <m:t>=tan</m:t>
          </m:r>
          <m:r>
            <w:rPr>
              <w:rFonts w:ascii="Cambria Math" w:hAnsi="Cambria Math"/>
            </w:rPr>
            <m:t>α</m:t>
          </m:r>
          <m:r>
            <m:rPr>
              <m:sty m:val="p"/>
            </m:rPr>
            <w:rPr>
              <w:rFonts w:ascii="Cambria Math" w:hAnsi="Cambria Math"/>
            </w:rPr>
            <m:t>.</m:t>
          </m:r>
        </m:oMath>
      </m:oMathPara>
    </w:p>
    <w:p w14:paraId="367F692F" w14:textId="77777777" w:rsidR="00937C4A" w:rsidRDefault="00000000">
      <w:r>
        <w:t>Chapter 6 gives the amplitude at which the stable and unstable manifolds of the balance points first intersect transversally:</w:t>
      </w:r>
    </w:p>
    <w:p w14:paraId="50F2EE6A" w14:textId="77777777" w:rsidR="00937C4A" w:rsidRDefault="00000000">
      <w:pPr>
        <w:pStyle w:val="BodyText"/>
        <w:spacing w:before="100" w:after="140"/>
        <w:jc w:val="center"/>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0</m:t>
              </m:r>
            </m:sub>
            <m:sup>
              <m:r>
                <m:rPr>
                  <m:sty m:val="p"/>
                </m:rPr>
                <w:rPr>
                  <w:rFonts w:ascii="Cambria Math" w:hAnsi="Cambria Math"/>
                </w:rPr>
                <m:t>cr</m:t>
              </m:r>
            </m:sup>
          </m:sSubSup>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α</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m:t>
                  </m:r>
                </m:e>
              </m:d>
            </m:num>
            <m:den>
              <m:r>
                <m:rPr>
                  <m:scr m:val="script"/>
                  <m:sty m:val="p"/>
                </m:rPr>
                <w:rPr>
                  <w:rFonts w:ascii="Cambria Math" w:hAnsi="Cambria Math"/>
                </w:rPr>
                <m:t>I</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α</m:t>
                  </m:r>
                </m:e>
              </m:d>
            </m:den>
          </m:f>
          <m:r>
            <m:rPr>
              <m:sty m:val="p"/>
            </m:rPr>
            <w:rPr>
              <w:rFonts w:ascii="Cambria Math" w:hAnsi="Cambria Math"/>
            </w:rPr>
            <m:t>≃</m:t>
          </m:r>
          <m:f>
            <m:fPr>
              <m:type m:val="lin"/>
              <m:ctrlPr>
                <w:rPr>
                  <w:rFonts w:ascii="Cambria Math" w:hAnsi="Cambria Math"/>
                </w:rPr>
              </m:ctrlPr>
            </m:fPr>
            <m:num>
              <m:r>
                <w:rPr>
                  <w:rFonts w:ascii="Cambria Math" w:hAnsi="Cambria Math"/>
                </w:rPr>
                <m:t>3</m:t>
              </m:r>
            </m:num>
            <m:den>
              <m:r>
                <w:rPr>
                  <w:rFonts w:ascii="Cambria Math" w:hAnsi="Cambria Math"/>
                </w:rPr>
                <m:t>4</m:t>
              </m:r>
            </m:den>
          </m:f>
          <m:sSup>
            <m:sSupPr>
              <m:ctrlPr>
                <w:rPr>
                  <w:rFonts w:ascii="Cambria Math" w:hAnsi="Cambria Math"/>
                </w:rPr>
              </m:ctrlPr>
            </m:sSupPr>
            <m:e>
              <m:r>
                <w:rPr>
                  <w:rFonts w:ascii="Cambria Math" w:hAnsi="Cambria Math"/>
                </w:rPr>
                <m:t>α</m:t>
              </m:r>
            </m:e>
            <m:sup>
              <m:r>
                <w:rPr>
                  <w:rFonts w:ascii="Cambria Math" w:hAnsi="Cambria Math"/>
                </w:rPr>
                <m:t>3</m:t>
              </m:r>
            </m:sup>
          </m:sSup>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e>
          </m:d>
          <m:r>
            <m:rPr>
              <m:sty m:val="p"/>
            </m:rPr>
            <w:rPr>
              <w:rFonts w:ascii="Cambria Math" w:hAnsi="Cambria Math"/>
            </w:rPr>
            <m:t>.</m:t>
          </m:r>
        </m:oMath>
      </m:oMathPara>
    </w:p>
    <w:p w14:paraId="12B13725" w14:textId="77777777" w:rsidR="00937C4A" w:rsidRDefault="00000000">
      <w:r>
        <w:t xml:space="preserve">There is no reason for these to be ordered one way rather than the other, and in fact their ordering flips. Since </w:t>
      </w:r>
      <m:oMath>
        <m:sSubSup>
          <m:sSubSupPr>
            <m:ctrlPr>
              <w:rPr>
                <w:rFonts w:ascii="Cambria Math" w:hAnsi="Cambria Math"/>
              </w:rPr>
            </m:ctrlPr>
          </m:sSubSupPr>
          <m:e>
            <m:r>
              <w:rPr>
                <w:rFonts w:ascii="Cambria Math" w:hAnsi="Cambria Math"/>
              </w:rPr>
              <m:t>a</m:t>
            </m:r>
          </m:e>
          <m:sub>
            <m:r>
              <w:rPr>
                <w:rFonts w:ascii="Cambria Math" w:hAnsi="Cambria Math"/>
              </w:rPr>
              <m:t>0</m:t>
            </m:r>
          </m:sub>
          <m:sup>
            <m:r>
              <m:rPr>
                <m:sty m:val="p"/>
              </m:rPr>
              <w:rPr>
                <w:rFonts w:ascii="Cambria Math" w:hAnsi="Cambria Math"/>
              </w:rPr>
              <m:t>cr</m:t>
            </m:r>
          </m:sup>
        </m:sSubSup>
      </m:oMath>
      <w:r>
        <w:t xml:space="preserve"> grows with </w:t>
      </w:r>
      <m:oMath>
        <m:r>
          <w:rPr>
            <w:rFonts w:ascii="Cambria Math" w:hAnsi="Cambria Math"/>
          </w:rPr>
          <m:t>Ω</m:t>
        </m:r>
      </m:oMath>
      <w:r>
        <w:t xml:space="preserve"> while </w:t>
      </w:r>
      <m:oMath>
        <m:sSub>
          <m:sSubPr>
            <m:ctrlPr>
              <w:rPr>
                <w:rFonts w:ascii="Cambria Math" w:hAnsi="Cambria Math"/>
              </w:rPr>
            </m:ctrlPr>
          </m:sSubPr>
          <m:e>
            <m:r>
              <w:rPr>
                <w:rFonts w:ascii="Cambria Math" w:hAnsi="Cambria Math"/>
              </w:rPr>
              <m:t>a</m:t>
            </m:r>
          </m:e>
          <m:sub>
            <m:r>
              <m:rPr>
                <m:sty m:val="p"/>
              </m:rPr>
              <w:rPr>
                <w:rFonts w:ascii="Cambria Math" w:hAnsi="Cambria Math"/>
              </w:rPr>
              <m:t>up</m:t>
            </m:r>
          </m:sub>
        </m:sSub>
      </m:oMath>
      <w:r>
        <w:t xml:space="preserve"> does not, they cross. Define </w:t>
      </w:r>
      <m:oMath>
        <m:sSub>
          <m:sSubPr>
            <m:ctrlPr>
              <w:rPr>
                <w:rFonts w:ascii="Cambria Math" w:hAnsi="Cambria Math"/>
              </w:rPr>
            </m:ctrlPr>
          </m:sSubPr>
          <m:e>
            <m:r>
              <w:rPr>
                <w:rFonts w:ascii="Cambria Math" w:hAnsi="Cambria Math"/>
              </w:rPr>
              <m:t>Ω</m:t>
            </m:r>
          </m:e>
          <m:sub>
            <m:r>
              <m:rPr>
                <m:sty m:val="p"/>
              </m:rPr>
              <w:rPr>
                <w:rFonts w:ascii="Cambria Math" w:hAnsi="Cambria Math"/>
              </w:rPr>
              <m:t>*</m:t>
            </m:r>
          </m:sub>
        </m:sSub>
      </m:oMath>
      <w:r>
        <w:t xml:space="preserve"> by</w:t>
      </w:r>
    </w:p>
    <w:p w14:paraId="339D49BA" w14:textId="77777777" w:rsidR="00937C4A" w:rsidRDefault="00000000">
      <w:pPr>
        <w:pStyle w:val="BodyText"/>
        <w:spacing w:before="100" w:after="140"/>
        <w:jc w:val="center"/>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0</m:t>
              </m:r>
            </m:sub>
            <m:sup>
              <m:r>
                <m:rPr>
                  <m:sty m:val="p"/>
                </m:rPr>
                <w:rPr>
                  <w:rFonts w:ascii="Cambria Math" w:hAnsi="Cambria Math"/>
                </w:rPr>
                <m:t>cr</m:t>
              </m:r>
            </m:sup>
          </m:sSubSup>
          <m:d>
            <m:dPr>
              <m:ctrlPr>
                <w:rPr>
                  <w:rFonts w:ascii="Cambria Math" w:hAnsi="Cambria Math"/>
                </w:rPr>
              </m:ctrlPr>
            </m:dPr>
            <m:e>
              <m:sSub>
                <m:sSubPr>
                  <m:ctrlPr>
                    <w:rPr>
                      <w:rFonts w:ascii="Cambria Math" w:hAnsi="Cambria Math"/>
                    </w:rPr>
                  </m:ctrlPr>
                </m:sSubPr>
                <m:e>
                  <m:r>
                    <w:rPr>
                      <w:rFonts w:ascii="Cambria Math" w:hAnsi="Cambria Math"/>
                    </w:rPr>
                    <m:t>Ω</m:t>
                  </m:r>
                </m:e>
                <m:sub>
                  <m:r>
                    <m:rPr>
                      <m:sty m:val="p"/>
                    </m:rPr>
                    <w:rPr>
                      <w:rFonts w:ascii="Cambria Math" w:hAnsi="Cambria Math"/>
                    </w:rPr>
                    <m:t>*</m:t>
                  </m:r>
                </m:sub>
              </m:sSub>
              <m:r>
                <m:rPr>
                  <m:sty m:val="p"/>
                </m:rPr>
                <w:rPr>
                  <w:rFonts w:ascii="Cambria Math" w:hAnsi="Cambria Math"/>
                </w:rPr>
                <m:t>,</m:t>
              </m:r>
              <m:r>
                <w:rPr>
                  <w:rFonts w:ascii="Cambria Math" w:hAnsi="Cambria Math"/>
                </w:rPr>
                <m:t>α</m:t>
              </m:r>
            </m:e>
          </m:d>
          <m:r>
            <m:rPr>
              <m:sty m:val="p"/>
            </m:rPr>
            <w:rPr>
              <w:rFonts w:ascii="Cambria Math" w:hAnsi="Cambria Math"/>
            </w:rPr>
            <m:t>=tan</m:t>
          </m:r>
          <m:r>
            <w:rPr>
              <w:rFonts w:ascii="Cambria Math" w:hAnsi="Cambria Math"/>
            </w:rPr>
            <m:t>α</m:t>
          </m:r>
          <m:r>
            <m:rPr>
              <m:sty m:val="p"/>
            </m:rPr>
            <w:rPr>
              <w:rFonts w:ascii="Cambria Math" w:hAnsi="Cambria Math"/>
            </w:rPr>
            <m:t>,</m:t>
          </m:r>
        </m:oMath>
      </m:oMathPara>
    </w:p>
    <w:p w14:paraId="342242C2" w14:textId="77777777" w:rsidR="00937C4A" w:rsidRDefault="00000000">
      <w:r>
        <w:t xml:space="preserve">which for small </w:t>
      </w:r>
      <m:oMath>
        <m:r>
          <w:rPr>
            <w:rFonts w:ascii="Cambria Math" w:hAnsi="Cambria Math"/>
          </w:rPr>
          <m:t>α</m:t>
        </m:r>
      </m:oMath>
      <w:r>
        <w:t xml:space="preserve"> gives </w:t>
      </w:r>
      <m:oMath>
        <m:f>
          <m:fPr>
            <m:type m:val="lin"/>
            <m:ctrlPr>
              <w:rPr>
                <w:rFonts w:ascii="Cambria Math" w:hAnsi="Cambria Math"/>
              </w:rPr>
            </m:ctrlPr>
          </m:fPr>
          <m:num>
            <m:r>
              <w:rPr>
                <w:rFonts w:ascii="Cambria Math" w:hAnsi="Cambria Math"/>
              </w:rPr>
              <m:t>3</m:t>
            </m:r>
          </m:num>
          <m:den>
            <m:r>
              <w:rPr>
                <w:rFonts w:ascii="Cambria Math" w:hAnsi="Cambria Math"/>
              </w:rPr>
              <m:t>4</m:t>
            </m:r>
          </m:den>
        </m:f>
        <m:sSup>
          <m:sSupPr>
            <m:ctrlPr>
              <w:rPr>
                <w:rFonts w:ascii="Cambria Math" w:hAnsi="Cambria Math"/>
              </w:rPr>
            </m:ctrlPr>
          </m:sSupPr>
          <m:e>
            <m:r>
              <w:rPr>
                <w:rFonts w:ascii="Cambria Math" w:hAnsi="Cambria Math"/>
              </w:rPr>
              <m:t>α</m:t>
            </m:r>
          </m:e>
          <m:sup>
            <m:r>
              <w:rPr>
                <w:rFonts w:ascii="Cambria Math" w:hAnsi="Cambria Math"/>
              </w:rPr>
              <m:t>3</m:t>
            </m:r>
          </m:sup>
        </m:sSup>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Ω</m:t>
                </m:r>
              </m:e>
              <m:sub>
                <m:r>
                  <m:rPr>
                    <m:sty m:val="p"/>
                  </m:rPr>
                  <w:rPr>
                    <w:rFonts w:ascii="Cambria Math" w:hAnsi="Cambria Math"/>
                  </w:rPr>
                  <m:t>*</m:t>
                </m:r>
              </m:sub>
              <m:sup>
                <m:r>
                  <w:rPr>
                    <w:rFonts w:ascii="Cambria Math" w:hAnsi="Cambria Math"/>
                  </w:rPr>
                  <m:t>2</m:t>
                </m:r>
              </m:sup>
            </m:sSubSup>
          </m:e>
        </m:d>
        <m:r>
          <m:rPr>
            <m:sty m:val="p"/>
          </m:rPr>
          <w:rPr>
            <w:rFonts w:ascii="Cambria Math" w:hAnsi="Cambria Math"/>
          </w:rPr>
          <m:t>=</m:t>
        </m:r>
        <m:r>
          <w:rPr>
            <w:rFonts w:ascii="Cambria Math" w:hAnsi="Cambria Math"/>
          </w:rPr>
          <m:t>α</m:t>
        </m:r>
      </m:oMath>
      <w:r>
        <w:t>, hence</w:t>
      </w:r>
    </w:p>
    <w:p w14:paraId="2167CC51"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Ω</m:t>
              </m:r>
            </m:e>
            <m:sub>
              <m:r>
                <m:rPr>
                  <m:sty m:val="p"/>
                </m:rPr>
                <w:rPr>
                  <w:rFonts w:ascii="Cambria Math" w:hAnsi="Cambria Math"/>
                </w:rPr>
                <m:t>*</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4</m:t>
                  </m:r>
                </m:num>
                <m:den>
                  <m:r>
                    <w:rPr>
                      <w:rFonts w:ascii="Cambria Math" w:hAnsi="Cambria Math"/>
                    </w:rPr>
                    <m:t>3</m:t>
                  </m:r>
                  <m:sSup>
                    <m:sSupPr>
                      <m:ctrlPr>
                        <w:rPr>
                          <w:rFonts w:ascii="Cambria Math" w:hAnsi="Cambria Math"/>
                        </w:rPr>
                      </m:ctrlPr>
                    </m:sSupPr>
                    <m:e>
                      <m:r>
                        <w:rPr>
                          <w:rFonts w:ascii="Cambria Math" w:hAnsi="Cambria Math"/>
                        </w:rPr>
                        <m:t>α</m:t>
                      </m:r>
                    </m:e>
                    <m:sup>
                      <m:r>
                        <w:rPr>
                          <w:rFonts w:ascii="Cambria Math" w:hAnsi="Cambria Math"/>
                        </w:rPr>
                        <m:t>2</m:t>
                      </m:r>
                    </m:sup>
                  </m:sSup>
                </m:den>
              </m:f>
              <m:r>
                <m:rPr>
                  <m:sty m:val="p"/>
                </m:rPr>
                <w:rPr>
                  <w:rFonts w:ascii="Cambria Math" w:hAnsi="Cambria Math"/>
                </w:rPr>
                <m:t>-</m:t>
              </m:r>
              <m:r>
                <w:rPr>
                  <w:rFonts w:ascii="Cambria Math" w:hAnsi="Cambria Math"/>
                </w:rPr>
                <m:t>1</m:t>
              </m:r>
            </m:e>
          </m:ra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3</m:t>
                  </m:r>
                </m:e>
              </m:rad>
              <m:r>
                <w:rPr>
                  <w:rFonts w:ascii="Cambria Math" w:hAnsi="Cambria Math"/>
                </w:rPr>
                <m:t> α</m:t>
              </m:r>
            </m:den>
          </m:f>
          <m:r>
            <m:rPr>
              <m:sty m:val="p"/>
            </m:rPr>
            <w:rPr>
              <w:rFonts w:ascii="Cambria Math" w:hAnsi="Cambria Math"/>
            </w:rPr>
            <m:t>.</m:t>
          </m:r>
        </m:oMath>
      </m:oMathPara>
    </w:p>
    <w:p w14:paraId="26160FFA" w14:textId="77777777" w:rsidR="00937C4A" w:rsidRDefault="00000000">
      <w:r>
        <w:t xml:space="preserve">Solved exactly against the quadrature form of </w:t>
      </w:r>
      <m:oMath>
        <m:r>
          <m:rPr>
            <m:scr m:val="script"/>
            <m:sty m:val="p"/>
          </m:rPr>
          <w:rPr>
            <w:rFonts w:ascii="Cambria Math" w:hAnsi="Cambria Math"/>
          </w:rPr>
          <m:t>I</m:t>
        </m:r>
      </m:oMath>
      <w:r>
        <w:t>:</w:t>
      </w:r>
    </w:p>
    <w:tbl>
      <w:tblPr>
        <w:tblStyle w:val="TableGrid"/>
        <w:tblW w:w="9400" w:type="dxa"/>
        <w:jc w:val="center"/>
        <w:tblLayout w:type="fixed"/>
        <w:tblLook w:val="04A0" w:firstRow="1" w:lastRow="0" w:firstColumn="1" w:lastColumn="0" w:noHBand="0" w:noVBand="1"/>
      </w:tblPr>
      <w:tblGrid>
        <w:gridCol w:w="1900"/>
        <w:gridCol w:w="1500"/>
        <w:gridCol w:w="1500"/>
        <w:gridCol w:w="1500"/>
        <w:gridCol w:w="1500"/>
        <w:gridCol w:w="1500"/>
      </w:tblGrid>
      <w:tr w:rsidR="00937C4A" w14:paraId="75F47984" w14:textId="77777777">
        <w:trPr>
          <w:cantSplit/>
          <w:tblHeader/>
          <w:jc w:val="center"/>
        </w:trPr>
        <w:tc>
          <w:tcPr>
            <w:tcW w:w="1900" w:type="dxa"/>
            <w:shd w:val="clear" w:color="auto" w:fill="495A65"/>
            <w:tcMar>
              <w:top w:w="55" w:type="dxa"/>
              <w:left w:w="65" w:type="dxa"/>
              <w:bottom w:w="55" w:type="dxa"/>
              <w:right w:w="65" w:type="dxa"/>
            </w:tcMar>
            <w:vAlign w:val="center"/>
          </w:tcPr>
          <w:p w14:paraId="376FA76A" w14:textId="77777777" w:rsidR="00937C4A" w:rsidRDefault="00000000">
            <w:pPr>
              <w:spacing w:after="0" w:line="240" w:lineRule="auto"/>
              <w:jc w:val="center"/>
            </w:pPr>
            <w:r>
              <w:rPr>
                <w:rFonts w:ascii="Noto Sans" w:hAnsi="Noto Sans"/>
                <w:b/>
                <w:color w:val="FFFFFF"/>
                <w:sz w:val="13"/>
              </w:rPr>
              <w:t>α</w:t>
            </w:r>
          </w:p>
        </w:tc>
        <w:tc>
          <w:tcPr>
            <w:tcW w:w="1500" w:type="dxa"/>
            <w:shd w:val="clear" w:color="auto" w:fill="495A65"/>
            <w:tcMar>
              <w:top w:w="55" w:type="dxa"/>
              <w:left w:w="65" w:type="dxa"/>
              <w:bottom w:w="55" w:type="dxa"/>
              <w:right w:w="65" w:type="dxa"/>
            </w:tcMar>
            <w:vAlign w:val="center"/>
          </w:tcPr>
          <w:p w14:paraId="51764CD2" w14:textId="77777777" w:rsidR="00937C4A" w:rsidRDefault="00000000">
            <w:pPr>
              <w:spacing w:after="0" w:line="240" w:lineRule="auto"/>
              <w:jc w:val="center"/>
            </w:pPr>
            <w:r>
              <w:rPr>
                <w:rFonts w:ascii="Noto Sans" w:hAnsi="Noto Sans"/>
                <w:b/>
                <w:color w:val="FFFFFF"/>
                <w:sz w:val="13"/>
              </w:rPr>
              <w:t>0.15</w:t>
            </w:r>
          </w:p>
        </w:tc>
        <w:tc>
          <w:tcPr>
            <w:tcW w:w="1500" w:type="dxa"/>
            <w:shd w:val="clear" w:color="auto" w:fill="495A65"/>
            <w:tcMar>
              <w:top w:w="55" w:type="dxa"/>
              <w:left w:w="65" w:type="dxa"/>
              <w:bottom w:w="55" w:type="dxa"/>
              <w:right w:w="65" w:type="dxa"/>
            </w:tcMar>
            <w:vAlign w:val="center"/>
          </w:tcPr>
          <w:p w14:paraId="426E00C9" w14:textId="77777777" w:rsidR="00937C4A" w:rsidRDefault="00000000">
            <w:pPr>
              <w:spacing w:after="0" w:line="240" w:lineRule="auto"/>
              <w:jc w:val="center"/>
            </w:pPr>
            <w:r>
              <w:rPr>
                <w:rFonts w:ascii="Noto Sans" w:hAnsi="Noto Sans"/>
                <w:b/>
                <w:color w:val="FFFFFF"/>
                <w:sz w:val="13"/>
              </w:rPr>
              <w:t>0.25</w:t>
            </w:r>
          </w:p>
        </w:tc>
        <w:tc>
          <w:tcPr>
            <w:tcW w:w="1500" w:type="dxa"/>
            <w:shd w:val="clear" w:color="auto" w:fill="495A65"/>
            <w:tcMar>
              <w:top w:w="55" w:type="dxa"/>
              <w:left w:w="65" w:type="dxa"/>
              <w:bottom w:w="55" w:type="dxa"/>
              <w:right w:w="65" w:type="dxa"/>
            </w:tcMar>
            <w:vAlign w:val="center"/>
          </w:tcPr>
          <w:p w14:paraId="1120F976" w14:textId="77777777" w:rsidR="00937C4A" w:rsidRDefault="00000000">
            <w:pPr>
              <w:spacing w:after="0" w:line="240" w:lineRule="auto"/>
              <w:jc w:val="center"/>
            </w:pPr>
            <w:r>
              <w:rPr>
                <w:rFonts w:ascii="Noto Sans" w:hAnsi="Noto Sans"/>
                <w:b/>
                <w:color w:val="FFFFFF"/>
                <w:sz w:val="13"/>
              </w:rPr>
              <w:t>0.35</w:t>
            </w:r>
          </w:p>
        </w:tc>
        <w:tc>
          <w:tcPr>
            <w:tcW w:w="1500" w:type="dxa"/>
            <w:shd w:val="clear" w:color="auto" w:fill="495A65"/>
            <w:tcMar>
              <w:top w:w="55" w:type="dxa"/>
              <w:left w:w="65" w:type="dxa"/>
              <w:bottom w:w="55" w:type="dxa"/>
              <w:right w:w="65" w:type="dxa"/>
            </w:tcMar>
            <w:vAlign w:val="center"/>
          </w:tcPr>
          <w:p w14:paraId="390EE08F" w14:textId="77777777" w:rsidR="00937C4A" w:rsidRDefault="00000000">
            <w:pPr>
              <w:spacing w:after="0" w:line="240" w:lineRule="auto"/>
              <w:jc w:val="center"/>
            </w:pPr>
            <w:r>
              <w:rPr>
                <w:rFonts w:ascii="Noto Sans" w:hAnsi="Noto Sans"/>
                <w:b/>
                <w:color w:val="FFFFFF"/>
                <w:sz w:val="13"/>
              </w:rPr>
              <w:t>0.45</w:t>
            </w:r>
          </w:p>
        </w:tc>
        <w:tc>
          <w:tcPr>
            <w:tcW w:w="1500" w:type="dxa"/>
            <w:shd w:val="clear" w:color="auto" w:fill="495A65"/>
            <w:tcMar>
              <w:top w:w="55" w:type="dxa"/>
              <w:left w:w="65" w:type="dxa"/>
              <w:bottom w:w="55" w:type="dxa"/>
              <w:right w:w="65" w:type="dxa"/>
            </w:tcMar>
            <w:vAlign w:val="center"/>
          </w:tcPr>
          <w:p w14:paraId="0AC9ACBD" w14:textId="77777777" w:rsidR="00937C4A" w:rsidRDefault="00000000">
            <w:pPr>
              <w:spacing w:after="0" w:line="240" w:lineRule="auto"/>
              <w:jc w:val="center"/>
            </w:pPr>
            <w:r>
              <w:rPr>
                <w:rFonts w:ascii="Noto Sans" w:hAnsi="Noto Sans"/>
                <w:b/>
                <w:color w:val="FFFFFF"/>
                <w:sz w:val="13"/>
              </w:rPr>
              <w:t>0.60</w:t>
            </w:r>
          </w:p>
        </w:tc>
      </w:tr>
      <w:tr w:rsidR="00937C4A" w14:paraId="38033C1A" w14:textId="77777777">
        <w:trPr>
          <w:cantSplit/>
          <w:jc w:val="center"/>
        </w:trPr>
        <w:tc>
          <w:tcPr>
            <w:tcW w:w="1900" w:type="dxa"/>
            <w:tcMar>
              <w:top w:w="55" w:type="dxa"/>
              <w:left w:w="65" w:type="dxa"/>
              <w:bottom w:w="55" w:type="dxa"/>
              <w:right w:w="65" w:type="dxa"/>
            </w:tcMar>
            <w:vAlign w:val="center"/>
          </w:tcPr>
          <w:p w14:paraId="3EE6B942" w14:textId="77777777" w:rsidR="00937C4A" w:rsidRDefault="00000000">
            <w:pPr>
              <w:spacing w:after="0" w:line="240" w:lineRule="auto"/>
              <w:jc w:val="center"/>
            </w:pPr>
            <w:r>
              <w:rPr>
                <w:rFonts w:ascii="Noto Sans" w:hAnsi="Noto Sans"/>
                <w:sz w:val="13"/>
              </w:rPr>
              <w:t>Ω* (exact)</w:t>
            </w:r>
          </w:p>
        </w:tc>
        <w:tc>
          <w:tcPr>
            <w:tcW w:w="1500" w:type="dxa"/>
            <w:tcMar>
              <w:top w:w="55" w:type="dxa"/>
              <w:left w:w="65" w:type="dxa"/>
              <w:bottom w:w="55" w:type="dxa"/>
              <w:right w:w="65" w:type="dxa"/>
            </w:tcMar>
            <w:vAlign w:val="center"/>
          </w:tcPr>
          <w:p w14:paraId="345E0001" w14:textId="77777777" w:rsidR="00937C4A" w:rsidRDefault="00000000">
            <w:pPr>
              <w:spacing w:after="0" w:line="240" w:lineRule="auto"/>
              <w:jc w:val="center"/>
            </w:pPr>
            <w:r>
              <w:rPr>
                <w:rFonts w:ascii="Noto Sans" w:hAnsi="Noto Sans"/>
                <w:sz w:val="13"/>
              </w:rPr>
              <w:t>7.75</w:t>
            </w:r>
          </w:p>
        </w:tc>
        <w:tc>
          <w:tcPr>
            <w:tcW w:w="1500" w:type="dxa"/>
            <w:tcMar>
              <w:top w:w="55" w:type="dxa"/>
              <w:left w:w="65" w:type="dxa"/>
              <w:bottom w:w="55" w:type="dxa"/>
              <w:right w:w="65" w:type="dxa"/>
            </w:tcMar>
            <w:vAlign w:val="center"/>
          </w:tcPr>
          <w:p w14:paraId="1532F6D7" w14:textId="77777777" w:rsidR="00937C4A" w:rsidRDefault="00000000">
            <w:pPr>
              <w:spacing w:after="0" w:line="240" w:lineRule="auto"/>
              <w:jc w:val="center"/>
            </w:pPr>
            <w:r>
              <w:rPr>
                <w:rFonts w:ascii="Noto Sans" w:hAnsi="Noto Sans"/>
                <w:sz w:val="13"/>
              </w:rPr>
              <w:t>4.72</w:t>
            </w:r>
          </w:p>
        </w:tc>
        <w:tc>
          <w:tcPr>
            <w:tcW w:w="1500" w:type="dxa"/>
            <w:tcMar>
              <w:top w:w="55" w:type="dxa"/>
              <w:left w:w="65" w:type="dxa"/>
              <w:bottom w:w="55" w:type="dxa"/>
              <w:right w:w="65" w:type="dxa"/>
            </w:tcMar>
            <w:vAlign w:val="center"/>
          </w:tcPr>
          <w:p w14:paraId="5F344CBA" w14:textId="77777777" w:rsidR="00937C4A" w:rsidRDefault="00000000">
            <w:pPr>
              <w:spacing w:after="0" w:line="240" w:lineRule="auto"/>
              <w:jc w:val="center"/>
            </w:pPr>
            <w:r>
              <w:rPr>
                <w:rFonts w:ascii="Noto Sans" w:hAnsi="Noto Sans"/>
                <w:sz w:val="13"/>
              </w:rPr>
              <w:t>3.46</w:t>
            </w:r>
          </w:p>
        </w:tc>
        <w:tc>
          <w:tcPr>
            <w:tcW w:w="1500" w:type="dxa"/>
            <w:tcMar>
              <w:top w:w="55" w:type="dxa"/>
              <w:left w:w="65" w:type="dxa"/>
              <w:bottom w:w="55" w:type="dxa"/>
              <w:right w:w="65" w:type="dxa"/>
            </w:tcMar>
            <w:vAlign w:val="center"/>
          </w:tcPr>
          <w:p w14:paraId="7470655E" w14:textId="77777777" w:rsidR="00937C4A" w:rsidRDefault="00000000">
            <w:pPr>
              <w:spacing w:after="0" w:line="240" w:lineRule="auto"/>
              <w:jc w:val="center"/>
            </w:pPr>
            <w:r>
              <w:rPr>
                <w:rFonts w:ascii="Noto Sans" w:hAnsi="Noto Sans"/>
                <w:sz w:val="13"/>
              </w:rPr>
              <w:t>2.80</w:t>
            </w:r>
          </w:p>
        </w:tc>
        <w:tc>
          <w:tcPr>
            <w:tcW w:w="1500" w:type="dxa"/>
            <w:tcMar>
              <w:top w:w="55" w:type="dxa"/>
              <w:left w:w="65" w:type="dxa"/>
              <w:bottom w:w="55" w:type="dxa"/>
              <w:right w:w="65" w:type="dxa"/>
            </w:tcMar>
            <w:vAlign w:val="center"/>
          </w:tcPr>
          <w:p w14:paraId="16EDB346" w14:textId="77777777" w:rsidR="00937C4A" w:rsidRDefault="00000000">
            <w:pPr>
              <w:spacing w:after="0" w:line="240" w:lineRule="auto"/>
              <w:jc w:val="center"/>
            </w:pPr>
            <w:r>
              <w:rPr>
                <w:rFonts w:ascii="Noto Sans" w:hAnsi="Noto Sans"/>
                <w:sz w:val="13"/>
              </w:rPr>
              <w:t>2.31</w:t>
            </w:r>
          </w:p>
        </w:tc>
      </w:tr>
      <w:tr w:rsidR="00937C4A" w14:paraId="7E83067F" w14:textId="77777777">
        <w:trPr>
          <w:cantSplit/>
          <w:jc w:val="center"/>
        </w:trPr>
        <w:tc>
          <w:tcPr>
            <w:tcW w:w="1900" w:type="dxa"/>
            <w:shd w:val="clear" w:color="auto" w:fill="F4F6F7"/>
            <w:tcMar>
              <w:top w:w="55" w:type="dxa"/>
              <w:left w:w="65" w:type="dxa"/>
              <w:bottom w:w="55" w:type="dxa"/>
              <w:right w:w="65" w:type="dxa"/>
            </w:tcMar>
            <w:vAlign w:val="center"/>
          </w:tcPr>
          <w:p w14:paraId="6F2589B5" w14:textId="77777777" w:rsidR="00937C4A" w:rsidRDefault="00000000">
            <w:pPr>
              <w:spacing w:after="0" w:line="240" w:lineRule="auto"/>
              <w:jc w:val="center"/>
            </w:pPr>
            <w:r>
              <w:rPr>
                <w:rFonts w:ascii="Noto Sans" w:hAnsi="Noto Sans"/>
                <w:sz w:val="13"/>
              </w:rPr>
              <w:t>$2/\sqrt3\alpha$</w:t>
            </w:r>
          </w:p>
        </w:tc>
        <w:tc>
          <w:tcPr>
            <w:tcW w:w="1500" w:type="dxa"/>
            <w:shd w:val="clear" w:color="auto" w:fill="F4F6F7"/>
            <w:tcMar>
              <w:top w:w="55" w:type="dxa"/>
              <w:left w:w="65" w:type="dxa"/>
              <w:bottom w:w="55" w:type="dxa"/>
              <w:right w:w="65" w:type="dxa"/>
            </w:tcMar>
            <w:vAlign w:val="center"/>
          </w:tcPr>
          <w:p w14:paraId="0E20E3E9" w14:textId="77777777" w:rsidR="00937C4A" w:rsidRDefault="00000000">
            <w:pPr>
              <w:spacing w:after="0" w:line="240" w:lineRule="auto"/>
              <w:jc w:val="center"/>
            </w:pPr>
            <w:r>
              <w:rPr>
                <w:rFonts w:ascii="Noto Sans" w:hAnsi="Noto Sans"/>
                <w:sz w:val="13"/>
              </w:rPr>
              <w:t>7.70</w:t>
            </w:r>
          </w:p>
        </w:tc>
        <w:tc>
          <w:tcPr>
            <w:tcW w:w="1500" w:type="dxa"/>
            <w:shd w:val="clear" w:color="auto" w:fill="F4F6F7"/>
            <w:tcMar>
              <w:top w:w="55" w:type="dxa"/>
              <w:left w:w="65" w:type="dxa"/>
              <w:bottom w:w="55" w:type="dxa"/>
              <w:right w:w="65" w:type="dxa"/>
            </w:tcMar>
            <w:vAlign w:val="center"/>
          </w:tcPr>
          <w:p w14:paraId="1ED41E90" w14:textId="77777777" w:rsidR="00937C4A" w:rsidRDefault="00000000">
            <w:pPr>
              <w:spacing w:after="0" w:line="240" w:lineRule="auto"/>
              <w:jc w:val="center"/>
            </w:pPr>
            <w:r>
              <w:rPr>
                <w:rFonts w:ascii="Noto Sans" w:hAnsi="Noto Sans"/>
                <w:sz w:val="13"/>
              </w:rPr>
              <w:t>4.62</w:t>
            </w:r>
          </w:p>
        </w:tc>
        <w:tc>
          <w:tcPr>
            <w:tcW w:w="1500" w:type="dxa"/>
            <w:shd w:val="clear" w:color="auto" w:fill="F4F6F7"/>
            <w:tcMar>
              <w:top w:w="55" w:type="dxa"/>
              <w:left w:w="65" w:type="dxa"/>
              <w:bottom w:w="55" w:type="dxa"/>
              <w:right w:w="65" w:type="dxa"/>
            </w:tcMar>
            <w:vAlign w:val="center"/>
          </w:tcPr>
          <w:p w14:paraId="4AA547A3" w14:textId="77777777" w:rsidR="00937C4A" w:rsidRDefault="00000000">
            <w:pPr>
              <w:spacing w:after="0" w:line="240" w:lineRule="auto"/>
              <w:jc w:val="center"/>
            </w:pPr>
            <w:r>
              <w:rPr>
                <w:rFonts w:ascii="Noto Sans" w:hAnsi="Noto Sans"/>
                <w:sz w:val="13"/>
              </w:rPr>
              <w:t>3.30</w:t>
            </w:r>
          </w:p>
        </w:tc>
        <w:tc>
          <w:tcPr>
            <w:tcW w:w="1500" w:type="dxa"/>
            <w:shd w:val="clear" w:color="auto" w:fill="F4F6F7"/>
            <w:tcMar>
              <w:top w:w="55" w:type="dxa"/>
              <w:left w:w="65" w:type="dxa"/>
              <w:bottom w:w="55" w:type="dxa"/>
              <w:right w:w="65" w:type="dxa"/>
            </w:tcMar>
            <w:vAlign w:val="center"/>
          </w:tcPr>
          <w:p w14:paraId="41BA2370" w14:textId="77777777" w:rsidR="00937C4A" w:rsidRDefault="00000000">
            <w:pPr>
              <w:spacing w:after="0" w:line="240" w:lineRule="auto"/>
              <w:jc w:val="center"/>
            </w:pPr>
            <w:r>
              <w:rPr>
                <w:rFonts w:ascii="Noto Sans" w:hAnsi="Noto Sans"/>
                <w:sz w:val="13"/>
              </w:rPr>
              <w:t>2.57</w:t>
            </w:r>
          </w:p>
        </w:tc>
        <w:tc>
          <w:tcPr>
            <w:tcW w:w="1500" w:type="dxa"/>
            <w:shd w:val="clear" w:color="auto" w:fill="F4F6F7"/>
            <w:tcMar>
              <w:top w:w="55" w:type="dxa"/>
              <w:left w:w="65" w:type="dxa"/>
              <w:bottom w:w="55" w:type="dxa"/>
              <w:right w:w="65" w:type="dxa"/>
            </w:tcMar>
            <w:vAlign w:val="center"/>
          </w:tcPr>
          <w:p w14:paraId="1CEE56C2" w14:textId="77777777" w:rsidR="00937C4A" w:rsidRDefault="00000000">
            <w:pPr>
              <w:spacing w:after="0" w:line="240" w:lineRule="auto"/>
              <w:jc w:val="center"/>
            </w:pPr>
            <w:r>
              <w:rPr>
                <w:rFonts w:ascii="Noto Sans" w:hAnsi="Noto Sans"/>
                <w:sz w:val="13"/>
              </w:rPr>
              <w:t>1.93</w:t>
            </w:r>
          </w:p>
        </w:tc>
      </w:tr>
    </w:tbl>
    <w:p w14:paraId="039D34EB" w14:textId="77777777" w:rsidR="00937C4A" w:rsidRDefault="00000000">
      <w:pPr>
        <w:pStyle w:val="BodyText"/>
      </w:pPr>
      <w:r>
        <w:t xml:space="preserve">The asymptote is good to 5% at </w:t>
      </w:r>
      <m:oMath>
        <m:r>
          <w:rPr>
            <w:rFonts w:ascii="Cambria Math" w:hAnsi="Cambria Math"/>
          </w:rPr>
          <m:t>α</m:t>
        </m:r>
        <m:r>
          <m:rPr>
            <m:sty m:val="p"/>
          </m:rPr>
          <w:rPr>
            <w:rFonts w:ascii="Cambria Math" w:hAnsi="Cambria Math"/>
          </w:rPr>
          <m:t>=</m:t>
        </m:r>
        <m:r>
          <w:rPr>
            <w:rFonts w:ascii="Cambria Math" w:hAnsi="Cambria Math"/>
          </w:rPr>
          <m:t>0.15</m:t>
        </m:r>
      </m:oMath>
      <w:r>
        <w:t xml:space="preserve"> and degrades to 16% at </w:t>
      </w:r>
      <m:oMath>
        <m:r>
          <w:rPr>
            <w:rFonts w:ascii="Cambria Math" w:hAnsi="Cambria Math"/>
          </w:rPr>
          <m:t>α</m:t>
        </m:r>
        <m:r>
          <m:rPr>
            <m:sty m:val="p"/>
          </m:rPr>
          <w:rPr>
            <w:rFonts w:ascii="Cambria Math" w:hAnsi="Cambria Math"/>
          </w:rPr>
          <m:t>=</m:t>
        </m:r>
        <m:r>
          <w:rPr>
            <w:rFonts w:ascii="Cambria Math" w:hAnsi="Cambria Math"/>
          </w:rPr>
          <m:t>0.60</m:t>
        </m:r>
      </m:oMath>
      <w:r>
        <w:t>, as expected of a leading-order expansion evaluated outside its comfort.</w:t>
      </w:r>
    </w:p>
    <w:p w14:paraId="4103DBBC" w14:textId="77777777" w:rsidR="00937C4A" w:rsidRDefault="00000000">
      <w:pPr>
        <w:pStyle w:val="Heading3"/>
      </w:pPr>
      <w:bookmarkStart w:id="43" w:name="the-physical-corner-frequency"/>
      <w:bookmarkEnd w:id="42"/>
      <w:r>
        <w:rPr>
          <w:rFonts w:ascii="Noto Sans" w:eastAsia="Noto Sans" w:hAnsi="Noto Sans"/>
        </w:rPr>
        <w:t>7.2 The physical corner frequency</w:t>
      </w:r>
    </w:p>
    <w:p w14:paraId="4C119642" w14:textId="77777777" w:rsidR="00937C4A" w:rsidRDefault="00000000">
      <w:r>
        <w:t xml:space="preserve">Since </w:t>
      </w:r>
      <m:oMath>
        <m:r>
          <w:rPr>
            <w:rFonts w:ascii="Cambria Math" w:hAnsi="Cambria Math"/>
          </w:rPr>
          <m:t>Ω</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p</m:t>
        </m:r>
      </m:oMath>
      <w:r>
        <w:t xml:space="preserve">, the boundary corresponds to a physical frequency </w:t>
      </w:r>
      <m:oMath>
        <m:sSub>
          <m:sSubPr>
            <m:ctrlPr>
              <w:rPr>
                <w:rFonts w:ascii="Cambria Math" w:hAnsi="Cambria Math"/>
              </w:rPr>
            </m:ctrlPr>
          </m:sSubPr>
          <m:e>
            <m:r>
              <w:rPr>
                <w:rFonts w:ascii="Cambria Math" w:hAnsi="Cambria Math"/>
              </w:rPr>
              <m:t>f</m:t>
            </m:r>
          </m:e>
          <m:sub>
            <m:r>
              <m:rPr>
                <m:sty m:val="p"/>
              </m:rPr>
              <w:rPr>
                <w:rFonts w:ascii="Cambria Math" w:hAnsi="Cambria Math"/>
              </w:rPr>
              <m:t>*</m:t>
            </m:r>
          </m:sub>
        </m:sSub>
        <m:r>
          <m:rPr>
            <m:sty m:val="p"/>
          </m:rPr>
          <w:rPr>
            <w:rFonts w:ascii="Cambria Math" w:hAnsi="Cambria Math"/>
          </w:rPr>
          <m:t>=</m:t>
        </m:r>
        <m:r>
          <w:rPr>
            <w:rFonts w:ascii="Cambria Math" w:hAnsi="Cambria Math"/>
          </w:rPr>
          <m:t>p </m:t>
        </m:r>
        <m:sSub>
          <m:sSubPr>
            <m:ctrlPr>
              <w:rPr>
                <w:rFonts w:ascii="Cambria Math" w:hAnsi="Cambria Math"/>
              </w:rPr>
            </m:ctrlPr>
          </m:sSubPr>
          <m:e>
            <m:r>
              <w:rPr>
                <w:rFonts w:ascii="Cambria Math" w:hAnsi="Cambria Math"/>
              </w:rPr>
              <m:t>Ω</m:t>
            </m:r>
          </m:e>
          <m:sub>
            <m:r>
              <m:rPr>
                <m:sty m:val="p"/>
              </m:rPr>
              <w:rPr>
                <w:rFonts w:ascii="Cambria Math" w:hAnsi="Cambria Math"/>
              </w:rPr>
              <m:t>*</m:t>
            </m:r>
          </m:sub>
        </m:sSub>
        <m:r>
          <m:rPr>
            <m:sty m:val="p"/>
          </m:rPr>
          <w:rPr>
            <w:rFonts w:ascii="Cambria Math" w:hAnsi="Cambria Math"/>
          </w:rPr>
          <m:t>/</m:t>
        </m:r>
        <m:r>
          <w:rPr>
            <w:rFonts w:ascii="Cambria Math" w:hAnsi="Cambria Math"/>
          </w:rPr>
          <m:t>2π</m:t>
        </m:r>
      </m:oMath>
      <w:r>
        <w:t>:</w:t>
      </w:r>
    </w:p>
    <w:tbl>
      <w:tblPr>
        <w:tblStyle w:val="TableGrid"/>
        <w:tblW w:w="9400" w:type="dxa"/>
        <w:jc w:val="center"/>
        <w:tblLayout w:type="fixed"/>
        <w:tblLook w:val="04A0" w:firstRow="1" w:lastRow="0" w:firstColumn="1" w:lastColumn="0" w:noHBand="0" w:noVBand="1"/>
      </w:tblPr>
      <w:tblGrid>
        <w:gridCol w:w="3000"/>
        <w:gridCol w:w="1150"/>
        <w:gridCol w:w="1150"/>
        <w:gridCol w:w="1350"/>
        <w:gridCol w:w="1350"/>
        <w:gridCol w:w="1400"/>
      </w:tblGrid>
      <w:tr w:rsidR="00937C4A" w14:paraId="1A1EA854" w14:textId="77777777">
        <w:trPr>
          <w:cantSplit/>
          <w:tblHeader/>
          <w:jc w:val="center"/>
        </w:trPr>
        <w:tc>
          <w:tcPr>
            <w:tcW w:w="3000" w:type="dxa"/>
            <w:shd w:val="clear" w:color="auto" w:fill="495A65"/>
            <w:tcMar>
              <w:top w:w="55" w:type="dxa"/>
              <w:left w:w="65" w:type="dxa"/>
              <w:bottom w:w="55" w:type="dxa"/>
              <w:right w:w="65" w:type="dxa"/>
            </w:tcMar>
            <w:vAlign w:val="center"/>
          </w:tcPr>
          <w:p w14:paraId="59BE4F72" w14:textId="77777777" w:rsidR="00937C4A" w:rsidRDefault="00000000">
            <w:pPr>
              <w:spacing w:after="0" w:line="240" w:lineRule="auto"/>
              <w:jc w:val="left"/>
            </w:pPr>
            <w:r>
              <w:rPr>
                <w:rFonts w:ascii="Noto Sans" w:hAnsi="Noto Sans"/>
                <w:b/>
                <w:color w:val="FFFFFF"/>
                <w:sz w:val="13"/>
              </w:rPr>
              <w:t>Object</w:t>
            </w:r>
          </w:p>
        </w:tc>
        <w:tc>
          <w:tcPr>
            <w:tcW w:w="1150" w:type="dxa"/>
            <w:shd w:val="clear" w:color="auto" w:fill="495A65"/>
            <w:tcMar>
              <w:top w:w="55" w:type="dxa"/>
              <w:left w:w="65" w:type="dxa"/>
              <w:bottom w:w="55" w:type="dxa"/>
              <w:right w:w="65" w:type="dxa"/>
            </w:tcMar>
            <w:vAlign w:val="center"/>
          </w:tcPr>
          <w:p w14:paraId="74FAB0B6" w14:textId="77777777" w:rsidR="00937C4A" w:rsidRDefault="00000000">
            <w:pPr>
              <w:spacing w:after="0" w:line="240" w:lineRule="auto"/>
              <w:jc w:val="center"/>
            </w:pPr>
            <w:r>
              <w:rPr>
                <w:rFonts w:ascii="Noto Sans" w:hAnsi="Noto Sans"/>
                <w:b/>
                <w:color w:val="FFFFFF"/>
                <w:sz w:val="13"/>
              </w:rPr>
              <w:t>R (m)</w:t>
            </w:r>
          </w:p>
        </w:tc>
        <w:tc>
          <w:tcPr>
            <w:tcW w:w="1150" w:type="dxa"/>
            <w:shd w:val="clear" w:color="auto" w:fill="495A65"/>
            <w:tcMar>
              <w:top w:w="55" w:type="dxa"/>
              <w:left w:w="65" w:type="dxa"/>
              <w:bottom w:w="55" w:type="dxa"/>
              <w:right w:w="65" w:type="dxa"/>
            </w:tcMar>
            <w:vAlign w:val="center"/>
          </w:tcPr>
          <w:p w14:paraId="505A3053" w14:textId="77777777" w:rsidR="00937C4A" w:rsidRDefault="00000000">
            <w:pPr>
              <w:spacing w:after="0" w:line="240" w:lineRule="auto"/>
              <w:jc w:val="center"/>
            </w:pPr>
            <w:r>
              <w:rPr>
                <w:rFonts w:ascii="Noto Sans" w:hAnsi="Noto Sans"/>
                <w:b/>
                <w:color w:val="FFFFFF"/>
                <w:sz w:val="13"/>
              </w:rPr>
              <w:t>α</w:t>
            </w:r>
          </w:p>
        </w:tc>
        <w:tc>
          <w:tcPr>
            <w:tcW w:w="1350" w:type="dxa"/>
            <w:shd w:val="clear" w:color="auto" w:fill="495A65"/>
            <w:tcMar>
              <w:top w:w="55" w:type="dxa"/>
              <w:left w:w="65" w:type="dxa"/>
              <w:bottom w:w="55" w:type="dxa"/>
              <w:right w:w="65" w:type="dxa"/>
            </w:tcMar>
            <w:vAlign w:val="center"/>
          </w:tcPr>
          <w:p w14:paraId="2EFCC3E2" w14:textId="77777777" w:rsidR="00937C4A" w:rsidRDefault="00000000">
            <w:pPr>
              <w:spacing w:after="0" w:line="240" w:lineRule="auto"/>
              <w:jc w:val="center"/>
            </w:pPr>
            <w:r>
              <w:rPr>
                <w:rFonts w:ascii="Noto Sans" w:hAnsi="Noto Sans"/>
                <w:b/>
                <w:color w:val="FFFFFF"/>
                <w:sz w:val="13"/>
              </w:rPr>
              <w:t>p (rad s⁻¹)</w:t>
            </w:r>
          </w:p>
        </w:tc>
        <w:tc>
          <w:tcPr>
            <w:tcW w:w="1350" w:type="dxa"/>
            <w:shd w:val="clear" w:color="auto" w:fill="495A65"/>
            <w:tcMar>
              <w:top w:w="55" w:type="dxa"/>
              <w:left w:w="65" w:type="dxa"/>
              <w:bottom w:w="55" w:type="dxa"/>
              <w:right w:w="65" w:type="dxa"/>
            </w:tcMar>
            <w:vAlign w:val="center"/>
          </w:tcPr>
          <w:p w14:paraId="31F385E0" w14:textId="77777777" w:rsidR="00937C4A" w:rsidRDefault="00000000">
            <w:pPr>
              <w:spacing w:after="0" w:line="240" w:lineRule="auto"/>
              <w:jc w:val="center"/>
            </w:pPr>
            <w:r>
              <w:rPr>
                <w:rFonts w:ascii="Noto Sans" w:hAnsi="Noto Sans"/>
                <w:b/>
                <w:color w:val="FFFFFF"/>
                <w:sz w:val="13"/>
              </w:rPr>
              <w:t>Ω*</w:t>
            </w:r>
          </w:p>
        </w:tc>
        <w:tc>
          <w:tcPr>
            <w:tcW w:w="1400" w:type="dxa"/>
            <w:shd w:val="clear" w:color="auto" w:fill="495A65"/>
            <w:tcMar>
              <w:top w:w="55" w:type="dxa"/>
              <w:left w:w="65" w:type="dxa"/>
              <w:bottom w:w="55" w:type="dxa"/>
              <w:right w:w="65" w:type="dxa"/>
            </w:tcMar>
            <w:vAlign w:val="center"/>
          </w:tcPr>
          <w:p w14:paraId="6663B4DE" w14:textId="77777777" w:rsidR="00937C4A" w:rsidRDefault="00000000">
            <w:pPr>
              <w:spacing w:after="0" w:line="240" w:lineRule="auto"/>
              <w:jc w:val="center"/>
            </w:pPr>
            <w:r>
              <w:rPr>
                <w:rFonts w:ascii="Noto Sans" w:hAnsi="Noto Sans"/>
                <w:b/>
                <w:color w:val="FFFFFF"/>
                <w:sz w:val="13"/>
              </w:rPr>
              <w:t>f* (Hz)</w:t>
            </w:r>
          </w:p>
        </w:tc>
      </w:tr>
      <w:tr w:rsidR="00937C4A" w14:paraId="3E2192D4" w14:textId="77777777">
        <w:trPr>
          <w:cantSplit/>
          <w:jc w:val="center"/>
        </w:trPr>
        <w:tc>
          <w:tcPr>
            <w:tcW w:w="3000" w:type="dxa"/>
            <w:tcMar>
              <w:top w:w="55" w:type="dxa"/>
              <w:left w:w="65" w:type="dxa"/>
              <w:bottom w:w="55" w:type="dxa"/>
              <w:right w:w="65" w:type="dxa"/>
            </w:tcMar>
            <w:vAlign w:val="center"/>
          </w:tcPr>
          <w:p w14:paraId="252C65C6" w14:textId="77777777" w:rsidR="00937C4A" w:rsidRDefault="00000000">
            <w:pPr>
              <w:spacing w:after="0" w:line="240" w:lineRule="auto"/>
              <w:jc w:val="left"/>
            </w:pPr>
            <w:r>
              <w:rPr>
                <w:rFonts w:ascii="Noto Sans" w:hAnsi="Noto Sans"/>
                <w:sz w:val="13"/>
              </w:rPr>
              <w:t>Hampi cairn (small)</w:t>
            </w:r>
          </w:p>
        </w:tc>
        <w:tc>
          <w:tcPr>
            <w:tcW w:w="1150" w:type="dxa"/>
            <w:tcMar>
              <w:top w:w="55" w:type="dxa"/>
              <w:left w:w="65" w:type="dxa"/>
              <w:bottom w:w="55" w:type="dxa"/>
              <w:right w:w="65" w:type="dxa"/>
            </w:tcMar>
            <w:vAlign w:val="center"/>
          </w:tcPr>
          <w:p w14:paraId="33492CCE" w14:textId="77777777" w:rsidR="00937C4A" w:rsidRDefault="00000000">
            <w:pPr>
              <w:spacing w:after="0" w:line="240" w:lineRule="auto"/>
              <w:jc w:val="center"/>
            </w:pPr>
            <w:r>
              <w:rPr>
                <w:rFonts w:ascii="Noto Sans" w:hAnsi="Noto Sans"/>
                <w:sz w:val="13"/>
              </w:rPr>
              <w:t>0.15</w:t>
            </w:r>
          </w:p>
        </w:tc>
        <w:tc>
          <w:tcPr>
            <w:tcW w:w="1150" w:type="dxa"/>
            <w:tcMar>
              <w:top w:w="55" w:type="dxa"/>
              <w:left w:w="65" w:type="dxa"/>
              <w:bottom w:w="55" w:type="dxa"/>
              <w:right w:w="65" w:type="dxa"/>
            </w:tcMar>
            <w:vAlign w:val="center"/>
          </w:tcPr>
          <w:p w14:paraId="1948A671" w14:textId="77777777" w:rsidR="00937C4A" w:rsidRDefault="00000000">
            <w:pPr>
              <w:spacing w:after="0" w:line="240" w:lineRule="auto"/>
              <w:jc w:val="center"/>
            </w:pPr>
            <w:r>
              <w:rPr>
                <w:rFonts w:ascii="Noto Sans" w:hAnsi="Noto Sans"/>
                <w:sz w:val="13"/>
              </w:rPr>
              <w:t>0.40</w:t>
            </w:r>
          </w:p>
        </w:tc>
        <w:tc>
          <w:tcPr>
            <w:tcW w:w="1350" w:type="dxa"/>
            <w:tcMar>
              <w:top w:w="55" w:type="dxa"/>
              <w:left w:w="65" w:type="dxa"/>
              <w:bottom w:w="55" w:type="dxa"/>
              <w:right w:w="65" w:type="dxa"/>
            </w:tcMar>
            <w:vAlign w:val="center"/>
          </w:tcPr>
          <w:p w14:paraId="1325FB18" w14:textId="77777777" w:rsidR="00937C4A" w:rsidRDefault="00000000">
            <w:pPr>
              <w:spacing w:after="0" w:line="240" w:lineRule="auto"/>
              <w:jc w:val="center"/>
            </w:pPr>
            <w:r>
              <w:rPr>
                <w:rFonts w:ascii="Noto Sans" w:hAnsi="Noto Sans"/>
                <w:sz w:val="13"/>
              </w:rPr>
              <w:t>7.00</w:t>
            </w:r>
          </w:p>
        </w:tc>
        <w:tc>
          <w:tcPr>
            <w:tcW w:w="1350" w:type="dxa"/>
            <w:tcMar>
              <w:top w:w="55" w:type="dxa"/>
              <w:left w:w="65" w:type="dxa"/>
              <w:bottom w:w="55" w:type="dxa"/>
              <w:right w:w="65" w:type="dxa"/>
            </w:tcMar>
            <w:vAlign w:val="center"/>
          </w:tcPr>
          <w:p w14:paraId="331E8A7B" w14:textId="77777777" w:rsidR="00937C4A" w:rsidRDefault="00000000">
            <w:pPr>
              <w:spacing w:after="0" w:line="240" w:lineRule="auto"/>
              <w:jc w:val="center"/>
            </w:pPr>
            <w:r>
              <w:rPr>
                <w:rFonts w:ascii="Noto Sans" w:hAnsi="Noto Sans"/>
                <w:sz w:val="13"/>
              </w:rPr>
              <w:t>3.08</w:t>
            </w:r>
          </w:p>
        </w:tc>
        <w:tc>
          <w:tcPr>
            <w:tcW w:w="1400" w:type="dxa"/>
            <w:tcMar>
              <w:top w:w="55" w:type="dxa"/>
              <w:left w:w="65" w:type="dxa"/>
              <w:bottom w:w="55" w:type="dxa"/>
              <w:right w:w="65" w:type="dxa"/>
            </w:tcMar>
            <w:vAlign w:val="center"/>
          </w:tcPr>
          <w:p w14:paraId="35B36474" w14:textId="77777777" w:rsidR="00937C4A" w:rsidRDefault="00000000">
            <w:pPr>
              <w:spacing w:after="0" w:line="240" w:lineRule="auto"/>
              <w:jc w:val="center"/>
            </w:pPr>
            <w:r>
              <w:rPr>
                <w:rFonts w:ascii="Noto Sans" w:hAnsi="Noto Sans"/>
                <w:sz w:val="13"/>
              </w:rPr>
              <w:t>3.43</w:t>
            </w:r>
          </w:p>
        </w:tc>
      </w:tr>
      <w:tr w:rsidR="00937C4A" w14:paraId="22F31D13" w14:textId="77777777">
        <w:trPr>
          <w:cantSplit/>
          <w:jc w:val="center"/>
        </w:trPr>
        <w:tc>
          <w:tcPr>
            <w:tcW w:w="3000" w:type="dxa"/>
            <w:shd w:val="clear" w:color="auto" w:fill="F4F6F7"/>
            <w:tcMar>
              <w:top w:w="55" w:type="dxa"/>
              <w:left w:w="65" w:type="dxa"/>
              <w:bottom w:w="55" w:type="dxa"/>
              <w:right w:w="65" w:type="dxa"/>
            </w:tcMar>
            <w:vAlign w:val="center"/>
          </w:tcPr>
          <w:p w14:paraId="290A9CF1" w14:textId="77777777" w:rsidR="00937C4A" w:rsidRDefault="00000000">
            <w:pPr>
              <w:spacing w:after="0" w:line="240" w:lineRule="auto"/>
              <w:jc w:val="left"/>
            </w:pPr>
            <w:r>
              <w:rPr>
                <w:rFonts w:ascii="Noto Sans" w:hAnsi="Noto Sans"/>
                <w:sz w:val="13"/>
              </w:rPr>
              <w:t>Hampi cairn (large)</w:t>
            </w:r>
          </w:p>
        </w:tc>
        <w:tc>
          <w:tcPr>
            <w:tcW w:w="1150" w:type="dxa"/>
            <w:shd w:val="clear" w:color="auto" w:fill="F4F6F7"/>
            <w:tcMar>
              <w:top w:w="55" w:type="dxa"/>
              <w:left w:w="65" w:type="dxa"/>
              <w:bottom w:w="55" w:type="dxa"/>
              <w:right w:w="65" w:type="dxa"/>
            </w:tcMar>
            <w:vAlign w:val="center"/>
          </w:tcPr>
          <w:p w14:paraId="17339FCC" w14:textId="77777777" w:rsidR="00937C4A" w:rsidRDefault="00000000">
            <w:pPr>
              <w:spacing w:after="0" w:line="240" w:lineRule="auto"/>
              <w:jc w:val="center"/>
            </w:pPr>
            <w:r>
              <w:rPr>
                <w:rFonts w:ascii="Noto Sans" w:hAnsi="Noto Sans"/>
                <w:sz w:val="13"/>
              </w:rPr>
              <w:t>0.40</w:t>
            </w:r>
          </w:p>
        </w:tc>
        <w:tc>
          <w:tcPr>
            <w:tcW w:w="1150" w:type="dxa"/>
            <w:shd w:val="clear" w:color="auto" w:fill="F4F6F7"/>
            <w:tcMar>
              <w:top w:w="55" w:type="dxa"/>
              <w:left w:w="65" w:type="dxa"/>
              <w:bottom w:w="55" w:type="dxa"/>
              <w:right w:w="65" w:type="dxa"/>
            </w:tcMar>
            <w:vAlign w:val="center"/>
          </w:tcPr>
          <w:p w14:paraId="32860B35" w14:textId="77777777" w:rsidR="00937C4A" w:rsidRDefault="00000000">
            <w:pPr>
              <w:spacing w:after="0" w:line="240" w:lineRule="auto"/>
              <w:jc w:val="center"/>
            </w:pPr>
            <w:r>
              <w:rPr>
                <w:rFonts w:ascii="Noto Sans" w:hAnsi="Noto Sans"/>
                <w:sz w:val="13"/>
              </w:rPr>
              <w:t>0.35</w:t>
            </w:r>
          </w:p>
        </w:tc>
        <w:tc>
          <w:tcPr>
            <w:tcW w:w="1350" w:type="dxa"/>
            <w:shd w:val="clear" w:color="auto" w:fill="F4F6F7"/>
            <w:tcMar>
              <w:top w:w="55" w:type="dxa"/>
              <w:left w:w="65" w:type="dxa"/>
              <w:bottom w:w="55" w:type="dxa"/>
              <w:right w:w="65" w:type="dxa"/>
            </w:tcMar>
            <w:vAlign w:val="center"/>
          </w:tcPr>
          <w:p w14:paraId="5B68CFA3" w14:textId="77777777" w:rsidR="00937C4A" w:rsidRDefault="00000000">
            <w:pPr>
              <w:spacing w:after="0" w:line="240" w:lineRule="auto"/>
              <w:jc w:val="center"/>
            </w:pPr>
            <w:r>
              <w:rPr>
                <w:rFonts w:ascii="Noto Sans" w:hAnsi="Noto Sans"/>
                <w:sz w:val="13"/>
              </w:rPr>
              <w:t>4.29</w:t>
            </w:r>
          </w:p>
        </w:tc>
        <w:tc>
          <w:tcPr>
            <w:tcW w:w="1350" w:type="dxa"/>
            <w:shd w:val="clear" w:color="auto" w:fill="F4F6F7"/>
            <w:tcMar>
              <w:top w:w="55" w:type="dxa"/>
              <w:left w:w="65" w:type="dxa"/>
              <w:bottom w:w="55" w:type="dxa"/>
              <w:right w:w="65" w:type="dxa"/>
            </w:tcMar>
            <w:vAlign w:val="center"/>
          </w:tcPr>
          <w:p w14:paraId="5EF282D2" w14:textId="77777777" w:rsidR="00937C4A" w:rsidRDefault="00000000">
            <w:pPr>
              <w:spacing w:after="0" w:line="240" w:lineRule="auto"/>
              <w:jc w:val="center"/>
            </w:pPr>
            <w:r>
              <w:rPr>
                <w:rFonts w:ascii="Noto Sans" w:hAnsi="Noto Sans"/>
                <w:sz w:val="13"/>
              </w:rPr>
              <w:t>3.46</w:t>
            </w:r>
          </w:p>
        </w:tc>
        <w:tc>
          <w:tcPr>
            <w:tcW w:w="1400" w:type="dxa"/>
            <w:shd w:val="clear" w:color="auto" w:fill="F4F6F7"/>
            <w:tcMar>
              <w:top w:w="55" w:type="dxa"/>
              <w:left w:w="65" w:type="dxa"/>
              <w:bottom w:w="55" w:type="dxa"/>
              <w:right w:w="65" w:type="dxa"/>
            </w:tcMar>
            <w:vAlign w:val="center"/>
          </w:tcPr>
          <w:p w14:paraId="18918DA1" w14:textId="77777777" w:rsidR="00937C4A" w:rsidRDefault="00000000">
            <w:pPr>
              <w:spacing w:after="0" w:line="240" w:lineRule="auto"/>
              <w:jc w:val="center"/>
            </w:pPr>
            <w:r>
              <w:rPr>
                <w:rFonts w:ascii="Noto Sans" w:hAnsi="Noto Sans"/>
                <w:sz w:val="13"/>
              </w:rPr>
              <w:t>2.36</w:t>
            </w:r>
          </w:p>
        </w:tc>
      </w:tr>
      <w:tr w:rsidR="00937C4A" w14:paraId="2A1784EB" w14:textId="77777777">
        <w:trPr>
          <w:cantSplit/>
          <w:jc w:val="center"/>
        </w:trPr>
        <w:tc>
          <w:tcPr>
            <w:tcW w:w="3000" w:type="dxa"/>
            <w:tcMar>
              <w:top w:w="55" w:type="dxa"/>
              <w:left w:w="65" w:type="dxa"/>
              <w:bottom w:w="55" w:type="dxa"/>
              <w:right w:w="65" w:type="dxa"/>
            </w:tcMar>
            <w:vAlign w:val="center"/>
          </w:tcPr>
          <w:p w14:paraId="63AF3598" w14:textId="77777777" w:rsidR="00937C4A" w:rsidRDefault="00000000">
            <w:pPr>
              <w:spacing w:after="0" w:line="240" w:lineRule="auto"/>
              <w:jc w:val="left"/>
            </w:pPr>
            <w:r>
              <w:rPr>
                <w:rFonts w:ascii="Noto Sans" w:hAnsi="Noto Sans"/>
                <w:sz w:val="13"/>
              </w:rPr>
              <w:t>boulder / small tor</w:t>
            </w:r>
          </w:p>
        </w:tc>
        <w:tc>
          <w:tcPr>
            <w:tcW w:w="1150" w:type="dxa"/>
            <w:tcMar>
              <w:top w:w="55" w:type="dxa"/>
              <w:left w:w="65" w:type="dxa"/>
              <w:bottom w:w="55" w:type="dxa"/>
              <w:right w:w="65" w:type="dxa"/>
            </w:tcMar>
            <w:vAlign w:val="center"/>
          </w:tcPr>
          <w:p w14:paraId="53A8044D" w14:textId="77777777" w:rsidR="00937C4A" w:rsidRDefault="00000000">
            <w:pPr>
              <w:spacing w:after="0" w:line="240" w:lineRule="auto"/>
              <w:jc w:val="center"/>
            </w:pPr>
            <w:r>
              <w:rPr>
                <w:rFonts w:ascii="Noto Sans" w:hAnsi="Noto Sans"/>
                <w:sz w:val="13"/>
              </w:rPr>
              <w:t>1.50</w:t>
            </w:r>
          </w:p>
        </w:tc>
        <w:tc>
          <w:tcPr>
            <w:tcW w:w="1150" w:type="dxa"/>
            <w:tcMar>
              <w:top w:w="55" w:type="dxa"/>
              <w:left w:w="65" w:type="dxa"/>
              <w:bottom w:w="55" w:type="dxa"/>
              <w:right w:w="65" w:type="dxa"/>
            </w:tcMar>
            <w:vAlign w:val="center"/>
          </w:tcPr>
          <w:p w14:paraId="6FB9D004" w14:textId="77777777" w:rsidR="00937C4A" w:rsidRDefault="00000000">
            <w:pPr>
              <w:spacing w:after="0" w:line="240" w:lineRule="auto"/>
              <w:jc w:val="center"/>
            </w:pPr>
            <w:r>
              <w:rPr>
                <w:rFonts w:ascii="Noto Sans" w:hAnsi="Noto Sans"/>
                <w:sz w:val="13"/>
              </w:rPr>
              <w:t>0.35</w:t>
            </w:r>
          </w:p>
        </w:tc>
        <w:tc>
          <w:tcPr>
            <w:tcW w:w="1350" w:type="dxa"/>
            <w:tcMar>
              <w:top w:w="55" w:type="dxa"/>
              <w:left w:w="65" w:type="dxa"/>
              <w:bottom w:w="55" w:type="dxa"/>
              <w:right w:w="65" w:type="dxa"/>
            </w:tcMar>
            <w:vAlign w:val="center"/>
          </w:tcPr>
          <w:p w14:paraId="466E25AF" w14:textId="77777777" w:rsidR="00937C4A" w:rsidRDefault="00000000">
            <w:pPr>
              <w:spacing w:after="0" w:line="240" w:lineRule="auto"/>
              <w:jc w:val="center"/>
            </w:pPr>
            <w:r>
              <w:rPr>
                <w:rFonts w:ascii="Noto Sans" w:hAnsi="Noto Sans"/>
                <w:sz w:val="13"/>
              </w:rPr>
              <w:t>2.22</w:t>
            </w:r>
          </w:p>
        </w:tc>
        <w:tc>
          <w:tcPr>
            <w:tcW w:w="1350" w:type="dxa"/>
            <w:tcMar>
              <w:top w:w="55" w:type="dxa"/>
              <w:left w:w="65" w:type="dxa"/>
              <w:bottom w:w="55" w:type="dxa"/>
              <w:right w:w="65" w:type="dxa"/>
            </w:tcMar>
            <w:vAlign w:val="center"/>
          </w:tcPr>
          <w:p w14:paraId="0AA88AB6" w14:textId="77777777" w:rsidR="00937C4A" w:rsidRDefault="00000000">
            <w:pPr>
              <w:spacing w:after="0" w:line="240" w:lineRule="auto"/>
              <w:jc w:val="center"/>
            </w:pPr>
            <w:r>
              <w:rPr>
                <w:rFonts w:ascii="Noto Sans" w:hAnsi="Noto Sans"/>
                <w:sz w:val="13"/>
              </w:rPr>
              <w:t>3.46</w:t>
            </w:r>
          </w:p>
        </w:tc>
        <w:tc>
          <w:tcPr>
            <w:tcW w:w="1400" w:type="dxa"/>
            <w:tcMar>
              <w:top w:w="55" w:type="dxa"/>
              <w:left w:w="65" w:type="dxa"/>
              <w:bottom w:w="55" w:type="dxa"/>
              <w:right w:w="65" w:type="dxa"/>
            </w:tcMar>
            <w:vAlign w:val="center"/>
          </w:tcPr>
          <w:p w14:paraId="7EDE1D50" w14:textId="77777777" w:rsidR="00937C4A" w:rsidRDefault="00000000">
            <w:pPr>
              <w:spacing w:after="0" w:line="240" w:lineRule="auto"/>
              <w:jc w:val="center"/>
            </w:pPr>
            <w:r>
              <w:rPr>
                <w:rFonts w:ascii="Noto Sans" w:hAnsi="Noto Sans"/>
                <w:sz w:val="13"/>
              </w:rPr>
              <w:t>1.22</w:t>
            </w:r>
          </w:p>
        </w:tc>
      </w:tr>
      <w:tr w:rsidR="00937C4A" w14:paraId="63864D06" w14:textId="77777777">
        <w:trPr>
          <w:cantSplit/>
          <w:jc w:val="center"/>
        </w:trPr>
        <w:tc>
          <w:tcPr>
            <w:tcW w:w="3000" w:type="dxa"/>
            <w:shd w:val="clear" w:color="auto" w:fill="F4F6F7"/>
            <w:tcMar>
              <w:top w:w="55" w:type="dxa"/>
              <w:left w:w="65" w:type="dxa"/>
              <w:bottom w:w="55" w:type="dxa"/>
              <w:right w:w="65" w:type="dxa"/>
            </w:tcMar>
            <w:vAlign w:val="center"/>
          </w:tcPr>
          <w:p w14:paraId="6352F2C7" w14:textId="77777777" w:rsidR="00937C4A" w:rsidRDefault="00000000">
            <w:pPr>
              <w:spacing w:after="0" w:line="240" w:lineRule="auto"/>
              <w:jc w:val="left"/>
            </w:pPr>
            <w:r>
              <w:rPr>
                <w:rFonts w:ascii="Noto Sans" w:hAnsi="Noto Sans"/>
                <w:sz w:val="13"/>
              </w:rPr>
              <w:t>Hampi tor</w:t>
            </w:r>
          </w:p>
        </w:tc>
        <w:tc>
          <w:tcPr>
            <w:tcW w:w="1150" w:type="dxa"/>
            <w:shd w:val="clear" w:color="auto" w:fill="F4F6F7"/>
            <w:tcMar>
              <w:top w:w="55" w:type="dxa"/>
              <w:left w:w="65" w:type="dxa"/>
              <w:bottom w:w="55" w:type="dxa"/>
              <w:right w:w="65" w:type="dxa"/>
            </w:tcMar>
            <w:vAlign w:val="center"/>
          </w:tcPr>
          <w:p w14:paraId="00389A1B" w14:textId="77777777" w:rsidR="00937C4A" w:rsidRDefault="00000000">
            <w:pPr>
              <w:spacing w:after="0" w:line="240" w:lineRule="auto"/>
              <w:jc w:val="center"/>
            </w:pPr>
            <w:r>
              <w:rPr>
                <w:rFonts w:ascii="Noto Sans" w:hAnsi="Noto Sans"/>
                <w:sz w:val="13"/>
              </w:rPr>
              <w:t>4.00</w:t>
            </w:r>
          </w:p>
        </w:tc>
        <w:tc>
          <w:tcPr>
            <w:tcW w:w="1150" w:type="dxa"/>
            <w:shd w:val="clear" w:color="auto" w:fill="F4F6F7"/>
            <w:tcMar>
              <w:top w:w="55" w:type="dxa"/>
              <w:left w:w="65" w:type="dxa"/>
              <w:bottom w:w="55" w:type="dxa"/>
              <w:right w:w="65" w:type="dxa"/>
            </w:tcMar>
            <w:vAlign w:val="center"/>
          </w:tcPr>
          <w:p w14:paraId="167CC12C" w14:textId="77777777" w:rsidR="00937C4A" w:rsidRDefault="00000000">
            <w:pPr>
              <w:spacing w:after="0" w:line="240" w:lineRule="auto"/>
              <w:jc w:val="center"/>
            </w:pPr>
            <w:r>
              <w:rPr>
                <w:rFonts w:ascii="Noto Sans" w:hAnsi="Noto Sans"/>
                <w:sz w:val="13"/>
              </w:rPr>
              <w:t>0.35</w:t>
            </w:r>
          </w:p>
        </w:tc>
        <w:tc>
          <w:tcPr>
            <w:tcW w:w="1350" w:type="dxa"/>
            <w:shd w:val="clear" w:color="auto" w:fill="F4F6F7"/>
            <w:tcMar>
              <w:top w:w="55" w:type="dxa"/>
              <w:left w:w="65" w:type="dxa"/>
              <w:bottom w:w="55" w:type="dxa"/>
              <w:right w:w="65" w:type="dxa"/>
            </w:tcMar>
            <w:vAlign w:val="center"/>
          </w:tcPr>
          <w:p w14:paraId="4B0B73C7" w14:textId="77777777" w:rsidR="00937C4A" w:rsidRDefault="00000000">
            <w:pPr>
              <w:spacing w:after="0" w:line="240" w:lineRule="auto"/>
              <w:jc w:val="center"/>
            </w:pPr>
            <w:r>
              <w:rPr>
                <w:rFonts w:ascii="Noto Sans" w:hAnsi="Noto Sans"/>
                <w:sz w:val="13"/>
              </w:rPr>
              <w:t>1.36</w:t>
            </w:r>
          </w:p>
        </w:tc>
        <w:tc>
          <w:tcPr>
            <w:tcW w:w="1350" w:type="dxa"/>
            <w:shd w:val="clear" w:color="auto" w:fill="F4F6F7"/>
            <w:tcMar>
              <w:top w:w="55" w:type="dxa"/>
              <w:left w:w="65" w:type="dxa"/>
              <w:bottom w:w="55" w:type="dxa"/>
              <w:right w:w="65" w:type="dxa"/>
            </w:tcMar>
            <w:vAlign w:val="center"/>
          </w:tcPr>
          <w:p w14:paraId="11656362" w14:textId="77777777" w:rsidR="00937C4A" w:rsidRDefault="00000000">
            <w:pPr>
              <w:spacing w:after="0" w:line="240" w:lineRule="auto"/>
              <w:jc w:val="center"/>
            </w:pPr>
            <w:r>
              <w:rPr>
                <w:rFonts w:ascii="Noto Sans" w:hAnsi="Noto Sans"/>
                <w:sz w:val="13"/>
              </w:rPr>
              <w:t>3.46</w:t>
            </w:r>
          </w:p>
        </w:tc>
        <w:tc>
          <w:tcPr>
            <w:tcW w:w="1400" w:type="dxa"/>
            <w:shd w:val="clear" w:color="auto" w:fill="F4F6F7"/>
            <w:tcMar>
              <w:top w:w="55" w:type="dxa"/>
              <w:left w:w="65" w:type="dxa"/>
              <w:bottom w:w="55" w:type="dxa"/>
              <w:right w:w="65" w:type="dxa"/>
            </w:tcMar>
            <w:vAlign w:val="center"/>
          </w:tcPr>
          <w:p w14:paraId="79A2543B" w14:textId="77777777" w:rsidR="00937C4A" w:rsidRDefault="00000000">
            <w:pPr>
              <w:spacing w:after="0" w:line="240" w:lineRule="auto"/>
              <w:jc w:val="center"/>
            </w:pPr>
            <w:r>
              <w:rPr>
                <w:rFonts w:ascii="Noto Sans" w:hAnsi="Noto Sans"/>
                <w:sz w:val="13"/>
              </w:rPr>
              <w:t>0.75</w:t>
            </w:r>
          </w:p>
        </w:tc>
      </w:tr>
      <w:tr w:rsidR="00937C4A" w14:paraId="39CF26A5" w14:textId="77777777">
        <w:trPr>
          <w:cantSplit/>
          <w:jc w:val="center"/>
        </w:trPr>
        <w:tc>
          <w:tcPr>
            <w:tcW w:w="3000" w:type="dxa"/>
            <w:tcMar>
              <w:top w:w="55" w:type="dxa"/>
              <w:left w:w="65" w:type="dxa"/>
              <w:bottom w:w="55" w:type="dxa"/>
              <w:right w:w="65" w:type="dxa"/>
            </w:tcMar>
            <w:vAlign w:val="center"/>
          </w:tcPr>
          <w:p w14:paraId="3245C71B" w14:textId="77777777" w:rsidR="00937C4A" w:rsidRDefault="00000000">
            <w:pPr>
              <w:spacing w:after="0" w:line="240" w:lineRule="auto"/>
              <w:jc w:val="left"/>
            </w:pPr>
            <w:r>
              <w:rPr>
                <w:rFonts w:ascii="Noto Sans" w:hAnsi="Noto Sans"/>
                <w:sz w:val="13"/>
              </w:rPr>
              <w:t>Hampi tor (large)</w:t>
            </w:r>
          </w:p>
        </w:tc>
        <w:tc>
          <w:tcPr>
            <w:tcW w:w="1150" w:type="dxa"/>
            <w:tcMar>
              <w:top w:w="55" w:type="dxa"/>
              <w:left w:w="65" w:type="dxa"/>
              <w:bottom w:w="55" w:type="dxa"/>
              <w:right w:w="65" w:type="dxa"/>
            </w:tcMar>
            <w:vAlign w:val="center"/>
          </w:tcPr>
          <w:p w14:paraId="39F42E2D" w14:textId="77777777" w:rsidR="00937C4A" w:rsidRDefault="00000000">
            <w:pPr>
              <w:spacing w:after="0" w:line="240" w:lineRule="auto"/>
              <w:jc w:val="center"/>
            </w:pPr>
            <w:r>
              <w:rPr>
                <w:rFonts w:ascii="Noto Sans" w:hAnsi="Noto Sans"/>
                <w:sz w:val="13"/>
              </w:rPr>
              <w:t>8.00</w:t>
            </w:r>
          </w:p>
        </w:tc>
        <w:tc>
          <w:tcPr>
            <w:tcW w:w="1150" w:type="dxa"/>
            <w:tcMar>
              <w:top w:w="55" w:type="dxa"/>
              <w:left w:w="65" w:type="dxa"/>
              <w:bottom w:w="55" w:type="dxa"/>
              <w:right w:w="65" w:type="dxa"/>
            </w:tcMar>
            <w:vAlign w:val="center"/>
          </w:tcPr>
          <w:p w14:paraId="679C463E" w14:textId="77777777" w:rsidR="00937C4A" w:rsidRDefault="00000000">
            <w:pPr>
              <w:spacing w:after="0" w:line="240" w:lineRule="auto"/>
              <w:jc w:val="center"/>
            </w:pPr>
            <w:r>
              <w:rPr>
                <w:rFonts w:ascii="Noto Sans" w:hAnsi="Noto Sans"/>
                <w:sz w:val="13"/>
              </w:rPr>
              <w:t>0.30</w:t>
            </w:r>
          </w:p>
        </w:tc>
        <w:tc>
          <w:tcPr>
            <w:tcW w:w="1350" w:type="dxa"/>
            <w:tcMar>
              <w:top w:w="55" w:type="dxa"/>
              <w:left w:w="65" w:type="dxa"/>
              <w:bottom w:w="55" w:type="dxa"/>
              <w:right w:w="65" w:type="dxa"/>
            </w:tcMar>
            <w:vAlign w:val="center"/>
          </w:tcPr>
          <w:p w14:paraId="713FA6D1" w14:textId="77777777" w:rsidR="00937C4A" w:rsidRDefault="00000000">
            <w:pPr>
              <w:spacing w:after="0" w:line="240" w:lineRule="auto"/>
              <w:jc w:val="center"/>
            </w:pPr>
            <w:r>
              <w:rPr>
                <w:rFonts w:ascii="Noto Sans" w:hAnsi="Noto Sans"/>
                <w:sz w:val="13"/>
              </w:rPr>
              <w:t>0.96</w:t>
            </w:r>
          </w:p>
        </w:tc>
        <w:tc>
          <w:tcPr>
            <w:tcW w:w="1350" w:type="dxa"/>
            <w:tcMar>
              <w:top w:w="55" w:type="dxa"/>
              <w:left w:w="65" w:type="dxa"/>
              <w:bottom w:w="55" w:type="dxa"/>
              <w:right w:w="65" w:type="dxa"/>
            </w:tcMar>
            <w:vAlign w:val="center"/>
          </w:tcPr>
          <w:p w14:paraId="31EF8827" w14:textId="77777777" w:rsidR="00937C4A" w:rsidRDefault="00000000">
            <w:pPr>
              <w:spacing w:after="0" w:line="240" w:lineRule="auto"/>
              <w:jc w:val="center"/>
            </w:pPr>
            <w:r>
              <w:rPr>
                <w:rFonts w:ascii="Noto Sans" w:hAnsi="Noto Sans"/>
                <w:sz w:val="13"/>
              </w:rPr>
              <w:t>3.98</w:t>
            </w:r>
          </w:p>
        </w:tc>
        <w:tc>
          <w:tcPr>
            <w:tcW w:w="1400" w:type="dxa"/>
            <w:tcMar>
              <w:top w:w="55" w:type="dxa"/>
              <w:left w:w="65" w:type="dxa"/>
              <w:bottom w:w="55" w:type="dxa"/>
              <w:right w:w="65" w:type="dxa"/>
            </w:tcMar>
            <w:vAlign w:val="center"/>
          </w:tcPr>
          <w:p w14:paraId="4D470D1E" w14:textId="77777777" w:rsidR="00937C4A" w:rsidRDefault="00000000">
            <w:pPr>
              <w:spacing w:after="0" w:line="240" w:lineRule="auto"/>
              <w:jc w:val="center"/>
            </w:pPr>
            <w:r>
              <w:rPr>
                <w:rFonts w:ascii="Noto Sans" w:hAnsi="Noto Sans"/>
                <w:sz w:val="13"/>
              </w:rPr>
              <w:t>0.61</w:t>
            </w:r>
          </w:p>
        </w:tc>
      </w:tr>
    </w:tbl>
    <w:p w14:paraId="5B0A4D40" w14:textId="77777777" w:rsidR="00937C4A" w:rsidRDefault="00000000">
      <w:pPr>
        <w:pStyle w:val="BodyText"/>
      </w:pPr>
      <w:r>
        <w:t>Cairns sit near 2.4–3.4 Hz; tors near 0.6–0.75 Hz. That is a genuine separation, and it is the quantitative form of the argument that the two are different instruments.</w:t>
      </w:r>
    </w:p>
    <w:p w14:paraId="35426AC4" w14:textId="77777777" w:rsidR="00937C4A" w:rsidRDefault="00000000">
      <w:pPr>
        <w:pStyle w:val="Heading3"/>
      </w:pPr>
      <w:bookmarkStart w:id="44" w:name="what-may-be-concluded-stated-narrowly"/>
      <w:bookmarkEnd w:id="43"/>
      <w:r>
        <w:rPr>
          <w:rFonts w:ascii="Noto Sans" w:eastAsia="Noto Sans" w:hAnsi="Noto Sans"/>
        </w:rPr>
        <w:t>7.3 What may be concluded, stated narrowly</w:t>
      </w:r>
    </w:p>
    <w:p w14:paraId="5006A4DD" w14:textId="77777777" w:rsidR="00937C4A" w:rsidRDefault="00000000">
      <w:r>
        <w:t xml:space="preserve">The working notes for this book wrote that below </w:t>
      </w:r>
      <m:oMath>
        <m:sSub>
          <m:sSubPr>
            <m:ctrlPr>
              <w:rPr>
                <w:rFonts w:ascii="Cambria Math" w:hAnsi="Cambria Math"/>
              </w:rPr>
            </m:ctrlPr>
          </m:sSubPr>
          <m:e>
            <m:r>
              <w:rPr>
                <w:rFonts w:ascii="Cambria Math" w:hAnsi="Cambria Math"/>
              </w:rPr>
              <m:t>Ω</m:t>
            </m:r>
          </m:e>
          <m:sub>
            <m:r>
              <m:rPr>
                <m:sty m:val="p"/>
              </m:rPr>
              <w:rPr>
                <w:rFonts w:ascii="Cambria Math" w:hAnsi="Cambria Math"/>
              </w:rPr>
              <m:t>*</m:t>
            </m:r>
          </m:sub>
        </m:sSub>
      </m:oMath>
      <w:r>
        <w:t xml:space="preserve"> “any rocking is already chaotic.” That is an overstatement of a first-order Melnikov condition and it must be withdrawn.</w:t>
      </w:r>
    </w:p>
    <w:p w14:paraId="29EF8CF3" w14:textId="77777777" w:rsidR="00937C4A" w:rsidRDefault="00000000">
      <w:pPr>
        <w:pStyle w:val="BodyText"/>
      </w:pPr>
      <w:r>
        <w:t>What the calculation establishes is this:</w:t>
      </w:r>
    </w:p>
    <w:p w14:paraId="65FF17DF" w14:textId="77777777" w:rsidR="00937C4A" w:rsidRDefault="00000000">
      <w:r>
        <w:rPr>
          <w:rFonts w:ascii="Noto Sans" w:eastAsia="Noto Sans" w:hAnsi="Noto Sans"/>
          <w:b/>
          <w:bCs/>
          <w:color w:val="255B8D"/>
          <w:sz w:val="19"/>
        </w:rPr>
        <w:t>[A]</w:t>
      </w:r>
      <w:r>
        <w:t xml:space="preserve"> At the amplitude at which a block initially at rest can first uplift, the first-order Melnikov function already possesses simple zeros. A chaotic invariant set is therefore predicted to exist at that amplitude.</w:t>
      </w:r>
    </w:p>
    <w:p w14:paraId="0643BECD" w14:textId="77777777" w:rsidR="00937C4A" w:rsidRDefault="00000000">
      <w:r>
        <w:t xml:space="preserve">What it does </w:t>
      </w:r>
      <w:r>
        <w:rPr>
          <w:b/>
          <w:bCs/>
        </w:rPr>
        <w:t>not</w:t>
      </w:r>
      <w:r>
        <w:t xml:space="preserve"> establish:</w:t>
      </w:r>
    </w:p>
    <w:p w14:paraId="6FFB6A74" w14:textId="77777777" w:rsidR="00937C4A" w:rsidRDefault="00000000">
      <w:pPr>
        <w:numPr>
          <w:ilvl w:val="0"/>
          <w:numId w:val="23"/>
        </w:numPr>
      </w:pPr>
      <w:r>
        <w:t>that every rocking trajectory is chaotic;</w:t>
      </w:r>
    </w:p>
    <w:p w14:paraId="1B2FD5E2" w14:textId="77777777" w:rsidR="00937C4A" w:rsidRDefault="00000000">
      <w:pPr>
        <w:numPr>
          <w:ilvl w:val="0"/>
          <w:numId w:val="23"/>
        </w:numPr>
      </w:pPr>
      <w:r>
        <w:lastRenderedPageBreak/>
        <w:t>that every initial condition belongs to the horseshoe;</w:t>
      </w:r>
    </w:p>
    <w:p w14:paraId="152D0EC1" w14:textId="77777777" w:rsidR="00937C4A" w:rsidRDefault="00000000">
      <w:pPr>
        <w:numPr>
          <w:ilvl w:val="0"/>
          <w:numId w:val="23"/>
        </w:numPr>
      </w:pPr>
      <w:r>
        <w:t>that all survival boundaries are fractal;</w:t>
      </w:r>
    </w:p>
    <w:p w14:paraId="7C9BB8CF" w14:textId="77777777" w:rsidR="00937C4A" w:rsidRDefault="00000000">
      <w:pPr>
        <w:numPr>
          <w:ilvl w:val="0"/>
          <w:numId w:val="23"/>
        </w:numPr>
      </w:pPr>
      <w:r>
        <w:t>that any given rocking episode has an unpredictable outcome.</w:t>
      </w:r>
    </w:p>
    <w:p w14:paraId="7D0DCDF7" w14:textId="77777777" w:rsidR="00937C4A" w:rsidRDefault="00000000">
      <w:r>
        <w:t xml:space="preserve">A horseshoe is a set of measure zero in general. Its existence guarantees sensitive dependence </w:t>
      </w:r>
      <w:r>
        <w:rPr>
          <w:i/>
          <w:iCs/>
        </w:rPr>
        <w:t>on it</w:t>
      </w:r>
      <w:r>
        <w:t>, and it typically drags fractal structure into the basin boundary around it, but “typically” is not a theorem and this book will not pretend otherwise. Chapter 10 is a standing reminder of what happens when one asserts basin fractality without a converged computation.</w:t>
      </w:r>
    </w:p>
    <w:p w14:paraId="15A364CF" w14:textId="77777777" w:rsidR="00937C4A" w:rsidRDefault="00000000">
      <w:pPr>
        <w:pStyle w:val="BodyText"/>
      </w:pPr>
      <w:r>
        <w:t>The interval</w:t>
      </w:r>
    </w:p>
    <w:p w14:paraId="385F1837" w14:textId="77777777" w:rsidR="00937C4A" w:rsidRDefault="00000000">
      <w:pPr>
        <w:pStyle w:val="BodyText"/>
        <w:spacing w:before="100" w:after="140"/>
        <w:jc w:val="center"/>
      </w:pPr>
      <m:oMathPara>
        <m:oMathParaPr>
          <m:jc m:val="center"/>
        </m:oMathParaPr>
        <m:oMath>
          <m:r>
            <m:rPr>
              <m:sty m:val="p"/>
            </m:rPr>
            <w:rPr>
              <w:rFonts w:ascii="Cambria Math" w:hAnsi="Cambria Math"/>
            </w:rPr>
            <m:t>tan</m:t>
          </m:r>
          <m:r>
            <w:rPr>
              <w:rFonts w:ascii="Cambria Math" w:hAnsi="Cambria Math"/>
            </w:rPr>
            <m:t>α</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&lt;</m:t>
          </m:r>
          <m:sSubSup>
            <m:sSubSupPr>
              <m:ctrlPr>
                <w:rPr>
                  <w:rFonts w:ascii="Cambria Math" w:hAnsi="Cambria Math"/>
                </w:rPr>
              </m:ctrlPr>
            </m:sSubSupPr>
            <m:e>
              <m:r>
                <w:rPr>
                  <w:rFonts w:ascii="Cambria Math" w:hAnsi="Cambria Math"/>
                </w:rPr>
                <m:t>a</m:t>
              </m:r>
            </m:e>
            <m:sub>
              <m:r>
                <w:rPr>
                  <w:rFonts w:ascii="Cambria Math" w:hAnsi="Cambria Math"/>
                </w:rPr>
                <m:t>0</m:t>
              </m:r>
            </m:sub>
            <m:sup>
              <m:r>
                <m:rPr>
                  <m:sty m:val="p"/>
                </m:rPr>
                <w:rPr>
                  <w:rFonts w:ascii="Cambria Math" w:hAnsi="Cambria Math"/>
                </w:rPr>
                <m:t>cr</m:t>
              </m:r>
            </m:sup>
          </m:sSubSup>
        </m:oMath>
      </m:oMathPara>
    </w:p>
    <w:p w14:paraId="3330C69B" w14:textId="77777777" w:rsidR="00937C4A" w:rsidRDefault="00000000">
      <w:r>
        <w:t xml:space="preserve">was called a “deterministic corridor” in the working notes. That is wrong twice over: the model is deterministic on both sides of </w:t>
      </w:r>
      <m:oMath>
        <m:sSub>
          <m:sSubPr>
            <m:ctrlPr>
              <w:rPr>
                <w:rFonts w:ascii="Cambria Math" w:hAnsi="Cambria Math"/>
              </w:rPr>
            </m:ctrlPr>
          </m:sSubPr>
          <m:e>
            <m:r>
              <w:rPr>
                <w:rFonts w:ascii="Cambria Math" w:hAnsi="Cambria Math"/>
              </w:rPr>
              <m:t>Ω</m:t>
            </m:r>
          </m:e>
          <m:sub>
            <m:r>
              <m:rPr>
                <m:sty m:val="p"/>
              </m:rPr>
              <w:rPr>
                <w:rFonts w:ascii="Cambria Math" w:hAnsi="Cambria Math"/>
              </w:rPr>
              <m:t>*</m:t>
            </m:r>
          </m:sub>
        </m:sSub>
      </m:oMath>
      <w:r>
        <w:t>, and the corridor is not defined by determinism but by the absence of a predicted intersection. Call it what it is:</w:t>
      </w:r>
    </w:p>
    <w:p w14:paraId="713FECDE" w14:textId="77777777" w:rsidR="00937C4A" w:rsidRDefault="00000000">
      <w:r>
        <w:t xml:space="preserve">a </w:t>
      </w:r>
      <w:r>
        <w:rPr>
          <w:b/>
          <w:bCs/>
        </w:rPr>
        <w:t>Melnikov-regular corridor</w:t>
      </w:r>
      <w:r>
        <w:t xml:space="preserve"> — amplitudes at which uplift occurs but first-order theory predicts no transverse heteroclinic intersection.</w:t>
      </w:r>
    </w:p>
    <w:p w14:paraId="3C6EE235" w14:textId="77777777" w:rsidR="00937C4A" w:rsidRDefault="00000000">
      <w:pPr>
        <w:pStyle w:val="Heading3"/>
      </w:pPr>
      <w:bookmarkStart w:id="45" w:name="Xb61d2f98240c660313109b05a7eb5c015181a77"/>
      <w:bookmarkEnd w:id="44"/>
      <w:r>
        <w:rPr>
          <w:rFonts w:ascii="Noto Sans" w:eastAsia="Noto Sans" w:hAnsi="Noto Sans"/>
        </w:rPr>
        <w:t>7.4 The transport question, downgraded from finding to test</w:t>
      </w:r>
    </w:p>
    <w:p w14:paraId="04E8D1EA" w14:textId="77777777" w:rsidR="00937C4A" w:rsidRDefault="00000000">
      <w:r>
        <w:t>The working notes advanced a strong claim: that the established PBR fragility methodology is calibrated in a different dynamical regime from that of Indian stable-continental-region motion, and that transporting it to Hampi crosses a bifurcation rather than rescaling a geometry.</w:t>
      </w:r>
    </w:p>
    <w:p w14:paraId="72C9BC7F" w14:textId="77777777" w:rsidR="00937C4A" w:rsidRDefault="00000000">
      <w:pPr>
        <w:pStyle w:val="BodyText"/>
      </w:pPr>
      <w:r>
        <w:t>Two things are wrong with that as stated.</w:t>
      </w:r>
    </w:p>
    <w:p w14:paraId="405140B5" w14:textId="77777777" w:rsidR="00937C4A" w:rsidRDefault="00000000">
      <w:pPr>
        <w:pStyle w:val="BodyText"/>
      </w:pPr>
      <w:r>
        <w:t xml:space="preserve">First, the premise is too narrow. The published calibration suite is not confined to long-period near-fault pulses. It includes synthetic signals, a full-sine pulse at 2 Hz, and recorded motions from Imperial Valley, Michoacán, Chi-Chi, Düzce and Denali, and the fragility formulation is explicitly vector-valued in PGA together with pulse-duration proxies such as </w:t>
      </w:r>
      <m:oMath>
        <m:r>
          <m:rPr>
            <m:sty m:val="p"/>
          </m:rPr>
          <w:rPr>
            <w:rFonts w:ascii="Cambria Math" w:hAnsi="Cambria Math"/>
          </w:rPr>
          <m:t>PGV/PGA</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/PGA</m:t>
        </m:r>
      </m:oMath>
      <w:r>
        <w:t>. The subsequent PSHA-validation work integrates toppling probability over a vector-valued hazard field rather than reading a scalar PGA threshold off a survivor.</w:t>
      </w:r>
    </w:p>
    <w:p w14:paraId="082C413D" w14:textId="77777777" w:rsidR="00937C4A" w:rsidRDefault="00000000">
      <w:pPr>
        <w:pStyle w:val="BodyText"/>
      </w:pPr>
      <w:r>
        <w:t>Second, the Hampi half of the premise is also unsupported here. The claim that peninsular Indian strong motion is predominantly 2–10 Hz is plausible on general grounds — shallow crustal sources, high stress drop, low attenuation — but this book has cited no site- or event-specific evidence for it, and it should not be used until it has.</w:t>
      </w:r>
    </w:p>
    <w:p w14:paraId="24CF80B4" w14:textId="77777777" w:rsidR="00937C4A" w:rsidRDefault="00000000">
      <w:pPr>
        <w:pStyle w:val="BodyText"/>
      </w:pPr>
      <w:r>
        <w:t xml:space="preserve">The defensible version is a </w:t>
      </w:r>
      <w:r>
        <w:rPr>
          <w:b/>
          <w:bCs/>
        </w:rPr>
        <w:t>test</w:t>
      </w:r>
      <w:r>
        <w:t>, and it is cheap:</w:t>
      </w:r>
    </w:p>
    <w:p w14:paraId="47892E11" w14:textId="77777777" w:rsidR="00937C4A" w:rsidRDefault="00000000">
      <w:r>
        <w:rPr>
          <w:b/>
          <w:bCs/>
        </w:rPr>
        <w:t>[C] Regime-transport test.</w:t>
      </w:r>
      <w:r>
        <w:t xml:space="preserve"> For every block </w:t>
      </w:r>
      <m:oMath>
        <m:r>
          <w:rPr>
            <w:rFonts w:ascii="Cambria Math" w:hAnsi="Cambria Math"/>
          </w:rPr>
          <m:t>j</m:t>
        </m:r>
      </m:oMath>
      <w:r>
        <w:t xml:space="preserve"> in a published shake-table or numerical fragility suite, compute </w:t>
      </w:r>
      <m:oMath>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from its characteristic excitation frequency and its own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and compare the distribution of </w:t>
      </w:r>
      <m:oMath>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oMath>
      <w:r>
        <w:t xml:space="preserve"> with </w:t>
      </w:r>
      <m:oMath>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e>
        </m:d>
        <m:r>
          <m:rPr>
            <m:sty m:val="p"/>
          </m:rPr>
          <w:rPr>
            <w:rFonts w:ascii="Cambria Math" w:hAnsi="Cambria Math"/>
          </w:rPr>
          <m:t>}</m:t>
        </m:r>
      </m:oMath>
      <w:r>
        <w:t xml:space="preserve">. If the suite lies wholly on one side, no regime-transport problem exists and the conjecture is dead. If it straddles </w:t>
      </w:r>
      <m:oMath>
        <m:sSub>
          <m:sSubPr>
            <m:ctrlPr>
              <w:rPr>
                <w:rFonts w:ascii="Cambria Math" w:hAnsi="Cambria Math"/>
              </w:rPr>
            </m:ctrlPr>
          </m:sSubPr>
          <m:e>
            <m:r>
              <w:rPr>
                <w:rFonts w:ascii="Cambria Math" w:hAnsi="Cambria Math"/>
              </w:rPr>
              <m:t>Ω</m:t>
            </m:r>
          </m:e>
          <m:sub>
            <m:r>
              <m:rPr>
                <m:sty m:val="p"/>
              </m:rPr>
              <w:rPr>
                <w:rFonts w:ascii="Cambria Math" w:hAnsi="Cambria Math"/>
              </w:rPr>
              <m:t>*</m:t>
            </m:r>
          </m:sub>
        </m:sSub>
      </m:oMath>
      <w:r>
        <w:t>, the fragility surface is being fitted across a bifurcation and its smoothness is an artefact of the fit.</w:t>
      </w:r>
    </w:p>
    <w:p w14:paraId="74B91040" w14:textId="77777777" w:rsidR="00937C4A" w:rsidRDefault="00000000">
      <w:r>
        <w:t>Until that is run:</w:t>
      </w:r>
    </w:p>
    <w:p w14:paraId="7AB14B6D" w14:textId="77777777" w:rsidR="00937C4A" w:rsidRDefault="00000000">
      <w:r>
        <w:t>Regime transport is a testable possibility, not a demonstrated defect in the PBR programme.</w:t>
      </w:r>
    </w:p>
    <w:p w14:paraId="7EA78F40" w14:textId="77777777" w:rsidR="00937C4A" w:rsidRDefault="00000000">
      <w:r>
        <w:t>I would rather publish a sharp test that fails than a vague finding that cannot.</w:t>
      </w:r>
    </w:p>
    <w:p w14:paraId="7D2F97C9" w14:textId="77777777" w:rsidR="00937C4A" w:rsidRDefault="00000000">
      <w:pPr>
        <w:pStyle w:val="Heading2"/>
        <w:pageBreakBefore/>
        <w:pBdr>
          <w:bottom w:val="single" w:sz="5" w:space="5" w:color="B8C1C6"/>
        </w:pBdr>
        <w:spacing w:after="280"/>
      </w:pPr>
      <w:bookmarkStart w:id="46" w:name="chapter-8-a-cairn-is-not-a-block"/>
      <w:bookmarkEnd w:id="41"/>
      <w:bookmarkEnd w:id="45"/>
      <w:r>
        <w:rPr>
          <w:rFonts w:ascii="EB Garamond" w:eastAsia="EB Garamond" w:hAnsi="EB Garamond"/>
          <w:sz w:val="40"/>
        </w:rPr>
        <w:lastRenderedPageBreak/>
        <w:t>Chapter 8 — A Cairn Is Not a Block</w:t>
      </w:r>
    </w:p>
    <w:p w14:paraId="25DEFEDF" w14:textId="77777777" w:rsidR="00937C4A" w:rsidRDefault="00000000">
      <w:pPr>
        <w:pStyle w:val="Heading3"/>
      </w:pPr>
      <w:bookmarkStart w:id="47" w:name="the-actual-system"/>
      <w:r>
        <w:rPr>
          <w:rFonts w:ascii="Noto Sans" w:eastAsia="Noto Sans" w:hAnsi="Noto Sans"/>
        </w:rPr>
        <w:t>8.1 The actual system</w:t>
      </w:r>
    </w:p>
    <w:p w14:paraId="76E4666F" w14:textId="77777777" w:rsidR="00937C4A" w:rsidRDefault="00000000">
      <w:r>
        <w:t xml:space="preserve">A cairn of </w:t>
      </w:r>
      <m:oMath>
        <m:r>
          <w:rPr>
            <w:rFonts w:ascii="Cambria Math" w:hAnsi="Cambria Math"/>
          </w:rPr>
          <m:t>N</m:t>
        </m:r>
      </m:oMath>
      <w:r>
        <w:t xml:space="preserve"> stones has configuration space </w:t>
      </w:r>
      <m:oMath>
        <m:r>
          <w:rPr>
            <w:rFonts w:ascii="Cambria Math" w:hAnsi="Cambria Math"/>
          </w:rPr>
          <m:t>Q</m:t>
        </m:r>
        <m:r>
          <m:rPr>
            <m:sty m:val="p"/>
          </m:rPr>
          <w:rPr>
            <w:rFonts w:ascii="Cambria Math" w:hAnsi="Cambria Math"/>
          </w:rPr>
          <m:t>=</m:t>
        </m:r>
        <m:r>
          <w:rPr>
            <w:rFonts w:ascii="Cambria Math" w:hAnsi="Cambria Math"/>
          </w:rPr>
          <m:t>SE</m:t>
        </m:r>
        <m:sSup>
          <m:sSupPr>
            <m:ctrlPr>
              <w:rPr>
                <w:rFonts w:ascii="Cambria Math" w:hAnsi="Cambria Math"/>
              </w:rPr>
            </m:ctrlPr>
          </m:sSupPr>
          <m:e>
            <m:d>
              <m:dPr>
                <m:ctrlPr>
                  <w:rPr>
                    <w:rFonts w:ascii="Cambria Math" w:hAnsi="Cambria Math"/>
                  </w:rPr>
                </m:ctrlPr>
              </m:dPr>
              <m:e>
                <m:r>
                  <w:rPr>
                    <w:rFonts w:ascii="Cambria Math" w:hAnsi="Cambria Math"/>
                  </w:rPr>
                  <m:t>3</m:t>
                </m:r>
              </m:e>
            </m:d>
          </m:e>
          <m:sup>
            <m:r>
              <w:rPr>
                <w:rFonts w:ascii="Cambria Math" w:hAnsi="Cambria Math"/>
              </w:rPr>
              <m:t>N</m:t>
            </m:r>
          </m:sup>
        </m:sSup>
      </m:oMath>
      <w:r>
        <w:t xml:space="preserve">, so </w:t>
      </w:r>
      <m:oMath>
        <m:r>
          <w:rPr>
            <w:rFonts w:ascii="Cambria Math" w:hAnsi="Cambria Math"/>
          </w:rPr>
          <m:t>6N</m:t>
        </m:r>
      </m:oMath>
      <w:r>
        <w:t xml:space="preserve"> degrees of freedom. Each candidate contact </w:t>
      </w:r>
      <m:oMath>
        <m:r>
          <w:rPr>
            <w:rFonts w:ascii="Cambria Math" w:hAnsi="Cambria Math"/>
          </w:rPr>
          <m:t>e</m:t>
        </m:r>
      </m:oMath>
      <w:r>
        <w:t xml:space="preserve"> carries a unilateral non-penetration constraint</w:t>
      </w:r>
    </w:p>
    <w:p w14:paraId="333A9DB8"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e</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6AC17D2C" w14:textId="77777777" w:rsidR="00937C4A" w:rsidRDefault="00000000">
      <w:r>
        <w:t>with normal force satisfying the complementarity condition</w:t>
      </w:r>
    </w:p>
    <w:p w14:paraId="1BEBFF51"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n</m:t>
              </m:r>
              <m:r>
                <m:rPr>
                  <m:sty m:val="p"/>
                </m:rPr>
                <w:rPr>
                  <w:rFonts w:ascii="Cambria Math" w:hAnsi="Cambria Math"/>
                </w:rPr>
                <m:t>,</m:t>
              </m:r>
              <m:r>
                <w:rPr>
                  <w:rFonts w:ascii="Cambria Math" w:hAnsi="Cambria Math"/>
                </w:rPr>
                <m:t>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e</m:t>
              </m:r>
            </m:sub>
          </m:sSub>
          <m:d>
            <m:dPr>
              <m:ctrlPr>
                <w:rPr>
                  <w:rFonts w:ascii="Cambria Math" w:hAnsi="Cambria Math"/>
                </w:rPr>
              </m:ctrlPr>
            </m:dPr>
            <m:e>
              <m:r>
                <w:rPr>
                  <w:rFonts w:ascii="Cambria Math" w:hAnsi="Cambria Math"/>
                </w:rPr>
                <m:t>q</m:t>
              </m:r>
            </m:e>
          </m:d>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n</m:t>
              </m:r>
              <m:r>
                <m:rPr>
                  <m:sty m:val="p"/>
                </m:rPr>
                <w:rPr>
                  <w:rFonts w:ascii="Cambria Math" w:hAnsi="Cambria Math"/>
                </w:rPr>
                <m:t>,</m:t>
              </m:r>
              <m:r>
                <w:rPr>
                  <w:rFonts w:ascii="Cambria Math" w:hAnsi="Cambria Math"/>
                </w:rPr>
                <m:t>e</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47AE8358" w14:textId="77777777" w:rsidR="00937C4A" w:rsidRDefault="00000000">
      <w:r>
        <w:t>and tangential force confined to a Coulomb cone</w:t>
      </w:r>
    </w:p>
    <w:p w14:paraId="0CF1944C" w14:textId="77777777" w:rsidR="00937C4A" w:rsidRDefault="00000000">
      <w:pPr>
        <w:pStyle w:val="BodyText"/>
        <w:spacing w:before="100" w:after="140"/>
        <w:jc w:val="cente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r>
                <m:rPr>
                  <m:sty m:val="p"/>
                </m:rPr>
                <w:rPr>
                  <w:rFonts w:ascii="Cambria Math" w:hAnsi="Cambria Math"/>
                </w:rPr>
                <m:t>,</m:t>
              </m:r>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sSub>
            <m:sSubPr>
              <m:ctrlPr>
                <w:rPr>
                  <w:rFonts w:ascii="Cambria Math" w:hAnsi="Cambria Math"/>
                </w:rPr>
              </m:ctrlPr>
            </m:sSubPr>
            <m:e>
              <m:r>
                <w:rPr>
                  <w:rFonts w:ascii="Cambria Math" w:hAnsi="Cambria Math"/>
                </w:rPr>
                <m:t>λ</m:t>
              </m:r>
            </m:e>
            <m:sub>
              <m:r>
                <w:rPr>
                  <w:rFonts w:ascii="Cambria Math" w:hAnsi="Cambria Math"/>
                </w:rPr>
                <m:t>n</m:t>
              </m:r>
              <m:r>
                <m:rPr>
                  <m:sty m:val="p"/>
                </m:rPr>
                <w:rPr>
                  <w:rFonts w:ascii="Cambria Math" w:hAnsi="Cambria Math"/>
                </w:rPr>
                <m:t>,</m:t>
              </m:r>
              <m:r>
                <w:rPr>
                  <w:rFonts w:ascii="Cambria Math" w:hAnsi="Cambria Math"/>
                </w:rPr>
                <m:t>e</m:t>
              </m:r>
            </m:sub>
          </m:sSub>
          <m:r>
            <m:rPr>
              <m:sty m:val="p"/>
            </m:rPr>
            <w:rPr>
              <w:rFonts w:ascii="Cambria Math" w:hAnsi="Cambria Math"/>
            </w:rPr>
            <m:t>.</m:t>
          </m:r>
        </m:oMath>
      </m:oMathPara>
    </w:p>
    <w:p w14:paraId="2AD2EC78" w14:textId="77777777" w:rsidR="00937C4A" w:rsidRDefault="00000000">
      <w:r>
        <w:t xml:space="preserve">Between transitions the dynamics is </w:t>
      </w:r>
      <m:oMath>
        <m:r>
          <w:rPr>
            <w:rFonts w:ascii="Cambria Math" w:hAnsi="Cambria Math"/>
          </w:rPr>
          <m:t>M</m:t>
        </m:r>
        <m:d>
          <m:dPr>
            <m:ctrlPr>
              <w:rPr>
                <w:rFonts w:ascii="Cambria Math" w:hAnsi="Cambria Math"/>
              </w:rPr>
            </m:ctrlPr>
          </m:dPr>
          <m:e>
            <m:r>
              <w:rPr>
                <w:rFonts w:ascii="Cambria Math" w:hAnsi="Cambria Math"/>
              </w:rPr>
              <m:t>q</m:t>
            </m:r>
          </m:e>
        </m:d>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base</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J</m:t>
        </m:r>
        <m:sSup>
          <m:sSupPr>
            <m:ctrlPr>
              <w:rPr>
                <w:rFonts w:ascii="Cambria Math" w:hAnsi="Cambria Math"/>
              </w:rPr>
            </m:ctrlPr>
          </m:sSupPr>
          <m:e>
            <m:d>
              <m:dPr>
                <m:ctrlPr>
                  <w:rPr>
                    <w:rFonts w:ascii="Cambria Math" w:hAnsi="Cambria Math"/>
                  </w:rPr>
                </m:ctrlPr>
              </m:dPr>
              <m:e>
                <m:r>
                  <w:rPr>
                    <w:rFonts w:ascii="Cambria Math" w:hAnsi="Cambria Math"/>
                  </w:rPr>
                  <m:t>q</m:t>
                </m:r>
              </m:e>
            </m:d>
          </m:e>
          <m:sup>
            <m:r>
              <m:rPr>
                <m:scr m:val="sans-serif"/>
                <m:sty m:val="p"/>
              </m:rPr>
              <w:rPr>
                <w:rFonts w:ascii="Cambria Math" w:hAnsi="Cambria Math"/>
              </w:rPr>
              <m:t>T</m:t>
            </m:r>
          </m:sup>
        </m:sSup>
        <m:r>
          <w:rPr>
            <w:rFonts w:ascii="Cambria Math" w:hAnsi="Cambria Math"/>
          </w:rPr>
          <m:t>λ</m:t>
        </m:r>
      </m:oMath>
      <w:r>
        <w:t xml:space="preserve">. But the active contact set </w:t>
      </w:r>
      <m:oMath>
        <m:r>
          <w:rPr>
            <w:rFonts w:ascii="Cambria Math" w:hAnsi="Cambria Math"/>
          </w:rPr>
          <m:t>E</m:t>
        </m:r>
        <m:d>
          <m:dPr>
            <m:ctrlPr>
              <w:rPr>
                <w:rFonts w:ascii="Cambria Math" w:hAnsi="Cambria Math"/>
              </w:rPr>
            </m:ctrlPr>
          </m:dPr>
          <m:e>
            <m:r>
              <w:rPr>
                <w:rFonts w:ascii="Cambria Math" w:hAnsi="Cambria Math"/>
              </w:rPr>
              <m:t>q</m:t>
            </m:r>
          </m:e>
        </m:d>
      </m:oMath>
      <w:r>
        <w:t xml:space="preserve"> changes whenever a contact opens, closes, transitions between stick and slip, or migrates across a face. The system is a union of contact-mode strata glued by transition maps — a </w:t>
      </w:r>
      <w:r>
        <w:rPr>
          <w:b/>
          <w:bCs/>
        </w:rPr>
        <w:t>hybrid, stratified, nonsmooth system</w:t>
      </w:r>
      <w:r>
        <w:t>, properly formalised as a measure differential inclusion.</w:t>
      </w:r>
    </w:p>
    <w:p w14:paraId="78C68EA8" w14:textId="77777777" w:rsidR="00937C4A" w:rsidRDefault="00000000">
      <w:pPr>
        <w:pStyle w:val="BodyText"/>
      </w:pPr>
      <w:r>
        <w:t>That is not a more complicated version of Housner’s block. It is a different kind of object, and three specific things break.</w:t>
      </w:r>
    </w:p>
    <w:p w14:paraId="745BC5C7" w14:textId="77777777" w:rsidR="00937C4A" w:rsidRDefault="00000000">
      <w:pPr>
        <w:pStyle w:val="Heading3"/>
      </w:pPr>
      <w:bookmarkStart w:id="48" w:name="what-breaks"/>
      <w:bookmarkEnd w:id="47"/>
      <w:r>
        <w:rPr>
          <w:rFonts w:ascii="Noto Sans" w:eastAsia="Noto Sans" w:hAnsi="Noto Sans"/>
        </w:rPr>
        <w:t>8.2 What breaks</w:t>
      </w:r>
    </w:p>
    <w:p w14:paraId="7FBF6225" w14:textId="77777777" w:rsidR="00937C4A" w:rsidRDefault="00000000">
      <w:r>
        <w:rPr>
          <w:b/>
          <w:bCs/>
        </w:rPr>
        <w:t>The pivot is not an edge.</w:t>
      </w:r>
      <w:r>
        <w:t xml:space="preserve"> Housner’s block rotates about a corner. A cairn stone rests on an irregular surface at two or three contact points that are not coplanar with anything, and the instantaneous rotation axis migrates as the load redistributes. There is no </w:t>
      </w:r>
      <m:oMath>
        <m:r>
          <w:rPr>
            <w:rFonts w:ascii="Cambria Math" w:hAnsi="Cambria Math"/>
          </w:rPr>
          <m:t>α</m:t>
        </m:r>
      </m:oMath>
      <w:r>
        <w:t>.</w:t>
      </w:r>
    </w:p>
    <w:p w14:paraId="6C251336" w14:textId="77777777" w:rsidR="00937C4A" w:rsidRDefault="00000000">
      <w:pPr>
        <w:pStyle w:val="BodyText"/>
      </w:pPr>
      <w:r>
        <w:rPr>
          <w:b/>
          <w:bCs/>
        </w:rPr>
        <w:t>Failure is not overturning.</w:t>
      </w:r>
      <w:r>
        <w:t xml:space="preserve"> A stack can fail by an upper stone sliding off, by a middle stone rotating out of the load path, by the force chain rerouting until a lower contact opens — none of which is the global overturning of a rigid body about its base.</w:t>
      </w:r>
    </w:p>
    <w:p w14:paraId="655EDC80" w14:textId="77777777" w:rsidR="00937C4A" w:rsidRDefault="00000000">
      <w:pPr>
        <w:pStyle w:val="BodyText"/>
      </w:pPr>
      <w:r>
        <w:rPr>
          <w:b/>
          <w:bCs/>
        </w:rPr>
        <w:t>Energy is dissipated in more places than the base.</w:t>
      </w:r>
      <w:r>
        <w:t xml:space="preserve"> Inter-stone impacts, frictional slip at interfaces, and micro-rearrangement all remove energy. Multi-drum classical columns are known to be, under some excitations, </w:t>
      </w:r>
      <w:r>
        <w:rPr>
          <w:i/>
          <w:iCs/>
        </w:rPr>
        <w:t>more</w:t>
      </w:r>
      <w:r>
        <w:t xml:space="preserve"> resilient than monoliths of the same size for exactly this reason: the joints dissipate. A cairn may be more robust than its silhouette suggests, or less; the sign is not decidable from the geometry.</w:t>
      </w:r>
    </w:p>
    <w:p w14:paraId="033E0B45" w14:textId="77777777" w:rsidR="00937C4A" w:rsidRDefault="00000000">
      <w:pPr>
        <w:pStyle w:val="Heading3"/>
      </w:pPr>
      <w:bookmarkStart w:id="49" w:name="Xee87f6db60af9b3ecf378dd79509650b77e723d"/>
      <w:bookmarkEnd w:id="48"/>
      <w:r>
        <w:rPr>
          <w:rFonts w:ascii="Noto Sans" w:eastAsia="Noto Sans" w:hAnsi="Noto Sans"/>
        </w:rPr>
        <w:t>8.3 Maxwell–Calladine as an Euler characteristic</w:t>
      </w:r>
    </w:p>
    <w:p w14:paraId="7E4317B3" w14:textId="77777777" w:rsidR="00937C4A" w:rsidRDefault="00000000">
      <w:r>
        <w:t>There is one piece of exact structure available, and it is homological.</w:t>
      </w:r>
    </w:p>
    <w:p w14:paraId="6EF132BA" w14:textId="77777777" w:rsidR="00937C4A" w:rsidRDefault="00000000">
      <w:pPr>
        <w:pStyle w:val="BodyText"/>
      </w:pPr>
      <w:r>
        <w:t xml:space="preserve">Let </w:t>
      </w:r>
      <m:oMath>
        <m: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6N</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c</m:t>
                </m:r>
              </m:sub>
            </m:sSub>
          </m:sup>
        </m:sSup>
      </m:oMath>
      <w:r>
        <w:t xml:space="preserve"> be the compatibility operator taking generalised velocities to constraint violation rates, so that </w:t>
      </w:r>
      <m:oMath>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oMath>
      <w:r>
        <w:t xml:space="preserve"> takes contact forces to generalised forces. Rank–nullity gives immediately</w:t>
      </w:r>
    </w:p>
    <w:p w14:paraId="3633EE5A" w14:textId="77777777" w:rsidR="00937C4A" w:rsidRDefault="00000000">
      <w:pPr>
        <w:pStyle w:val="BodyText"/>
        <w:spacing w:before="100" w:after="140"/>
        <w:jc w:val="center"/>
      </w:pPr>
      <m:oMathPara>
        <m:oMathParaPr>
          <m:jc m:val="center"/>
        </m:oMathParaPr>
        <m:oMath>
          <m:r>
            <m:rPr>
              <m:sty m:val="p"/>
            </m:rPr>
            <w:rPr>
              <w:rFonts w:ascii="Cambria Math" w:hAnsi="Cambria Math"/>
            </w:rPr>
            <m:t>dimker</m:t>
          </m:r>
          <m:r>
            <w:rPr>
              <w:rFonts w:ascii="Cambria Math" w:hAnsi="Cambria Math"/>
            </w:rPr>
            <m:t>C</m:t>
          </m:r>
          <m:r>
            <m:rPr>
              <m:sty m:val="p"/>
            </m:rPr>
            <w:rPr>
              <w:rFonts w:ascii="Cambria Math" w:hAnsi="Cambria Math"/>
            </w:rPr>
            <m:t>-dimcoker</m:t>
          </m:r>
          <m:r>
            <w:rPr>
              <w:rFonts w:ascii="Cambria Math" w:hAnsi="Cambria Math"/>
            </w:rPr>
            <m:t>C</m:t>
          </m:r>
          <m:r>
            <m:rPr>
              <m:sty m:val="p"/>
            </m:rPr>
            <w:rPr>
              <w:rFonts w:ascii="Cambria Math" w:hAnsi="Cambria Math"/>
            </w:rPr>
            <m:t>=</m:t>
          </m:r>
          <m:r>
            <w:rPr>
              <w:rFonts w:ascii="Cambria Math" w:hAnsi="Cambria Math"/>
            </w:rPr>
            <m:t>6N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  </m:t>
          </m:r>
          <m:r>
            <m:rPr>
              <m:sty m:val="p"/>
            </m:rPr>
            <w:rPr>
              <w:rFonts w:ascii="Cambria Math" w:hAnsi="Cambria Math"/>
            </w:rPr>
            <m:t>coker</m:t>
          </m:r>
          <m:r>
            <w:rPr>
              <w:rFonts w:ascii="Cambria Math" w:hAnsi="Cambria Math"/>
            </w:rPr>
            <m:t>C</m:t>
          </m:r>
          <m:r>
            <m:rPr>
              <m:sty m:val="p"/>
            </m:rPr>
            <w:rPr>
              <w:rFonts w:ascii="Cambria Math" w:hAnsi="Cambria Math"/>
            </w:rPr>
            <m:t>≅ker</m:t>
          </m:r>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r>
            <m:rPr>
              <m:sty m:val="p"/>
            </m:rPr>
            <w:rPr>
              <w:rFonts w:ascii="Cambria Math" w:hAnsi="Cambria Math"/>
            </w:rPr>
            <m:t>.</m:t>
          </m:r>
        </m:oMath>
      </m:oMathPara>
    </w:p>
    <w:p w14:paraId="014BB204" w14:textId="77777777" w:rsidR="00937C4A" w:rsidRDefault="00000000">
      <w:r>
        <w:t xml:space="preserve">Writing </w:t>
      </w:r>
      <m:oMath>
        <m:r>
          <w:rPr>
            <w:rFonts w:ascii="Cambria Math" w:hAnsi="Cambria Math"/>
          </w:rPr>
          <m:t>m</m:t>
        </m:r>
        <m:r>
          <m:rPr>
            <m:sty m:val="p"/>
          </m:rPr>
          <w:rPr>
            <w:rFonts w:ascii="Cambria Math" w:hAnsi="Cambria Math"/>
          </w:rPr>
          <m:t>=dimker</m:t>
        </m:r>
        <m:r>
          <w:rPr>
            <w:rFonts w:ascii="Cambria Math" w:hAnsi="Cambria Math"/>
          </w:rPr>
          <m:t>C</m:t>
        </m:r>
      </m:oMath>
      <w:r>
        <w:t xml:space="preserve"> (mechanisms) and </w:t>
      </w:r>
      <m:oMath>
        <m:r>
          <w:rPr>
            <w:rFonts w:ascii="Cambria Math" w:hAnsi="Cambria Math"/>
          </w:rPr>
          <m:t>s</m:t>
        </m:r>
        <m:r>
          <m:rPr>
            <m:sty m:val="p"/>
          </m:rPr>
          <w:rPr>
            <w:rFonts w:ascii="Cambria Math" w:hAnsi="Cambria Math"/>
          </w:rPr>
          <m:t>=dimker</m:t>
        </m:r>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oMath>
      <w:r>
        <w:t xml:space="preserve"> (states of self-stress), this is Maxwell’s rule with Calladine’s correction:</w:t>
      </w:r>
    </w:p>
    <w:p w14:paraId="4FF8E339" w14:textId="77777777" w:rsidR="00937C4A" w:rsidRDefault="00000000">
      <w:pPr>
        <w:pStyle w:val="BodyText"/>
        <w:spacing w:before="100" w:after="140"/>
        <w:jc w:val="center"/>
      </w:pPr>
      <m:oMathPara>
        <m:oMathParaPr>
          <m:jc m:val="center"/>
        </m:oMathParaPr>
        <m:oMath>
          <m:borderBox>
            <m:borderBoxPr>
              <m:ctrlPr>
                <w:rPr>
                  <w:rFonts w:ascii="Cambria Math" w:hAnsi="Cambria Math"/>
                </w:rPr>
              </m:ctrlPr>
            </m:borderBoxPr>
            <m:e>
              <m:r>
                <w:rPr>
                  <w:rFonts w:ascii="Cambria Math" w:hAnsi="Cambria Math"/>
                </w:rPr>
                <m:t> m</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6N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 </m:t>
              </m:r>
            </m:e>
          </m:borderBox>
        </m:oMath>
      </m:oMathPara>
    </w:p>
    <w:p w14:paraId="1A31DC26" w14:textId="77777777" w:rsidR="00937C4A" w:rsidRDefault="00000000">
      <w:r>
        <w:t xml:space="preserve">And it is exactly the Euler characteristic of the two-term chain complex </w:t>
      </w:r>
      <m:oMath>
        <m:r>
          <w:rPr>
            <w:rFonts w:ascii="Cambria Math" w:hAnsi="Cambria Math"/>
          </w:rPr>
          <m:t>0</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6N</m:t>
            </m:r>
          </m:sup>
        </m:sSup>
        <m:limUpp>
          <m:limUppPr>
            <m:ctrlPr>
              <w:rPr>
                <w:rFonts w:ascii="Cambria Math" w:hAnsi="Cambria Math"/>
              </w:rPr>
            </m:ctrlPr>
          </m:limUppPr>
          <m:e>
            <m:r>
              <m:rPr>
                <m:sty m:val="p"/>
              </m:rPr>
              <w:rPr>
                <w:rFonts w:ascii="Cambria Math" w:hAnsi="Cambria Math"/>
              </w:rPr>
              <m:t>→</m:t>
            </m:r>
          </m:e>
          <m:lim>
            <m:r>
              <w:rPr>
                <w:rFonts w:ascii="Cambria Math" w:hAnsi="Cambria Math"/>
              </w:rPr>
              <m:t> C </m:t>
            </m:r>
          </m:lim>
        </m:limUpp>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c</m:t>
                </m:r>
              </m:sub>
            </m:sSub>
          </m:sup>
        </m:sSup>
        <m:r>
          <m:rPr>
            <m:sty m:val="p"/>
          </m:rPr>
          <w:rPr>
            <w:rFonts w:ascii="Cambria Math" w:hAnsi="Cambria Math"/>
          </w:rPr>
          <m:t>→</m:t>
        </m:r>
        <m:r>
          <w:rPr>
            <w:rFonts w:ascii="Cambria Math" w:hAnsi="Cambria Math"/>
          </w:rPr>
          <m:t>0</m:t>
        </m:r>
      </m:oMath>
      <w:r>
        <w:t>:</w:t>
      </w:r>
    </w:p>
    <w:p w14:paraId="05D765F7" w14:textId="77777777" w:rsidR="00937C4A" w:rsidRDefault="00000000">
      <w:pPr>
        <w:pStyle w:val="BodyText"/>
        <w:spacing w:before="100" w:after="140"/>
        <w:jc w:val="center"/>
      </w:pPr>
      <m:oMathPara>
        <m:oMathParaPr>
          <m:jc m:val="center"/>
        </m:oMathParaPr>
        <m:oMath>
          <m:r>
            <w:rPr>
              <w:rFonts w:ascii="Cambria Math" w:hAnsi="Cambria Math"/>
            </w:rPr>
            <m:t>χ</m:t>
          </m:r>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336F6523" w14:textId="77777777" w:rsidR="00937C4A" w:rsidRDefault="00000000">
      <w:r>
        <w:t xml:space="preserve">Counting gives </w:t>
      </w:r>
      <m:oMath>
        <m:r>
          <w:rPr>
            <w:rFonts w:ascii="Cambria Math" w:hAnsi="Cambria Math"/>
          </w:rPr>
          <m:t>χ</m:t>
        </m:r>
      </m:oMath>
      <w:r>
        <w:t xml:space="preserve">. Counting never gives </w:t>
      </w:r>
      <m:oMath>
        <m:r>
          <w:rPr>
            <w:rFonts w:ascii="Cambria Math" w:hAnsi="Cambria Math"/>
          </w:rPr>
          <m:t>m</m:t>
        </m:r>
      </m:oMath>
      <w:r>
        <w:t xml:space="preserve"> and </w:t>
      </w:r>
      <m:oMath>
        <m:r>
          <w:rPr>
            <w:rFonts w:ascii="Cambria Math" w:hAnsi="Cambria Math"/>
          </w:rPr>
          <m:t>s</m:t>
        </m:r>
      </m:oMath>
      <w:r>
        <w:t xml:space="preserve"> separately — those are genuine Betti numbers of the complex, and they depend on the Jacobians, not on the adjacency of the contact graph. Two cairns with identical contact graphs, differing only in the orientation of their contact normals, have different </w:t>
      </w:r>
      <m:oMath>
        <m:r>
          <w:rPr>
            <w:rFonts w:ascii="Cambria Math" w:hAnsi="Cambria Math"/>
          </w:rPr>
          <m:t>m</m:t>
        </m:r>
      </m:oMath>
      <w:r>
        <w:t xml:space="preserve"> and </w:t>
      </w:r>
      <m:oMath>
        <m:r>
          <w:rPr>
            <w:rFonts w:ascii="Cambria Math" w:hAnsi="Cambria Math"/>
          </w:rPr>
          <m:t>s</m:t>
        </m:r>
      </m:oMath>
      <w:r>
        <w:t xml:space="preserve">. </w:t>
      </w:r>
      <w:r>
        <w:rPr>
          <w:b/>
          <w:bCs/>
        </w:rPr>
        <w:t xml:space="preserve">That is the correct refutation of any purely </w:t>
      </w:r>
      <w:r>
        <w:rPr>
          <w:b/>
          <w:bCs/>
        </w:rPr>
        <w:lastRenderedPageBreak/>
        <w:t>graph-theoretic account of stack stability</w:t>
      </w:r>
      <w:r>
        <w:t>, and it is the one thing in this area that is a theorem rather than a programme.</w:t>
      </w:r>
    </w:p>
    <w:p w14:paraId="5387B03A" w14:textId="77777777" w:rsidR="00937C4A" w:rsidRDefault="00000000">
      <w:pPr>
        <w:pStyle w:val="Heading3"/>
      </w:pPr>
      <w:bookmarkStart w:id="50" w:name="Xe799cc3ba619cd758a0c80111a35976e5b4c541"/>
      <w:bookmarkEnd w:id="49"/>
      <w:r>
        <w:rPr>
          <w:rFonts w:ascii="Noto Sans" w:eastAsia="Noto Sans" w:hAnsi="Noto Sans"/>
        </w:rPr>
        <w:t>8.4 A worked count, and why it is embarrassing</w:t>
      </w:r>
    </w:p>
    <w:p w14:paraId="178089F9" w14:textId="77777777" w:rsidR="00937C4A" w:rsidRDefault="00000000">
      <w:r>
        <w:t xml:space="preserve">Take the simplest interesting cairn: three stones, three interfaces (ground–1, 1–2, 2–3). Then </w:t>
      </w:r>
      <m:oMath>
        <m:r>
          <w:rPr>
            <w:rFonts w:ascii="Cambria Math" w:hAnsi="Cambria Math"/>
          </w:rPr>
          <m:t>6N</m:t>
        </m:r>
        <m:r>
          <m:rPr>
            <m:sty m:val="p"/>
          </m:rPr>
          <w:rPr>
            <w:rFonts w:ascii="Cambria Math" w:hAnsi="Cambria Math"/>
          </w:rPr>
          <m:t>=</m:t>
        </m:r>
        <m:r>
          <w:rPr>
            <w:rFonts w:ascii="Cambria Math" w:hAnsi="Cambria Math"/>
          </w:rPr>
          <m:t>18</m:t>
        </m:r>
      </m:oMath>
      <w:r>
        <w:t>.</w:t>
      </w:r>
    </w:p>
    <w:p w14:paraId="3939D453" w14:textId="77777777" w:rsidR="00937C4A" w:rsidRDefault="00000000">
      <w:pPr>
        <w:pStyle w:val="BodyText"/>
      </w:pPr>
      <w:r>
        <w:t>How many constraints? That depends entirely on how one idealises a contact:</w:t>
      </w:r>
    </w:p>
    <w:tbl>
      <w:tblPr>
        <w:tblStyle w:val="TableGrid"/>
        <w:tblW w:w="9400" w:type="dxa"/>
        <w:jc w:val="center"/>
        <w:tblLayout w:type="fixed"/>
        <w:tblLook w:val="04A0" w:firstRow="1" w:lastRow="0" w:firstColumn="1" w:lastColumn="0" w:noHBand="0" w:noVBand="1"/>
      </w:tblPr>
      <w:tblGrid>
        <w:gridCol w:w="3600"/>
        <w:gridCol w:w="1900"/>
        <w:gridCol w:w="1500"/>
        <w:gridCol w:w="2400"/>
      </w:tblGrid>
      <w:tr w:rsidR="00937C4A" w14:paraId="73DD81CE" w14:textId="77777777">
        <w:trPr>
          <w:cantSplit/>
          <w:tblHeader/>
          <w:jc w:val="center"/>
        </w:trPr>
        <w:tc>
          <w:tcPr>
            <w:tcW w:w="3600" w:type="dxa"/>
            <w:shd w:val="clear" w:color="auto" w:fill="495A65"/>
            <w:tcMar>
              <w:top w:w="55" w:type="dxa"/>
              <w:left w:w="65" w:type="dxa"/>
              <w:bottom w:w="55" w:type="dxa"/>
              <w:right w:w="65" w:type="dxa"/>
            </w:tcMar>
            <w:vAlign w:val="center"/>
          </w:tcPr>
          <w:p w14:paraId="7A9336D6" w14:textId="77777777" w:rsidR="00937C4A" w:rsidRDefault="00000000">
            <w:pPr>
              <w:spacing w:after="0" w:line="240" w:lineRule="auto"/>
              <w:jc w:val="left"/>
            </w:pPr>
            <w:r>
              <w:rPr>
                <w:rFonts w:ascii="Noto Sans" w:hAnsi="Noto Sans"/>
                <w:b/>
                <w:color w:val="FFFFFF"/>
                <w:sz w:val="15"/>
              </w:rPr>
              <w:t>Contact idealisation</w:t>
            </w:r>
          </w:p>
        </w:tc>
        <w:tc>
          <w:tcPr>
            <w:tcW w:w="1900" w:type="dxa"/>
            <w:shd w:val="clear" w:color="auto" w:fill="495A65"/>
            <w:tcMar>
              <w:top w:w="55" w:type="dxa"/>
              <w:left w:w="65" w:type="dxa"/>
              <w:bottom w:w="55" w:type="dxa"/>
              <w:right w:w="65" w:type="dxa"/>
            </w:tcMar>
            <w:vAlign w:val="center"/>
          </w:tcPr>
          <w:p w14:paraId="7CABA2E7" w14:textId="77777777" w:rsidR="00937C4A" w:rsidRDefault="00000000">
            <w:pPr>
              <w:spacing w:after="0" w:line="240" w:lineRule="auto"/>
              <w:jc w:val="center"/>
            </w:pPr>
            <w:r>
              <w:rPr>
                <w:rFonts w:ascii="Noto Sans" w:hAnsi="Noto Sans"/>
                <w:b/>
                <w:color w:val="FFFFFF"/>
                <w:sz w:val="15"/>
              </w:rPr>
              <w:t>Constraints per interface</w:t>
            </w:r>
          </w:p>
        </w:tc>
        <w:tc>
          <w:tcPr>
            <w:tcW w:w="1500" w:type="dxa"/>
            <w:shd w:val="clear" w:color="auto" w:fill="495A65"/>
            <w:tcMar>
              <w:top w:w="55" w:type="dxa"/>
              <w:left w:w="65" w:type="dxa"/>
              <w:bottom w:w="55" w:type="dxa"/>
              <w:right w:w="65" w:type="dxa"/>
            </w:tcMar>
            <w:vAlign w:val="center"/>
          </w:tcPr>
          <w:p w14:paraId="5F957F29" w14:textId="77777777" w:rsidR="00937C4A" w:rsidRDefault="00000000">
            <w:pPr>
              <w:spacing w:after="0" w:line="240" w:lineRule="auto"/>
              <w:jc w:val="center"/>
            </w:pPr>
            <w:r>
              <w:rPr>
                <w:rFonts w:ascii="Noto Sans" w:hAnsi="Noto Sans"/>
                <w:b/>
                <w:color w:val="FFFFFF"/>
                <w:sz w:val="15"/>
              </w:rPr>
              <w:t>n_(c)</w:t>
            </w:r>
          </w:p>
        </w:tc>
        <w:tc>
          <w:tcPr>
            <w:tcW w:w="2400" w:type="dxa"/>
            <w:shd w:val="clear" w:color="auto" w:fill="495A65"/>
            <w:tcMar>
              <w:top w:w="55" w:type="dxa"/>
              <w:left w:w="65" w:type="dxa"/>
              <w:bottom w:w="55" w:type="dxa"/>
              <w:right w:w="65" w:type="dxa"/>
            </w:tcMar>
            <w:vAlign w:val="center"/>
          </w:tcPr>
          <w:p w14:paraId="053C42DB" w14:textId="77777777" w:rsidR="00937C4A" w:rsidRDefault="00000000">
            <w:pPr>
              <w:spacing w:after="0" w:line="240" w:lineRule="auto"/>
              <w:jc w:val="center"/>
            </w:pPr>
            <w:r>
              <w:rPr>
                <w:rFonts w:ascii="Noto Sans" w:hAnsi="Noto Sans"/>
                <w:b/>
                <w:color w:val="FFFFFF"/>
                <w:sz w:val="15"/>
              </w:rPr>
              <w:t>χ = m − s</w:t>
            </w:r>
          </w:p>
        </w:tc>
      </w:tr>
      <w:tr w:rsidR="00937C4A" w14:paraId="65E72813" w14:textId="77777777">
        <w:trPr>
          <w:cantSplit/>
          <w:jc w:val="center"/>
        </w:trPr>
        <w:tc>
          <w:tcPr>
            <w:tcW w:w="3600" w:type="dxa"/>
            <w:tcMar>
              <w:top w:w="55" w:type="dxa"/>
              <w:left w:w="65" w:type="dxa"/>
              <w:bottom w:w="55" w:type="dxa"/>
              <w:right w:w="65" w:type="dxa"/>
            </w:tcMar>
            <w:vAlign w:val="center"/>
          </w:tcPr>
          <w:p w14:paraId="13C9A929" w14:textId="77777777" w:rsidR="00937C4A" w:rsidRDefault="00000000">
            <w:pPr>
              <w:spacing w:after="0" w:line="240" w:lineRule="auto"/>
              <w:jc w:val="left"/>
            </w:pPr>
            <w:r>
              <w:rPr>
                <w:rFonts w:ascii="Noto Sans" w:hAnsi="Noto Sans"/>
                <w:sz w:val="15"/>
              </w:rPr>
              <w:t>frictionless point</w:t>
            </w:r>
          </w:p>
        </w:tc>
        <w:tc>
          <w:tcPr>
            <w:tcW w:w="1900" w:type="dxa"/>
            <w:tcMar>
              <w:top w:w="55" w:type="dxa"/>
              <w:left w:w="65" w:type="dxa"/>
              <w:bottom w:w="55" w:type="dxa"/>
              <w:right w:w="65" w:type="dxa"/>
            </w:tcMar>
            <w:vAlign w:val="center"/>
          </w:tcPr>
          <w:p w14:paraId="3A6B3DF8" w14:textId="77777777" w:rsidR="00937C4A" w:rsidRDefault="00000000">
            <w:pPr>
              <w:spacing w:after="0" w:line="240" w:lineRule="auto"/>
              <w:jc w:val="center"/>
            </w:pPr>
            <w:r>
              <w:rPr>
                <w:rFonts w:ascii="Noto Sans" w:hAnsi="Noto Sans"/>
                <w:sz w:val="15"/>
              </w:rPr>
              <w:t>1</w:t>
            </w:r>
          </w:p>
        </w:tc>
        <w:tc>
          <w:tcPr>
            <w:tcW w:w="1500" w:type="dxa"/>
            <w:tcMar>
              <w:top w:w="55" w:type="dxa"/>
              <w:left w:w="65" w:type="dxa"/>
              <w:bottom w:w="55" w:type="dxa"/>
              <w:right w:w="65" w:type="dxa"/>
            </w:tcMar>
            <w:vAlign w:val="center"/>
          </w:tcPr>
          <w:p w14:paraId="3F353626" w14:textId="77777777" w:rsidR="00937C4A" w:rsidRDefault="00000000">
            <w:pPr>
              <w:spacing w:after="0" w:line="240" w:lineRule="auto"/>
              <w:jc w:val="center"/>
            </w:pPr>
            <w:r>
              <w:rPr>
                <w:rFonts w:ascii="Noto Sans" w:hAnsi="Noto Sans"/>
                <w:sz w:val="15"/>
              </w:rPr>
              <w:t>3</w:t>
            </w:r>
          </w:p>
        </w:tc>
        <w:tc>
          <w:tcPr>
            <w:tcW w:w="2400" w:type="dxa"/>
            <w:tcMar>
              <w:top w:w="55" w:type="dxa"/>
              <w:left w:w="65" w:type="dxa"/>
              <w:bottom w:w="55" w:type="dxa"/>
              <w:right w:w="65" w:type="dxa"/>
            </w:tcMar>
            <w:vAlign w:val="center"/>
          </w:tcPr>
          <w:p w14:paraId="776B2E96" w14:textId="77777777" w:rsidR="00937C4A" w:rsidRDefault="00000000">
            <w:pPr>
              <w:spacing w:after="0" w:line="240" w:lineRule="auto"/>
              <w:jc w:val="center"/>
            </w:pPr>
            <w:r>
              <w:rPr>
                <w:rFonts w:ascii="Noto Sans" w:hAnsi="Noto Sans"/>
                <w:sz w:val="15"/>
              </w:rPr>
              <w:t>+15</w:t>
            </w:r>
          </w:p>
        </w:tc>
      </w:tr>
      <w:tr w:rsidR="00937C4A" w14:paraId="1DBF877D" w14:textId="77777777">
        <w:trPr>
          <w:cantSplit/>
          <w:jc w:val="center"/>
        </w:trPr>
        <w:tc>
          <w:tcPr>
            <w:tcW w:w="3600" w:type="dxa"/>
            <w:shd w:val="clear" w:color="auto" w:fill="F4F6F7"/>
            <w:tcMar>
              <w:top w:w="55" w:type="dxa"/>
              <w:left w:w="65" w:type="dxa"/>
              <w:bottom w:w="55" w:type="dxa"/>
              <w:right w:w="65" w:type="dxa"/>
            </w:tcMar>
            <w:vAlign w:val="center"/>
          </w:tcPr>
          <w:p w14:paraId="6FF95D35" w14:textId="77777777" w:rsidR="00937C4A" w:rsidRDefault="00000000">
            <w:pPr>
              <w:spacing w:after="0" w:line="240" w:lineRule="auto"/>
              <w:jc w:val="left"/>
            </w:pPr>
            <w:r>
              <w:rPr>
                <w:rFonts w:ascii="Noto Sans" w:hAnsi="Noto Sans"/>
                <w:sz w:val="15"/>
              </w:rPr>
              <w:t>frictional point, sticking</w:t>
            </w:r>
          </w:p>
        </w:tc>
        <w:tc>
          <w:tcPr>
            <w:tcW w:w="1900" w:type="dxa"/>
            <w:shd w:val="clear" w:color="auto" w:fill="F4F6F7"/>
            <w:tcMar>
              <w:top w:w="55" w:type="dxa"/>
              <w:left w:w="65" w:type="dxa"/>
              <w:bottom w:w="55" w:type="dxa"/>
              <w:right w:w="65" w:type="dxa"/>
            </w:tcMar>
            <w:vAlign w:val="center"/>
          </w:tcPr>
          <w:p w14:paraId="4C79A134" w14:textId="77777777" w:rsidR="00937C4A" w:rsidRDefault="00000000">
            <w:pPr>
              <w:spacing w:after="0" w:line="240" w:lineRule="auto"/>
              <w:jc w:val="center"/>
            </w:pPr>
            <w:r>
              <w:rPr>
                <w:rFonts w:ascii="Noto Sans" w:hAnsi="Noto Sans"/>
                <w:sz w:val="15"/>
              </w:rPr>
              <w:t>3</w:t>
            </w:r>
          </w:p>
        </w:tc>
        <w:tc>
          <w:tcPr>
            <w:tcW w:w="1500" w:type="dxa"/>
            <w:shd w:val="clear" w:color="auto" w:fill="F4F6F7"/>
            <w:tcMar>
              <w:top w:w="55" w:type="dxa"/>
              <w:left w:w="65" w:type="dxa"/>
              <w:bottom w:w="55" w:type="dxa"/>
              <w:right w:w="65" w:type="dxa"/>
            </w:tcMar>
            <w:vAlign w:val="center"/>
          </w:tcPr>
          <w:p w14:paraId="712A37E8" w14:textId="77777777" w:rsidR="00937C4A" w:rsidRDefault="00000000">
            <w:pPr>
              <w:spacing w:after="0" w:line="240" w:lineRule="auto"/>
              <w:jc w:val="center"/>
            </w:pPr>
            <w:r>
              <w:rPr>
                <w:rFonts w:ascii="Noto Sans" w:hAnsi="Noto Sans"/>
                <w:sz w:val="15"/>
              </w:rPr>
              <w:t>9</w:t>
            </w:r>
          </w:p>
        </w:tc>
        <w:tc>
          <w:tcPr>
            <w:tcW w:w="2400" w:type="dxa"/>
            <w:shd w:val="clear" w:color="auto" w:fill="F4F6F7"/>
            <w:tcMar>
              <w:top w:w="55" w:type="dxa"/>
              <w:left w:w="65" w:type="dxa"/>
              <w:bottom w:w="55" w:type="dxa"/>
              <w:right w:w="65" w:type="dxa"/>
            </w:tcMar>
            <w:vAlign w:val="center"/>
          </w:tcPr>
          <w:p w14:paraId="7BAFAE52" w14:textId="77777777" w:rsidR="00937C4A" w:rsidRDefault="00000000">
            <w:pPr>
              <w:spacing w:after="0" w:line="240" w:lineRule="auto"/>
              <w:jc w:val="center"/>
            </w:pPr>
            <w:r>
              <w:rPr>
                <w:rFonts w:ascii="Noto Sans" w:hAnsi="Noto Sans"/>
                <w:sz w:val="15"/>
              </w:rPr>
              <w:t>+9</w:t>
            </w:r>
          </w:p>
        </w:tc>
      </w:tr>
      <w:tr w:rsidR="00937C4A" w14:paraId="54DAF52A" w14:textId="77777777">
        <w:trPr>
          <w:cantSplit/>
          <w:jc w:val="center"/>
        </w:trPr>
        <w:tc>
          <w:tcPr>
            <w:tcW w:w="3600" w:type="dxa"/>
            <w:tcMar>
              <w:top w:w="55" w:type="dxa"/>
              <w:left w:w="65" w:type="dxa"/>
              <w:bottom w:w="55" w:type="dxa"/>
              <w:right w:w="65" w:type="dxa"/>
            </w:tcMar>
            <w:vAlign w:val="center"/>
          </w:tcPr>
          <w:p w14:paraId="57BD7816" w14:textId="77777777" w:rsidR="00937C4A" w:rsidRDefault="00000000">
            <w:pPr>
              <w:spacing w:after="0" w:line="240" w:lineRule="auto"/>
              <w:jc w:val="left"/>
            </w:pPr>
            <w:r>
              <w:rPr>
                <w:rFonts w:ascii="Noto Sans" w:hAnsi="Noto Sans"/>
                <w:sz w:val="15"/>
              </w:rPr>
              <w:t>three-point patch, sticking</w:t>
            </w:r>
          </w:p>
        </w:tc>
        <w:tc>
          <w:tcPr>
            <w:tcW w:w="1900" w:type="dxa"/>
            <w:tcMar>
              <w:top w:w="55" w:type="dxa"/>
              <w:left w:w="65" w:type="dxa"/>
              <w:bottom w:w="55" w:type="dxa"/>
              <w:right w:w="65" w:type="dxa"/>
            </w:tcMar>
            <w:vAlign w:val="center"/>
          </w:tcPr>
          <w:p w14:paraId="1AB4CE3E" w14:textId="77777777" w:rsidR="00937C4A" w:rsidRDefault="00000000">
            <w:pPr>
              <w:spacing w:after="0" w:line="240" w:lineRule="auto"/>
              <w:jc w:val="center"/>
            </w:pPr>
            <w:r>
              <w:rPr>
                <w:rFonts w:ascii="Noto Sans" w:hAnsi="Noto Sans"/>
                <w:sz w:val="15"/>
              </w:rPr>
              <w:t>9</w:t>
            </w:r>
          </w:p>
        </w:tc>
        <w:tc>
          <w:tcPr>
            <w:tcW w:w="1500" w:type="dxa"/>
            <w:tcMar>
              <w:top w:w="55" w:type="dxa"/>
              <w:left w:w="65" w:type="dxa"/>
              <w:bottom w:w="55" w:type="dxa"/>
              <w:right w:w="65" w:type="dxa"/>
            </w:tcMar>
            <w:vAlign w:val="center"/>
          </w:tcPr>
          <w:p w14:paraId="2558E9BB" w14:textId="77777777" w:rsidR="00937C4A" w:rsidRDefault="00000000">
            <w:pPr>
              <w:spacing w:after="0" w:line="240" w:lineRule="auto"/>
              <w:jc w:val="center"/>
            </w:pPr>
            <w:r>
              <w:rPr>
                <w:rFonts w:ascii="Noto Sans" w:hAnsi="Noto Sans"/>
                <w:sz w:val="15"/>
              </w:rPr>
              <w:t>27</w:t>
            </w:r>
          </w:p>
        </w:tc>
        <w:tc>
          <w:tcPr>
            <w:tcW w:w="2400" w:type="dxa"/>
            <w:tcMar>
              <w:top w:w="55" w:type="dxa"/>
              <w:left w:w="65" w:type="dxa"/>
              <w:bottom w:w="55" w:type="dxa"/>
              <w:right w:w="65" w:type="dxa"/>
            </w:tcMar>
            <w:vAlign w:val="center"/>
          </w:tcPr>
          <w:p w14:paraId="5F0B702A" w14:textId="77777777" w:rsidR="00937C4A" w:rsidRDefault="00000000">
            <w:pPr>
              <w:spacing w:after="0" w:line="240" w:lineRule="auto"/>
              <w:jc w:val="center"/>
            </w:pPr>
            <w:r>
              <w:rPr>
                <w:rFonts w:ascii="Noto Sans" w:hAnsi="Noto Sans"/>
                <w:sz w:val="15"/>
              </w:rPr>
              <w:t>−9</w:t>
            </w:r>
          </w:p>
        </w:tc>
      </w:tr>
      <w:tr w:rsidR="00937C4A" w14:paraId="49ADDEFF" w14:textId="77777777">
        <w:trPr>
          <w:cantSplit/>
          <w:jc w:val="center"/>
        </w:trPr>
        <w:tc>
          <w:tcPr>
            <w:tcW w:w="3600" w:type="dxa"/>
            <w:shd w:val="clear" w:color="auto" w:fill="F4F6F7"/>
            <w:tcMar>
              <w:top w:w="55" w:type="dxa"/>
              <w:left w:w="65" w:type="dxa"/>
              <w:bottom w:w="55" w:type="dxa"/>
              <w:right w:w="65" w:type="dxa"/>
            </w:tcMar>
            <w:vAlign w:val="center"/>
          </w:tcPr>
          <w:p w14:paraId="6EFC3A66" w14:textId="77777777" w:rsidR="00937C4A" w:rsidRDefault="00000000">
            <w:pPr>
              <w:spacing w:after="0" w:line="240" w:lineRule="auto"/>
              <w:jc w:val="left"/>
            </w:pPr>
            <w:r>
              <w:rPr>
                <w:rFonts w:ascii="Noto Sans" w:hAnsi="Noto Sans"/>
                <w:sz w:val="15"/>
              </w:rPr>
              <w:t>fully bonded face</w:t>
            </w:r>
          </w:p>
        </w:tc>
        <w:tc>
          <w:tcPr>
            <w:tcW w:w="1900" w:type="dxa"/>
            <w:shd w:val="clear" w:color="auto" w:fill="F4F6F7"/>
            <w:tcMar>
              <w:top w:w="55" w:type="dxa"/>
              <w:left w:w="65" w:type="dxa"/>
              <w:bottom w:w="55" w:type="dxa"/>
              <w:right w:w="65" w:type="dxa"/>
            </w:tcMar>
            <w:vAlign w:val="center"/>
          </w:tcPr>
          <w:p w14:paraId="5D595BB5" w14:textId="77777777" w:rsidR="00937C4A" w:rsidRDefault="00000000">
            <w:pPr>
              <w:spacing w:after="0" w:line="240" w:lineRule="auto"/>
              <w:jc w:val="center"/>
            </w:pPr>
            <w:r>
              <w:rPr>
                <w:rFonts w:ascii="Noto Sans" w:hAnsi="Noto Sans"/>
                <w:sz w:val="15"/>
              </w:rPr>
              <w:t>6</w:t>
            </w:r>
          </w:p>
        </w:tc>
        <w:tc>
          <w:tcPr>
            <w:tcW w:w="1500" w:type="dxa"/>
            <w:shd w:val="clear" w:color="auto" w:fill="F4F6F7"/>
            <w:tcMar>
              <w:top w:w="55" w:type="dxa"/>
              <w:left w:w="65" w:type="dxa"/>
              <w:bottom w:w="55" w:type="dxa"/>
              <w:right w:w="65" w:type="dxa"/>
            </w:tcMar>
            <w:vAlign w:val="center"/>
          </w:tcPr>
          <w:p w14:paraId="482003F2" w14:textId="77777777" w:rsidR="00937C4A" w:rsidRDefault="00000000">
            <w:pPr>
              <w:spacing w:after="0" w:line="240" w:lineRule="auto"/>
              <w:jc w:val="center"/>
            </w:pPr>
            <w:r>
              <w:rPr>
                <w:rFonts w:ascii="Noto Sans" w:hAnsi="Noto Sans"/>
                <w:sz w:val="15"/>
              </w:rPr>
              <w:t>18</w:t>
            </w:r>
          </w:p>
        </w:tc>
        <w:tc>
          <w:tcPr>
            <w:tcW w:w="2400" w:type="dxa"/>
            <w:shd w:val="clear" w:color="auto" w:fill="F4F6F7"/>
            <w:tcMar>
              <w:top w:w="55" w:type="dxa"/>
              <w:left w:w="65" w:type="dxa"/>
              <w:bottom w:w="55" w:type="dxa"/>
              <w:right w:w="65" w:type="dxa"/>
            </w:tcMar>
            <w:vAlign w:val="center"/>
          </w:tcPr>
          <w:p w14:paraId="0F4448E9" w14:textId="77777777" w:rsidR="00937C4A" w:rsidRDefault="00000000">
            <w:pPr>
              <w:spacing w:after="0" w:line="240" w:lineRule="auto"/>
              <w:jc w:val="center"/>
            </w:pPr>
            <w:r>
              <w:rPr>
                <w:rFonts w:ascii="Noto Sans" w:hAnsi="Noto Sans"/>
                <w:sz w:val="15"/>
              </w:rPr>
              <w:t>0</w:t>
            </w:r>
          </w:p>
        </w:tc>
      </w:tr>
    </w:tbl>
    <w:p w14:paraId="2E50BA00" w14:textId="77777777" w:rsidR="00937C4A" w:rsidRDefault="00000000">
      <w:pPr>
        <w:pStyle w:val="BodyText"/>
      </w:pPr>
      <w:r>
        <w:t xml:space="preserve">The Maxwell count of a physical three-stone cairn ranges from </w:t>
      </w:r>
      <m:oMath>
        <m:r>
          <m:rPr>
            <m:sty m:val="p"/>
          </m:rPr>
          <w:rPr>
            <w:rFonts w:ascii="Cambria Math" w:hAnsi="Cambria Math"/>
          </w:rPr>
          <m:t>+</m:t>
        </m:r>
        <m:r>
          <w:rPr>
            <w:rFonts w:ascii="Cambria Math" w:hAnsi="Cambria Math"/>
          </w:rPr>
          <m:t>15</m:t>
        </m:r>
      </m:oMath>
      <w:r>
        <w:t xml:space="preserve"> to </w:t>
      </w:r>
      <m:oMath>
        <m:r>
          <m:rPr>
            <m:sty m:val="p"/>
          </m:rPr>
          <w:rPr>
            <w:rFonts w:ascii="Cambria Math" w:hAnsi="Cambria Math"/>
          </w:rPr>
          <m:t>-</m:t>
        </m:r>
        <m:r>
          <w:rPr>
            <w:rFonts w:ascii="Cambria Math" w:hAnsi="Cambria Math"/>
          </w:rPr>
          <m:t>9</m:t>
        </m:r>
      </m:oMath>
      <w:r>
        <w:t xml:space="preserve"> depending on a modelling decision that no measurement of the stack determines. A stone resting on a slightly convex surface makes a point contact; the same stone rocked five degrees may seat on a patch. The idealisation is not a description of the cairn; it is a description of the analyst.</w:t>
      </w:r>
    </w:p>
    <w:p w14:paraId="69FC51E9" w14:textId="77777777" w:rsidR="00937C4A" w:rsidRDefault="00000000">
      <w:pPr>
        <w:pStyle w:val="BodyText"/>
      </w:pPr>
      <w:r>
        <w:t>This is not a criticism of Maxwell–Calladine, which is exact. It is a statement about what exactness is worth when the input is a modelling choice. The invariant is real; the number you get out of it is a function of an assumption you cannot check.</w:t>
      </w:r>
    </w:p>
    <w:p w14:paraId="0FDF5587" w14:textId="77777777" w:rsidR="00937C4A" w:rsidRDefault="00000000">
      <w:pPr>
        <w:pStyle w:val="Heading3"/>
      </w:pPr>
      <w:bookmarkStart w:id="51" w:name="there-is-no-slenderness-spectrum"/>
      <w:bookmarkEnd w:id="50"/>
      <w:r>
        <w:rPr>
          <w:rFonts w:ascii="Noto Sans" w:eastAsia="Noto Sans" w:hAnsi="Noto Sans"/>
        </w:rPr>
        <w:t>8.5 There is no slenderness spectrum</w:t>
      </w:r>
    </w:p>
    <w:p w14:paraId="05E0D584" w14:textId="77777777" w:rsidR="00937C4A" w:rsidRDefault="00000000">
      <w:r>
        <w:t xml:space="preserve">The working notes proposed replacing the scalar </w:t>
      </w:r>
      <m:oMath>
        <m:r>
          <w:rPr>
            <w:rFonts w:ascii="Cambria Math" w:hAnsi="Cambria Math"/>
          </w:rPr>
          <m:t>α</m:t>
        </m:r>
      </m:oMath>
      <w:r>
        <w:t xml:space="preserve"> by a finite spectrum </w:t>
      </w:r>
      <m:oMath>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sSubSup>
      </m:oMath>
      <w:r>
        <w:t xml:space="preserve"> indexed by the mechanisms of </w:t>
      </w:r>
      <m:oMath>
        <m:r>
          <m:rPr>
            <m:sty m:val="p"/>
          </m:rPr>
          <w:rPr>
            <w:rFonts w:ascii="Cambria Math" w:hAnsi="Cambria Math"/>
          </w:rPr>
          <m:t>ker</m:t>
        </m:r>
        <m:r>
          <w:rPr>
            <w:rFonts w:ascii="Cambria Math" w:hAnsi="Cambria Math"/>
          </w:rPr>
          <m:t>C</m:t>
        </m:r>
      </m:oMath>
      <w:r>
        <w:t xml:space="preserve">, with the governing failure mode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Sup>
          <m:sSubSupPr>
            <m:ctrlPr>
              <w:rPr>
                <w:rFonts w:ascii="Cambria Math" w:hAnsi="Cambria Math"/>
              </w:rPr>
            </m:ctrlPr>
          </m:sSubSupPr>
          <m:e>
            <m:r>
              <w:rPr>
                <w:rFonts w:ascii="Cambria Math" w:hAnsi="Cambria Math"/>
              </w:rPr>
              <m:t>a</m:t>
            </m:r>
          </m:e>
          <m:sub>
            <m:r>
              <w:rPr>
                <w:rFonts w:ascii="Cambria Math" w:hAnsi="Cambria Math"/>
              </w:rPr>
              <m:t>0</m:t>
            </m:r>
            <m:r>
              <m:rPr>
                <m:sty m:val="p"/>
              </m:rPr>
              <w:rPr>
                <w:rFonts w:ascii="Cambria Math" w:hAnsi="Cambria Math"/>
              </w:rPr>
              <m:t>,</m:t>
            </m:r>
            <m:r>
              <w:rPr>
                <w:rFonts w:ascii="Cambria Math" w:hAnsi="Cambria Math"/>
              </w:rPr>
              <m:t>i</m:t>
            </m:r>
          </m:sub>
          <m:sup>
            <m:r>
              <m:rPr>
                <m:sty m:val="p"/>
              </m:rPr>
              <w:rPr>
                <w:rFonts w:ascii="Cambria Math" w:hAnsi="Cambria Math"/>
              </w:rPr>
              <m:t>cr</m:t>
            </m:r>
          </m:sup>
        </m:sSubSup>
      </m:oMath>
      <w:r>
        <w:t>.</w:t>
      </w:r>
    </w:p>
    <w:p w14:paraId="1D6BE8A5" w14:textId="77777777" w:rsidR="00937C4A" w:rsidRDefault="00000000">
      <w:pPr>
        <w:pStyle w:val="BodyText"/>
      </w:pPr>
      <w:r>
        <w:t xml:space="preserve">That construction is not well defined, and the reason is elementary: </w:t>
      </w:r>
      <w:r>
        <w:rPr>
          <w:b/>
          <w:bCs/>
        </w:rPr>
        <w:t xml:space="preserve">a basis of </w:t>
      </w:r>
      <m:oMath>
        <m:r>
          <m:rPr>
            <m:sty m:val="p"/>
          </m:rPr>
          <w:rPr>
            <w:rFonts w:ascii="Cambria Math" w:hAnsi="Cambria Math"/>
          </w:rPr>
          <m:t>ker</m:t>
        </m:r>
        <m:r>
          <w:rPr>
            <w:rFonts w:ascii="Cambria Math" w:hAnsi="Cambria Math"/>
          </w:rPr>
          <m:t>C</m:t>
        </m:r>
      </m:oMath>
      <w:r>
        <w:rPr>
          <w:b/>
          <w:bCs/>
        </w:rPr>
        <w:t xml:space="preserve"> is not unique.</w:t>
      </w:r>
      <w:r>
        <w:t xml:space="preserve"> Replacing </w:t>
      </w:r>
      <m:oMath>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by arbitrary linear combinations changes every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A quantity that depends on a choice of basis for a kernel is not a property of the cairn.</w:t>
      </w:r>
    </w:p>
    <w:p w14:paraId="4FC8C48D" w14:textId="77777777" w:rsidR="00937C4A" w:rsidRDefault="00000000">
      <w:pPr>
        <w:pStyle w:val="BodyText"/>
      </w:pPr>
      <w:r>
        <w:t xml:space="preserve">The invariant replacement is projective. For unilateral contacts the admissible directions form not a subspace but a </w:t>
      </w:r>
      <w:r>
        <w:rPr>
          <w:b/>
          <w:bCs/>
        </w:rPr>
        <w:t>cone</w:t>
      </w:r>
      <w:r>
        <w:t>,</w:t>
      </w:r>
    </w:p>
    <w:p w14:paraId="6429416B" w14:textId="77777777" w:rsidR="00937C4A" w:rsidRDefault="00000000">
      <w:pPr>
        <w:pStyle w:val="BodyText"/>
        <w:spacing w:before="100" w:after="140"/>
        <w:jc w:val="center"/>
      </w:pPr>
      <m:oMathPara>
        <m:oMathParaPr>
          <m:jc m:val="center"/>
        </m:oMathParaPr>
        <m:oMath>
          <m:r>
            <m:rPr>
              <m:scr m:val="script"/>
              <m:sty m:val="p"/>
            </m:rPr>
            <w:rPr>
              <w:rFonts w:ascii="Cambria Math" w:hAnsi="Cambria Math"/>
            </w:rPr>
            <m:t>M</m:t>
          </m:r>
          <m:r>
            <m:rPr>
              <m:sty m:val="p"/>
            </m:rPr>
            <w:rPr>
              <w:rFonts w:ascii="Cambria Math" w:hAnsi="Cambria Math"/>
            </w:rPr>
            <m:t>=ker</m:t>
          </m:r>
          <m:r>
            <w:rPr>
              <w:rFonts w:ascii="Cambria Math" w:hAnsi="Cambria Math"/>
            </w:rPr>
            <m:t>C</m:t>
          </m:r>
          <m:r>
            <m:rPr>
              <m:scr m:val="script"/>
              <m:sty m:val="p"/>
            </m:rPr>
            <w:rPr>
              <w:rFonts w:ascii="Cambria Math" w:hAnsi="Cambria Math"/>
            </w:rPr>
            <m:t>∩K,</m:t>
          </m:r>
        </m:oMath>
      </m:oMathPara>
    </w:p>
    <w:p w14:paraId="1DBF8ACD" w14:textId="77777777" w:rsidR="00937C4A" w:rsidRDefault="00000000">
      <w:r>
        <w:t xml:space="preserve">where </w:t>
      </w:r>
      <m:oMath>
        <m:r>
          <m:rPr>
            <m:scr m:val="script"/>
            <m:sty m:val="p"/>
          </m:rPr>
          <w:rPr>
            <w:rFonts w:ascii="Cambria Math" w:hAnsi="Cambria Math"/>
          </w:rPr>
          <m:t>K</m:t>
        </m:r>
      </m:oMath>
      <w:r>
        <w:t xml:space="preserve"> imposes non-penetration and the active stick–slip conditions. Define the threshold on rays and take the infimum:</w:t>
      </w:r>
    </w:p>
    <w:p w14:paraId="583CA7A6" w14:textId="77777777" w:rsidR="00937C4A" w:rsidRDefault="00000000">
      <w:pPr>
        <w:pStyle w:val="BodyText"/>
        <w:spacing w:before="100" w:after="140"/>
        <w:jc w:val="center"/>
      </w:pPr>
      <m:oMathPara>
        <m:oMathParaPr>
          <m:jc m:val="center"/>
        </m:oMathParaPr>
        <m:oMath>
          <m:borderBox>
            <m:borderBoxPr>
              <m:ctrlPr>
                <w:rPr>
                  <w:rFonts w:ascii="Cambria Math" w:hAnsi="Cambria Math"/>
                </w:rPr>
              </m:ctrlPr>
            </m:borderBoxPr>
            <m:e>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0</m:t>
                  </m:r>
                  <m:r>
                    <m:rPr>
                      <m:sty m:val="p"/>
                    </m:rPr>
                    <w:rPr>
                      <w:rFonts w:ascii="Cambria Math" w:hAnsi="Cambria Math"/>
                    </w:rPr>
                    <m:t>,stack</m:t>
                  </m:r>
                </m:sub>
                <m:sup>
                  <m:r>
                    <m:rPr>
                      <m:sty m:val="p"/>
                    </m:rPr>
                    <w:rPr>
                      <w:rFonts w:ascii="Cambria Math" w:hAnsi="Cambria Math"/>
                    </w:rPr>
                    <m:t>cr</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d>
                    <m:dPr>
                      <m:begChr m:val="["/>
                      <m:endChr m:val="]"/>
                      <m:ctrlPr>
                        <w:rPr>
                          <w:rFonts w:ascii="Cambria Math" w:hAnsi="Cambria Math"/>
                        </w:rPr>
                      </m:ctrlPr>
                    </m:dPr>
                    <m:e>
                      <m:r>
                        <w:rPr>
                          <w:rFonts w:ascii="Cambria Math" w:hAnsi="Cambria Math"/>
                        </w:rPr>
                        <m:t>ξ</m:t>
                      </m:r>
                    </m:e>
                  </m:d>
                  <m:r>
                    <m:rPr>
                      <m:scr m:val="double-struck"/>
                      <m:sty m:val="p"/>
                    </m:rPr>
                    <w:rPr>
                      <w:rFonts w:ascii="Cambria Math" w:hAnsi="Cambria Math"/>
                    </w:rPr>
                    <m:t>∈P</m:t>
                  </m:r>
                  <m:d>
                    <m:dPr>
                      <m:ctrlPr>
                        <w:rPr>
                          <w:rFonts w:ascii="Cambria Math" w:hAnsi="Cambria Math"/>
                        </w:rPr>
                      </m:ctrlPr>
                    </m:dPr>
                    <m:e>
                      <m:r>
                        <m:rPr>
                          <m:scr m:val="script"/>
                          <m:sty m:val="p"/>
                        </m:rPr>
                        <w:rPr>
                          <w:rFonts w:ascii="Cambria Math" w:hAnsi="Cambria Math"/>
                        </w:rPr>
                        <m:t>M</m:t>
                      </m:r>
                    </m:e>
                  </m:d>
                </m:lim>
              </m:limLow>
              <m:sSubSup>
                <m:sSubSupPr>
                  <m:ctrlPr>
                    <w:rPr>
                      <w:rFonts w:ascii="Cambria Math" w:hAnsi="Cambria Math"/>
                    </w:rPr>
                  </m:ctrlPr>
                </m:sSubSupPr>
                <m:e>
                  <m:r>
                    <w:rPr>
                      <w:rFonts w:ascii="Cambria Math" w:hAnsi="Cambria Math"/>
                    </w:rPr>
                    <m:t>a</m:t>
                  </m:r>
                </m:e>
                <m:sub>
                  <m:r>
                    <w:rPr>
                      <w:rFonts w:ascii="Cambria Math" w:hAnsi="Cambria Math"/>
                    </w:rPr>
                    <m:t>0</m:t>
                  </m:r>
                </m:sub>
                <m:sup>
                  <m:r>
                    <m:rPr>
                      <m:sty m:val="p"/>
                    </m:rPr>
                    <w:rPr>
                      <w:rFonts w:ascii="Cambria Math" w:hAnsi="Cambria Math"/>
                    </w:rPr>
                    <m:t>cr</m:t>
                  </m:r>
                </m:sup>
              </m:sSubSup>
              <m:d>
                <m:dPr>
                  <m:ctrlPr>
                    <w:rPr>
                      <w:rFonts w:ascii="Cambria Math" w:hAnsi="Cambria Math"/>
                    </w:rPr>
                  </m:ctrlPr>
                </m:dPr>
                <m:e>
                  <m:d>
                    <m:dPr>
                      <m:begChr m:val="["/>
                      <m:endChr m:val="]"/>
                      <m:ctrlPr>
                        <w:rPr>
                          <w:rFonts w:ascii="Cambria Math" w:hAnsi="Cambria Math"/>
                        </w:rPr>
                      </m:ctrlPr>
                    </m:dPr>
                    <m:e>
                      <m:r>
                        <w:rPr>
                          <w:rFonts w:ascii="Cambria Math" w:hAnsi="Cambria Math"/>
                        </w:rPr>
                        <m:t>ξ</m:t>
                      </m:r>
                    </m:e>
                  </m:d>
                </m:e>
              </m:d>
              <m:r>
                <m:rPr>
                  <m:sty m:val="p"/>
                </m:rPr>
                <w:rPr>
                  <w:rFonts w:ascii="Cambria Math" w:hAnsi="Cambria Math"/>
                </w:rPr>
                <m:t>.</m:t>
              </m:r>
              <m:r>
                <w:rPr>
                  <w:rFonts w:ascii="Cambria Math" w:hAnsi="Cambria Math"/>
                </w:rPr>
                <m:t> </m:t>
              </m:r>
            </m:e>
          </m:borderBox>
          <m:r>
            <w:rPr>
              <w:rFonts w:ascii="Cambria Math" w:hAnsi="Cambria Math"/>
            </w:rPr>
            <m:t>  </m:t>
          </m:r>
          <m:r>
            <m:rPr>
              <m:nor/>
            </m:rPr>
            <m:t>[P]</m:t>
          </m:r>
        </m:oMath>
      </m:oMathPara>
    </w:p>
    <w:p w14:paraId="29F86898" w14:textId="77777777" w:rsidR="00937C4A" w:rsidRDefault="00000000">
      <w:r>
        <w:t xml:space="preserve">A cairn does not possess one slenderness. It possesses a </w:t>
      </w:r>
      <w:r>
        <w:rPr>
          <w:b/>
          <w:bCs/>
        </w:rPr>
        <w:t>projective family of admissible failure directions</w:t>
      </w:r>
      <w:r>
        <w:t>, and its threshold is the infimum over that family.</w:t>
      </w:r>
    </w:p>
    <w:p w14:paraId="39D1482A" w14:textId="77777777" w:rsidR="00937C4A" w:rsidRDefault="00000000">
      <w:r>
        <w:t>A discrete spectrum reappears only if some further invariant construction isolates critical rays — a generalised eigenproblem built from the restricted inertia and the potential Hessian, or a finite set of isolated nonlinear mechanisms. That construction has not been carried out here.</w:t>
      </w:r>
    </w:p>
    <w:p w14:paraId="2CCA4EE6" w14:textId="77777777" w:rsidR="00937C4A" w:rsidRDefault="00000000">
      <w:pPr>
        <w:pStyle w:val="Heading3"/>
      </w:pPr>
      <w:bookmarkStart w:id="52" w:name="where-the-linear-theory-stops"/>
      <w:bookmarkEnd w:id="51"/>
      <w:r>
        <w:rPr>
          <w:rFonts w:ascii="Noto Sans" w:eastAsia="Noto Sans" w:hAnsi="Noto Sans"/>
        </w:rPr>
        <w:t>8.6 Where the linear theory stops</w:t>
      </w:r>
    </w:p>
    <w:p w14:paraId="684186A6" w14:textId="77777777" w:rsidR="00937C4A" w:rsidRDefault="00000000">
      <w:r>
        <w:t>The cone is where the trouble is, and it is worth being explicit about the shape of the trouble because it recurs in Chapter 19.</w:t>
      </w:r>
    </w:p>
    <w:p w14:paraId="34D777E1" w14:textId="77777777" w:rsidR="00937C4A" w:rsidRDefault="00000000">
      <w:pPr>
        <w:pStyle w:val="BodyText"/>
      </w:pPr>
      <m:oMath>
        <m:r>
          <m:rPr>
            <m:sty m:val="p"/>
          </m:rPr>
          <w:rPr>
            <w:rFonts w:ascii="Cambria Math" w:hAnsi="Cambria Math"/>
          </w:rPr>
          <m:t>ker</m:t>
        </m:r>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oMath>
      <w:r>
        <w:t xml:space="preserve"> is a vector space of self-stresses of arbitrary sign. Physical contact forces are constrained to </w:t>
      </w:r>
      <m:oMath>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m:t>
        </m:r>
        <m:r>
          <w:rPr>
            <w:rFonts w:ascii="Cambria Math" w:hAnsi="Cambria Math"/>
          </w:rPr>
          <m:t>0</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μ</m:t>
        </m:r>
        <m:sSub>
          <m:sSubPr>
            <m:ctrlPr>
              <w:rPr>
                <w:rFonts w:ascii="Cambria Math" w:hAnsi="Cambria Math"/>
              </w:rPr>
            </m:ctrlPr>
          </m:sSubPr>
          <m:e>
            <m:r>
              <w:rPr>
                <w:rFonts w:ascii="Cambria Math" w:hAnsi="Cambria Math"/>
              </w:rPr>
              <m:t>λ</m:t>
            </m:r>
          </m:e>
          <m:sub>
            <m:r>
              <w:rPr>
                <w:rFonts w:ascii="Cambria Math" w:hAnsi="Cambria Math"/>
              </w:rPr>
              <m:t>n</m:t>
            </m:r>
          </m:sub>
        </m:sSub>
      </m:oMath>
      <w:r>
        <w:t>. Static stability is then the Farkas condition that the gravity load lie in the cone generated by admissible contact wrenches — a linear-programming feasibility question, not a linear-algebraic one.</w:t>
      </w:r>
    </w:p>
    <w:p w14:paraId="491EC9F4" w14:textId="77777777" w:rsidR="00937C4A" w:rsidRDefault="00000000">
      <w:pPr>
        <w:pStyle w:val="BodyText"/>
      </w:pPr>
      <w:r>
        <w:t>And here is the difficulty:</w:t>
      </w:r>
    </w:p>
    <w:p w14:paraId="3D367FF7" w14:textId="77777777" w:rsidR="00937C4A" w:rsidRDefault="00000000">
      <w:r>
        <w:rPr>
          <w:b/>
          <w:bCs/>
        </w:rPr>
        <w:t>A cone is contractible. Its homology is trivial.</w:t>
      </w:r>
    </w:p>
    <w:p w14:paraId="6ED7F6E7" w14:textId="77777777" w:rsidR="00937C4A" w:rsidRDefault="00000000">
      <w:r>
        <w:lastRenderedPageBreak/>
        <w:t xml:space="preserve">All the mechanical content of unilaterality lives in the </w:t>
      </w:r>
      <w:r>
        <w:rPr>
          <w:b/>
          <w:bCs/>
        </w:rPr>
        <w:t>combinatorics of the face lattice</w:t>
      </w:r>
      <w:r>
        <w:t xml:space="preserve"> of </w:t>
      </w:r>
      <m:oMath>
        <m:r>
          <m:rPr>
            <m:scr m:val="script"/>
            <m:sty m:val="p"/>
          </m:rPr>
          <w:rPr>
            <w:rFonts w:ascii="Cambria Math" w:hAnsi="Cambria Math"/>
          </w:rPr>
          <m:t>K</m:t>
        </m:r>
      </m:oMath>
      <w:r>
        <w:t xml:space="preserve"> — which faces are active, how the active set changes under load — and homology over a field cannot see any of it. Sheaf cohomology, applied to a contact structure, delivers the linear skeleton and then stops exactly where the physics begins.</w:t>
      </w:r>
    </w:p>
    <w:p w14:paraId="6E27E364" w14:textId="77777777" w:rsidR="00937C4A" w:rsidRDefault="00000000">
      <w:pPr>
        <w:pStyle w:val="BodyText"/>
      </w:pPr>
      <w:r>
        <w:t>Worse, the frictional complementarity problem need not have a unique solution, and need not have any (the Painlevé paradox). “The” self-stress class may not be well defined at all.</w:t>
      </w:r>
    </w:p>
    <w:p w14:paraId="0B4B6DB1" w14:textId="77777777" w:rsidR="00937C4A" w:rsidRDefault="00000000">
      <w:pPr>
        <w:pStyle w:val="BodyText"/>
      </w:pPr>
      <w:r>
        <w:t xml:space="preserve">What would be needed is a sheaf valued in ordered vector spaces, or a conewise-linear or tropical analogue that respects the sign structure. I am not aware of such a theory in usable form. This is labelled </w:t>
      </w:r>
      <w:r>
        <w:rPr>
          <w:rFonts w:ascii="Noto Sans" w:eastAsia="Noto Sans" w:hAnsi="Noto Sans"/>
          <w:b/>
          <w:bCs/>
          <w:color w:val="6F4C91"/>
          <w:sz w:val="19"/>
        </w:rPr>
        <w:t>[P]</w:t>
      </w:r>
      <w:r>
        <w:t xml:space="preserve"> and should be read as an open problem, not a derivation.</w:t>
      </w:r>
    </w:p>
    <w:p w14:paraId="67BBC43D" w14:textId="77777777" w:rsidR="00937C4A" w:rsidRDefault="00000000">
      <w:pPr>
        <w:pStyle w:val="Heading1"/>
        <w:pageBreakBefore/>
        <w:spacing w:before="3800" w:after="0"/>
      </w:pPr>
      <w:bookmarkStart w:id="53" w:name="part-iii-what-survives-perturbation-1"/>
      <w:bookmarkEnd w:id="22"/>
      <w:bookmarkEnd w:id="46"/>
      <w:bookmarkEnd w:id="52"/>
      <w:r>
        <w:rPr>
          <w:rFonts w:ascii="Noto Sans" w:eastAsia="Noto Sans" w:hAnsi="Noto Sans"/>
          <w:sz w:val="44"/>
        </w:rPr>
        <w:lastRenderedPageBreak/>
        <w:t>PART III — WHAT SURVIVES PERTURBATION</w:t>
      </w:r>
    </w:p>
    <w:p w14:paraId="2964470E" w14:textId="77777777" w:rsidR="00937C4A" w:rsidRDefault="00000000">
      <w:pPr>
        <w:pStyle w:val="Heading2"/>
        <w:pageBreakBefore/>
        <w:pBdr>
          <w:bottom w:val="single" w:sz="5" w:space="5" w:color="B8C1C6"/>
        </w:pBdr>
        <w:spacing w:after="280"/>
      </w:pPr>
      <w:bookmarkStart w:id="54" w:name="chapter-9-basins-and-their-boundaries"/>
      <w:r>
        <w:rPr>
          <w:rFonts w:ascii="EB Garamond" w:eastAsia="EB Garamond" w:hAnsi="EB Garamond"/>
          <w:sz w:val="40"/>
        </w:rPr>
        <w:lastRenderedPageBreak/>
        <w:t>Chapter 9 — Basins and Their Boundaries</w:t>
      </w:r>
    </w:p>
    <w:p w14:paraId="0706B756" w14:textId="77777777" w:rsidR="00937C4A" w:rsidRDefault="00000000">
      <w:pPr>
        <w:pStyle w:val="Heading3"/>
      </w:pPr>
      <w:bookmarkStart w:id="55" w:name="the-objects"/>
      <w:r>
        <w:rPr>
          <w:rFonts w:ascii="Noto Sans" w:eastAsia="Noto Sans" w:hAnsi="Noto Sans"/>
        </w:rPr>
        <w:t>9.1 The objects</w:t>
      </w:r>
    </w:p>
    <w:p w14:paraId="27B40A27" w14:textId="77777777" w:rsidR="00937C4A" w:rsidRDefault="00000000">
      <w:r>
        <w:t xml:space="preserve">Fix an excitation and an observation horizon </w:t>
      </w:r>
      <m:oMath>
        <m:r>
          <w:rPr>
            <w:rFonts w:ascii="Cambria Math" w:hAnsi="Cambria Math"/>
          </w:rPr>
          <m:t>T</m:t>
        </m:r>
      </m:oMath>
      <w:r>
        <w:t>. Define the escape-time function</w:t>
      </w:r>
    </w:p>
    <w:p w14:paraId="40F63E94"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esc</m:t>
              </m:r>
            </m:sub>
          </m:sSub>
          <m:r>
            <m:rPr>
              <m:scr m:val="script"/>
              <m:sty m:val="p"/>
            </m:rPr>
            <w:rPr>
              <w:rFonts w:ascii="Cambria Math" w:hAnsi="Cambria Math"/>
            </w:rPr>
            <m:t>:X→</m:t>
          </m:r>
          <m:d>
            <m:dPr>
              <m:begChr m:val="["/>
              <m:endChr m:val="]"/>
              <m:ctrlPr>
                <w:rPr>
                  <w:rFonts w:ascii="Cambria Math" w:hAnsi="Cambria Math"/>
                </w:rPr>
              </m:ctrlPr>
            </m:dPr>
            <m:e>
              <m:r>
                <w:rPr>
                  <w:rFonts w:ascii="Cambria Math" w:hAnsi="Cambria Math"/>
                </w:rPr>
                <m:t>0</m:t>
              </m:r>
              <m:r>
                <m:rPr>
                  <m:sty m:val="p"/>
                </m:rPr>
                <w:rPr>
                  <w:rFonts w:ascii="Cambria Math" w:hAnsi="Cambria Math"/>
                </w:rPr>
                <m:t>,∞</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esc</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r>
            <m:rPr>
              <m:sty m:val="p"/>
            </m:rPr>
            <w:rPr>
              <w:rFonts w:ascii="Cambria Math" w:hAnsi="Cambria Math"/>
            </w:rPr>
            <m:t>=inf{</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t</m:t>
              </m:r>
            </m:sup>
          </m:sSup>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r>
            <m:rPr>
              <m:scr m:val="script"/>
              <m:sty m:val="p"/>
            </m:rPr>
            <w:rPr>
              <w:rFonts w:ascii="Cambria Math" w:hAnsi="Cambria Math"/>
            </w:rPr>
            <m:t>∈T},</m:t>
          </m:r>
        </m:oMath>
      </m:oMathPara>
    </w:p>
    <w:p w14:paraId="41CB8763" w14:textId="77777777" w:rsidR="00937C4A" w:rsidRDefault="00000000">
      <w:r>
        <w:t>and the finite-time non-escape set</w:t>
      </w:r>
    </w:p>
    <w:p w14:paraId="3815AFB7"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θ</m:t>
              </m:r>
              <m:d>
                <m:dPr>
                  <m:ctrlPr>
                    <w:rPr>
                      <w:rFonts w:ascii="Cambria Math" w:hAnsi="Cambria Math"/>
                    </w:rPr>
                  </m:ctrlPr>
                </m:dPr>
                <m:e>
                  <m:r>
                    <w:rPr>
                      <w:rFonts w:ascii="Cambria Math" w:hAnsi="Cambria Math"/>
                    </w:rPr>
                    <m:t>t</m:t>
                  </m:r>
                </m:e>
              </m:d>
            </m:e>
          </m:d>
          <m:r>
            <m:rPr>
              <m:sty m:val="p"/>
            </m:rPr>
            <w:rPr>
              <w:rFonts w:ascii="Cambria Math" w:hAnsi="Cambria Math"/>
            </w:rPr>
            <m:t>&lt;</m:t>
          </m:r>
          <m:r>
            <w:rPr>
              <w:rFonts w:ascii="Cambria Math" w:hAnsi="Cambria Math"/>
            </w:rPr>
            <m:t>Θ  </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r>
            <m:rPr>
              <m:sty m:val="p"/>
            </m:rPr>
            <w:rPr>
              <w:rFonts w:ascii="Cambria Math" w:hAnsi="Cambria Math"/>
            </w:rPr>
            <m:t>}.</m:t>
          </m:r>
        </m:oMath>
      </m:oMathPara>
    </w:p>
    <w:p w14:paraId="3302D5A6" w14:textId="77777777" w:rsidR="00937C4A" w:rsidRDefault="00000000">
      <w:r>
        <w:t xml:space="preserve">The subscripts are not decoration. Chapter 10 retracts a result that was computed on </w:t>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3α</m:t>
            </m:r>
          </m:sub>
        </m:sSub>
      </m:oMath>
      <w:r>
        <w:t xml:space="preserve"> and reported as though it were a survival basin. Every finite-time non-escape set carries a horizon and a threshold, and both belong in the name.</w:t>
      </w:r>
    </w:p>
    <w:p w14:paraId="0ECB16CD" w14:textId="77777777" w:rsidR="00937C4A" w:rsidRDefault="00000000">
      <w:pPr>
        <w:pStyle w:val="Heading3"/>
      </w:pPr>
      <w:bookmarkStart w:id="56" w:name="why-the-boundary-can-be-rough-saltation"/>
      <w:bookmarkEnd w:id="55"/>
      <w:r>
        <w:rPr>
          <w:rFonts w:ascii="Noto Sans" w:eastAsia="Noto Sans" w:hAnsi="Noto Sans"/>
        </w:rPr>
        <w:t>9.2 Why the boundary can be rough: saltation</w:t>
      </w:r>
    </w:p>
    <w:p w14:paraId="2036739E" w14:textId="77777777" w:rsidR="00937C4A" w:rsidRDefault="00000000">
      <w:r>
        <w:t xml:space="preserve">Sensitivity in an impacting system does not propagate through the state-transition matrix alone. At each crossing of a switching surface </w:t>
      </w:r>
      <m:oMath>
        <m:r>
          <w:rPr>
            <w:rFonts w:ascii="Cambria Math" w:hAnsi="Cambria Math"/>
          </w:rPr>
          <m:t>h</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0</m:t>
        </m:r>
      </m:oMath>
      <w:r>
        <w:t xml:space="preserve"> the tangent map is multiplied by a </w:t>
      </w:r>
      <w:r>
        <w:rPr>
          <w:b/>
          <w:bCs/>
        </w:rPr>
        <w:t>saltation matrix</w:t>
      </w:r>
    </w:p>
    <w:p w14:paraId="63FE3044" w14:textId="77777777" w:rsidR="00937C4A" w:rsidRDefault="00000000">
      <w:pPr>
        <w:pStyle w:val="BodyText"/>
        <w:spacing w:before="100" w:after="140"/>
        <w:jc w:val="center"/>
      </w:pPr>
      <m:oMathPara>
        <m:oMathParaPr>
          <m:jc m:val="center"/>
        </m:oMathParaPr>
        <m:oMath>
          <m:r>
            <w:rPr>
              <w:rFonts w:ascii="Cambria Math" w:hAnsi="Cambria Math"/>
            </w:rPr>
            <m:t>Ξ</m:t>
          </m:r>
          <m:r>
            <m:rPr>
              <m:sty m:val="p"/>
            </m:rPr>
            <w:rPr>
              <w:rFonts w:ascii="Cambria Math" w:hAnsi="Cambria Math"/>
            </w:rPr>
            <m:t>=</m:t>
          </m:r>
          <m:r>
            <w:rPr>
              <w:rFonts w:ascii="Cambria Math" w:hAnsi="Cambria Math"/>
            </w:rPr>
            <m:t>DΔ</m:t>
          </m:r>
          <m:r>
            <m:rPr>
              <m:sty m:val="p"/>
            </m:rPr>
            <w:rPr>
              <w:rFonts w:ascii="Cambria Math" w:hAnsi="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DΔ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Δ</m:t>
                  </m:r>
                </m:e>
              </m:d>
              <m:r>
                <w:rPr>
                  <w:rFonts w:ascii="Cambria Math" w:hAnsi="Cambria Math"/>
                </w:rPr>
                <m:t> </m:t>
              </m:r>
              <m:sSup>
                <m:sSupPr>
                  <m:ctrlPr>
                    <w:rPr>
                      <w:rFonts w:ascii="Cambria Math" w:hAnsi="Cambria Math"/>
                    </w:rPr>
                  </m:ctrlPr>
                </m:sSupPr>
                <m:e>
                  <m:r>
                    <w:rPr>
                      <w:rFonts w:ascii="Cambria Math" w:hAnsi="Cambria Math"/>
                    </w:rPr>
                    <m:t>n</m:t>
                  </m:r>
                </m:e>
                <m:sup>
                  <m:r>
                    <m:rPr>
                      <m:scr m:val="sans-serif"/>
                      <m:sty m:val="p"/>
                    </m:rPr>
                    <w:rPr>
                      <w:rFonts w:ascii="Cambria Math" w:hAnsi="Cambria Math"/>
                    </w:rPr>
                    <m:t>T</m:t>
                  </m:r>
                </m:sup>
              </m:sSup>
            </m:num>
            <m:den>
              <m:sSup>
                <m:sSupPr>
                  <m:ctrlPr>
                    <w:rPr>
                      <w:rFonts w:ascii="Cambria Math" w:hAnsi="Cambria Math"/>
                    </w:rPr>
                  </m:ctrlPr>
                </m:sSupPr>
                <m:e>
                  <m:r>
                    <w:rPr>
                      <w:rFonts w:ascii="Cambria Math" w:hAnsi="Cambria Math"/>
                    </w:rPr>
                    <m:t>n</m:t>
                  </m:r>
                </m:e>
                <m:sup>
                  <m:r>
                    <m:rPr>
                      <m:scr m:val="sans-serif"/>
                      <m:sty m:val="p"/>
                    </m:rPr>
                    <w:rPr>
                      <w:rFonts w:ascii="Cambria Math" w:hAnsi="Cambria Math"/>
                    </w:rPr>
                    <m:t>T</m:t>
                  </m:r>
                </m:sup>
              </m:sSup>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h</m:t>
              </m:r>
            </m:den>
          </m:f>
          <m:r>
            <m:rPr>
              <m:sty m:val="p"/>
            </m:rPr>
            <w:rPr>
              <w:rFonts w:ascii="Cambria Math" w:hAnsi="Cambria Math"/>
            </w:rPr>
            <m:t>,</m:t>
          </m:r>
          <m:r>
            <w:rPr>
              <w:rFonts w:ascii="Cambria Math" w:hAnsi="Cambria Math"/>
            </w:rPr>
            <m:t>  n</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z</m:t>
              </m:r>
            </m:sub>
          </m:sSub>
          <m:r>
            <w:rPr>
              <w:rFonts w:ascii="Cambria Math" w:hAnsi="Cambria Math"/>
            </w:rPr>
            <m:t>h</m:t>
          </m:r>
          <m:r>
            <m:rPr>
              <m:sty m:val="p"/>
            </m:rPr>
            <w:rPr>
              <w:rFonts w:ascii="Cambria Math" w:hAnsi="Cambria Math"/>
            </w:rPr>
            <m:t>,</m:t>
          </m:r>
        </m:oMath>
      </m:oMathPara>
    </w:p>
    <w:p w14:paraId="298E7F90" w14:textId="77777777" w:rsidR="00937C4A" w:rsidRDefault="00000000">
      <w:r>
        <w:t xml:space="preserve">so that over an itinerary with </w:t>
      </w:r>
      <m:oMath>
        <m:r>
          <w:rPr>
            <w:rFonts w:ascii="Cambria Math" w:hAnsi="Cambria Math"/>
          </w:rPr>
          <m:t>m</m:t>
        </m:r>
      </m:oMath>
      <w:r>
        <w:t xml:space="preserve"> impacts,</w:t>
      </w:r>
    </w:p>
    <w:p w14:paraId="5AC08F80" w14:textId="77777777" w:rsidR="00937C4A" w:rsidRDefault="00000000">
      <w:pPr>
        <w:pStyle w:val="BodyText"/>
        <w:spacing w:before="100" w:after="140"/>
        <w:jc w:val="center"/>
      </w:pPr>
      <m:oMathPara>
        <m:oMathParaPr>
          <m:jc m:val="center"/>
        </m:oMathParaPr>
        <m:oMath>
          <m:r>
            <w:rPr>
              <w:rFonts w:ascii="Cambria Math" w:hAnsi="Cambria Math"/>
            </w:rPr>
            <m:t>D</m:t>
          </m:r>
          <m:sSup>
            <m:sSupPr>
              <m:ctrlPr>
                <w:rPr>
                  <w:rFonts w:ascii="Cambria Math" w:hAnsi="Cambria Math"/>
                </w:rPr>
              </m:ctrlPr>
            </m:sSupPr>
            <m:e>
              <m:r>
                <w:rPr>
                  <w:rFonts w:ascii="Cambria Math" w:hAnsi="Cambria Math"/>
                </w:rPr>
                <m:t>Φ</m:t>
              </m:r>
            </m:e>
            <m:sup>
              <m:r>
                <w:rPr>
                  <w:rFonts w:ascii="Cambria Math" w:hAnsi="Cambria Math"/>
                </w:rPr>
                <m:t>T</m:t>
              </m:r>
            </m:sup>
          </m:sSup>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m</m:t>
              </m:r>
            </m:sub>
          </m:sSub>
          <m:sSub>
            <m:sSubPr>
              <m:ctrlPr>
                <w:rPr>
                  <w:rFonts w:ascii="Cambria Math" w:hAnsi="Cambria Math"/>
                </w:rPr>
              </m:ctrlPr>
            </m:sSubPr>
            <m:e>
              <m:r>
                <w:rPr>
                  <w:rFonts w:ascii="Cambria Math" w:hAnsi="Cambria Math"/>
                </w:rPr>
                <m:t>Ξ</m:t>
              </m:r>
            </m:e>
            <m:sub>
              <m:r>
                <w:rPr>
                  <w:rFonts w:ascii="Cambria Math" w:hAnsi="Cambria Math"/>
                </w:rPr>
                <m:t>m</m:t>
              </m:r>
            </m:sub>
          </m:sSub>
          <m:sSub>
            <m:sSubPr>
              <m:ctrlPr>
                <w:rPr>
                  <w:rFonts w:ascii="Cambria Math" w:hAnsi="Cambria Math"/>
                </w:rPr>
              </m:ctrlPr>
            </m:sSubPr>
            <m:e>
              <m:r>
                <w:rPr>
                  <w:rFonts w:ascii="Cambria Math" w:hAnsi="Cambria Math"/>
                </w:rPr>
                <m:t>Φ</m:t>
              </m:r>
            </m:e>
            <m:sub>
              <m:r>
                <w:rPr>
                  <w:rFonts w:ascii="Cambria Math" w:hAnsi="Cambria Math"/>
                </w:rPr>
                <m:t>m</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m</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Φ</m:t>
              </m:r>
            </m:e>
            <m:sub>
              <m:r>
                <w:rPr>
                  <w:rFonts w:ascii="Cambria Math" w:hAnsi="Cambria Math"/>
                </w:rPr>
                <m:t>0</m:t>
              </m:r>
            </m:sub>
          </m:sSub>
          <m:r>
            <m:rPr>
              <m:sty m:val="p"/>
            </m:rPr>
            <w:rPr>
              <w:rFonts w:ascii="Cambria Math" w:hAnsi="Cambria Math"/>
            </w:rPr>
            <m:t>,</m:t>
          </m:r>
        </m:oMath>
      </m:oMathPara>
    </w:p>
    <w:p w14:paraId="284E19B0" w14:textId="77777777" w:rsidR="00937C4A" w:rsidRDefault="00000000">
      <w:r>
        <w:t>and the largest Lyapunov exponent is</w:t>
      </w:r>
    </w:p>
    <w:p w14:paraId="573C35E6"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limsup</m:t>
              </m:r>
            </m:e>
            <m:lim>
              <m:r>
                <w:rPr>
                  <w:rFonts w:ascii="Cambria Math" w:hAnsi="Cambria Math"/>
                </w:rPr>
                <m:t>T</m:t>
              </m:r>
              <m:r>
                <m:rPr>
                  <m:sty m:val="p"/>
                </m:rPr>
                <w:rPr>
                  <w:rFonts w:ascii="Cambria Math" w:hAnsi="Cambria Math"/>
                </w:rPr>
                <m:t>→∞</m:t>
              </m:r>
            </m:lim>
          </m:limLow>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log∥</m:t>
          </m:r>
          <m:r>
            <w:rPr>
              <w:rFonts w:ascii="Cambria Math" w:hAnsi="Cambria Math"/>
            </w:rPr>
            <m:t>D</m:t>
          </m:r>
          <m:sSup>
            <m:sSupPr>
              <m:ctrlPr>
                <w:rPr>
                  <w:rFonts w:ascii="Cambria Math" w:hAnsi="Cambria Math"/>
                </w:rPr>
              </m:ctrlPr>
            </m:sSupPr>
            <m:e>
              <m:r>
                <w:rPr>
                  <w:rFonts w:ascii="Cambria Math" w:hAnsi="Cambria Math"/>
                </w:rPr>
                <m:t>Φ</m:t>
              </m:r>
            </m:e>
            <m:sup>
              <m:r>
                <w:rPr>
                  <w:rFonts w:ascii="Cambria Math" w:hAnsi="Cambria Math"/>
                </w:rPr>
                <m:t>T</m:t>
              </m:r>
            </m:sup>
          </m:sSup>
          <m:r>
            <m:rPr>
              <m:sty m:val="p"/>
            </m:rPr>
            <w:rPr>
              <w:rFonts w:ascii="Cambria Math" w:hAnsi="Cambria Math"/>
            </w:rPr>
            <m:t>∥.</m:t>
          </m:r>
        </m:oMath>
      </m:oMathPara>
    </w:p>
    <w:p w14:paraId="3BECA4E7" w14:textId="77777777" w:rsidR="00937C4A" w:rsidRDefault="00000000">
      <w:r>
        <w:t xml:space="preserve">For the rocking block </w:t>
      </w:r>
      <m:oMath>
        <m:r>
          <w:rPr>
            <w:rFonts w:ascii="Cambria Math" w:hAnsi="Cambria Math"/>
          </w:rPr>
          <m:t>Δ</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e>
        </m:d>
        <m:r>
          <m:rPr>
            <m:sty m:val="p"/>
          </m:rPr>
          <w:rPr>
            <w:rFonts w:ascii="Cambria Math" w:hAnsi="Cambria Math"/>
          </w:rPr>
          <m:t>=</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rθ</m:t>
            </m:r>
            <m:r>
              <m:rPr>
                <m:sty m:val="p"/>
              </m:rPr>
              <w:rPr>
                <w:rFonts w:ascii="Cambria Math" w:hAnsi="Cambria Math"/>
              </w:rPr>
              <m:t>'</m:t>
            </m:r>
          </m:e>
        </m:d>
      </m:oMath>
      <w:r>
        <w:t xml:space="preserve">, so </w:t>
      </w:r>
      <m:oMath>
        <m:r>
          <w:rPr>
            <w:rFonts w:ascii="Cambria Math" w:hAnsi="Cambria Math"/>
          </w:rPr>
          <m:t>DΔ</m:t>
        </m:r>
        <m:r>
          <m:rPr>
            <m:sty m:val="p"/>
          </m:rPr>
          <w:rPr>
            <w:rFonts w:ascii="Cambria Math" w:hAnsi="Cambria Math"/>
          </w:rPr>
          <m:t>=diag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oMath>
      <w:r>
        <w:t xml:space="preserve"> and the saltation correction is entirely in the second term.</w:t>
      </w:r>
    </w:p>
    <w:p w14:paraId="007EFE6D" w14:textId="77777777" w:rsidR="00937C4A" w:rsidRDefault="00000000">
      <w:pPr>
        <w:pStyle w:val="BodyText"/>
      </w:pPr>
      <w:r>
        <w:t xml:space="preserve">Two features matter. First, when </w:t>
      </w:r>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r>
          <m:rPr>
            <m:sty m:val="p"/>
          </m:rPr>
          <w:rPr>
            <w:rFonts w:ascii="Cambria Math" w:hAnsi="Cambria Math"/>
          </w:rPr>
          <m:t>&gt;</m:t>
        </m:r>
        <m:r>
          <w:rPr>
            <w:rFonts w:ascii="Cambria Math" w:hAnsi="Cambria Math"/>
          </w:rPr>
          <m:t>0</m:t>
        </m:r>
      </m:oMath>
      <w:r>
        <w:t xml:space="preserve">, perturbations in geometry, restitution, friction, contact location or excitation phase grow exponentially over the relevant interval. Second — and this is Chapter 12’s subject — the denominator </w:t>
      </w:r>
      <m:oMath>
        <m:sSup>
          <m:sSupPr>
            <m:ctrlPr>
              <w:rPr>
                <w:rFonts w:ascii="Cambria Math" w:hAnsi="Cambria Math"/>
              </w:rPr>
            </m:ctrlPr>
          </m:sSupPr>
          <m:e>
            <m:r>
              <w:rPr>
                <w:rFonts w:ascii="Cambria Math" w:hAnsi="Cambria Math"/>
              </w:rPr>
              <m:t>n</m:t>
            </m:r>
          </m:e>
          <m:sup>
            <m:r>
              <m:rPr>
                <m:scr m:val="sans-serif"/>
                <m:sty m:val="p"/>
              </m:rPr>
              <w:rPr>
                <w:rFonts w:ascii="Cambria Math" w:hAnsi="Cambria Math"/>
              </w:rPr>
              <m:t>T</m:t>
            </m:r>
          </m:sup>
        </m:sSup>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 xml:space="preserve"> vanishes at grazing, so </w:t>
      </w:r>
      <m:oMath>
        <m:r>
          <w:rPr>
            <w:rFonts w:ascii="Cambria Math" w:hAnsi="Cambria Math"/>
          </w:rPr>
          <m:t>Ξ</m:t>
        </m:r>
      </m:oMath>
      <w:r>
        <w:t xml:space="preserve"> blows up. The sensitivity of an impacting system is not merely large; it is </w:t>
      </w:r>
      <w:r>
        <w:rPr>
          <w:i/>
          <w:iCs/>
        </w:rPr>
        <w:t>singular</w:t>
      </w:r>
      <w:r>
        <w:t xml:space="preserve"> on a codimension-one set.</w:t>
      </w:r>
    </w:p>
    <w:p w14:paraId="22F33A2C" w14:textId="77777777" w:rsidR="00937C4A" w:rsidRDefault="00000000">
      <w:pPr>
        <w:pStyle w:val="BodyText"/>
      </w:pPr>
      <w:r>
        <w:t xml:space="preserve">For a multi-stone stack the effect compounds, because a single altered contact changes the entire subsequent itinerary </w:t>
      </w:r>
      <m:oMath>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m:t>
            </m:r>
          </m:sub>
        </m:sSub>
      </m:oMath>
      <w:r>
        <w:t>. Two nominally identical cairns can follow qualitatively different sequences — one rocking, impacting, counter-rocking and settling; the other rocking, sliding, losing a contact and fragmenting.</w:t>
      </w:r>
    </w:p>
    <w:p w14:paraId="680B61A8" w14:textId="77777777" w:rsidR="00937C4A" w:rsidRDefault="00000000">
      <w:pPr>
        <w:pStyle w:val="Heading3"/>
      </w:pPr>
      <w:bookmarkStart w:id="57" w:name="the-uncertainty-exponent"/>
      <w:bookmarkEnd w:id="56"/>
      <w:r>
        <w:rPr>
          <w:rFonts w:ascii="Noto Sans" w:eastAsia="Noto Sans" w:hAnsi="Noto Sans"/>
        </w:rPr>
        <w:t>9.3 The uncertainty exponent</w:t>
      </w:r>
    </w:p>
    <w:p w14:paraId="17AE4DCD" w14:textId="77777777" w:rsidR="00937C4A" w:rsidRDefault="00000000">
      <w:r>
        <w:t xml:space="preserve">Grebogi, McDonald, Ott and Yorke gave the right way to quantify this. Let </w:t>
      </w:r>
      <m:oMath>
        <m:r>
          <w:rPr>
            <w:rFonts w:ascii="Cambria Math" w:hAnsi="Cambria Math"/>
          </w:rPr>
          <m:t>χ</m:t>
        </m:r>
        <m:d>
          <m:dPr>
            <m:ctrlPr>
              <w:rPr>
                <w:rFonts w:ascii="Cambria Math" w:hAnsi="Cambria Math"/>
              </w:rPr>
            </m:ctrlPr>
          </m:dPr>
          <m:e>
            <m:r>
              <w:rPr>
                <w:rFonts w:ascii="Cambria Math" w:hAnsi="Cambria Math"/>
              </w:rPr>
              <m:t>ϑ</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be the survive/topple indicator on a parameter or initial-condition space of dimension </w:t>
      </w:r>
      <m:oMath>
        <m:r>
          <w:rPr>
            <w:rFonts w:ascii="Cambria Math" w:hAnsi="Cambria Math"/>
          </w:rPr>
          <m:t>D</m:t>
        </m:r>
      </m:oMath>
      <w:r>
        <w:t xml:space="preserve">, and define the </w:t>
      </w:r>
      <w:r>
        <w:rPr>
          <w:b/>
          <w:bCs/>
        </w:rPr>
        <w:t>uncertain fraction</w:t>
      </w:r>
    </w:p>
    <w:p w14:paraId="14EB7283" w14:textId="77777777" w:rsidR="00937C4A" w:rsidRDefault="00000000">
      <w:pPr>
        <w:pStyle w:val="BodyText"/>
        <w:spacing w:before="100" w:after="14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ε</m:t>
              </m:r>
            </m:e>
          </m:d>
          <m:r>
            <m:rPr>
              <m:sty m:val="p"/>
            </m:rPr>
            <w:rPr>
              <w:rFonts w:ascii="Cambria Math" w:hAnsi="Cambria Math"/>
            </w:rPr>
            <m:t>=Pr</m:t>
          </m:r>
          <m:d>
            <m:dPr>
              <m:begChr m:val="["/>
              <m:endChr m:val="]"/>
              <m:ctrlPr>
                <w:rPr>
                  <w:rFonts w:ascii="Cambria Math" w:hAnsi="Cambria Math"/>
                </w:rPr>
              </m:ctrlPr>
            </m:dPr>
            <m:e>
              <m:r>
                <w:rPr>
                  <w:rFonts w:ascii="Cambria Math" w:hAnsi="Cambria Math"/>
                </w:rPr>
                <m:t>χ</m:t>
              </m:r>
              <m:d>
                <m:dPr>
                  <m:ctrlPr>
                    <w:rPr>
                      <w:rFonts w:ascii="Cambria Math" w:hAnsi="Cambria Math"/>
                    </w:rPr>
                  </m:ctrlPr>
                </m:dPr>
                <m:e>
                  <m:r>
                    <w:rPr>
                      <w:rFonts w:ascii="Cambria Math" w:hAnsi="Cambria Math"/>
                    </w:rPr>
                    <m:t>ϑ</m:t>
                  </m:r>
                </m:e>
              </m:d>
              <m:r>
                <m:rPr>
                  <m:sty m:val="p"/>
                </m:rPr>
                <w:rPr>
                  <w:rFonts w:ascii="Cambria Math" w:hAnsi="Cambria Math"/>
                </w:rPr>
                <m:t>≠</m:t>
              </m:r>
              <m:r>
                <w:rPr>
                  <w:rFonts w:ascii="Cambria Math" w:hAnsi="Cambria Math"/>
                </w:rPr>
                <m:t>χ</m:t>
              </m:r>
              <m:d>
                <m:dPr>
                  <m:ctrlPr>
                    <w:rPr>
                      <w:rFonts w:ascii="Cambria Math" w:hAnsi="Cambria Math"/>
                    </w:rPr>
                  </m:ctrlPr>
                </m:dPr>
                <m:e>
                  <m:r>
                    <w:rPr>
                      <w:rFonts w:ascii="Cambria Math" w:hAnsi="Cambria Math"/>
                    </w:rPr>
                    <m:t>ϑ</m:t>
                  </m:r>
                  <m:r>
                    <m:rPr>
                      <m:sty m:val="p"/>
                    </m:rPr>
                    <w:rPr>
                      <w:rFonts w:ascii="Cambria Math" w:hAnsi="Cambria Math"/>
                    </w:rPr>
                    <m:t>+</m:t>
                  </m:r>
                  <m:r>
                    <w:rPr>
                      <w:rFonts w:ascii="Cambria Math" w:hAnsi="Cambria Math"/>
                    </w:rPr>
                    <m:t>εξ</m:t>
                  </m:r>
                </m:e>
              </m:d>
            </m:e>
          </m:d>
        </m:oMath>
      </m:oMathPara>
    </w:p>
    <w:p w14:paraId="2794D88B" w14:textId="77777777" w:rsidR="00937C4A" w:rsidRDefault="00000000">
      <w:r>
        <w:t xml:space="preserve">for random unit </w:t>
      </w:r>
      <m:oMath>
        <m:r>
          <w:rPr>
            <w:rFonts w:ascii="Cambria Math" w:hAnsi="Cambria Math"/>
          </w:rPr>
          <m:t>ξ</m:t>
        </m:r>
      </m:oMath>
      <w:r>
        <w:t>. If</w:t>
      </w:r>
    </w:p>
    <w:p w14:paraId="144414E1" w14:textId="77777777" w:rsidR="00937C4A" w:rsidRDefault="00000000">
      <w:pPr>
        <w:pStyle w:val="BodyText"/>
        <w:spacing w:before="100" w:after="14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ε</m:t>
              </m:r>
            </m:e>
          </m:d>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γ</m:t>
              </m:r>
            </m:sup>
          </m:sSup>
          <m:r>
            <m:rPr>
              <m:sty m:val="p"/>
            </m:rPr>
            <w:rPr>
              <w:rFonts w:ascii="Cambria Math" w:hAnsi="Cambria Math"/>
            </w:rPr>
            <m:t>,</m:t>
          </m:r>
        </m:oMath>
      </m:oMathPara>
    </w:p>
    <w:p w14:paraId="12E1C10D" w14:textId="77777777" w:rsidR="00937C4A" w:rsidRDefault="00000000">
      <w:r>
        <w:t>then the box dimension of the basin boundary is</w:t>
      </w:r>
    </w:p>
    <w:p w14:paraId="79B7C3DF"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γ</m:t>
          </m:r>
          <m:r>
            <m:rPr>
              <m:sty m:val="p"/>
            </m:rPr>
            <w:rPr>
              <w:rFonts w:ascii="Cambria Math" w:hAnsi="Cambria Math"/>
            </w:rPr>
            <m:t>.</m:t>
          </m:r>
        </m:oMath>
      </m:oMathPara>
    </w:p>
    <w:p w14:paraId="19E22C0A" w14:textId="77777777" w:rsidR="00937C4A" w:rsidRDefault="00000000">
      <w:r>
        <w:t xml:space="preserve">A smooth codimension-one boundary gives </w:t>
      </w:r>
      <m:oMath>
        <m:r>
          <w:rPr>
            <w:rFonts w:ascii="Cambria Math" w:hAnsi="Cambria Math"/>
          </w:rPr>
          <m:t>γ</m:t>
        </m:r>
        <m:r>
          <m:rPr>
            <m:sty m:val="p"/>
          </m:rPr>
          <w:rPr>
            <w:rFonts w:ascii="Cambria Math" w:hAnsi="Cambria Math"/>
          </w:rPr>
          <m:t>=</m:t>
        </m:r>
        <m:r>
          <w:rPr>
            <w:rFonts w:ascii="Cambria Math" w:hAnsi="Cambria Math"/>
          </w:rPr>
          <m:t>1</m:t>
        </m:r>
      </m:oMath>
      <w:r>
        <w:t xml:space="preserve">. A fat fractal gives </w:t>
      </w:r>
      <m:oMath>
        <m:r>
          <w:rPr>
            <w:rFonts w:ascii="Cambria Math" w:hAnsi="Cambria Math"/>
          </w:rPr>
          <m:t>γ</m:t>
        </m:r>
        <m:r>
          <m:rPr>
            <m:sty m:val="p"/>
          </m:rPr>
          <w:rPr>
            <w:rFonts w:ascii="Cambria Math" w:hAnsi="Cambria Math"/>
          </w:rPr>
          <m:t>≪</m:t>
        </m:r>
        <m:r>
          <w:rPr>
            <w:rFonts w:ascii="Cambria Math" w:hAnsi="Cambria Math"/>
          </w:rPr>
          <m:t>1</m:t>
        </m:r>
      </m:oMath>
      <w:r>
        <w:t xml:space="preserve">, and then reducing measurement uncertainty by a factor of ten reduces the ambiguous fraction by only </w:t>
      </w:r>
      <m:oMath>
        <m:sSup>
          <m:sSupPr>
            <m:ctrlPr>
              <w:rPr>
                <w:rFonts w:ascii="Cambria Math" w:hAnsi="Cambria Math"/>
              </w:rPr>
            </m:ctrlPr>
          </m:sSupPr>
          <m:e>
            <m:r>
              <w:rPr>
                <w:rFonts w:ascii="Cambria Math" w:hAnsi="Cambria Math"/>
              </w:rPr>
              <m:t>10</m:t>
            </m:r>
          </m:e>
          <m:sup>
            <m:r>
              <w:rPr>
                <w:rFonts w:ascii="Cambria Math" w:hAnsi="Cambria Math"/>
              </w:rPr>
              <m:t>γ</m:t>
            </m:r>
          </m:sup>
        </m:sSup>
      </m:oMath>
      <w:r>
        <w:t>.</w:t>
      </w:r>
    </w:p>
    <w:p w14:paraId="14C03003" w14:textId="77777777" w:rsidR="00937C4A" w:rsidRDefault="00000000">
      <w:pPr>
        <w:pStyle w:val="BodyText"/>
      </w:pPr>
      <w:r>
        <w:lastRenderedPageBreak/>
        <w:t>This is the correct formalisation of a claim made loosely throughout the PBR literature: that the fragility surface is not a softened threshold but the statistical projection of a rough boundary. Formally,</w:t>
      </w:r>
    </w:p>
    <w:p w14:paraId="2BFE954B" w14:textId="77777777" w:rsidR="00937C4A" w:rsidRDefault="00000000">
      <w:pPr>
        <w:pStyle w:val="BodyText"/>
        <w:spacing w:before="100" w:after="14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ϑ</m:t>
              </m:r>
            </m:e>
          </m:d>
          <m:r>
            <m:rPr>
              <m:sty m:val="p"/>
            </m:rPr>
            <w:rPr>
              <w:rFonts w:ascii="Cambria Math" w:hAnsi="Cambria Math"/>
            </w:rPr>
            <m:t>=∫</m:t>
          </m:r>
          <m:r>
            <w:rPr>
              <w:rFonts w:ascii="Cambria Math" w:hAnsi="Cambria Math"/>
            </w:rPr>
            <m:t>χ</m:t>
          </m:r>
          <m:d>
            <m:dPr>
              <m:ctrlPr>
                <w:rPr>
                  <w:rFonts w:ascii="Cambria Math" w:hAnsi="Cambria Math"/>
                </w:rPr>
              </m:ctrlPr>
            </m:dPr>
            <m:e>
              <m:r>
                <w:rPr>
                  <w:rFonts w:ascii="Cambria Math" w:hAnsi="Cambria Math"/>
                </w:rPr>
                <m:t>ϑ</m:t>
              </m:r>
              <m:r>
                <m:rPr>
                  <m:sty m:val="p"/>
                </m:rPr>
                <w:rPr>
                  <w:rFonts w:ascii="Cambria Math" w:hAnsi="Cambria Math"/>
                </w:rPr>
                <m:t>,</m:t>
              </m:r>
              <m:r>
                <w:rPr>
                  <w:rFonts w:ascii="Cambria Math" w:hAnsi="Cambria Math"/>
                </w:rPr>
                <m:t>ζ</m:t>
              </m:r>
            </m:e>
          </m:d>
          <m:r>
            <w:rPr>
              <w:rFonts w:ascii="Cambria Math" w:hAnsi="Cambria Math"/>
            </w:rPr>
            <m:t> ρ</m:t>
          </m:r>
          <m:d>
            <m:dPr>
              <m:ctrlPr>
                <w:rPr>
                  <w:rFonts w:ascii="Cambria Math" w:hAnsi="Cambria Math"/>
                </w:rPr>
              </m:ctrlPr>
            </m:dPr>
            <m:e>
              <m:r>
                <w:rPr>
                  <w:rFonts w:ascii="Cambria Math" w:hAnsi="Cambria Math"/>
                </w:rPr>
                <m:t>dζ</m:t>
              </m:r>
            </m:e>
          </m:d>
        </m:oMath>
      </m:oMathPara>
    </w:p>
    <w:p w14:paraId="60B22C8B" w14:textId="77777777" w:rsidR="00937C4A" w:rsidRDefault="00000000">
      <w:r>
        <w:t xml:space="preserve">over hidden geometry, friction, restitution and contact location </w:t>
      </w:r>
      <m:oMath>
        <m:r>
          <w:rPr>
            <w:rFonts w:ascii="Cambria Math" w:hAnsi="Cambria Math"/>
          </w:rPr>
          <m:t>ζ</m:t>
        </m:r>
      </m:oMath>
      <w:r>
        <w:t xml:space="preserve">. If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1</m:t>
            </m:r>
          </m:e>
        </m:d>
      </m:oMath>
      <w:r>
        <w:t xml:space="preserve"> is fractal with exponent </w:t>
      </w:r>
      <m:oMath>
        <m:r>
          <w:rPr>
            <w:rFonts w:ascii="Cambria Math" w:hAnsi="Cambria Math"/>
          </w:rPr>
          <m:t>γ</m:t>
        </m:r>
      </m:oMath>
      <w:r>
        <w:t xml:space="preserve">, then </w:t>
      </w:r>
      <m:oMath>
        <m:r>
          <w:rPr>
            <w:rFonts w:ascii="Cambria Math" w:hAnsi="Cambria Math"/>
          </w:rPr>
          <m:t>F</m:t>
        </m:r>
      </m:oMath>
      <w:r>
        <w:t xml:space="preserve"> is Hölder-</w:t>
      </w:r>
      <m:oMath>
        <m:r>
          <w:rPr>
            <w:rFonts w:ascii="Cambria Math" w:hAnsi="Cambria Math"/>
          </w:rPr>
          <m:t>γ</m:t>
        </m:r>
      </m:oMath>
      <w:r>
        <w:t xml:space="preserve"> in </w:t>
      </w:r>
      <m:oMath>
        <m:r>
          <w:rPr>
            <w:rFonts w:ascii="Cambria Math" w:hAnsi="Cambria Math"/>
          </w:rPr>
          <m:t>ϑ</m:t>
        </m:r>
      </m:oMath>
      <w:r>
        <w:t xml:space="preserve"> — continuous but non-Lipschitz. A “smooth fragility curve” fitted through such an </w:t>
      </w:r>
      <m:oMath>
        <m:r>
          <w:rPr>
            <w:rFonts w:ascii="Cambria Math" w:hAnsi="Cambria Math"/>
          </w:rPr>
          <m:t>F</m:t>
        </m:r>
      </m:oMath>
      <w:r>
        <w:t xml:space="preserve"> is smoothing at the scale of the fit, not at the scale of the mechanics.</w:t>
      </w:r>
    </w:p>
    <w:p w14:paraId="2E63C995" w14:textId="77777777" w:rsidR="00937C4A" w:rsidRDefault="00000000">
      <w:pPr>
        <w:pStyle w:val="Heading3"/>
      </w:pPr>
      <w:bookmarkStart w:id="58" w:name="X33431803b25eb5d77cdf926d65ba729ad2b6a9b"/>
      <w:bookmarkEnd w:id="57"/>
      <w:r>
        <w:rPr>
          <w:rFonts w:ascii="Noto Sans" w:eastAsia="Noto Sans" w:hAnsi="Noto Sans"/>
        </w:rPr>
        <w:t>9.4 The honest status of the numbers in this book</w:t>
      </w:r>
    </w:p>
    <w:p w14:paraId="453920FC" w14:textId="77777777" w:rsidR="00937C4A" w:rsidRDefault="00000000">
      <w:r>
        <w:t xml:space="preserve">Estimates of </w:t>
      </w:r>
      <m:oMath>
        <m:r>
          <w:rPr>
            <w:rFonts w:ascii="Cambria Math" w:hAnsi="Cambria Math"/>
          </w:rPr>
          <m:t>γ</m:t>
        </m:r>
      </m:oMath>
      <w:r>
        <w:t xml:space="preserve"> reported in the working notes were </w:t>
      </w:r>
      <m:oMath>
        <m:r>
          <w:rPr>
            <w:rFonts w:ascii="Cambria Math" w:hAnsi="Cambria Math"/>
          </w:rPr>
          <m:t>1.02</m:t>
        </m:r>
      </m:oMath>
      <w:r>
        <w:t xml:space="preserve">, </w:t>
      </w:r>
      <m:oMath>
        <m:r>
          <w:rPr>
            <w:rFonts w:ascii="Cambria Math" w:hAnsi="Cambria Math"/>
          </w:rPr>
          <m:t>0.77</m:t>
        </m:r>
      </m:oMath>
      <w:r>
        <w:t xml:space="preserve">, </w:t>
      </w:r>
      <m:oMath>
        <m:r>
          <w:rPr>
            <w:rFonts w:ascii="Cambria Math" w:hAnsi="Cambria Math"/>
          </w:rPr>
          <m:t>0.21</m:t>
        </m:r>
      </m:oMath>
      <w:r>
        <w:t xml:space="preserve">, </w:t>
      </w:r>
      <m:oMath>
        <m:r>
          <w:rPr>
            <w:rFonts w:ascii="Cambria Math" w:hAnsi="Cambria Math"/>
          </w:rPr>
          <m:t>0.21</m:t>
        </m:r>
      </m:oMath>
      <w:r>
        <w:t xml:space="preserve"> at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0.36</m:t>
        </m:r>
      </m:oMath>
      <w:r>
        <w:t xml:space="preserve">. Independent recomputation gave </w:t>
      </w:r>
      <m:oMath>
        <m:r>
          <w:rPr>
            <w:rFonts w:ascii="Cambria Math" w:hAnsi="Cambria Math"/>
          </w:rPr>
          <m:t>1.23</m:t>
        </m:r>
      </m:oMath>
      <w:r>
        <w:t xml:space="preserve">, </w:t>
      </w:r>
      <m:oMath>
        <m:r>
          <w:rPr>
            <w:rFonts w:ascii="Cambria Math" w:hAnsi="Cambria Math"/>
          </w:rPr>
          <m:t>0.53</m:t>
        </m:r>
      </m:oMath>
      <w:r>
        <w:t xml:space="preserve">, </w:t>
      </w:r>
      <m:oMath>
        <m:r>
          <w:rPr>
            <w:rFonts w:ascii="Cambria Math" w:hAnsi="Cambria Math"/>
          </w:rPr>
          <m:t>0.28</m:t>
        </m:r>
      </m:oMath>
      <w:r>
        <w:t xml:space="preserve">, </w:t>
      </w:r>
      <m:oMath>
        <m:r>
          <w:rPr>
            <w:rFonts w:ascii="Cambria Math" w:hAnsi="Cambria Math"/>
          </w:rPr>
          <m:t>0.29</m:t>
        </m:r>
      </m:oMath>
      <w:r>
        <w:t>.</w:t>
      </w:r>
    </w:p>
    <w:p w14:paraId="3BB344CE" w14:textId="77777777" w:rsidR="00937C4A" w:rsidRDefault="00000000">
      <w:pPr>
        <w:pStyle w:val="BodyText"/>
      </w:pPr>
      <w:r>
        <w:t xml:space="preserve">Those are not the same numbers. The estimates used three </w:t>
      </w:r>
      <m:oMath>
        <m:r>
          <w:rPr>
            <w:rFonts w:ascii="Cambria Math" w:hAnsi="Cambria Math"/>
          </w:rPr>
          <m:t>ε</m:t>
        </m:r>
      </m:oMath>
      <w:r>
        <w:t xml:space="preserve">-values, and at the smallest </w:t>
      </w:r>
      <m:oMath>
        <m:r>
          <w:rPr>
            <w:rFonts w:ascii="Cambria Math" w:hAnsi="Cambria Math"/>
          </w:rPr>
          <m:t>ε</m:t>
        </m:r>
      </m:oMath>
      <w:r>
        <w:t xml:space="preserve"> in the smooth case only about two outcomes flipped out of six thousand samples, so the fitted slope was dominated by binomial noise. </w:t>
      </w:r>
      <w:r>
        <w:rPr>
          <w:b/>
          <w:bCs/>
        </w:rPr>
        <w:t>The exponents in this book are not converged and should not be quoted.</w:t>
      </w:r>
      <w:r>
        <w:t xml:space="preserve"> </w:t>
      </w:r>
      <w:r>
        <w:rPr>
          <w:rFonts w:ascii="Noto Sans" w:eastAsia="Noto Sans" w:hAnsi="Noto Sans"/>
          <w:b/>
          <w:bCs/>
          <w:color w:val="A62A2A"/>
          <w:sz w:val="19"/>
        </w:rPr>
        <w:t>[X]</w:t>
      </w:r>
    </w:p>
    <w:p w14:paraId="676363D5" w14:textId="77777777" w:rsidR="00937C4A" w:rsidRDefault="00000000">
      <w:pPr>
        <w:pStyle w:val="BodyText"/>
      </w:pPr>
      <w:r>
        <w:t>What a defensible estimate requires:</w:t>
      </w:r>
    </w:p>
    <w:p w14:paraId="6AF9C9C7" w14:textId="77777777" w:rsidR="00937C4A" w:rsidRDefault="00000000">
      <w:pPr>
        <w:numPr>
          <w:ilvl w:val="0"/>
          <w:numId w:val="24"/>
        </w:numPr>
      </w:pPr>
      <w:r>
        <w:t xml:space="preserve">six to eight logarithmically spaced </w:t>
      </w:r>
      <m:oMath>
        <m:r>
          <w:rPr>
            <w:rFonts w:ascii="Cambria Math" w:hAnsi="Cambria Math"/>
          </w:rPr>
          <m:t>ε</m:t>
        </m:r>
      </m:oMath>
      <w:r>
        <w:t>-values;</w:t>
      </w:r>
    </w:p>
    <w:p w14:paraId="0BBECA9C" w14:textId="77777777" w:rsidR="00937C4A" w:rsidRDefault="00000000">
      <w:pPr>
        <w:numPr>
          <w:ilvl w:val="0"/>
          <w:numId w:val="24"/>
        </w:numPr>
      </w:pPr>
      <w:r>
        <w:t xml:space="preserve">common base samples across all </w:t>
      </w:r>
      <m:oMath>
        <m:r>
          <w:rPr>
            <w:rFonts w:ascii="Cambria Math" w:hAnsi="Cambria Math"/>
          </w:rPr>
          <m:t>ε</m:t>
        </m:r>
      </m:oMath>
      <w:r>
        <w:t>, so that the estimates are correlated in the right direction;</w:t>
      </w:r>
    </w:p>
    <w:p w14:paraId="316F8B21" w14:textId="77777777" w:rsidR="00937C4A" w:rsidRDefault="00000000">
      <w:pPr>
        <w:numPr>
          <w:ilvl w:val="0"/>
          <w:numId w:val="24"/>
        </w:numPr>
      </w:pPr>
      <w:r>
        <w:t xml:space="preserve">no clipping at the domain boundary, which biases </w:t>
      </w:r>
      <m:oMath>
        <m:r>
          <w:rPr>
            <w:rFonts w:ascii="Cambria Math" w:hAnsi="Cambria Math"/>
          </w:rPr>
          <m:t>f</m:t>
        </m:r>
      </m:oMath>
      <w:r>
        <w:t xml:space="preserve"> downward near edges;</w:t>
      </w:r>
    </w:p>
    <w:p w14:paraId="1F393D45" w14:textId="77777777" w:rsidR="00937C4A" w:rsidRDefault="00000000">
      <w:pPr>
        <w:numPr>
          <w:ilvl w:val="0"/>
          <w:numId w:val="24"/>
        </w:numPr>
      </w:pPr>
      <w:r>
        <w:t>bootstrap confidence intervals on the slope;</w:t>
      </w:r>
    </w:p>
    <w:p w14:paraId="71F03018" w14:textId="77777777" w:rsidR="00937C4A" w:rsidRDefault="00000000">
      <w:pPr>
        <w:numPr>
          <w:ilvl w:val="0"/>
          <w:numId w:val="24"/>
        </w:numPr>
      </w:pPr>
      <w:r>
        <w:t>explicit selection of the scaling range, reported, not chosen post hoc;</w:t>
      </w:r>
    </w:p>
    <w:p w14:paraId="2671F31E" w14:textId="77777777" w:rsidR="00937C4A" w:rsidRDefault="00000000">
      <w:pPr>
        <w:numPr>
          <w:ilvl w:val="0"/>
          <w:numId w:val="24"/>
        </w:numPr>
      </w:pPr>
      <m:oMath>
        <m:r>
          <w:rPr>
            <w:rFonts w:ascii="Cambria Math" w:hAnsi="Cambria Math"/>
          </w:rPr>
          <m:t>N</m:t>
        </m:r>
      </m:oMath>
      <w:r>
        <w:t xml:space="preserve"> increased wherever </w:t>
      </w:r>
      <m:oMath>
        <m:r>
          <w:rPr>
            <w:rFonts w:ascii="Cambria Math" w:hAnsi="Cambria Math"/>
          </w:rPr>
          <m:t>Nf</m:t>
        </m:r>
        <m:d>
          <m:dPr>
            <m:ctrlPr>
              <w:rPr>
                <w:rFonts w:ascii="Cambria Math" w:hAnsi="Cambria Math"/>
              </w:rPr>
            </m:ctrlPr>
          </m:dPr>
          <m:e>
            <m:r>
              <w:rPr>
                <w:rFonts w:ascii="Cambria Math" w:hAnsi="Cambria Math"/>
              </w:rPr>
              <m:t>ε</m:t>
            </m:r>
          </m:e>
        </m:d>
      </m:oMath>
      <w:r>
        <w:t xml:space="preserve"> is small — the natural criterion is </w:t>
      </w:r>
      <m:oMath>
        <m:r>
          <w:rPr>
            <w:rFonts w:ascii="Cambria Math" w:hAnsi="Cambria Math"/>
          </w:rPr>
          <m:t>Nf</m:t>
        </m:r>
        <m:r>
          <m:rPr>
            <m:sty m:val="p"/>
          </m:rPr>
          <w:rPr>
            <w:rFonts w:ascii="Cambria Math" w:hAnsi="Cambria Math"/>
          </w:rPr>
          <m:t>≥</m:t>
        </m:r>
        <m:r>
          <w:rPr>
            <w:rFonts w:ascii="Cambria Math" w:hAnsi="Cambria Math"/>
          </w:rPr>
          <m:t>30</m:t>
        </m:r>
      </m:oMath>
      <w:r>
        <w:t xml:space="preserve"> at every </w:t>
      </w:r>
      <m:oMath>
        <m:r>
          <w:rPr>
            <w:rFonts w:ascii="Cambria Math" w:hAnsi="Cambria Math"/>
          </w:rPr>
          <m:t>ε</m:t>
        </m:r>
      </m:oMath>
      <w:r>
        <w:t>;</w:t>
      </w:r>
    </w:p>
    <w:p w14:paraId="7C889D09" w14:textId="77777777" w:rsidR="00937C4A" w:rsidRDefault="00000000">
      <w:pPr>
        <w:numPr>
          <w:ilvl w:val="0"/>
          <w:numId w:val="24"/>
        </w:numPr>
      </w:pPr>
      <w:r>
        <w:t xml:space="preserve">for any claim about ground-motion inference, computation in </w:t>
      </w:r>
      <w:r>
        <w:rPr>
          <w:b/>
          <w:bCs/>
        </w:rPr>
        <w:t>parameter</w:t>
      </w:r>
      <w:r>
        <w:t xml:space="preserve"> space, not initial-condition space.</w:t>
      </w:r>
    </w:p>
    <w:p w14:paraId="1FFD6BFD" w14:textId="77777777" w:rsidR="00937C4A" w:rsidRDefault="00000000">
      <w:r>
        <w:t xml:space="preserve">Item 7 is the one that is most often skipped and is the most serious. An exponent measured in </w:t>
      </w:r>
      <m:oMath>
        <m:d>
          <m:dPr>
            <m:ctrlPr>
              <w:rPr>
                <w:rFonts w:ascii="Cambria Math" w:hAnsi="Cambria Math"/>
              </w:rPr>
            </m:ctrlPr>
          </m:dPr>
          <m:e>
            <m:r>
              <w:rPr>
                <w:rFonts w:ascii="Cambria Math" w:hAnsi="Cambria Math"/>
              </w:rPr>
              <m:t>ϕ</m:t>
            </m:r>
            <m:r>
              <m:rPr>
                <m:sty m:val="p"/>
              </m:rPr>
              <w:rPr>
                <w:rFonts w:ascii="Cambria Math" w:hAnsi="Cambria Math"/>
              </w:rPr>
              <m:t>,</m:t>
            </m:r>
            <m:r>
              <w:rPr>
                <w:rFonts w:ascii="Cambria Math" w:hAnsi="Cambria Math"/>
              </w:rPr>
              <m:t>v</m:t>
            </m:r>
          </m:e>
        </m:d>
      </m:oMath>
      <w:r>
        <w:t xml:space="preserve"> says something about sensitivity to the state at the start of a rocking episode. A claim about inverting for ground motion needs the exponent of the map from </w:t>
      </w:r>
      <m:oMath>
        <m:r>
          <w:rPr>
            <w:rFonts w:ascii="Cambria Math" w:hAnsi="Cambria Math"/>
          </w:rPr>
          <m:t>ϑ</m:t>
        </m:r>
      </m:oMath>
      <w:r>
        <w:t xml:space="preserve"> to fate, and the two agree only if the pullback is regular and transverse. Near a fold, or where the parameter map loses rank, the dimensions differ.</w:t>
      </w:r>
    </w:p>
    <w:p w14:paraId="58249D5A" w14:textId="77777777" w:rsidR="00937C4A" w:rsidRDefault="00000000">
      <w:pPr>
        <w:pStyle w:val="Heading3"/>
      </w:pPr>
      <w:bookmarkStart w:id="59" w:name="X6b2c377ad527eef63570ac693d8c1c09da1a6ba"/>
      <w:bookmarkEnd w:id="58"/>
      <w:r>
        <w:rPr>
          <w:rFonts w:ascii="Noto Sans" w:eastAsia="Noto Sans" w:hAnsi="Noto Sans"/>
        </w:rPr>
        <w:t>9.5 What the exponent does and does not license</w:t>
      </w:r>
    </w:p>
    <w:p w14:paraId="0FB57ABD" w14:textId="77777777" w:rsidR="00937C4A" w:rsidRDefault="00000000">
      <w:r>
        <w:t>It licenses one statement, developed in Chapter 15:</w:t>
      </w:r>
    </w:p>
    <w:p w14:paraId="40324D7F" w14:textId="77777777" w:rsidR="00937C4A" w:rsidRDefault="00000000">
      <w:pPr>
        <w:pStyle w:val="BodyText"/>
        <w:spacing w:before="100" w:after="140"/>
        <w:jc w:val="center"/>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f</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r>
            <m:rPr>
              <m:sty m:val="p"/>
            </m:rPr>
            <w:rPr>
              <w:rFonts w:ascii="Cambria Math" w:hAnsi="Cambria Math"/>
            </w:rPr>
            <m:t>+</m:t>
          </m:r>
          <m:r>
            <w:rPr>
              <w:rFonts w:ascii="Cambria Math" w:hAnsi="Cambria Math"/>
            </w:rPr>
            <m:t>C  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ε</m:t>
                  </m:r>
                </m:e>
                <m:sub>
                  <m:r>
                    <m:rPr>
                      <m:sty m:val="p"/>
                    </m:rPr>
                    <w:rPr>
                      <w:rFonts w:ascii="Cambria Math" w:hAnsi="Cambria Math"/>
                    </w:rPr>
                    <m:t>old</m:t>
                  </m:r>
                </m:sub>
              </m:sSub>
            </m:num>
            <m:den>
              <m:sSub>
                <m:sSubPr>
                  <m:ctrlPr>
                    <w:rPr>
                      <w:rFonts w:ascii="Cambria Math" w:hAnsi="Cambria Math"/>
                    </w:rPr>
                  </m:ctrlPr>
                </m:sSubPr>
                <m:e>
                  <m:r>
                    <w:rPr>
                      <w:rFonts w:ascii="Cambria Math" w:hAnsi="Cambria Math"/>
                    </w:rPr>
                    <m:t>ε</m:t>
                  </m:r>
                </m:e>
                <m:sub>
                  <m:r>
                    <m:rPr>
                      <m:sty m:val="p"/>
                    </m:rPr>
                    <w:rPr>
                      <w:rFonts w:ascii="Cambria Math" w:hAnsi="Cambria Math"/>
                    </w:rPr>
                    <m:t>new</m:t>
                  </m:r>
                </m:sub>
              </m:sSub>
            </m:den>
          </m:f>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r>
                <m:rPr>
                  <m:sty m:val="p"/>
                </m:rPr>
                <w:rPr>
                  <w:rFonts w:ascii="Cambria Math" w:hAnsi="Cambria Math"/>
                </w:rPr>
                <m:t>/</m:t>
              </m:r>
              <m:r>
                <w:rPr>
                  <w:rFonts w:ascii="Cambria Math" w:hAnsi="Cambria Math"/>
                </w:rPr>
                <m:t>γ</m:t>
              </m:r>
            </m:sup>
          </m:sSup>
          <m:r>
            <w:rPr>
              <w:rFonts w:ascii="Cambria Math" w:hAnsi="Cambria Math"/>
            </w:rPr>
            <m:t> </m:t>
          </m:r>
          <m:r>
            <m:rPr>
              <m:nor/>
            </m:rPr>
            <m:t>per bit of ambiguity suppression</m:t>
          </m:r>
          <m:r>
            <m:rPr>
              <m:sty m:val="p"/>
            </m:rPr>
            <w:rPr>
              <w:rFonts w:ascii="Cambria Math" w:hAnsi="Cambria Math"/>
            </w:rPr>
            <m:t>.</m:t>
          </m:r>
        </m:oMath>
      </m:oMathPara>
    </w:p>
    <w:p w14:paraId="64D3DAC0" w14:textId="77777777" w:rsidR="00937C4A" w:rsidRDefault="00000000">
      <w:r>
        <w:t xml:space="preserve">It does </w:t>
      </w:r>
      <w:r>
        <w:rPr>
          <w:b/>
          <w:bCs/>
        </w:rPr>
        <w:t>not</w:t>
      </w:r>
      <w:r>
        <w:t xml:space="preserve"> license any statement about the mutual information between a survival observation and a ground-motion parameter. That confusion cost this book one of its four headline results and is dissected in Chapter 15.</w:t>
      </w:r>
    </w:p>
    <w:p w14:paraId="2E7BDAE2" w14:textId="77777777" w:rsidR="00937C4A" w:rsidRDefault="00000000">
      <w:pPr>
        <w:pStyle w:val="Heading2"/>
        <w:pageBreakBefore/>
        <w:pBdr>
          <w:bottom w:val="single" w:sz="5" w:space="5" w:color="B8C1C6"/>
        </w:pBdr>
        <w:spacing w:after="280"/>
      </w:pPr>
      <w:bookmarkStart w:id="60" w:name="X01a0dec4a75c37b0f4b302fc8f210c5c4264a26"/>
      <w:bookmarkEnd w:id="54"/>
      <w:bookmarkEnd w:id="59"/>
      <w:r>
        <w:rPr>
          <w:rFonts w:ascii="EB Garamond" w:eastAsia="EB Garamond" w:hAnsi="EB Garamond"/>
          <w:sz w:val="40"/>
        </w:rPr>
        <w:lastRenderedPageBreak/>
        <w:t xml:space="preserve">Chapter 10 — Measure Detects Erosion; Homology Detects Disconnection — and Why the Numerical Instance Failed </w:t>
      </w:r>
      <w:r>
        <w:rPr>
          <w:rFonts w:ascii="Noto Sans" w:eastAsia="Noto Sans" w:hAnsi="Noto Sans"/>
          <w:color w:val="A62A2A"/>
          <w:sz w:val="19"/>
        </w:rPr>
        <w:t>[X]</w:t>
      </w:r>
    </w:p>
    <w:p w14:paraId="6088CF7D" w14:textId="77777777" w:rsidR="00937C4A" w:rsidRDefault="00000000">
      <w:r>
        <w:t>This chapter exists because a result died, and because the way it died is more instructive than it would have been had it lived.</w:t>
      </w:r>
    </w:p>
    <w:p w14:paraId="7B8CE1DF" w14:textId="77777777" w:rsidR="00937C4A" w:rsidRDefault="00000000">
      <w:pPr>
        <w:pStyle w:val="Heading3"/>
      </w:pPr>
      <w:bookmarkStart w:id="61" w:name="the-idea-which-is-good"/>
      <w:r>
        <w:rPr>
          <w:rFonts w:ascii="Noto Sans" w:eastAsia="Noto Sans" w:hAnsi="Noto Sans"/>
        </w:rPr>
        <w:t>10.1 The idea, which is good</w:t>
      </w:r>
    </w:p>
    <w:p w14:paraId="66C224B1" w14:textId="77777777" w:rsidR="00937C4A" w:rsidRDefault="00000000">
      <w:r>
        <w:t xml:space="preserve">Classical basin-erosion diagnostics — Thompson and Soliman’s integrity measures, and their descendants — are </w:t>
      </w:r>
      <w:r>
        <w:rPr>
          <w:b/>
          <w:bCs/>
        </w:rPr>
        <w:t>measure-theoretic</w:t>
      </w:r>
      <w:r>
        <w:t>. They report the volume of the safe set, or the radius of the largest ball inside it. They are scalars, and they vary smoothly.</w:t>
      </w:r>
    </w:p>
    <w:p w14:paraId="41067DBB" w14:textId="77777777" w:rsidR="00937C4A" w:rsidRDefault="00000000">
      <w:pPr>
        <w:pStyle w:val="BodyText"/>
      </w:pPr>
      <w:r>
        <w:t xml:space="preserve">But the event that occurs at a heteroclinic tangency is not primarily a loss of volume. It is a change in </w:t>
      </w:r>
      <w:r>
        <w:rPr>
          <w:i/>
          <w:iCs/>
        </w:rPr>
        <w:t>connectivity</w:t>
      </w:r>
      <w:r>
        <w:t xml:space="preserve">. Tongues of escape penetrate the safe region, and eventually the safe region ceases to be one piece. Connectivity is </w:t>
      </w:r>
      <m:oMath>
        <m:sSub>
          <m:sSubPr>
            <m:ctrlPr>
              <w:rPr>
                <w:rFonts w:ascii="Cambria Math" w:hAnsi="Cambria Math"/>
              </w:rPr>
            </m:ctrlPr>
          </m:sSubPr>
          <m:e>
            <m:r>
              <w:rPr>
                <w:rFonts w:ascii="Cambria Math" w:hAnsi="Cambria Math"/>
              </w:rPr>
              <m:t>H</m:t>
            </m:r>
          </m:e>
          <m:sub>
            <m:r>
              <w:rPr>
                <w:rFonts w:ascii="Cambria Math" w:hAnsi="Cambria Math"/>
              </w:rPr>
              <m:t>0</m:t>
            </m:r>
          </m:sub>
        </m:sSub>
      </m:oMath>
      <w:r>
        <w:t>. So the natural conjecture is:</w:t>
      </w:r>
    </w:p>
    <w:p w14:paraId="31124A33" w14:textId="77777777" w:rsidR="00937C4A" w:rsidRDefault="00000000">
      <w:r>
        <w:rPr>
          <w:rFonts w:ascii="Noto Sans" w:eastAsia="Noto Sans" w:hAnsi="Noto Sans"/>
          <w:b/>
          <w:bCs/>
          <w:color w:val="A95B00"/>
          <w:sz w:val="19"/>
        </w:rPr>
        <w:t>[C]</w:t>
      </w:r>
      <w:r>
        <w:t xml:space="preserve"> At a heteroclinic tangency,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of the finite-time safe set undergoes a change that scalar integrity measures do not register.</w:t>
      </w:r>
    </w:p>
    <w:p w14:paraId="25B54325" w14:textId="77777777" w:rsidR="00937C4A" w:rsidRDefault="00000000">
      <w:r>
        <w:t>This conjecture is, I still believe, correct and worth pursuing. What follows is why the numerical demonstration offered in the working notes did not establish it.</w:t>
      </w:r>
    </w:p>
    <w:p w14:paraId="35DDBA42" w14:textId="77777777" w:rsidR="00937C4A" w:rsidRDefault="00000000">
      <w:pPr>
        <w:pStyle w:val="Heading3"/>
      </w:pPr>
      <w:bookmarkStart w:id="62" w:name="the-claim-as-published"/>
      <w:bookmarkEnd w:id="61"/>
      <w:r>
        <w:rPr>
          <w:rFonts w:ascii="Noto Sans" w:eastAsia="Noto Sans" w:hAnsi="Noto Sans"/>
        </w:rPr>
        <w:t>10.2 The claim as published</w:t>
      </w:r>
    </w:p>
    <w:p w14:paraId="163F4B53" w14:textId="77777777" w:rsidR="00937C4A" w:rsidRDefault="00000000">
      <w:r>
        <w:t xml:space="preserve">The working notes reported, for the linearised impacting block at </w:t>
      </w:r>
      <m:oMath>
        <m:r>
          <w:rPr>
            <w:rFonts w:ascii="Cambria Math" w:hAnsi="Cambria Math"/>
          </w:rPr>
          <m:t>α</m:t>
        </m:r>
        <m:r>
          <m:rPr>
            <m:sty m:val="p"/>
          </m:rPr>
          <w:rPr>
            <w:rFonts w:ascii="Cambria Math" w:hAnsi="Cambria Math"/>
          </w:rPr>
          <m:t>=</m:t>
        </m:r>
        <m:r>
          <w:rPr>
            <w:rFonts w:ascii="Cambria Math" w:hAnsi="Cambria Math"/>
          </w:rPr>
          <m:t>0.35</m:t>
        </m:r>
      </m:oMath>
      <w:r>
        <w:t xml:space="preserve">, </w:t>
      </w:r>
      <m:oMath>
        <m:r>
          <w:rPr>
            <w:rFonts w:ascii="Cambria Math" w:hAnsi="Cambria Math"/>
          </w:rPr>
          <m:t>Ω</m:t>
        </m:r>
        <m:r>
          <m:rPr>
            <m:sty m:val="p"/>
          </m:rPr>
          <w:rPr>
            <w:rFonts w:ascii="Cambria Math" w:hAnsi="Cambria Math"/>
          </w:rPr>
          <m:t>=</m:t>
        </m:r>
        <m:r>
          <w:rPr>
            <w:rFonts w:ascii="Cambria Math" w:hAnsi="Cambria Math"/>
          </w:rPr>
          <m:t>2.0</m:t>
        </m:r>
      </m:oMath>
      <w:r>
        <w:t xml:space="preserve">, against a Melnikov prediction </w:t>
      </w:r>
      <m:oMath>
        <m:sSubSup>
          <m:sSubSupPr>
            <m:ctrlPr>
              <w:rPr>
                <w:rFonts w:ascii="Cambria Math" w:hAnsi="Cambria Math"/>
              </w:rPr>
            </m:ctrlPr>
          </m:sSubSupPr>
          <m:e>
            <m:r>
              <w:rPr>
                <w:rFonts w:ascii="Cambria Math" w:hAnsi="Cambria Math"/>
              </w:rPr>
              <m:t>a</m:t>
            </m:r>
          </m:e>
          <m:sub>
            <m:r>
              <w:rPr>
                <w:rFonts w:ascii="Cambria Math" w:hAnsi="Cambria Math"/>
              </w:rPr>
              <m:t>0</m:t>
            </m:r>
          </m:sub>
          <m:sup>
            <m:r>
              <m:rPr>
                <m:sty m:val="p"/>
              </m:rPr>
              <w:rPr>
                <w:rFonts w:ascii="Cambria Math" w:hAnsi="Cambria Math"/>
              </w:rPr>
              <m:t>cr</m:t>
            </m:r>
          </m:sup>
        </m:sSubSup>
        <m:r>
          <m:rPr>
            <m:sty m:val="p"/>
          </m:rPr>
          <w:rPr>
            <w:rFonts w:ascii="Cambria Math" w:hAnsi="Cambria Math"/>
          </w:rPr>
          <m:t>=</m:t>
        </m:r>
        <m:r>
          <w:rPr>
            <w:rFonts w:ascii="Cambria Math" w:hAnsi="Cambria Math"/>
          </w:rPr>
          <m:t>0.140</m:t>
        </m:r>
      </m:oMath>
      <w:r>
        <w:t>:</w:t>
      </w:r>
    </w:p>
    <w:tbl>
      <w:tblPr>
        <w:tblStyle w:val="TableGrid"/>
        <w:tblW w:w="9400" w:type="dxa"/>
        <w:jc w:val="center"/>
        <w:tblLayout w:type="fixed"/>
        <w:tblLook w:val="04A0" w:firstRow="1" w:lastRow="0" w:firstColumn="1" w:lastColumn="0" w:noHBand="0" w:noVBand="1"/>
      </w:tblPr>
      <w:tblGrid>
        <w:gridCol w:w="2600"/>
        <w:gridCol w:w="3400"/>
        <w:gridCol w:w="3400"/>
      </w:tblGrid>
      <w:tr w:rsidR="00937C4A" w14:paraId="300F1530" w14:textId="77777777">
        <w:trPr>
          <w:cantSplit/>
          <w:tblHeader/>
          <w:jc w:val="center"/>
        </w:trPr>
        <w:tc>
          <w:tcPr>
            <w:tcW w:w="2600" w:type="dxa"/>
            <w:shd w:val="clear" w:color="auto" w:fill="495A65"/>
            <w:tcMar>
              <w:top w:w="55" w:type="dxa"/>
              <w:left w:w="65" w:type="dxa"/>
              <w:bottom w:w="55" w:type="dxa"/>
              <w:right w:w="65" w:type="dxa"/>
            </w:tcMar>
            <w:vAlign w:val="center"/>
          </w:tcPr>
          <w:p w14:paraId="15395E5C" w14:textId="77777777" w:rsidR="00937C4A" w:rsidRDefault="00000000">
            <w:pPr>
              <w:spacing w:after="0" w:line="240" w:lineRule="auto"/>
              <w:jc w:val="center"/>
            </w:pPr>
            <w:r>
              <w:rPr>
                <w:rFonts w:ascii="Noto Sans" w:hAnsi="Noto Sans"/>
                <w:b/>
                <w:color w:val="FFFFFF"/>
                <w:sz w:val="16"/>
              </w:rPr>
              <w:t>a₀</w:t>
            </w:r>
          </w:p>
        </w:tc>
        <w:tc>
          <w:tcPr>
            <w:tcW w:w="3400" w:type="dxa"/>
            <w:shd w:val="clear" w:color="auto" w:fill="495A65"/>
            <w:tcMar>
              <w:top w:w="55" w:type="dxa"/>
              <w:left w:w="65" w:type="dxa"/>
              <w:bottom w:w="55" w:type="dxa"/>
              <w:right w:w="65" w:type="dxa"/>
            </w:tcMar>
            <w:vAlign w:val="center"/>
          </w:tcPr>
          <w:p w14:paraId="54E5B388" w14:textId="77777777" w:rsidR="00937C4A" w:rsidRDefault="00000000">
            <w:pPr>
              <w:spacing w:after="0" w:line="240" w:lineRule="auto"/>
              <w:jc w:val="center"/>
            </w:pPr>
            <w:r>
              <w:rPr>
                <w:rFonts w:ascii="Noto Sans" w:hAnsi="Noto Sans"/>
                <w:b/>
                <w:color w:val="FFFFFF"/>
                <w:sz w:val="16"/>
              </w:rPr>
              <w:t>survive fraction</w:t>
            </w:r>
          </w:p>
        </w:tc>
        <w:tc>
          <w:tcPr>
            <w:tcW w:w="3400" w:type="dxa"/>
            <w:shd w:val="clear" w:color="auto" w:fill="495A65"/>
            <w:tcMar>
              <w:top w:w="55" w:type="dxa"/>
              <w:left w:w="65" w:type="dxa"/>
              <w:bottom w:w="55" w:type="dxa"/>
              <w:right w:w="65" w:type="dxa"/>
            </w:tcMar>
            <w:vAlign w:val="center"/>
          </w:tcPr>
          <w:p w14:paraId="0B254685" w14:textId="77777777" w:rsidR="00937C4A" w:rsidRDefault="00000000">
            <w:pPr>
              <w:spacing w:after="0" w:line="240" w:lineRule="auto"/>
              <w:jc w:val="center"/>
            </w:pPr>
            <w:r>
              <w:rPr>
                <w:rFonts w:ascii="Noto Sans" w:hAnsi="Noto Sans"/>
                <w:b/>
                <w:color w:val="FFFFFF"/>
                <w:sz w:val="16"/>
              </w:rPr>
              <w:t>β₀</w:t>
            </w:r>
          </w:p>
        </w:tc>
      </w:tr>
      <w:tr w:rsidR="00937C4A" w14:paraId="301772FF" w14:textId="77777777">
        <w:trPr>
          <w:cantSplit/>
          <w:jc w:val="center"/>
        </w:trPr>
        <w:tc>
          <w:tcPr>
            <w:tcW w:w="2600" w:type="dxa"/>
            <w:tcMar>
              <w:top w:w="55" w:type="dxa"/>
              <w:left w:w="65" w:type="dxa"/>
              <w:bottom w:w="55" w:type="dxa"/>
              <w:right w:w="65" w:type="dxa"/>
            </w:tcMar>
            <w:vAlign w:val="center"/>
          </w:tcPr>
          <w:p w14:paraId="4DACA71B" w14:textId="77777777" w:rsidR="00937C4A" w:rsidRDefault="00000000">
            <w:pPr>
              <w:spacing w:after="0" w:line="240" w:lineRule="auto"/>
              <w:jc w:val="center"/>
            </w:pPr>
            <w:r>
              <w:rPr>
                <w:rFonts w:ascii="Noto Sans" w:hAnsi="Noto Sans"/>
                <w:sz w:val="16"/>
              </w:rPr>
              <w:t>0.160</w:t>
            </w:r>
          </w:p>
        </w:tc>
        <w:tc>
          <w:tcPr>
            <w:tcW w:w="3400" w:type="dxa"/>
            <w:tcMar>
              <w:top w:w="55" w:type="dxa"/>
              <w:left w:w="65" w:type="dxa"/>
              <w:bottom w:w="55" w:type="dxa"/>
              <w:right w:w="65" w:type="dxa"/>
            </w:tcMar>
            <w:vAlign w:val="center"/>
          </w:tcPr>
          <w:p w14:paraId="73939A63" w14:textId="77777777" w:rsidR="00937C4A" w:rsidRDefault="00000000">
            <w:pPr>
              <w:spacing w:after="0" w:line="240" w:lineRule="auto"/>
              <w:jc w:val="center"/>
            </w:pPr>
            <w:r>
              <w:rPr>
                <w:rFonts w:ascii="Noto Sans" w:hAnsi="Noto Sans"/>
                <w:sz w:val="16"/>
              </w:rPr>
              <w:t>0.9389</w:t>
            </w:r>
          </w:p>
        </w:tc>
        <w:tc>
          <w:tcPr>
            <w:tcW w:w="3400" w:type="dxa"/>
            <w:tcMar>
              <w:top w:w="55" w:type="dxa"/>
              <w:left w:w="65" w:type="dxa"/>
              <w:bottom w:w="55" w:type="dxa"/>
              <w:right w:w="65" w:type="dxa"/>
            </w:tcMar>
            <w:vAlign w:val="center"/>
          </w:tcPr>
          <w:p w14:paraId="0096B12B" w14:textId="77777777" w:rsidR="00937C4A" w:rsidRDefault="00000000">
            <w:pPr>
              <w:spacing w:after="0" w:line="240" w:lineRule="auto"/>
              <w:jc w:val="center"/>
            </w:pPr>
            <w:r>
              <w:rPr>
                <w:rFonts w:ascii="Noto Sans" w:hAnsi="Noto Sans"/>
                <w:sz w:val="16"/>
              </w:rPr>
              <w:t>1</w:t>
            </w:r>
          </w:p>
        </w:tc>
      </w:tr>
      <w:tr w:rsidR="00937C4A" w14:paraId="68C31AC0" w14:textId="77777777">
        <w:trPr>
          <w:cantSplit/>
          <w:jc w:val="center"/>
        </w:trPr>
        <w:tc>
          <w:tcPr>
            <w:tcW w:w="2600" w:type="dxa"/>
            <w:shd w:val="clear" w:color="auto" w:fill="F4F6F7"/>
            <w:tcMar>
              <w:top w:w="55" w:type="dxa"/>
              <w:left w:w="65" w:type="dxa"/>
              <w:bottom w:w="55" w:type="dxa"/>
              <w:right w:w="65" w:type="dxa"/>
            </w:tcMar>
            <w:vAlign w:val="center"/>
          </w:tcPr>
          <w:p w14:paraId="0EA37935" w14:textId="77777777" w:rsidR="00937C4A" w:rsidRDefault="00000000">
            <w:pPr>
              <w:spacing w:after="0" w:line="240" w:lineRule="auto"/>
              <w:jc w:val="center"/>
            </w:pPr>
            <w:r>
              <w:rPr>
                <w:rFonts w:ascii="Noto Sans" w:hAnsi="Noto Sans"/>
                <w:sz w:val="16"/>
              </w:rPr>
              <w:t>0.175</w:t>
            </w:r>
          </w:p>
        </w:tc>
        <w:tc>
          <w:tcPr>
            <w:tcW w:w="3400" w:type="dxa"/>
            <w:shd w:val="clear" w:color="auto" w:fill="F4F6F7"/>
            <w:tcMar>
              <w:top w:w="55" w:type="dxa"/>
              <w:left w:w="65" w:type="dxa"/>
              <w:bottom w:w="55" w:type="dxa"/>
              <w:right w:w="65" w:type="dxa"/>
            </w:tcMar>
            <w:vAlign w:val="center"/>
          </w:tcPr>
          <w:p w14:paraId="306D99B2" w14:textId="77777777" w:rsidR="00937C4A" w:rsidRDefault="00000000">
            <w:pPr>
              <w:spacing w:after="0" w:line="240" w:lineRule="auto"/>
              <w:jc w:val="center"/>
            </w:pPr>
            <w:r>
              <w:rPr>
                <w:rFonts w:ascii="Noto Sans" w:hAnsi="Noto Sans"/>
                <w:sz w:val="16"/>
              </w:rPr>
              <w:t>0.9319</w:t>
            </w:r>
          </w:p>
        </w:tc>
        <w:tc>
          <w:tcPr>
            <w:tcW w:w="3400" w:type="dxa"/>
            <w:shd w:val="clear" w:color="auto" w:fill="F4F6F7"/>
            <w:tcMar>
              <w:top w:w="55" w:type="dxa"/>
              <w:left w:w="65" w:type="dxa"/>
              <w:bottom w:w="55" w:type="dxa"/>
              <w:right w:w="65" w:type="dxa"/>
            </w:tcMar>
            <w:vAlign w:val="center"/>
          </w:tcPr>
          <w:p w14:paraId="77ADFCAB" w14:textId="77777777" w:rsidR="00937C4A" w:rsidRDefault="00000000">
            <w:pPr>
              <w:spacing w:after="0" w:line="240" w:lineRule="auto"/>
              <w:jc w:val="center"/>
            </w:pPr>
            <w:r>
              <w:rPr>
                <w:rFonts w:ascii="Noto Sans" w:hAnsi="Noto Sans"/>
                <w:sz w:val="16"/>
              </w:rPr>
              <w:t>2</w:t>
            </w:r>
          </w:p>
        </w:tc>
      </w:tr>
      <w:tr w:rsidR="00937C4A" w14:paraId="5CFE13BC" w14:textId="77777777">
        <w:trPr>
          <w:cantSplit/>
          <w:jc w:val="center"/>
        </w:trPr>
        <w:tc>
          <w:tcPr>
            <w:tcW w:w="2600" w:type="dxa"/>
            <w:tcMar>
              <w:top w:w="55" w:type="dxa"/>
              <w:left w:w="65" w:type="dxa"/>
              <w:bottom w:w="55" w:type="dxa"/>
              <w:right w:w="65" w:type="dxa"/>
            </w:tcMar>
            <w:vAlign w:val="center"/>
          </w:tcPr>
          <w:p w14:paraId="1FE62C44" w14:textId="77777777" w:rsidR="00937C4A" w:rsidRDefault="00000000">
            <w:pPr>
              <w:spacing w:after="0" w:line="240" w:lineRule="auto"/>
              <w:jc w:val="center"/>
            </w:pPr>
            <w:r>
              <w:rPr>
                <w:rFonts w:ascii="Noto Sans" w:hAnsi="Noto Sans"/>
                <w:sz w:val="16"/>
              </w:rPr>
              <w:t>0.300</w:t>
            </w:r>
          </w:p>
        </w:tc>
        <w:tc>
          <w:tcPr>
            <w:tcW w:w="3400" w:type="dxa"/>
            <w:tcMar>
              <w:top w:w="55" w:type="dxa"/>
              <w:left w:w="65" w:type="dxa"/>
              <w:bottom w:w="55" w:type="dxa"/>
              <w:right w:w="65" w:type="dxa"/>
            </w:tcMar>
            <w:vAlign w:val="center"/>
          </w:tcPr>
          <w:p w14:paraId="5C3CF17C" w14:textId="77777777" w:rsidR="00937C4A" w:rsidRDefault="00000000">
            <w:pPr>
              <w:spacing w:after="0" w:line="240" w:lineRule="auto"/>
              <w:jc w:val="center"/>
            </w:pPr>
            <w:r>
              <w:rPr>
                <w:rFonts w:ascii="Noto Sans" w:hAnsi="Noto Sans"/>
                <w:sz w:val="16"/>
              </w:rPr>
              <w:t>0.7969</w:t>
            </w:r>
          </w:p>
        </w:tc>
        <w:tc>
          <w:tcPr>
            <w:tcW w:w="3400" w:type="dxa"/>
            <w:tcMar>
              <w:top w:w="55" w:type="dxa"/>
              <w:left w:w="65" w:type="dxa"/>
              <w:bottom w:w="55" w:type="dxa"/>
              <w:right w:w="65" w:type="dxa"/>
            </w:tcMar>
            <w:vAlign w:val="center"/>
          </w:tcPr>
          <w:p w14:paraId="29091883" w14:textId="77777777" w:rsidR="00937C4A" w:rsidRDefault="00000000">
            <w:pPr>
              <w:spacing w:after="0" w:line="240" w:lineRule="auto"/>
              <w:jc w:val="center"/>
            </w:pPr>
            <w:r>
              <w:rPr>
                <w:rFonts w:ascii="Noto Sans" w:hAnsi="Noto Sans"/>
                <w:sz w:val="16"/>
              </w:rPr>
              <w:t>63</w:t>
            </w:r>
          </w:p>
        </w:tc>
      </w:tr>
    </w:tbl>
    <w:p w14:paraId="1A47EB57" w14:textId="77777777" w:rsidR="00937C4A" w:rsidRDefault="00000000">
      <w:pPr>
        <w:pStyle w:val="BodyText"/>
      </w:pPr>
      <w:r>
        <w:t xml:space="preserve">and drew the conclusion that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detects the tangency sharply while the survival fraction (0.939 → 0.932) does not. A subsequent revision claimed the diagnostic was the </w:t>
      </w:r>
      <w:r>
        <w:rPr>
          <w:i/>
          <w:iCs/>
        </w:rPr>
        <w:t>resolution-stability</w:t>
      </w:r>
      <w:r>
        <w:t xml:space="preserve"> of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with divergence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1.94</m:t>
            </m:r>
          </m:sup>
        </m:sSup>
      </m:oMath>
      <w:r>
        <w:t xml:space="preserve"> setting in above the tangency.</w:t>
      </w:r>
    </w:p>
    <w:p w14:paraId="541C2C7D" w14:textId="77777777" w:rsidR="00937C4A" w:rsidRDefault="00000000">
      <w:pPr>
        <w:pStyle w:val="Heading3"/>
      </w:pPr>
      <w:bookmarkStart w:id="63" w:name="what-was-wrong"/>
      <w:bookmarkEnd w:id="62"/>
      <w:r>
        <w:rPr>
          <w:rFonts w:ascii="Noto Sans" w:eastAsia="Noto Sans" w:hAnsi="Noto Sans"/>
        </w:rPr>
        <w:t>10.3 What was wrong</w:t>
      </w:r>
    </w:p>
    <w:p w14:paraId="57E3A6FA" w14:textId="77777777" w:rsidR="00937C4A" w:rsidRDefault="00000000">
      <w:r>
        <w:t>The impact section is</w:t>
      </w:r>
    </w:p>
    <w:p w14:paraId="5389B06B" w14:textId="77777777" w:rsidR="00937C4A" w:rsidRDefault="00000000">
      <w:pPr>
        <w:pStyle w:val="BodyText"/>
        <w:spacing w:before="100" w:after="140"/>
        <w:jc w:val="center"/>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ϕ</m:t>
              </m:r>
            </m:sub>
            <m:sup>
              <m:r>
                <w:rPr>
                  <w:rFonts w:ascii="Cambria Math" w:hAnsi="Cambria Math"/>
                </w:rPr>
                <m:t>1</m:t>
              </m:r>
            </m:sup>
          </m:sSubSup>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max</m:t>
              </m:r>
            </m:sub>
          </m:sSub>
          <m:r>
            <m:rPr>
              <m:sty m:val="p"/>
            </m:rPr>
            <w:rPr>
              <w:rFonts w:ascii="Cambria Math" w:hAnsi="Cambria Math"/>
            </w:rPr>
            <m:t>],</m:t>
          </m:r>
        </m:oMath>
      </m:oMathPara>
    </w:p>
    <w:p w14:paraId="6441CC6A" w14:textId="77777777" w:rsidR="00937C4A" w:rsidRDefault="00000000">
      <w:r>
        <w:t xml:space="preserve">a </w:t>
      </w:r>
      <w:r>
        <w:rPr>
          <w:b/>
          <w:bCs/>
        </w:rPr>
        <w:t>cylinder</w:t>
      </w:r>
      <w:r>
        <w:t>. The forcing phase is periodic. The computation labelled connected components on a rectangular Boolean array with default four-neighbour connectivity, and never glued the phase seam. It also imposed no minimum component size.</w:t>
      </w:r>
    </w:p>
    <w:p w14:paraId="4B4BECA7" w14:textId="77777777" w:rsidR="00937C4A" w:rsidRDefault="00000000">
      <w:pPr>
        <w:pStyle w:val="BodyText"/>
      </w:pPr>
      <w:r>
        <w:t>Recomputing with the seam glued, eight-connectivity, and a size filter:</w:t>
      </w:r>
    </w:p>
    <w:tbl>
      <w:tblPr>
        <w:tblStyle w:val="TableGrid"/>
        <w:tblW w:w="9400" w:type="dxa"/>
        <w:jc w:val="center"/>
        <w:tblLayout w:type="fixed"/>
        <w:tblLook w:val="04A0" w:firstRow="1" w:lastRow="0" w:firstColumn="1" w:lastColumn="0" w:noHBand="0" w:noVBand="1"/>
      </w:tblPr>
      <w:tblGrid>
        <w:gridCol w:w="1400"/>
        <w:gridCol w:w="900"/>
        <w:gridCol w:w="2200"/>
        <w:gridCol w:w="1800"/>
        <w:gridCol w:w="1550"/>
        <w:gridCol w:w="1550"/>
      </w:tblGrid>
      <w:tr w:rsidR="00937C4A" w14:paraId="520471DE" w14:textId="77777777">
        <w:trPr>
          <w:cantSplit/>
          <w:tblHeader/>
          <w:jc w:val="center"/>
        </w:trPr>
        <w:tc>
          <w:tcPr>
            <w:tcW w:w="1400" w:type="dxa"/>
            <w:shd w:val="clear" w:color="auto" w:fill="495A65"/>
            <w:tcMar>
              <w:top w:w="55" w:type="dxa"/>
              <w:left w:w="65" w:type="dxa"/>
              <w:bottom w:w="55" w:type="dxa"/>
              <w:right w:w="65" w:type="dxa"/>
            </w:tcMar>
            <w:vAlign w:val="center"/>
          </w:tcPr>
          <w:p w14:paraId="3AC29CF5" w14:textId="77777777" w:rsidR="00937C4A" w:rsidRDefault="00000000">
            <w:pPr>
              <w:spacing w:after="0" w:line="240" w:lineRule="auto"/>
              <w:jc w:val="center"/>
            </w:pPr>
            <w:r>
              <w:rPr>
                <w:rFonts w:ascii="Noto Sans" w:hAnsi="Noto Sans"/>
                <w:b/>
                <w:color w:val="FFFFFF"/>
                <w:sz w:val="13"/>
              </w:rPr>
              <w:t>a₀</w:t>
            </w:r>
          </w:p>
        </w:tc>
        <w:tc>
          <w:tcPr>
            <w:tcW w:w="900" w:type="dxa"/>
            <w:shd w:val="clear" w:color="auto" w:fill="495A65"/>
            <w:tcMar>
              <w:top w:w="55" w:type="dxa"/>
              <w:left w:w="65" w:type="dxa"/>
              <w:bottom w:w="55" w:type="dxa"/>
              <w:right w:w="65" w:type="dxa"/>
            </w:tcMar>
            <w:vAlign w:val="center"/>
          </w:tcPr>
          <w:p w14:paraId="570C381F" w14:textId="77777777" w:rsidR="00937C4A" w:rsidRDefault="00000000">
            <w:pPr>
              <w:spacing w:after="0" w:line="240" w:lineRule="auto"/>
              <w:jc w:val="center"/>
            </w:pPr>
            <w:r>
              <w:rPr>
                <w:rFonts w:ascii="Noto Sans" w:hAnsi="Noto Sans"/>
                <w:b/>
                <w:color w:val="FFFFFF"/>
                <w:sz w:val="13"/>
              </w:rPr>
              <w:t>n</w:t>
            </w:r>
          </w:p>
        </w:tc>
        <w:tc>
          <w:tcPr>
            <w:tcW w:w="2200" w:type="dxa"/>
            <w:shd w:val="clear" w:color="auto" w:fill="495A65"/>
            <w:tcMar>
              <w:top w:w="55" w:type="dxa"/>
              <w:left w:w="65" w:type="dxa"/>
              <w:bottom w:w="55" w:type="dxa"/>
              <w:right w:w="65" w:type="dxa"/>
            </w:tcMar>
            <w:vAlign w:val="center"/>
          </w:tcPr>
          <w:p w14:paraId="0AD1E44B" w14:textId="77777777" w:rsidR="00937C4A" w:rsidRDefault="00000000">
            <w:pPr>
              <w:spacing w:after="0" w:line="240" w:lineRule="auto"/>
              <w:jc w:val="center"/>
            </w:pPr>
            <w:r>
              <w:rPr>
                <w:rFonts w:ascii="Noto Sans" w:hAnsi="Noto Sans"/>
                <w:b/>
                <w:color w:val="FFFFFF"/>
                <w:sz w:val="13"/>
              </w:rPr>
              <w:t>rectangle + 4-conn (as published)</w:t>
            </w:r>
          </w:p>
        </w:tc>
        <w:tc>
          <w:tcPr>
            <w:tcW w:w="1800" w:type="dxa"/>
            <w:shd w:val="clear" w:color="auto" w:fill="495A65"/>
            <w:tcMar>
              <w:top w:w="55" w:type="dxa"/>
              <w:left w:w="65" w:type="dxa"/>
              <w:bottom w:w="55" w:type="dxa"/>
              <w:right w:w="65" w:type="dxa"/>
            </w:tcMar>
            <w:vAlign w:val="center"/>
          </w:tcPr>
          <w:p w14:paraId="312FBB5B" w14:textId="77777777" w:rsidR="00937C4A" w:rsidRDefault="00000000">
            <w:pPr>
              <w:spacing w:after="0" w:line="240" w:lineRule="auto"/>
              <w:jc w:val="center"/>
            </w:pPr>
            <w:r>
              <w:rPr>
                <w:rFonts w:ascii="Noto Sans" w:hAnsi="Noto Sans"/>
                <w:b/>
                <w:color w:val="FFFFFF"/>
                <w:sz w:val="13"/>
              </w:rPr>
              <w:t>cylinder + 8-conn</w:t>
            </w:r>
          </w:p>
        </w:tc>
        <w:tc>
          <w:tcPr>
            <w:tcW w:w="1550" w:type="dxa"/>
            <w:shd w:val="clear" w:color="auto" w:fill="495A65"/>
            <w:tcMar>
              <w:top w:w="55" w:type="dxa"/>
              <w:left w:w="65" w:type="dxa"/>
              <w:bottom w:w="55" w:type="dxa"/>
              <w:right w:w="65" w:type="dxa"/>
            </w:tcMar>
            <w:vAlign w:val="center"/>
          </w:tcPr>
          <w:p w14:paraId="0F336F0C" w14:textId="77777777" w:rsidR="00937C4A" w:rsidRDefault="00000000">
            <w:pPr>
              <w:spacing w:after="0" w:line="240" w:lineRule="auto"/>
              <w:jc w:val="center"/>
            </w:pPr>
            <w:r>
              <w:rPr>
                <w:rFonts w:ascii="Noto Sans" w:hAnsi="Noto Sans"/>
                <w:b/>
                <w:color w:val="FFFFFF"/>
                <w:sz w:val="13"/>
              </w:rPr>
              <w:t>≥ 5 px</w:t>
            </w:r>
          </w:p>
        </w:tc>
        <w:tc>
          <w:tcPr>
            <w:tcW w:w="1550" w:type="dxa"/>
            <w:shd w:val="clear" w:color="auto" w:fill="495A65"/>
            <w:tcMar>
              <w:top w:w="55" w:type="dxa"/>
              <w:left w:w="65" w:type="dxa"/>
              <w:bottom w:w="55" w:type="dxa"/>
              <w:right w:w="65" w:type="dxa"/>
            </w:tcMar>
            <w:vAlign w:val="center"/>
          </w:tcPr>
          <w:p w14:paraId="4337E2CC" w14:textId="77777777" w:rsidR="00937C4A" w:rsidRDefault="00000000">
            <w:pPr>
              <w:spacing w:after="0" w:line="240" w:lineRule="auto"/>
              <w:jc w:val="center"/>
            </w:pPr>
            <w:r>
              <w:rPr>
                <w:rFonts w:ascii="Noto Sans" w:hAnsi="Noto Sans"/>
                <w:b/>
                <w:color w:val="FFFFFF"/>
                <w:sz w:val="13"/>
              </w:rPr>
              <w:t>≥ 25 px</w:t>
            </w:r>
          </w:p>
        </w:tc>
      </w:tr>
      <w:tr w:rsidR="00937C4A" w14:paraId="49C1DFB0" w14:textId="77777777">
        <w:trPr>
          <w:cantSplit/>
          <w:jc w:val="center"/>
        </w:trPr>
        <w:tc>
          <w:tcPr>
            <w:tcW w:w="1400" w:type="dxa"/>
            <w:tcMar>
              <w:top w:w="55" w:type="dxa"/>
              <w:left w:w="65" w:type="dxa"/>
              <w:bottom w:w="55" w:type="dxa"/>
              <w:right w:w="65" w:type="dxa"/>
            </w:tcMar>
            <w:vAlign w:val="center"/>
          </w:tcPr>
          <w:p w14:paraId="0F912F9D" w14:textId="77777777" w:rsidR="00937C4A" w:rsidRDefault="00000000">
            <w:pPr>
              <w:spacing w:after="0" w:line="240" w:lineRule="auto"/>
              <w:jc w:val="center"/>
            </w:pPr>
            <w:r>
              <w:rPr>
                <w:rFonts w:ascii="Noto Sans" w:hAnsi="Noto Sans"/>
                <w:sz w:val="13"/>
              </w:rPr>
              <w:t>0.120</w:t>
            </w:r>
          </w:p>
        </w:tc>
        <w:tc>
          <w:tcPr>
            <w:tcW w:w="900" w:type="dxa"/>
            <w:tcMar>
              <w:top w:w="55" w:type="dxa"/>
              <w:left w:w="65" w:type="dxa"/>
              <w:bottom w:w="55" w:type="dxa"/>
              <w:right w:w="65" w:type="dxa"/>
            </w:tcMar>
            <w:vAlign w:val="center"/>
          </w:tcPr>
          <w:p w14:paraId="4FDC44F8" w14:textId="77777777" w:rsidR="00937C4A" w:rsidRDefault="00000000">
            <w:pPr>
              <w:spacing w:after="0" w:line="240" w:lineRule="auto"/>
              <w:jc w:val="center"/>
            </w:pPr>
            <w:r>
              <w:rPr>
                <w:rFonts w:ascii="Noto Sans" w:hAnsi="Noto Sans"/>
                <w:sz w:val="13"/>
              </w:rPr>
              <w:t>160</w:t>
            </w:r>
          </w:p>
        </w:tc>
        <w:tc>
          <w:tcPr>
            <w:tcW w:w="2200" w:type="dxa"/>
            <w:tcMar>
              <w:top w:w="55" w:type="dxa"/>
              <w:left w:w="65" w:type="dxa"/>
              <w:bottom w:w="55" w:type="dxa"/>
              <w:right w:w="65" w:type="dxa"/>
            </w:tcMar>
            <w:vAlign w:val="center"/>
          </w:tcPr>
          <w:p w14:paraId="504EBB01" w14:textId="77777777" w:rsidR="00937C4A" w:rsidRDefault="00000000">
            <w:pPr>
              <w:spacing w:after="0" w:line="240" w:lineRule="auto"/>
              <w:jc w:val="center"/>
            </w:pPr>
            <w:r>
              <w:rPr>
                <w:rFonts w:ascii="Noto Sans" w:hAnsi="Noto Sans"/>
                <w:sz w:val="13"/>
              </w:rPr>
              <w:t>1</w:t>
            </w:r>
          </w:p>
        </w:tc>
        <w:tc>
          <w:tcPr>
            <w:tcW w:w="1800" w:type="dxa"/>
            <w:tcMar>
              <w:top w:w="55" w:type="dxa"/>
              <w:left w:w="65" w:type="dxa"/>
              <w:bottom w:w="55" w:type="dxa"/>
              <w:right w:w="65" w:type="dxa"/>
            </w:tcMar>
            <w:vAlign w:val="center"/>
          </w:tcPr>
          <w:p w14:paraId="7768F831" w14:textId="77777777" w:rsidR="00937C4A" w:rsidRDefault="00000000">
            <w:pPr>
              <w:spacing w:after="0" w:line="240" w:lineRule="auto"/>
              <w:jc w:val="center"/>
            </w:pPr>
            <w:r>
              <w:rPr>
                <w:rFonts w:ascii="Noto Sans" w:hAnsi="Noto Sans"/>
                <w:sz w:val="13"/>
              </w:rPr>
              <w:t>1</w:t>
            </w:r>
          </w:p>
        </w:tc>
        <w:tc>
          <w:tcPr>
            <w:tcW w:w="1550" w:type="dxa"/>
            <w:tcMar>
              <w:top w:w="55" w:type="dxa"/>
              <w:left w:w="65" w:type="dxa"/>
              <w:bottom w:w="55" w:type="dxa"/>
              <w:right w:w="65" w:type="dxa"/>
            </w:tcMar>
            <w:vAlign w:val="center"/>
          </w:tcPr>
          <w:p w14:paraId="1106600C" w14:textId="77777777" w:rsidR="00937C4A" w:rsidRDefault="00000000">
            <w:pPr>
              <w:spacing w:after="0" w:line="240" w:lineRule="auto"/>
              <w:jc w:val="center"/>
            </w:pPr>
            <w:r>
              <w:rPr>
                <w:rFonts w:ascii="Noto Sans" w:hAnsi="Noto Sans"/>
                <w:sz w:val="13"/>
              </w:rPr>
              <w:t>1</w:t>
            </w:r>
          </w:p>
        </w:tc>
        <w:tc>
          <w:tcPr>
            <w:tcW w:w="1550" w:type="dxa"/>
            <w:tcMar>
              <w:top w:w="55" w:type="dxa"/>
              <w:left w:w="65" w:type="dxa"/>
              <w:bottom w:w="55" w:type="dxa"/>
              <w:right w:w="65" w:type="dxa"/>
            </w:tcMar>
            <w:vAlign w:val="center"/>
          </w:tcPr>
          <w:p w14:paraId="3C9F63BB" w14:textId="77777777" w:rsidR="00937C4A" w:rsidRDefault="00000000">
            <w:pPr>
              <w:spacing w:after="0" w:line="240" w:lineRule="auto"/>
              <w:jc w:val="center"/>
            </w:pPr>
            <w:r>
              <w:rPr>
                <w:rFonts w:ascii="Noto Sans" w:hAnsi="Noto Sans"/>
                <w:sz w:val="13"/>
              </w:rPr>
              <w:t>1</w:t>
            </w:r>
          </w:p>
        </w:tc>
      </w:tr>
      <w:tr w:rsidR="00937C4A" w14:paraId="35674780" w14:textId="77777777">
        <w:trPr>
          <w:cantSplit/>
          <w:jc w:val="center"/>
        </w:trPr>
        <w:tc>
          <w:tcPr>
            <w:tcW w:w="1400" w:type="dxa"/>
            <w:shd w:val="clear" w:color="auto" w:fill="F4F6F7"/>
            <w:tcMar>
              <w:top w:w="55" w:type="dxa"/>
              <w:left w:w="65" w:type="dxa"/>
              <w:bottom w:w="55" w:type="dxa"/>
              <w:right w:w="65" w:type="dxa"/>
            </w:tcMar>
            <w:vAlign w:val="center"/>
          </w:tcPr>
          <w:p w14:paraId="2DAF4C37" w14:textId="77777777" w:rsidR="00937C4A" w:rsidRDefault="00000000">
            <w:pPr>
              <w:spacing w:after="0" w:line="240" w:lineRule="auto"/>
              <w:jc w:val="center"/>
            </w:pPr>
            <w:r>
              <w:rPr>
                <w:rFonts w:ascii="Noto Sans" w:hAnsi="Noto Sans"/>
                <w:sz w:val="13"/>
              </w:rPr>
              <w:t>0.160</w:t>
            </w:r>
          </w:p>
        </w:tc>
        <w:tc>
          <w:tcPr>
            <w:tcW w:w="900" w:type="dxa"/>
            <w:shd w:val="clear" w:color="auto" w:fill="F4F6F7"/>
            <w:tcMar>
              <w:top w:w="55" w:type="dxa"/>
              <w:left w:w="65" w:type="dxa"/>
              <w:bottom w:w="55" w:type="dxa"/>
              <w:right w:w="65" w:type="dxa"/>
            </w:tcMar>
            <w:vAlign w:val="center"/>
          </w:tcPr>
          <w:p w14:paraId="390B9553" w14:textId="77777777" w:rsidR="00937C4A" w:rsidRDefault="00000000">
            <w:pPr>
              <w:spacing w:after="0" w:line="240" w:lineRule="auto"/>
              <w:jc w:val="center"/>
            </w:pPr>
            <w:r>
              <w:rPr>
                <w:rFonts w:ascii="Noto Sans" w:hAnsi="Noto Sans"/>
                <w:sz w:val="13"/>
              </w:rPr>
              <w:t>160</w:t>
            </w:r>
          </w:p>
        </w:tc>
        <w:tc>
          <w:tcPr>
            <w:tcW w:w="2200" w:type="dxa"/>
            <w:shd w:val="clear" w:color="auto" w:fill="F4F6F7"/>
            <w:tcMar>
              <w:top w:w="55" w:type="dxa"/>
              <w:left w:w="65" w:type="dxa"/>
              <w:bottom w:w="55" w:type="dxa"/>
              <w:right w:w="65" w:type="dxa"/>
            </w:tcMar>
            <w:vAlign w:val="center"/>
          </w:tcPr>
          <w:p w14:paraId="0C6C659A" w14:textId="77777777" w:rsidR="00937C4A" w:rsidRDefault="00000000">
            <w:pPr>
              <w:spacing w:after="0" w:line="240" w:lineRule="auto"/>
              <w:jc w:val="center"/>
            </w:pPr>
            <w:r>
              <w:rPr>
                <w:rFonts w:ascii="Noto Sans" w:hAnsi="Noto Sans"/>
                <w:sz w:val="13"/>
              </w:rPr>
              <w:t>1</w:t>
            </w:r>
          </w:p>
        </w:tc>
        <w:tc>
          <w:tcPr>
            <w:tcW w:w="1800" w:type="dxa"/>
            <w:shd w:val="clear" w:color="auto" w:fill="F4F6F7"/>
            <w:tcMar>
              <w:top w:w="55" w:type="dxa"/>
              <w:left w:w="65" w:type="dxa"/>
              <w:bottom w:w="55" w:type="dxa"/>
              <w:right w:w="65" w:type="dxa"/>
            </w:tcMar>
            <w:vAlign w:val="center"/>
          </w:tcPr>
          <w:p w14:paraId="35826D42" w14:textId="77777777" w:rsidR="00937C4A" w:rsidRDefault="00000000">
            <w:pPr>
              <w:spacing w:after="0" w:line="240" w:lineRule="auto"/>
              <w:jc w:val="center"/>
            </w:pPr>
            <w:r>
              <w:rPr>
                <w:rFonts w:ascii="Noto Sans" w:hAnsi="Noto Sans"/>
                <w:sz w:val="13"/>
              </w:rPr>
              <w:t>1</w:t>
            </w:r>
          </w:p>
        </w:tc>
        <w:tc>
          <w:tcPr>
            <w:tcW w:w="1550" w:type="dxa"/>
            <w:shd w:val="clear" w:color="auto" w:fill="F4F6F7"/>
            <w:tcMar>
              <w:top w:w="55" w:type="dxa"/>
              <w:left w:w="65" w:type="dxa"/>
              <w:bottom w:w="55" w:type="dxa"/>
              <w:right w:w="65" w:type="dxa"/>
            </w:tcMar>
            <w:vAlign w:val="center"/>
          </w:tcPr>
          <w:p w14:paraId="67A64C2C" w14:textId="77777777" w:rsidR="00937C4A" w:rsidRDefault="00000000">
            <w:pPr>
              <w:spacing w:after="0" w:line="240" w:lineRule="auto"/>
              <w:jc w:val="center"/>
            </w:pPr>
            <w:r>
              <w:rPr>
                <w:rFonts w:ascii="Noto Sans" w:hAnsi="Noto Sans"/>
                <w:sz w:val="13"/>
              </w:rPr>
              <w:t>1</w:t>
            </w:r>
          </w:p>
        </w:tc>
        <w:tc>
          <w:tcPr>
            <w:tcW w:w="1550" w:type="dxa"/>
            <w:shd w:val="clear" w:color="auto" w:fill="F4F6F7"/>
            <w:tcMar>
              <w:top w:w="55" w:type="dxa"/>
              <w:left w:w="65" w:type="dxa"/>
              <w:bottom w:w="55" w:type="dxa"/>
              <w:right w:w="65" w:type="dxa"/>
            </w:tcMar>
            <w:vAlign w:val="center"/>
          </w:tcPr>
          <w:p w14:paraId="71C533F6" w14:textId="77777777" w:rsidR="00937C4A" w:rsidRDefault="00000000">
            <w:pPr>
              <w:spacing w:after="0" w:line="240" w:lineRule="auto"/>
              <w:jc w:val="center"/>
            </w:pPr>
            <w:r>
              <w:rPr>
                <w:rFonts w:ascii="Noto Sans" w:hAnsi="Noto Sans"/>
                <w:sz w:val="13"/>
              </w:rPr>
              <w:t>1</w:t>
            </w:r>
          </w:p>
        </w:tc>
      </w:tr>
      <w:tr w:rsidR="00937C4A" w14:paraId="05C72587" w14:textId="77777777">
        <w:trPr>
          <w:cantSplit/>
          <w:jc w:val="center"/>
        </w:trPr>
        <w:tc>
          <w:tcPr>
            <w:tcW w:w="1400" w:type="dxa"/>
            <w:tcMar>
              <w:top w:w="55" w:type="dxa"/>
              <w:left w:w="65" w:type="dxa"/>
              <w:bottom w:w="55" w:type="dxa"/>
              <w:right w:w="65" w:type="dxa"/>
            </w:tcMar>
            <w:vAlign w:val="center"/>
          </w:tcPr>
          <w:p w14:paraId="562EB8F7" w14:textId="77777777" w:rsidR="00937C4A" w:rsidRDefault="00000000">
            <w:pPr>
              <w:spacing w:after="0" w:line="240" w:lineRule="auto"/>
              <w:jc w:val="center"/>
            </w:pPr>
            <w:r>
              <w:rPr>
                <w:rFonts w:ascii="Noto Sans" w:hAnsi="Noto Sans"/>
                <w:sz w:val="13"/>
              </w:rPr>
              <w:t>0.175</w:t>
            </w:r>
          </w:p>
        </w:tc>
        <w:tc>
          <w:tcPr>
            <w:tcW w:w="900" w:type="dxa"/>
            <w:tcMar>
              <w:top w:w="55" w:type="dxa"/>
              <w:left w:w="65" w:type="dxa"/>
              <w:bottom w:w="55" w:type="dxa"/>
              <w:right w:w="65" w:type="dxa"/>
            </w:tcMar>
            <w:vAlign w:val="center"/>
          </w:tcPr>
          <w:p w14:paraId="597AAFCC" w14:textId="77777777" w:rsidR="00937C4A" w:rsidRDefault="00000000">
            <w:pPr>
              <w:spacing w:after="0" w:line="240" w:lineRule="auto"/>
              <w:jc w:val="center"/>
            </w:pPr>
            <w:r>
              <w:rPr>
                <w:rFonts w:ascii="Noto Sans" w:hAnsi="Noto Sans"/>
                <w:sz w:val="13"/>
              </w:rPr>
              <w:t>160</w:t>
            </w:r>
          </w:p>
        </w:tc>
        <w:tc>
          <w:tcPr>
            <w:tcW w:w="2200" w:type="dxa"/>
            <w:tcMar>
              <w:top w:w="55" w:type="dxa"/>
              <w:left w:w="65" w:type="dxa"/>
              <w:bottom w:w="55" w:type="dxa"/>
              <w:right w:w="65" w:type="dxa"/>
            </w:tcMar>
            <w:vAlign w:val="center"/>
          </w:tcPr>
          <w:p w14:paraId="52B71DAB" w14:textId="77777777" w:rsidR="00937C4A" w:rsidRDefault="00000000">
            <w:pPr>
              <w:spacing w:after="0" w:line="240" w:lineRule="auto"/>
              <w:jc w:val="center"/>
            </w:pPr>
            <w:r>
              <w:rPr>
                <w:rFonts w:ascii="Noto Sans" w:hAnsi="Noto Sans"/>
                <w:sz w:val="13"/>
              </w:rPr>
              <w:t>2</w:t>
            </w:r>
          </w:p>
        </w:tc>
        <w:tc>
          <w:tcPr>
            <w:tcW w:w="1800" w:type="dxa"/>
            <w:tcMar>
              <w:top w:w="55" w:type="dxa"/>
              <w:left w:w="65" w:type="dxa"/>
              <w:bottom w:w="55" w:type="dxa"/>
              <w:right w:w="65" w:type="dxa"/>
            </w:tcMar>
            <w:vAlign w:val="center"/>
          </w:tcPr>
          <w:p w14:paraId="55FA0CED" w14:textId="77777777" w:rsidR="00937C4A" w:rsidRDefault="00000000">
            <w:pPr>
              <w:spacing w:after="0" w:line="240" w:lineRule="auto"/>
              <w:jc w:val="center"/>
            </w:pPr>
            <w:r>
              <w:rPr>
                <w:rFonts w:ascii="Noto Sans" w:hAnsi="Noto Sans"/>
                <w:sz w:val="13"/>
              </w:rPr>
              <w:t>1</w:t>
            </w:r>
          </w:p>
        </w:tc>
        <w:tc>
          <w:tcPr>
            <w:tcW w:w="1550" w:type="dxa"/>
            <w:tcMar>
              <w:top w:w="55" w:type="dxa"/>
              <w:left w:w="65" w:type="dxa"/>
              <w:bottom w:w="55" w:type="dxa"/>
              <w:right w:w="65" w:type="dxa"/>
            </w:tcMar>
            <w:vAlign w:val="center"/>
          </w:tcPr>
          <w:p w14:paraId="74CEB7D6" w14:textId="77777777" w:rsidR="00937C4A" w:rsidRDefault="00000000">
            <w:pPr>
              <w:spacing w:after="0" w:line="240" w:lineRule="auto"/>
              <w:jc w:val="center"/>
            </w:pPr>
            <w:r>
              <w:rPr>
                <w:rFonts w:ascii="Noto Sans" w:hAnsi="Noto Sans"/>
                <w:sz w:val="13"/>
              </w:rPr>
              <w:t>1</w:t>
            </w:r>
          </w:p>
        </w:tc>
        <w:tc>
          <w:tcPr>
            <w:tcW w:w="1550" w:type="dxa"/>
            <w:tcMar>
              <w:top w:w="55" w:type="dxa"/>
              <w:left w:w="65" w:type="dxa"/>
              <w:bottom w:w="55" w:type="dxa"/>
              <w:right w:w="65" w:type="dxa"/>
            </w:tcMar>
            <w:vAlign w:val="center"/>
          </w:tcPr>
          <w:p w14:paraId="396F817B" w14:textId="77777777" w:rsidR="00937C4A" w:rsidRDefault="00000000">
            <w:pPr>
              <w:spacing w:after="0" w:line="240" w:lineRule="auto"/>
              <w:jc w:val="center"/>
            </w:pPr>
            <w:r>
              <w:rPr>
                <w:rFonts w:ascii="Noto Sans" w:hAnsi="Noto Sans"/>
                <w:sz w:val="13"/>
              </w:rPr>
              <w:t>1</w:t>
            </w:r>
          </w:p>
        </w:tc>
      </w:tr>
      <w:tr w:rsidR="00937C4A" w14:paraId="3F4E77C7" w14:textId="77777777">
        <w:trPr>
          <w:cantSplit/>
          <w:jc w:val="center"/>
        </w:trPr>
        <w:tc>
          <w:tcPr>
            <w:tcW w:w="1400" w:type="dxa"/>
            <w:shd w:val="clear" w:color="auto" w:fill="F4F6F7"/>
            <w:tcMar>
              <w:top w:w="55" w:type="dxa"/>
              <w:left w:w="65" w:type="dxa"/>
              <w:bottom w:w="55" w:type="dxa"/>
              <w:right w:w="65" w:type="dxa"/>
            </w:tcMar>
            <w:vAlign w:val="center"/>
          </w:tcPr>
          <w:p w14:paraId="43F7575A" w14:textId="77777777" w:rsidR="00937C4A" w:rsidRDefault="00000000">
            <w:pPr>
              <w:spacing w:after="0" w:line="240" w:lineRule="auto"/>
              <w:jc w:val="center"/>
            </w:pPr>
            <w:r>
              <w:rPr>
                <w:rFonts w:ascii="Noto Sans" w:hAnsi="Noto Sans"/>
                <w:sz w:val="13"/>
              </w:rPr>
              <w:lastRenderedPageBreak/>
              <w:t>0.220</w:t>
            </w:r>
          </w:p>
        </w:tc>
        <w:tc>
          <w:tcPr>
            <w:tcW w:w="900" w:type="dxa"/>
            <w:shd w:val="clear" w:color="auto" w:fill="F4F6F7"/>
            <w:tcMar>
              <w:top w:w="55" w:type="dxa"/>
              <w:left w:w="65" w:type="dxa"/>
              <w:bottom w:w="55" w:type="dxa"/>
              <w:right w:w="65" w:type="dxa"/>
            </w:tcMar>
            <w:vAlign w:val="center"/>
          </w:tcPr>
          <w:p w14:paraId="02DEF117" w14:textId="77777777" w:rsidR="00937C4A" w:rsidRDefault="00000000">
            <w:pPr>
              <w:spacing w:after="0" w:line="240" w:lineRule="auto"/>
              <w:jc w:val="center"/>
            </w:pPr>
            <w:r>
              <w:rPr>
                <w:rFonts w:ascii="Noto Sans" w:hAnsi="Noto Sans"/>
                <w:sz w:val="13"/>
              </w:rPr>
              <w:t>160</w:t>
            </w:r>
          </w:p>
        </w:tc>
        <w:tc>
          <w:tcPr>
            <w:tcW w:w="2200" w:type="dxa"/>
            <w:shd w:val="clear" w:color="auto" w:fill="F4F6F7"/>
            <w:tcMar>
              <w:top w:w="55" w:type="dxa"/>
              <w:left w:w="65" w:type="dxa"/>
              <w:bottom w:w="55" w:type="dxa"/>
              <w:right w:w="65" w:type="dxa"/>
            </w:tcMar>
            <w:vAlign w:val="center"/>
          </w:tcPr>
          <w:p w14:paraId="3DD3A738" w14:textId="77777777" w:rsidR="00937C4A" w:rsidRDefault="00000000">
            <w:pPr>
              <w:spacing w:after="0" w:line="240" w:lineRule="auto"/>
              <w:jc w:val="center"/>
            </w:pPr>
            <w:r>
              <w:rPr>
                <w:rFonts w:ascii="Noto Sans" w:hAnsi="Noto Sans"/>
                <w:sz w:val="13"/>
              </w:rPr>
              <w:t>24</w:t>
            </w:r>
          </w:p>
        </w:tc>
        <w:tc>
          <w:tcPr>
            <w:tcW w:w="1800" w:type="dxa"/>
            <w:shd w:val="clear" w:color="auto" w:fill="F4F6F7"/>
            <w:tcMar>
              <w:top w:w="55" w:type="dxa"/>
              <w:left w:w="65" w:type="dxa"/>
              <w:bottom w:w="55" w:type="dxa"/>
              <w:right w:w="65" w:type="dxa"/>
            </w:tcMar>
            <w:vAlign w:val="center"/>
          </w:tcPr>
          <w:p w14:paraId="7BC2DB18" w14:textId="77777777" w:rsidR="00937C4A" w:rsidRDefault="00000000">
            <w:pPr>
              <w:spacing w:after="0" w:line="240" w:lineRule="auto"/>
              <w:jc w:val="center"/>
            </w:pPr>
            <w:r>
              <w:rPr>
                <w:rFonts w:ascii="Noto Sans" w:hAnsi="Noto Sans"/>
                <w:sz w:val="13"/>
              </w:rPr>
              <w:t>1</w:t>
            </w:r>
          </w:p>
        </w:tc>
        <w:tc>
          <w:tcPr>
            <w:tcW w:w="1550" w:type="dxa"/>
            <w:shd w:val="clear" w:color="auto" w:fill="F4F6F7"/>
            <w:tcMar>
              <w:top w:w="55" w:type="dxa"/>
              <w:left w:w="65" w:type="dxa"/>
              <w:bottom w:w="55" w:type="dxa"/>
              <w:right w:w="65" w:type="dxa"/>
            </w:tcMar>
            <w:vAlign w:val="center"/>
          </w:tcPr>
          <w:p w14:paraId="7D5C310F" w14:textId="77777777" w:rsidR="00937C4A" w:rsidRDefault="00000000">
            <w:pPr>
              <w:spacing w:after="0" w:line="240" w:lineRule="auto"/>
              <w:jc w:val="center"/>
            </w:pPr>
            <w:r>
              <w:rPr>
                <w:rFonts w:ascii="Noto Sans" w:hAnsi="Noto Sans"/>
                <w:sz w:val="13"/>
              </w:rPr>
              <w:t>1</w:t>
            </w:r>
          </w:p>
        </w:tc>
        <w:tc>
          <w:tcPr>
            <w:tcW w:w="1550" w:type="dxa"/>
            <w:shd w:val="clear" w:color="auto" w:fill="F4F6F7"/>
            <w:tcMar>
              <w:top w:w="55" w:type="dxa"/>
              <w:left w:w="65" w:type="dxa"/>
              <w:bottom w:w="55" w:type="dxa"/>
              <w:right w:w="65" w:type="dxa"/>
            </w:tcMar>
            <w:vAlign w:val="center"/>
          </w:tcPr>
          <w:p w14:paraId="54D30AB4" w14:textId="77777777" w:rsidR="00937C4A" w:rsidRDefault="00000000">
            <w:pPr>
              <w:spacing w:after="0" w:line="240" w:lineRule="auto"/>
              <w:jc w:val="center"/>
            </w:pPr>
            <w:r>
              <w:rPr>
                <w:rFonts w:ascii="Noto Sans" w:hAnsi="Noto Sans"/>
                <w:sz w:val="13"/>
              </w:rPr>
              <w:t>1</w:t>
            </w:r>
          </w:p>
        </w:tc>
      </w:tr>
      <w:tr w:rsidR="00937C4A" w14:paraId="4A21F7A2" w14:textId="77777777">
        <w:trPr>
          <w:cantSplit/>
          <w:jc w:val="center"/>
        </w:trPr>
        <w:tc>
          <w:tcPr>
            <w:tcW w:w="1400" w:type="dxa"/>
            <w:tcMar>
              <w:top w:w="55" w:type="dxa"/>
              <w:left w:w="65" w:type="dxa"/>
              <w:bottom w:w="55" w:type="dxa"/>
              <w:right w:w="65" w:type="dxa"/>
            </w:tcMar>
            <w:vAlign w:val="center"/>
          </w:tcPr>
          <w:p w14:paraId="4055E5B5" w14:textId="77777777" w:rsidR="00937C4A" w:rsidRDefault="00000000">
            <w:pPr>
              <w:spacing w:after="0" w:line="240" w:lineRule="auto"/>
              <w:jc w:val="center"/>
            </w:pPr>
            <w:r>
              <w:rPr>
                <w:rFonts w:ascii="Noto Sans" w:hAnsi="Noto Sans"/>
                <w:sz w:val="13"/>
              </w:rPr>
              <w:t>0.300</w:t>
            </w:r>
          </w:p>
        </w:tc>
        <w:tc>
          <w:tcPr>
            <w:tcW w:w="900" w:type="dxa"/>
            <w:tcMar>
              <w:top w:w="55" w:type="dxa"/>
              <w:left w:w="65" w:type="dxa"/>
              <w:bottom w:w="55" w:type="dxa"/>
              <w:right w:w="65" w:type="dxa"/>
            </w:tcMar>
            <w:vAlign w:val="center"/>
          </w:tcPr>
          <w:p w14:paraId="3A5A377B" w14:textId="77777777" w:rsidR="00937C4A" w:rsidRDefault="00000000">
            <w:pPr>
              <w:spacing w:after="0" w:line="240" w:lineRule="auto"/>
              <w:jc w:val="center"/>
            </w:pPr>
            <w:r>
              <w:rPr>
                <w:rFonts w:ascii="Noto Sans" w:hAnsi="Noto Sans"/>
                <w:sz w:val="13"/>
              </w:rPr>
              <w:t>100</w:t>
            </w:r>
          </w:p>
        </w:tc>
        <w:tc>
          <w:tcPr>
            <w:tcW w:w="2200" w:type="dxa"/>
            <w:tcMar>
              <w:top w:w="55" w:type="dxa"/>
              <w:left w:w="65" w:type="dxa"/>
              <w:bottom w:w="55" w:type="dxa"/>
              <w:right w:w="65" w:type="dxa"/>
            </w:tcMar>
            <w:vAlign w:val="center"/>
          </w:tcPr>
          <w:p w14:paraId="320F44A6" w14:textId="77777777" w:rsidR="00937C4A" w:rsidRDefault="00000000">
            <w:pPr>
              <w:spacing w:after="0" w:line="240" w:lineRule="auto"/>
              <w:jc w:val="center"/>
            </w:pPr>
            <w:r>
              <w:rPr>
                <w:rFonts w:ascii="Noto Sans" w:hAnsi="Noto Sans"/>
                <w:sz w:val="13"/>
              </w:rPr>
              <w:t>43</w:t>
            </w:r>
          </w:p>
        </w:tc>
        <w:tc>
          <w:tcPr>
            <w:tcW w:w="1800" w:type="dxa"/>
            <w:tcMar>
              <w:top w:w="55" w:type="dxa"/>
              <w:left w:w="65" w:type="dxa"/>
              <w:bottom w:w="55" w:type="dxa"/>
              <w:right w:w="65" w:type="dxa"/>
            </w:tcMar>
            <w:vAlign w:val="center"/>
          </w:tcPr>
          <w:p w14:paraId="0EC95B6A" w14:textId="77777777" w:rsidR="00937C4A" w:rsidRDefault="00000000">
            <w:pPr>
              <w:spacing w:after="0" w:line="240" w:lineRule="auto"/>
              <w:jc w:val="center"/>
            </w:pPr>
            <w:r>
              <w:rPr>
                <w:rFonts w:ascii="Noto Sans" w:hAnsi="Noto Sans"/>
                <w:sz w:val="13"/>
              </w:rPr>
              <w:t>10</w:t>
            </w:r>
          </w:p>
        </w:tc>
        <w:tc>
          <w:tcPr>
            <w:tcW w:w="1550" w:type="dxa"/>
            <w:tcMar>
              <w:top w:w="55" w:type="dxa"/>
              <w:left w:w="65" w:type="dxa"/>
              <w:bottom w:w="55" w:type="dxa"/>
              <w:right w:w="65" w:type="dxa"/>
            </w:tcMar>
            <w:vAlign w:val="center"/>
          </w:tcPr>
          <w:p w14:paraId="5DC4B371" w14:textId="77777777" w:rsidR="00937C4A" w:rsidRDefault="00000000">
            <w:pPr>
              <w:spacing w:after="0" w:line="240" w:lineRule="auto"/>
              <w:jc w:val="center"/>
            </w:pPr>
            <w:r>
              <w:rPr>
                <w:rFonts w:ascii="Noto Sans" w:hAnsi="Noto Sans"/>
                <w:sz w:val="13"/>
              </w:rPr>
              <w:t>1</w:t>
            </w:r>
          </w:p>
        </w:tc>
        <w:tc>
          <w:tcPr>
            <w:tcW w:w="1550" w:type="dxa"/>
            <w:tcMar>
              <w:top w:w="55" w:type="dxa"/>
              <w:left w:w="65" w:type="dxa"/>
              <w:bottom w:w="55" w:type="dxa"/>
              <w:right w:w="65" w:type="dxa"/>
            </w:tcMar>
            <w:vAlign w:val="center"/>
          </w:tcPr>
          <w:p w14:paraId="5E24F042" w14:textId="77777777" w:rsidR="00937C4A" w:rsidRDefault="00000000">
            <w:pPr>
              <w:spacing w:after="0" w:line="240" w:lineRule="auto"/>
              <w:jc w:val="center"/>
            </w:pPr>
            <w:r>
              <w:rPr>
                <w:rFonts w:ascii="Noto Sans" w:hAnsi="Noto Sans"/>
                <w:sz w:val="13"/>
              </w:rPr>
              <w:t>1</w:t>
            </w:r>
          </w:p>
        </w:tc>
      </w:tr>
      <w:tr w:rsidR="00937C4A" w14:paraId="31A48B59" w14:textId="77777777">
        <w:trPr>
          <w:cantSplit/>
          <w:jc w:val="center"/>
        </w:trPr>
        <w:tc>
          <w:tcPr>
            <w:tcW w:w="1400" w:type="dxa"/>
            <w:shd w:val="clear" w:color="auto" w:fill="F4F6F7"/>
            <w:tcMar>
              <w:top w:w="55" w:type="dxa"/>
              <w:left w:w="65" w:type="dxa"/>
              <w:bottom w:w="55" w:type="dxa"/>
              <w:right w:w="65" w:type="dxa"/>
            </w:tcMar>
            <w:vAlign w:val="center"/>
          </w:tcPr>
          <w:p w14:paraId="1425CBA9" w14:textId="77777777" w:rsidR="00937C4A" w:rsidRDefault="00000000">
            <w:pPr>
              <w:spacing w:after="0" w:line="240" w:lineRule="auto"/>
              <w:jc w:val="center"/>
            </w:pPr>
            <w:r>
              <w:rPr>
                <w:rFonts w:ascii="Noto Sans" w:hAnsi="Noto Sans"/>
                <w:sz w:val="13"/>
              </w:rPr>
              <w:t>0.300</w:t>
            </w:r>
          </w:p>
        </w:tc>
        <w:tc>
          <w:tcPr>
            <w:tcW w:w="900" w:type="dxa"/>
            <w:shd w:val="clear" w:color="auto" w:fill="F4F6F7"/>
            <w:tcMar>
              <w:top w:w="55" w:type="dxa"/>
              <w:left w:w="65" w:type="dxa"/>
              <w:bottom w:w="55" w:type="dxa"/>
              <w:right w:w="65" w:type="dxa"/>
            </w:tcMar>
            <w:vAlign w:val="center"/>
          </w:tcPr>
          <w:p w14:paraId="0902C2A7" w14:textId="77777777" w:rsidR="00937C4A" w:rsidRDefault="00000000">
            <w:pPr>
              <w:spacing w:after="0" w:line="240" w:lineRule="auto"/>
              <w:jc w:val="center"/>
            </w:pPr>
            <w:r>
              <w:rPr>
                <w:rFonts w:ascii="Noto Sans" w:hAnsi="Noto Sans"/>
                <w:sz w:val="13"/>
              </w:rPr>
              <w:t>160</w:t>
            </w:r>
          </w:p>
        </w:tc>
        <w:tc>
          <w:tcPr>
            <w:tcW w:w="2200" w:type="dxa"/>
            <w:shd w:val="clear" w:color="auto" w:fill="F4F6F7"/>
            <w:tcMar>
              <w:top w:w="55" w:type="dxa"/>
              <w:left w:w="65" w:type="dxa"/>
              <w:bottom w:w="55" w:type="dxa"/>
              <w:right w:w="65" w:type="dxa"/>
            </w:tcMar>
            <w:vAlign w:val="center"/>
          </w:tcPr>
          <w:p w14:paraId="49F2333F" w14:textId="77777777" w:rsidR="00937C4A" w:rsidRDefault="00000000">
            <w:pPr>
              <w:spacing w:after="0" w:line="240" w:lineRule="auto"/>
              <w:jc w:val="center"/>
            </w:pPr>
            <w:r>
              <w:rPr>
                <w:rFonts w:ascii="Noto Sans" w:hAnsi="Noto Sans"/>
                <w:sz w:val="13"/>
              </w:rPr>
              <w:t>103</w:t>
            </w:r>
          </w:p>
        </w:tc>
        <w:tc>
          <w:tcPr>
            <w:tcW w:w="1800" w:type="dxa"/>
            <w:shd w:val="clear" w:color="auto" w:fill="F4F6F7"/>
            <w:tcMar>
              <w:top w:w="55" w:type="dxa"/>
              <w:left w:w="65" w:type="dxa"/>
              <w:bottom w:w="55" w:type="dxa"/>
              <w:right w:w="65" w:type="dxa"/>
            </w:tcMar>
            <w:vAlign w:val="center"/>
          </w:tcPr>
          <w:p w14:paraId="6BA4C2AA" w14:textId="77777777" w:rsidR="00937C4A" w:rsidRDefault="00000000">
            <w:pPr>
              <w:spacing w:after="0" w:line="240" w:lineRule="auto"/>
              <w:jc w:val="center"/>
            </w:pPr>
            <w:r>
              <w:rPr>
                <w:rFonts w:ascii="Noto Sans" w:hAnsi="Noto Sans"/>
                <w:sz w:val="13"/>
              </w:rPr>
              <w:t>20</w:t>
            </w:r>
          </w:p>
        </w:tc>
        <w:tc>
          <w:tcPr>
            <w:tcW w:w="1550" w:type="dxa"/>
            <w:shd w:val="clear" w:color="auto" w:fill="F4F6F7"/>
            <w:tcMar>
              <w:top w:w="55" w:type="dxa"/>
              <w:left w:w="65" w:type="dxa"/>
              <w:bottom w:w="55" w:type="dxa"/>
              <w:right w:w="65" w:type="dxa"/>
            </w:tcMar>
            <w:vAlign w:val="center"/>
          </w:tcPr>
          <w:p w14:paraId="2ACCD83D" w14:textId="77777777" w:rsidR="00937C4A" w:rsidRDefault="00000000">
            <w:pPr>
              <w:spacing w:after="0" w:line="240" w:lineRule="auto"/>
              <w:jc w:val="center"/>
            </w:pPr>
            <w:r>
              <w:rPr>
                <w:rFonts w:ascii="Noto Sans" w:hAnsi="Noto Sans"/>
                <w:sz w:val="13"/>
              </w:rPr>
              <w:t>5</w:t>
            </w:r>
          </w:p>
        </w:tc>
        <w:tc>
          <w:tcPr>
            <w:tcW w:w="1550" w:type="dxa"/>
            <w:shd w:val="clear" w:color="auto" w:fill="F4F6F7"/>
            <w:tcMar>
              <w:top w:w="55" w:type="dxa"/>
              <w:left w:w="65" w:type="dxa"/>
              <w:bottom w:w="55" w:type="dxa"/>
              <w:right w:w="65" w:type="dxa"/>
            </w:tcMar>
            <w:vAlign w:val="center"/>
          </w:tcPr>
          <w:p w14:paraId="0F9065F8" w14:textId="77777777" w:rsidR="00937C4A" w:rsidRDefault="00000000">
            <w:pPr>
              <w:spacing w:after="0" w:line="240" w:lineRule="auto"/>
              <w:jc w:val="center"/>
            </w:pPr>
            <w:r>
              <w:rPr>
                <w:rFonts w:ascii="Noto Sans" w:hAnsi="Noto Sans"/>
                <w:sz w:val="13"/>
              </w:rPr>
              <w:t>2</w:t>
            </w:r>
          </w:p>
        </w:tc>
      </w:tr>
    </w:tbl>
    <w:p w14:paraId="1082AE46" w14:textId="77777777" w:rsidR="00937C4A" w:rsidRDefault="00000000">
      <w:pPr>
        <w:pStyle w:val="BodyText"/>
      </w:pPr>
      <w:r>
        <w:t xml:space="preserve">The </w:t>
      </w:r>
      <m:oMath>
        <m:r>
          <w:rPr>
            <w:rFonts w:ascii="Cambria Math" w:hAnsi="Cambria Math"/>
          </w:rPr>
          <m:t>1</m:t>
        </m:r>
        <m:r>
          <m:rPr>
            <m:sty m:val="p"/>
          </m:rPr>
          <w:rPr>
            <w:rFonts w:ascii="Cambria Math" w:hAnsi="Cambria Math"/>
          </w:rPr>
          <m:t>→</m:t>
        </m:r>
        <m:r>
          <w:rPr>
            <w:rFonts w:ascii="Cambria Math" w:hAnsi="Cambria Math"/>
          </w:rPr>
          <m:t>2</m:t>
        </m:r>
      </m:oMath>
      <w:r>
        <w:t xml:space="preserve"> transition at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0.175</m:t>
        </m:r>
      </m:oMath>
      <w:r>
        <w:t xml:space="preserve"> was a single grid cell, disconnected from the main component only because the seam was open and diagonal neighbours were not counted. At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0.22</m:t>
        </m:r>
      </m:oMath>
      <w:r>
        <w:t xml:space="preserve"> — where the revised claim asserted divergence — the corrected count is </w:t>
      </w:r>
      <w:r>
        <w:rPr>
          <w:b/>
          <w:bCs/>
        </w:rPr>
        <w:t>1 at every resolution tested</w:t>
      </w:r>
      <w:r>
        <w:t xml:space="preserve">. Even at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0.30</m:t>
        </m:r>
      </m:oMath>
      <w:r>
        <w:t>, twenty components reduce to two once single-pixel debris is removed.</w:t>
      </w:r>
    </w:p>
    <w:p w14:paraId="00647E36" w14:textId="77777777" w:rsidR="00937C4A" w:rsidRDefault="00000000">
      <w:pPr>
        <w:pStyle w:val="BodyText"/>
      </w:pPr>
      <w:r>
        <w:t>Three further defects compound this.</w:t>
      </w:r>
    </w:p>
    <w:p w14:paraId="2A4A9BBC" w14:textId="77777777" w:rsidR="00937C4A" w:rsidRDefault="00000000">
      <w:pPr>
        <w:pStyle w:val="BodyText"/>
      </w:pPr>
      <w:r>
        <w:rPr>
          <w:b/>
          <w:bCs/>
        </w:rPr>
        <w:t>The exit condition is not toppling.</w:t>
      </w:r>
      <w:r>
        <w:t xml:space="preserve"> The computation declared escape at </w:t>
      </w:r>
      <m:oMath>
        <m:d>
          <m:dPr>
            <m:begChr m:val="|"/>
            <m:endChr m:val="|"/>
            <m:ctrlPr>
              <w:rPr>
                <w:rFonts w:ascii="Cambria Math" w:hAnsi="Cambria Math"/>
              </w:rPr>
            </m:ctrlPr>
          </m:dPr>
          <m:e>
            <m:r>
              <w:rPr>
                <w:rFonts w:ascii="Cambria Math" w:hAnsi="Cambria Math"/>
              </w:rPr>
              <m:t>θ</m:t>
            </m:r>
          </m:e>
        </m:d>
        <m:r>
          <m:rPr>
            <m:sty m:val="p"/>
          </m:rPr>
          <w:rPr>
            <w:rFonts w:ascii="Cambria Math" w:hAnsi="Cambria Math"/>
          </w:rPr>
          <m:t>&gt;</m:t>
        </m:r>
        <m:r>
          <w:rPr>
            <w:rFonts w:ascii="Cambria Math" w:hAnsi="Cambria Math"/>
          </w:rPr>
          <m:t>3α</m:t>
        </m:r>
      </m:oMath>
      <w:r>
        <w:t xml:space="preserve">, whereas the separatrix is at </w:t>
      </w:r>
      <m:oMath>
        <m:d>
          <m:dPr>
            <m:begChr m:val="|"/>
            <m:endChr m:val="|"/>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α</m:t>
        </m:r>
      </m:oMath>
      <w:r>
        <w:t xml:space="preserve">. The computed object is therefore a finite-time non-escape set </w:t>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3α</m:t>
            </m:r>
          </m:sub>
        </m:sSub>
      </m:oMath>
      <w:r>
        <w:t xml:space="preserve"> with an arbitrary threshold, not a survival basin. A finite-time non-escape set is a legitimate object — but it must be named as one.</w:t>
      </w:r>
    </w:p>
    <w:p w14:paraId="0B454508" w14:textId="77777777" w:rsidR="00937C4A" w:rsidRDefault="00000000">
      <w:pPr>
        <w:pStyle w:val="BodyText"/>
      </w:pPr>
      <w:r>
        <w:rPr>
          <w:b/>
          <w:bCs/>
        </w:rPr>
        <w:t>Impacts were not event-localised.</w:t>
      </w:r>
      <w:r>
        <w:t xml:space="preserve"> On a step that crossed </w:t>
      </w:r>
      <m:oMath>
        <m:r>
          <w:rPr>
            <w:rFonts w:ascii="Cambria Math" w:hAnsi="Cambria Math"/>
          </w:rPr>
          <m:t>θ</m:t>
        </m:r>
        <m:r>
          <m:rPr>
            <m:sty m:val="p"/>
          </m:rPr>
          <w:rPr>
            <w:rFonts w:ascii="Cambria Math" w:hAnsi="Cambria Math"/>
          </w:rPr>
          <m:t>=</m:t>
        </m:r>
        <m:r>
          <w:rPr>
            <w:rFonts w:ascii="Cambria Math" w:hAnsi="Cambria Math"/>
          </w:rPr>
          <m:t>0</m:t>
        </m:r>
      </m:oMath>
      <w:r>
        <w:t xml:space="preserve">, the code multiplied the end-of-step velocity by </w:t>
      </w:r>
      <m:oMath>
        <m:r>
          <w:rPr>
            <w:rFonts w:ascii="Cambria Math" w:hAnsi="Cambria Math"/>
          </w:rPr>
          <m:t>r</m:t>
        </m:r>
      </m:oMath>
      <w:r>
        <w:t xml:space="preserve"> without solving for the impact time, without returning </w:t>
      </w:r>
      <m:oMath>
        <m:r>
          <w:rPr>
            <w:rFonts w:ascii="Cambria Math" w:hAnsi="Cambria Math"/>
          </w:rPr>
          <m:t>θ</m:t>
        </m:r>
      </m:oMath>
      <w:r>
        <w:t xml:space="preserve"> to zero, and having integrated part of the step on the wrong contact branch. For bulk response quantities this is a small error. For basin </w:t>
      </w:r>
      <w:r>
        <w:rPr>
          <w:i/>
          <w:iCs/>
        </w:rPr>
        <w:t>topology</w:t>
      </w:r>
      <w:r>
        <w:t xml:space="preserve"> it is not: a local error of one cell creates or destroys an entire component.</w:t>
      </w:r>
    </w:p>
    <w:p w14:paraId="7B75FB93" w14:textId="77777777" w:rsidR="00937C4A" w:rsidRDefault="00000000">
      <w:pPr>
        <w:pStyle w:val="BodyText"/>
      </w:pPr>
      <w:r>
        <w:rPr>
          <w:b/>
          <w:bCs/>
        </w:rPr>
        <w:t>The counts were not reproducible across settings.</w:t>
      </w:r>
      <w:r>
        <w:t xml:space="preserve"> Independent reruns gave 16, 103, 452 where the notes reported 12, 63, 356, with survival fractions agreeing closely. That signature — measure agrees, component count does not — is diagnostic of pixel debris dominating </w:t>
      </w:r>
      <m:oMath>
        <m:sSub>
          <m:sSubPr>
            <m:ctrlPr>
              <w:rPr>
                <w:rFonts w:ascii="Cambria Math" w:hAnsi="Cambria Math"/>
              </w:rPr>
            </m:ctrlPr>
          </m:sSubPr>
          <m:e>
            <m:r>
              <w:rPr>
                <w:rFonts w:ascii="Cambria Math" w:hAnsi="Cambria Math"/>
              </w:rPr>
              <m:t>β</m:t>
            </m:r>
          </m:e>
          <m:sub>
            <m:r>
              <w:rPr>
                <w:rFonts w:ascii="Cambria Math" w:hAnsi="Cambria Math"/>
              </w:rPr>
              <m:t>0</m:t>
            </m:r>
          </m:sub>
        </m:sSub>
      </m:oMath>
      <w:r>
        <w:t>.</w:t>
      </w:r>
    </w:p>
    <w:p w14:paraId="78413507" w14:textId="77777777" w:rsidR="00937C4A" w:rsidRDefault="00000000">
      <w:pPr>
        <w:pStyle w:val="Heading3"/>
      </w:pPr>
      <w:bookmarkStart w:id="64" w:name="the-retraction-and-what-replaces-it"/>
      <w:bookmarkEnd w:id="63"/>
      <w:r>
        <w:rPr>
          <w:rFonts w:ascii="Noto Sans" w:eastAsia="Noto Sans" w:hAnsi="Noto Sans"/>
        </w:rPr>
        <w:t>10.4 The retraction, and what replaces it</w:t>
      </w:r>
    </w:p>
    <w:p w14:paraId="789C4CD8" w14:textId="77777777" w:rsidR="00937C4A" w:rsidRDefault="00000000">
      <w:r>
        <w:rPr>
          <w:rFonts w:ascii="Noto Sans" w:eastAsia="Noto Sans" w:hAnsi="Noto Sans"/>
          <w:b/>
          <w:bCs/>
          <w:color w:val="A62A2A"/>
          <w:sz w:val="19"/>
        </w:rPr>
        <w:t>[X]</w:t>
      </w:r>
      <w:r>
        <w:t xml:space="preserve"> The claim that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of the safe set exhibits a topological transition at the Melnikov threshold is </w:t>
      </w:r>
      <w:r>
        <w:rPr>
          <w:b/>
          <w:bCs/>
        </w:rPr>
        <w:t>withdrawn</w:t>
      </w:r>
      <w:r>
        <w:t>. It was an artefact of open-cylinder connectivity and single-pixel components. The subsequent claim that resolution-</w:t>
      </w:r>
      <w:r>
        <w:rPr>
          <w:i/>
          <w:iCs/>
        </w:rPr>
        <w:t>instability</w:t>
      </w:r>
      <w:r>
        <w:t xml:space="preserve"> of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correct diagnostic is likewise withdrawn, having been computed with the same defective labelling.</w:t>
      </w:r>
    </w:p>
    <w:p w14:paraId="1F3CEBB0" w14:textId="77777777" w:rsidR="00937C4A" w:rsidRDefault="00000000">
      <w:r>
        <w:t>What survives is the conjecture of §10.1 and a specification of what would establish it:</w:t>
      </w:r>
    </w:p>
    <w:p w14:paraId="7F2A8418" w14:textId="77777777" w:rsidR="00937C4A" w:rsidRDefault="00000000">
      <w:pPr>
        <w:numPr>
          <w:ilvl w:val="0"/>
          <w:numId w:val="25"/>
        </w:numPr>
      </w:pPr>
      <w:r>
        <w:rPr>
          <w:b/>
          <w:bCs/>
        </w:rPr>
        <w:t>Event-driven integration</w:t>
      </w:r>
      <w:r>
        <w:t xml:space="preserve"> with root localisation at </w:t>
      </w:r>
      <m:oMath>
        <m:r>
          <w:rPr>
            <w:rFonts w:ascii="Cambria Math" w:hAnsi="Cambria Math"/>
          </w:rPr>
          <m:t>θ</m:t>
        </m:r>
        <m:r>
          <m:rPr>
            <m:sty m:val="p"/>
          </m:rPr>
          <w:rPr>
            <w:rFonts w:ascii="Cambria Math" w:hAnsi="Cambria Math"/>
          </w:rPr>
          <m:t>=</m:t>
        </m:r>
        <m:r>
          <w:rPr>
            <w:rFonts w:ascii="Cambria Math" w:hAnsi="Cambria Math"/>
          </w:rPr>
          <m:t>0</m:t>
        </m:r>
      </m:oMath>
      <w:r>
        <w:t xml:space="preserve"> and exact state reset.</w:t>
      </w:r>
    </w:p>
    <w:p w14:paraId="1D1A7FA9" w14:textId="77777777" w:rsidR="00937C4A" w:rsidRDefault="00000000">
      <w:pPr>
        <w:numPr>
          <w:ilvl w:val="0"/>
          <w:numId w:val="25"/>
        </w:numPr>
      </w:pPr>
      <w:r>
        <w:rPr>
          <w:b/>
          <w:bCs/>
        </w:rPr>
        <w:t>A defined exit set</w:t>
      </w:r>
      <w:r>
        <w:t xml:space="preserve"> — the true separatrix, or a stated finite-time non-escape set with its threshold in the name.</w:t>
      </w:r>
    </w:p>
    <w:p w14:paraId="1CA04273" w14:textId="77777777" w:rsidR="00937C4A" w:rsidRDefault="00000000">
      <w:pPr>
        <w:numPr>
          <w:ilvl w:val="0"/>
          <w:numId w:val="25"/>
        </w:numPr>
      </w:pPr>
      <w:r>
        <w:rPr>
          <w:b/>
          <w:bCs/>
        </w:rPr>
        <w:t>Periodic cubical homology</w:t>
      </w:r>
      <w:r>
        <w:t xml:space="preserve"> on </w:t>
      </w:r>
      <m:oMath>
        <m:sSup>
          <m:sSupPr>
            <m:ctrlPr>
              <w:rPr>
                <w:rFonts w:ascii="Cambria Math" w:hAnsi="Cambria Math"/>
              </w:rPr>
            </m:ctrlPr>
          </m:sSupPr>
          <m:e>
            <m:r>
              <w:rPr>
                <w:rFonts w:ascii="Cambria Math" w:hAnsi="Cambria Math"/>
              </w:rPr>
              <m:t>S</m:t>
            </m:r>
          </m:e>
          <m:sup>
            <m:r>
              <w:rPr>
                <w:rFonts w:ascii="Cambria Math" w:hAnsi="Cambria Math"/>
              </w:rPr>
              <m:t>1</m:t>
            </m:r>
          </m:sup>
        </m:sSup>
        <m:r>
          <m:rPr>
            <m:sty m:val="p"/>
          </m:rPr>
          <w:rPr>
            <w:rFonts w:ascii="Cambria Math" w:hAnsi="Cambria Math"/>
          </w:rPr>
          <m:t>×</m:t>
        </m:r>
        <m:r>
          <w:rPr>
            <w:rFonts w:ascii="Cambria Math" w:hAnsi="Cambria Math"/>
          </w:rPr>
          <m:t>I</m:t>
        </m:r>
      </m:oMath>
      <w:r>
        <w:t>, not rectangular image labelling.</w:t>
      </w:r>
    </w:p>
    <w:p w14:paraId="4B21F744" w14:textId="77777777" w:rsidR="00937C4A" w:rsidRDefault="00000000">
      <w:pPr>
        <w:numPr>
          <w:ilvl w:val="0"/>
          <w:numId w:val="25"/>
        </w:numPr>
      </w:pPr>
      <w:r>
        <w:rPr>
          <w:b/>
          <w:bCs/>
        </w:rPr>
        <w:t>Convergence audit</w:t>
      </w:r>
      <w:r>
        <w:t xml:space="preserve"> over time step, grid size, and observation horizon jointly.</w:t>
      </w:r>
    </w:p>
    <w:p w14:paraId="7117BC19" w14:textId="77777777" w:rsidR="00937C4A" w:rsidRDefault="00000000">
      <w:pPr>
        <w:numPr>
          <w:ilvl w:val="0"/>
          <w:numId w:val="25"/>
        </w:numPr>
      </w:pPr>
      <w:r>
        <w:rPr>
          <w:b/>
          <w:bCs/>
        </w:rPr>
        <w:t>Persistence filtering</w:t>
      </w:r>
      <w:r>
        <w:t xml:space="preserve"> to reject components of zero numerical lifetime, with the filtration parameter stated.</w:t>
      </w:r>
    </w:p>
    <w:p w14:paraId="36980777" w14:textId="77777777" w:rsidR="00937C4A" w:rsidRDefault="00000000">
      <w:pPr>
        <w:numPr>
          <w:ilvl w:val="0"/>
          <w:numId w:val="25"/>
        </w:numPr>
      </w:pPr>
      <w:r>
        <w:t xml:space="preserve">Reporting of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as well as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the tongues are more likely to show as holes before they show as disconnection.</w:t>
      </w:r>
    </w:p>
    <w:p w14:paraId="016327CB" w14:textId="77777777" w:rsidR="00937C4A" w:rsidRDefault="00000000">
      <w:r>
        <w:t>Only after all six may one write that homology detects what measure does not.</w:t>
      </w:r>
    </w:p>
    <w:p w14:paraId="53FA35C4" w14:textId="77777777" w:rsidR="00937C4A" w:rsidRDefault="00000000">
      <w:pPr>
        <w:pStyle w:val="Heading3"/>
      </w:pPr>
      <w:bookmarkStart w:id="65" w:name="Xf3f02d899dc40dbe6b3a053165d5c0f525265e3"/>
      <w:bookmarkEnd w:id="64"/>
      <w:r>
        <w:rPr>
          <w:rFonts w:ascii="Noto Sans" w:eastAsia="Noto Sans" w:hAnsi="Noto Sans"/>
        </w:rPr>
        <w:t>10.5 The lesson, which is the reason this chapter is in the book</w:t>
      </w:r>
    </w:p>
    <w:p w14:paraId="40ED81B0" w14:textId="77777777" w:rsidR="00937C4A" w:rsidRDefault="00000000">
      <w:r>
        <w:t>The failure mode here is exactly the failure mode the book is about.</w:t>
      </w:r>
    </w:p>
    <w:p w14:paraId="729507F0" w14:textId="77777777" w:rsidR="00937C4A" w:rsidRDefault="00000000">
      <w:pPr>
        <w:pStyle w:val="BodyText"/>
      </w:pPr>
      <w:r>
        <w:t>A topological invariant was computed on the survivors of a discretisation. The discretisation destroyed some structure and manufactured other structure, and the invariant reported the manufactured structure as though it were the mechanics. The count was conditioned on the grid, and the grid was then forgotten.</w:t>
      </w:r>
    </w:p>
    <w:p w14:paraId="5A5E7B92" w14:textId="77777777" w:rsidR="00937C4A" w:rsidRDefault="00000000">
      <w:pPr>
        <w:pStyle w:val="BodyText"/>
      </w:pPr>
      <w:r>
        <w:t>That is survivorship bias in a numerical costume. I did not notice it in my own computation while writing three chapters about not noticing it in geology. The reader may take that as evidence that the error described in Part I is not a mistake made by naive people.</w:t>
      </w:r>
    </w:p>
    <w:p w14:paraId="75B773C4" w14:textId="77777777" w:rsidR="00937C4A" w:rsidRDefault="00000000">
      <w:pPr>
        <w:pStyle w:val="Heading2"/>
        <w:pageBreakBefore/>
        <w:pBdr>
          <w:bottom w:val="single" w:sz="5" w:space="5" w:color="B8C1C6"/>
        </w:pBdr>
        <w:spacing w:after="280"/>
      </w:pPr>
      <w:bookmarkStart w:id="66" w:name="X738741e40a6ddff8383a7a17c4cb3abdd860606"/>
      <w:bookmarkEnd w:id="60"/>
      <w:bookmarkEnd w:id="65"/>
      <w:r>
        <w:rPr>
          <w:rFonts w:ascii="EB Garamond" w:eastAsia="EB Garamond" w:hAnsi="EB Garamond"/>
          <w:sz w:val="40"/>
        </w:rPr>
        <w:lastRenderedPageBreak/>
        <w:t>Chapter 11 — The Conley Index and the Isolation Condition</w:t>
      </w:r>
    </w:p>
    <w:p w14:paraId="19E11D57" w14:textId="77777777" w:rsidR="00937C4A" w:rsidRDefault="00000000">
      <w:pPr>
        <w:pStyle w:val="Heading3"/>
      </w:pPr>
      <w:bookmarkStart w:id="67" w:name="why-not-lyapunov-exponents"/>
      <w:r>
        <w:rPr>
          <w:rFonts w:ascii="Noto Sans" w:eastAsia="Noto Sans" w:hAnsi="Noto Sans"/>
        </w:rPr>
        <w:t>11.1 Why not Lyapunov exponents</w:t>
      </w:r>
    </w:p>
    <w:p w14:paraId="6C2F6540" w14:textId="77777777" w:rsidR="00937C4A" w:rsidRDefault="00000000">
      <w:r>
        <w:t xml:space="preserve">Everything in Chapter 9 is estimated from finite orbits and reported as an asymptotic average. That is fine for description and useless for proof. A positive numerically estimated </w:t>
      </w:r>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oMath>
      <w:r>
        <w:t xml:space="preserve"> is evidence of chaos; it is not a demonstration, and in a system with impacts and grazing it is not even reliable evidence, because the saltation matrices can produce large finite-time growth without an underlying chaotic invariant set.</w:t>
      </w:r>
    </w:p>
    <w:p w14:paraId="714C2F80" w14:textId="77777777" w:rsidR="00937C4A" w:rsidRDefault="00000000">
      <w:pPr>
        <w:pStyle w:val="BodyText"/>
      </w:pPr>
      <w:r>
        <w:t>The Conley index is the alternative, and it has two properties that no orbit-averaged quantity has.</w:t>
      </w:r>
    </w:p>
    <w:p w14:paraId="12C72708" w14:textId="77777777" w:rsidR="00937C4A" w:rsidRDefault="00000000">
      <w:pPr>
        <w:pStyle w:val="Heading3"/>
      </w:pPr>
      <w:bookmarkStart w:id="68" w:name="the-construction"/>
      <w:bookmarkEnd w:id="67"/>
      <w:r>
        <w:rPr>
          <w:rFonts w:ascii="Noto Sans" w:eastAsia="Noto Sans" w:hAnsi="Noto Sans"/>
        </w:rPr>
        <w:t>11.2 The construction</w:t>
      </w:r>
    </w:p>
    <w:p w14:paraId="7D31162D" w14:textId="77777777" w:rsidR="00937C4A" w:rsidRDefault="00000000">
      <w:r>
        <w:t xml:space="preserve">Let </w:t>
      </w:r>
      <m:oMath>
        <m:r>
          <w:rPr>
            <w:rFonts w:ascii="Cambria Math" w:hAnsi="Cambria Math"/>
          </w:rPr>
          <m:t>P</m:t>
        </m:r>
      </m:oMath>
      <w:r>
        <w:t xml:space="preserve"> be a continuous map (here: the impact return map on the section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A compact set </w:t>
      </w:r>
      <m:oMath>
        <m:r>
          <w:rPr>
            <w:rFonts w:ascii="Cambria Math" w:hAnsi="Cambria Math"/>
          </w:rPr>
          <m:t>N</m:t>
        </m:r>
      </m:oMath>
      <w:r>
        <w:t xml:space="preserve"> is an </w:t>
      </w:r>
      <w:r>
        <w:rPr>
          <w:b/>
          <w:bCs/>
        </w:rPr>
        <w:t>isolating neighbourhood</w:t>
      </w:r>
      <w:r>
        <w:t xml:space="preserve"> if</w:t>
      </w:r>
    </w:p>
    <w:p w14:paraId="5F2CA5FF" w14:textId="77777777" w:rsidR="00937C4A" w:rsidRDefault="00000000">
      <w:pPr>
        <w:pStyle w:val="BodyText"/>
        <w:spacing w:before="100" w:after="140"/>
        <w:jc w:val="center"/>
      </w:pPr>
      <m:oMathPara>
        <m:oMathParaPr>
          <m:jc m:val="center"/>
        </m:oMathParaPr>
        <m:oMath>
          <m:r>
            <m:rPr>
              <m:sty m:val="p"/>
            </m:rPr>
            <w:rPr>
              <w:rFonts w:ascii="Cambria Math" w:hAnsi="Cambria Math"/>
            </w:rPr>
            <m:t>Inv</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P</m:t>
              </m:r>
            </m:e>
            <m:sup>
              <m:r>
                <w:rPr>
                  <w:rFonts w:ascii="Cambria Math" w:hAnsi="Cambria Math"/>
                </w:rPr>
                <m:t>k</m:t>
              </m:r>
            </m:sup>
          </m:sSup>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N </m:t>
          </m:r>
          <m:r>
            <m:rPr>
              <m:sty m:val="p"/>
            </m:rPr>
            <w:rPr>
              <w:rFonts w:ascii="Cambria Math" w:hAnsi="Cambria Math"/>
            </w:rPr>
            <m:t>∀</m:t>
          </m:r>
          <m:r>
            <w:rPr>
              <w:rFonts w:ascii="Cambria Math" w:hAnsi="Cambria Math"/>
            </w:rPr>
            <m:t>k</m:t>
          </m:r>
          <m:r>
            <m:rPr>
              <m:scr m:val="double-struck"/>
              <m:sty m:val="p"/>
            </m:rPr>
            <w:rPr>
              <w:rFonts w:ascii="Cambria Math" w:hAnsi="Cambria Math"/>
            </w:rPr>
            <m:t>∈Z}⊂</m:t>
          </m:r>
          <m:r>
            <m:rPr>
              <m:sty m:val="p"/>
            </m:rPr>
            <w:rPr>
              <w:rFonts w:ascii="Cambria Math" w:hAnsi="Cambria Math"/>
            </w:rPr>
            <m:t>int</m:t>
          </m:r>
          <m:r>
            <w:rPr>
              <w:rFonts w:ascii="Cambria Math" w:hAnsi="Cambria Math"/>
            </w:rPr>
            <m:t>N</m:t>
          </m:r>
          <m:r>
            <m:rPr>
              <m:sty m:val="p"/>
            </m:rPr>
            <w:rPr>
              <w:rFonts w:ascii="Cambria Math" w:hAnsi="Cambria Math"/>
            </w:rPr>
            <m:t>,</m:t>
          </m:r>
        </m:oMath>
      </m:oMathPara>
    </w:p>
    <w:p w14:paraId="4EE905F9" w14:textId="77777777" w:rsidR="00937C4A" w:rsidRDefault="00000000">
      <w:r>
        <w:t xml:space="preserve">that is, the invariant part of </w:t>
      </w:r>
      <m:oMath>
        <m:r>
          <w:rPr>
            <w:rFonts w:ascii="Cambria Math" w:hAnsi="Cambria Math"/>
          </w:rPr>
          <m:t>N</m:t>
        </m:r>
      </m:oMath>
      <w:r>
        <w:t xml:space="preserve"> does not touch its boundary. An </w:t>
      </w:r>
      <w:r>
        <w:rPr>
          <w:b/>
          <w:bCs/>
        </w:rPr>
        <w:t>index pair</w:t>
      </w:r>
      <w:r>
        <w:t xml:space="preserve"> </w:t>
      </w:r>
      <m:oMath>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L</m:t>
            </m:r>
          </m:e>
        </m:d>
      </m:oMath>
      <w:r>
        <w:t xml:space="preserve"> with </w:t>
      </w:r>
      <m:oMath>
        <m:r>
          <w:rPr>
            <w:rFonts w:ascii="Cambria Math" w:hAnsi="Cambria Math"/>
          </w:rPr>
          <m:t>L</m:t>
        </m:r>
        <m:r>
          <m:rPr>
            <m:sty m:val="p"/>
          </m:rPr>
          <w:rPr>
            <w:rFonts w:ascii="Cambria Math" w:hAnsi="Cambria Math"/>
          </w:rPr>
          <m:t>⊂</m:t>
        </m:r>
        <m:r>
          <w:rPr>
            <w:rFonts w:ascii="Cambria Math" w:hAnsi="Cambria Math"/>
          </w:rPr>
          <m:t>N</m:t>
        </m:r>
      </m:oMath>
      <w:r>
        <w:t xml:space="preserve"> the exit set gives the </w:t>
      </w:r>
      <w:r>
        <w:rPr>
          <w:b/>
          <w:bCs/>
        </w:rPr>
        <w:t>Conley index</w:t>
      </w:r>
    </w:p>
    <w:p w14:paraId="5C96EF3B"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m:rPr>
                  <m:sty m:val="p"/>
                </m:rPr>
                <w:rPr>
                  <w:rFonts w:ascii="Cambria Math" w:hAnsi="Cambria Math"/>
                </w:rPr>
                <m:t>Con</m:t>
              </m:r>
            </m:e>
            <m:sub>
              <m:r>
                <m:rPr>
                  <m:sty m:val="p"/>
                </m:rPr>
                <w:rPr>
                  <w:rFonts w:ascii="Cambria Math" w:hAnsi="Cambria Math"/>
                </w:rPr>
                <m:t>*</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t>
              </m:r>
            </m:sub>
          </m:s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L</m:t>
              </m:r>
            </m:e>
          </m:d>
          <m:r>
            <m:rPr>
              <m:sty m:val="p"/>
            </m:rPr>
            <w:rPr>
              <w:rFonts w:ascii="Cambria Math" w:hAnsi="Cambria Math"/>
            </w:rPr>
            <m:t>,</m:t>
          </m:r>
        </m:oMath>
      </m:oMathPara>
    </w:p>
    <w:p w14:paraId="2564991B" w14:textId="77777777" w:rsidR="00937C4A" w:rsidRDefault="00000000">
      <w:r>
        <w:t xml:space="preserve">together with the </w:t>
      </w:r>
      <w:r>
        <w:rPr>
          <w:b/>
          <w:bCs/>
        </w:rPr>
        <w:t>index map</w:t>
      </w:r>
      <w:r>
        <w:t xml:space="preserve"> </w:t>
      </w:r>
      <m:oMath>
        <m:sSub>
          <m:sSubPr>
            <m:ctrlPr>
              <w:rPr>
                <w:rFonts w:ascii="Cambria Math" w:hAnsi="Cambria Math"/>
              </w:rPr>
            </m:ctrlPr>
          </m:sSubPr>
          <m:e>
            <m:r>
              <w:rPr>
                <w:rFonts w:ascii="Cambria Math" w:hAnsi="Cambria Math"/>
              </w:rPr>
              <m:t>χ</m:t>
            </m:r>
          </m:e>
          <m:sub>
            <m:r>
              <m:rPr>
                <m:sty m:val="p"/>
              </m:rPr>
              <w:rPr>
                <w:rFonts w:ascii="Cambria Math" w:hAnsi="Cambria Math"/>
              </w:rPr>
              <m:t>*</m:t>
            </m:r>
          </m:sub>
        </m:sSub>
      </m:oMath>
      <w:r>
        <w:t xml:space="preserve"> induced by </w:t>
      </w:r>
      <m:oMath>
        <m:r>
          <w:rPr>
            <w:rFonts w:ascii="Cambria Math" w:hAnsi="Cambria Math"/>
          </w:rPr>
          <m:t>P</m:t>
        </m:r>
      </m:oMath>
      <w:r>
        <w:t xml:space="preserve"> on that relative homology.</w:t>
      </w:r>
    </w:p>
    <w:p w14:paraId="1F525F27" w14:textId="77777777" w:rsidR="00937C4A" w:rsidRDefault="00000000">
      <w:pPr>
        <w:pStyle w:val="BodyText"/>
      </w:pPr>
      <w:r>
        <w:t>Two theorems make this useful.</w:t>
      </w:r>
    </w:p>
    <w:p w14:paraId="36191371" w14:textId="77777777" w:rsidR="00937C4A" w:rsidRDefault="00000000">
      <w:pPr>
        <w:pStyle w:val="BodyText"/>
      </w:pPr>
      <w:r>
        <w:rPr>
          <w:b/>
          <w:bCs/>
        </w:rPr>
        <w:t>Ważewski property.</w:t>
      </w:r>
      <w:r>
        <w:t xml:space="preserve"> If </w:t>
      </w:r>
      <m:oMath>
        <m:sSub>
          <m:sSubPr>
            <m:ctrlPr>
              <w:rPr>
                <w:rFonts w:ascii="Cambria Math" w:hAnsi="Cambria Math"/>
              </w:rPr>
            </m:ctrlPr>
          </m:sSubPr>
          <m:e>
            <m:r>
              <m:rPr>
                <m:sty m:val="p"/>
              </m:rPr>
              <w:rPr>
                <w:rFonts w:ascii="Cambria Math" w:hAnsi="Cambria Math"/>
              </w:rPr>
              <m:t>Con</m:t>
            </m:r>
          </m:e>
          <m:sub>
            <m:r>
              <m:rPr>
                <m:sty m:val="p"/>
              </m:rPr>
              <w:rPr>
                <w:rFonts w:ascii="Cambria Math" w:hAnsi="Cambria Math"/>
              </w:rPr>
              <m:t>*</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0</m:t>
        </m:r>
      </m:oMath>
      <w:r>
        <w:t xml:space="preserve"> then </w:t>
      </w:r>
      <m:oMath>
        <m:r>
          <w:rPr>
            <w:rFonts w:ascii="Cambria Math" w:hAnsi="Cambria Math"/>
          </w:rPr>
          <m:t>S</m:t>
        </m:r>
        <m:r>
          <m:rPr>
            <m:sty m:val="p"/>
          </m:rPr>
          <w:rPr>
            <w:rFonts w:ascii="Cambria Math" w:hAnsi="Cambria Math"/>
          </w:rPr>
          <m:t>=Inv</m:t>
        </m:r>
        <m:d>
          <m:dPr>
            <m:ctrlPr>
              <w:rPr>
                <w:rFonts w:ascii="Cambria Math" w:hAnsi="Cambria Math"/>
              </w:rPr>
            </m:ctrlPr>
          </m:dPr>
          <m:e>
            <m:r>
              <w:rPr>
                <w:rFonts w:ascii="Cambria Math" w:hAnsi="Cambria Math"/>
              </w:rPr>
              <m:t>N</m:t>
            </m:r>
          </m:e>
        </m:d>
        <m:r>
          <m:rPr>
            <m:sty m:val="p"/>
          </m:rPr>
          <w:rPr>
            <w:rFonts w:ascii="Cambria Math" w:hAnsi="Cambria Math"/>
          </w:rPr>
          <m:t>≠∅</m:t>
        </m:r>
      </m:oMath>
      <w:r>
        <w:t>. Nontrivial homology forces the existence of invariant dynamics. This is an existence theorem obtained by computation on a finite complex.</w:t>
      </w:r>
    </w:p>
    <w:p w14:paraId="7B0B9955" w14:textId="77777777" w:rsidR="00937C4A" w:rsidRDefault="00000000">
      <w:pPr>
        <w:pStyle w:val="BodyText"/>
      </w:pPr>
      <w:r>
        <w:rPr>
          <w:b/>
          <w:bCs/>
        </w:rPr>
        <w:t>Mischaikow–Mrozek.</w:t>
      </w:r>
      <w:r>
        <w:t xml:space="preserve"> If disjoint isolating neighbourhoods and their connections yield an index map whose matrix </w:t>
      </w:r>
      <m:oMath>
        <m:r>
          <w:rPr>
            <w:rFonts w:ascii="Cambria Math" w:hAnsi="Cambria Math"/>
          </w:rPr>
          <m:t>A</m:t>
        </m:r>
      </m:oMath>
      <w:r>
        <w:t xml:space="preserve"> on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oMath>
      <w:r>
        <w:t xml:space="preserve"> has spectral radius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&gt;</m:t>
        </m:r>
        <m:r>
          <w:rPr>
            <w:rFonts w:ascii="Cambria Math" w:hAnsi="Cambria Math"/>
          </w:rPr>
          <m:t>1</m:t>
        </m:r>
      </m:oMath>
      <w:r>
        <w:t xml:space="preserve">, then </w:t>
      </w:r>
      <m:oMath>
        <m:r>
          <w:rPr>
            <w:rFonts w:ascii="Cambria Math" w:hAnsi="Cambria Math"/>
          </w:rPr>
          <m:t>P</m:t>
        </m:r>
      </m:oMath>
      <w:r>
        <w:t xml:space="preserve"> possesses a compact invariant set semiconjugate onto the subshift of finite type </w:t>
      </w:r>
      <m:oMath>
        <m:sSub>
          <m:sSubPr>
            <m:ctrlPr>
              <w:rPr>
                <w:rFonts w:ascii="Cambria Math" w:hAnsi="Cambria Math"/>
              </w:rPr>
            </m:ctrlPr>
          </m:sSubPr>
          <m:e>
            <m:r>
              <w:rPr>
                <w:rFonts w:ascii="Cambria Math" w:hAnsi="Cambria Math"/>
              </w:rPr>
              <m:t>Σ</m:t>
            </m:r>
          </m:e>
          <m:sub>
            <m:r>
              <w:rPr>
                <w:rFonts w:ascii="Cambria Math" w:hAnsi="Cambria Math"/>
              </w:rPr>
              <m:t>A</m:t>
            </m:r>
          </m:sub>
        </m:sSub>
      </m:oMath>
      <w:r>
        <w:t>, and</w:t>
      </w:r>
    </w:p>
    <w:p w14:paraId="0706566E"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top</m:t>
              </m:r>
            </m:sub>
          </m:sSub>
          <m:d>
            <m:dPr>
              <m:ctrlPr>
                <w:rPr>
                  <w:rFonts w:ascii="Cambria Math" w:hAnsi="Cambria Math"/>
                </w:rPr>
              </m:ctrlPr>
            </m:dPr>
            <m:e>
              <m:r>
                <w:rPr>
                  <w:rFonts w:ascii="Cambria Math" w:hAnsi="Cambria Math"/>
                </w:rPr>
                <m:t>P</m:t>
              </m:r>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m:t>
          </m:r>
        </m:oMath>
      </m:oMathPara>
    </w:p>
    <w:p w14:paraId="192E79E1" w14:textId="77777777" w:rsidR="00937C4A" w:rsidRDefault="00000000">
      <w:r>
        <w:t>That is a proof of chaos, obtained by computing relative homology of cubical sets built from an interval-arithmetic enclosure of the map. It is how chaos was established rigorously in the Lorenz and Hénon systems.</w:t>
      </w:r>
    </w:p>
    <w:p w14:paraId="27065DE5" w14:textId="77777777" w:rsidR="00937C4A" w:rsidRDefault="00000000">
      <w:pPr>
        <w:pStyle w:val="Heading3"/>
      </w:pPr>
      <w:bookmarkStart w:id="69" w:name="the-deliverable"/>
      <w:bookmarkEnd w:id="68"/>
      <w:r>
        <w:rPr>
          <w:rFonts w:ascii="Noto Sans" w:eastAsia="Noto Sans" w:hAnsi="Noto Sans"/>
        </w:rPr>
        <w:t>11.3 The deliverable</w:t>
      </w:r>
    </w:p>
    <w:p w14:paraId="3A4CD3A9" w14:textId="77777777" w:rsidR="00937C4A" w:rsidRDefault="00000000">
      <w:r>
        <w:t>For this system the target is a statement of the form:</w:t>
      </w:r>
    </w:p>
    <w:p w14:paraId="3060E073" w14:textId="77777777" w:rsidR="00937C4A" w:rsidRDefault="00000000">
      <w:r>
        <w:rPr>
          <w:b/>
          <w:bCs/>
        </w:rPr>
        <w:t>Target theorem.</w:t>
      </w:r>
      <w:r>
        <w:t xml:space="preserve"> For all </w:t>
      </w:r>
      <m:oMath>
        <m:d>
          <m:dPr>
            <m:ctrlPr>
              <w:rPr>
                <w:rFonts w:ascii="Cambria Math" w:hAnsi="Cambria Math"/>
              </w:rPr>
            </m:ctrlPr>
          </m:dPr>
          <m:e>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r</m:t>
            </m:r>
          </m:e>
        </m:d>
      </m:oMath>
      <w:r>
        <w:t xml:space="preserve"> in a stated parameter box, the impact return map </w:t>
      </w:r>
      <m:oMath>
        <m:r>
          <w:rPr>
            <w:rFonts w:ascii="Cambria Math" w:hAnsi="Cambria Math"/>
          </w:rPr>
          <m:t>P</m:t>
        </m:r>
      </m:oMath>
      <w:r>
        <w:t xml:space="preserve"> admits a compact invariant set </w:t>
      </w:r>
      <m:oMath>
        <m:r>
          <w:rPr>
            <w:rFonts w:ascii="Cambria Math" w:hAnsi="Cambria Math"/>
          </w:rPr>
          <m:t>S</m:t>
        </m:r>
      </m:oMath>
      <w:r>
        <w:t xml:space="preserve"> with </w:t>
      </w:r>
      <m:oMath>
        <m:sSub>
          <m:sSubPr>
            <m:ctrlPr>
              <w:rPr>
                <w:rFonts w:ascii="Cambria Math" w:hAnsi="Cambria Math"/>
              </w:rPr>
            </m:ctrlPr>
          </m:sSubPr>
          <m:e>
            <m:r>
              <w:rPr>
                <w:rFonts w:ascii="Cambria Math" w:hAnsi="Cambria Math"/>
              </w:rPr>
              <m:t>h</m:t>
            </m:r>
          </m:e>
          <m:sub>
            <m:r>
              <m:rPr>
                <m:sty m:val="p"/>
              </m:rPr>
              <w:rPr>
                <w:rFonts w:ascii="Cambria Math" w:hAnsi="Cambria Math"/>
              </w:rPr>
              <m:t>top</m:t>
            </m:r>
          </m:sub>
        </m:sSub>
        <m:d>
          <m:dPr>
            <m:ctrlPr>
              <w:rPr>
                <w:rFonts w:ascii="Cambria Math" w:hAnsi="Cambria Math"/>
              </w:rPr>
            </m:ctrlPr>
          </m:dPr>
          <m:e>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S</m:t>
                </m:r>
              </m:sub>
            </m:sSub>
          </m:e>
        </m:d>
        <m:r>
          <m:rPr>
            <m:sty m:val="p"/>
          </m:rPr>
          <w:rPr>
            <w:rFonts w:ascii="Cambria Math" w:hAnsi="Cambria Math"/>
          </w:rPr>
          <m:t>≥log</m:t>
        </m:r>
        <m:r>
          <w:rPr>
            <w:rFonts w:ascii="Cambria Math" w:hAnsi="Cambria Math"/>
          </w:rPr>
          <m:t>2</m:t>
        </m:r>
      </m:oMath>
      <w:r>
        <w:t>.</w:t>
      </w:r>
    </w:p>
    <w:p w14:paraId="0F8F5E64" w14:textId="77777777" w:rsidR="00937C4A" w:rsidRDefault="00000000">
      <w:r>
        <w:t xml:space="preserve">Machine-checkable, falsifiable by rerunning the enclosure, and — crucially — a statement about a </w:t>
      </w:r>
      <w:r>
        <w:rPr>
          <w:i/>
          <w:iCs/>
        </w:rPr>
        <w:t>box</w:t>
      </w:r>
      <w:r>
        <w:t xml:space="preserve"> of parameters rather than a point. Which brings us to the second property.</w:t>
      </w:r>
    </w:p>
    <w:p w14:paraId="0A24E82A" w14:textId="77777777" w:rsidR="00937C4A" w:rsidRDefault="00000000">
      <w:pPr>
        <w:pStyle w:val="Heading3"/>
      </w:pPr>
      <w:bookmarkStart w:id="70" w:name="X56f75f9c7135e14941606850646d199b276aa86"/>
      <w:bookmarkEnd w:id="69"/>
      <w:r>
        <w:rPr>
          <w:rFonts w:ascii="Noto Sans" w:eastAsia="Noto Sans" w:hAnsi="Noto Sans"/>
        </w:rPr>
        <w:t>11.4 Continuation, and the hypothesis the working notes omitted</w:t>
      </w:r>
    </w:p>
    <w:p w14:paraId="44EB51D3" w14:textId="77777777" w:rsidR="00937C4A" w:rsidRDefault="00000000">
      <w:r>
        <w:t xml:space="preserve">The Conley index is invariant under </w:t>
      </w:r>
      <w:r>
        <w:rPr>
          <w:b/>
          <w:bCs/>
        </w:rPr>
        <w:t>continuation</w:t>
      </w:r>
      <w:r>
        <w:t xml:space="preserve">: a one-parameter family of maps </w:t>
      </w:r>
      <m:oMath>
        <m:sSub>
          <m:sSubPr>
            <m:ctrlPr>
              <w:rPr>
                <w:rFonts w:ascii="Cambria Math" w:hAnsi="Cambria Math"/>
              </w:rPr>
            </m:ctrlPr>
          </m:sSubPr>
          <m:e>
            <m:r>
              <w:rPr>
                <w:rFonts w:ascii="Cambria Math" w:hAnsi="Cambria Math"/>
              </w:rPr>
              <m:t>P</m:t>
            </m:r>
          </m:e>
          <m:sub>
            <m:r>
              <w:rPr>
                <w:rFonts w:ascii="Cambria Math" w:hAnsi="Cambria Math"/>
              </w:rPr>
              <m:t>λ</m:t>
            </m:r>
          </m:sub>
        </m:sSub>
      </m:oMath>
      <w:r>
        <w:t xml:space="preserve"> that maintains an isolated invariant set has a constant index.</w:t>
      </w:r>
    </w:p>
    <w:p w14:paraId="12AED8D5" w14:textId="77777777" w:rsidR="00937C4A" w:rsidRDefault="00000000">
      <w:pPr>
        <w:pStyle w:val="BodyText"/>
      </w:pPr>
      <w:r>
        <w:t xml:space="preserve">This is what makes the approach worth the trouble. Chapter 13 will describe how badly point-estimate fragilities are destroyed by contact-model uncertainty — varying contact normal stiffness alone moves a computed overturning </w:t>
      </w:r>
      <w:r>
        <w:lastRenderedPageBreak/>
        <w:t xml:space="preserve">intensity by more than a factor of two at the tails. A number that moves by 200% under a modelling choice is not a measurement. A </w:t>
      </w:r>
      <w:r>
        <w:rPr>
          <w:i/>
          <w:iCs/>
        </w:rPr>
        <w:t>homology class</w:t>
      </w:r>
      <w:r>
        <w:t xml:space="preserve"> that is constant over the entire interval of contact models is.</w:t>
      </w:r>
    </w:p>
    <w:p w14:paraId="58C11A4D" w14:textId="77777777" w:rsidR="00937C4A" w:rsidRDefault="00000000">
      <w:pPr>
        <w:pStyle w:val="BodyText"/>
      </w:pPr>
      <w:r>
        <w:t xml:space="preserve">But the working notes wrote that “the index survives contact-stiffness uncertainty,” and that sentence is missing its hypothesis. Continuation does not follow from parameter variation. It requires that the whole family retain an isolated invariant set inside a </w:t>
      </w:r>
      <w:r>
        <w:rPr>
          <w:b/>
          <w:bCs/>
        </w:rPr>
        <w:t>common</w:t>
      </w:r>
      <w:r>
        <w:t xml:space="preserve"> isolating neighbourhood:</w:t>
      </w:r>
    </w:p>
    <w:p w14:paraId="031ADB49" w14:textId="77777777" w:rsidR="00937C4A" w:rsidRDefault="00000000">
      <w:pPr>
        <w:pStyle w:val="BodyText"/>
        <w:spacing w:before="100" w:after="140"/>
        <w:jc w:val="center"/>
      </w:pPr>
      <m:oMathPara>
        <m:oMathParaPr>
          <m:jc m:val="center"/>
        </m:oMathParaPr>
        <m:oMath>
          <m:borderBox>
            <m:borderBoxPr>
              <m:ctrlPr>
                <w:rPr>
                  <w:rFonts w:ascii="Cambria Math" w:hAnsi="Cambria Math"/>
                </w:rPr>
              </m:ctrlPr>
            </m:borderBoxPr>
            <m:e>
              <m:r>
                <w:rPr>
                  <w:rFonts w:ascii="Cambria Math" w:hAnsi="Cambria Math"/>
                </w:rPr>
                <m:t> </m:t>
              </m:r>
              <m:r>
                <m:rPr>
                  <m:sty m:val="p"/>
                </m:rPr>
                <w:rPr>
                  <w:rFonts w:ascii="Cambria Math" w:hAnsi="Cambria Math"/>
                </w:rPr>
                <m:t>Inv</m:t>
              </m:r>
              <m:d>
                <m:dPr>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λ</m:t>
                      </m:r>
                    </m:sub>
                  </m:sSub>
                </m:e>
              </m:d>
              <m:r>
                <m:rPr>
                  <m:sty m:val="p"/>
                </m:rPr>
                <w:rPr>
                  <w:rFonts w:ascii="Cambria Math" w:hAnsi="Cambria Math"/>
                </w:rPr>
                <m:t>⊂int</m:t>
              </m:r>
              <m:r>
                <w:rPr>
                  <w:rFonts w:ascii="Cambria Math" w:hAnsi="Cambria Math"/>
                </w:rPr>
                <m:t>N  </m:t>
              </m:r>
              <m:r>
                <m:rPr>
                  <m:sty m:val="p"/>
                </m:rPr>
                <w:rPr>
                  <w:rFonts w:ascii="Cambria Math" w:hAnsi="Cambria Math"/>
                </w:rPr>
                <m:t>∀</m:t>
              </m:r>
              <m:r>
                <w:rPr>
                  <w:rFonts w:ascii="Cambria Math" w:hAnsi="Cambria Math"/>
                </w:rPr>
                <m:t>λ</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t>
                      </m:r>
                    </m:sub>
                  </m:sSub>
                </m:e>
              </m:d>
              <m:r>
                <m:rPr>
                  <m:sty m:val="p"/>
                </m:rPr>
                <w:rPr>
                  <w:rFonts w:ascii="Cambria Math" w:hAnsi="Cambria Math"/>
                </w:rPr>
                <m:t>.</m:t>
              </m:r>
              <m:r>
                <w:rPr>
                  <w:rFonts w:ascii="Cambria Math" w:hAnsi="Cambria Math"/>
                </w:rPr>
                <m:t> </m:t>
              </m:r>
            </m:e>
          </m:borderBox>
        </m:oMath>
      </m:oMathPara>
    </w:p>
    <w:p w14:paraId="385B34CB" w14:textId="77777777" w:rsidR="00937C4A" w:rsidRDefault="00000000">
      <w:r>
        <w:t xml:space="preserve">This </w:t>
      </w:r>
      <w:r>
        <w:rPr>
          <w:b/>
          <w:bCs/>
        </w:rPr>
        <w:t>uniform isolation condition</w:t>
      </w:r>
      <w:r>
        <w:t xml:space="preserve"> is the certificate a rigorous computation must produce, and it is not free. A stiffness variation that introduces grazing, that destroys transversality, that pushes the invariant set through </w:t>
      </w:r>
      <m:oMath>
        <m:r>
          <m:rPr>
            <m:sty m:val="p"/>
          </m:rPr>
          <w:rPr>
            <w:rFonts w:ascii="Cambria Math" w:hAnsi="Cambria Math"/>
          </w:rPr>
          <m:t>∂</m:t>
        </m:r>
        <m:r>
          <w:rPr>
            <w:rFonts w:ascii="Cambria Math" w:hAnsi="Cambria Math"/>
          </w:rPr>
          <m:t>N</m:t>
        </m:r>
      </m:oMath>
      <w:r>
        <w:t>, or that changes the admissible impact map, breaks continuation and the index may jump.</w:t>
      </w:r>
    </w:p>
    <w:p w14:paraId="1E052F36" w14:textId="77777777" w:rsidR="00937C4A" w:rsidRDefault="00000000">
      <w:pPr>
        <w:pStyle w:val="BodyText"/>
      </w:pPr>
      <w:r>
        <w:t>Stating the hypothesis does not weaken the programme; it identifies precisely what must be proved, and it converts a slogan into a deliverable. The corrected sentence is:</w:t>
      </w:r>
    </w:p>
    <w:p w14:paraId="47F0DE78" w14:textId="77777777" w:rsidR="00937C4A" w:rsidRDefault="00000000">
      <w:r>
        <w:t xml:space="preserve">The index survives every contact-law perturbation </w:t>
      </w:r>
      <w:r>
        <w:rPr>
          <w:b/>
          <w:bCs/>
        </w:rPr>
        <w:t>that preserves isolation</w:t>
      </w:r>
      <w:r>
        <w:t xml:space="preserve"> — and uniform isolation over the parameter interval is itself part of what must be computed.</w:t>
      </w:r>
    </w:p>
    <w:p w14:paraId="7E936FBE" w14:textId="77777777" w:rsidR="00937C4A" w:rsidRDefault="00000000">
      <w:pPr>
        <w:pStyle w:val="Heading3"/>
      </w:pPr>
      <w:bookmarkStart w:id="71" w:name="discontinuity-and-the-honest-gap"/>
      <w:bookmarkEnd w:id="70"/>
      <w:r>
        <w:rPr>
          <w:rFonts w:ascii="Noto Sans" w:eastAsia="Noto Sans" w:hAnsi="Noto Sans"/>
        </w:rPr>
        <w:t>11.5 Discontinuity, and the honest gap</w:t>
      </w:r>
    </w:p>
    <w:p w14:paraId="7932B72B" w14:textId="77777777" w:rsidR="00937C4A" w:rsidRDefault="00000000">
      <w:r>
        <w:t xml:space="preserve">Conley index theory for impulsive hybrid systems is not routine. The available machinery is the </w:t>
      </w:r>
      <w:r>
        <w:rPr>
          <w:b/>
          <w:bCs/>
        </w:rPr>
        <w:t>multivalued Conley index</w:t>
      </w:r>
      <w:r>
        <w:t xml:space="preserve"> of Kaczynski and Mrozek, which handles discontinuity by outer approximation: enclose the true map in a combinatorial multivalued map, and compute the index of the enclosure. That is exactly the right framework, because rigorous numerics on a discontinuous system produces an enclosure anyway.</w:t>
      </w:r>
    </w:p>
    <w:p w14:paraId="29A9E33C" w14:textId="77777777" w:rsidR="00937C4A" w:rsidRDefault="00000000">
      <w:pPr>
        <w:pStyle w:val="BodyText"/>
      </w:pPr>
      <w:r>
        <w:t xml:space="preserve">The genuine obstruction is grazing, and it is the subject of the next chapter. Whether an isolating neighbourhood can be chosen so as to exclude grazing orbits — or whether the multivalued enclosure can be made coarse enough to contain them and still be isolating — is, so far as I can establish, unresolved for this system. </w:t>
      </w:r>
      <w:r>
        <w:rPr>
          <w:rFonts w:ascii="Noto Sans" w:eastAsia="Noto Sans" w:hAnsi="Noto Sans"/>
          <w:b/>
          <w:bCs/>
          <w:color w:val="6F4C91"/>
          <w:sz w:val="19"/>
        </w:rPr>
        <w:t>[P]</w:t>
      </w:r>
    </w:p>
    <w:p w14:paraId="757F3CF3" w14:textId="77777777" w:rsidR="00937C4A" w:rsidRDefault="00000000">
      <w:pPr>
        <w:pStyle w:val="Heading2"/>
        <w:pageBreakBefore/>
        <w:pBdr>
          <w:bottom w:val="single" w:sz="5" w:space="5" w:color="B8C1C6"/>
        </w:pBdr>
        <w:spacing w:after="280"/>
      </w:pPr>
      <w:bookmarkStart w:id="72" w:name="Xdf29427bb0f096b9aa8e75b33077d1f3722026a"/>
      <w:bookmarkEnd w:id="66"/>
      <w:bookmarkEnd w:id="71"/>
      <w:r>
        <w:rPr>
          <w:rFonts w:ascii="EB Garamond" w:eastAsia="EB Garamond" w:hAnsi="EB Garamond"/>
          <w:sz w:val="40"/>
        </w:rPr>
        <w:lastRenderedPageBreak/>
        <w:t>Chapter 12 — Grazing: Where the Machinery Breaks</w:t>
      </w:r>
    </w:p>
    <w:p w14:paraId="2D523369" w14:textId="77777777" w:rsidR="00937C4A" w:rsidRDefault="00000000">
      <w:pPr>
        <w:pStyle w:val="Heading3"/>
      </w:pPr>
      <w:bookmarkStart w:id="73" w:name="what-grazing-is"/>
      <w:r>
        <w:rPr>
          <w:rFonts w:ascii="Noto Sans" w:eastAsia="Noto Sans" w:hAnsi="Noto Sans"/>
        </w:rPr>
        <w:t>12.1 What grazing is</w:t>
      </w:r>
    </w:p>
    <w:p w14:paraId="458B03CF" w14:textId="77777777" w:rsidR="00937C4A" w:rsidRDefault="00000000">
      <w:r>
        <w:t xml:space="preserve">A grazing trajectory touches the switching surface tangentially: it arrives at </w:t>
      </w:r>
      <m:oMath>
        <m:r>
          <w:rPr>
            <w:rFonts w:ascii="Cambria Math" w:hAnsi="Cambria Math"/>
          </w:rPr>
          <m:t>θ</m:t>
        </m:r>
        <m:r>
          <m:rPr>
            <m:sty m:val="p"/>
          </m:rPr>
          <w:rPr>
            <w:rFonts w:ascii="Cambria Math" w:hAnsi="Cambria Math"/>
          </w:rPr>
          <m:t>=</m:t>
        </m:r>
        <m:r>
          <w:rPr>
            <w:rFonts w:ascii="Cambria Math" w:hAnsi="Cambria Math"/>
          </w:rPr>
          <m:t>0</m:t>
        </m:r>
      </m:oMath>
      <w:r>
        <w:t xml:space="preserve"> with </w:t>
      </w:r>
      <m:oMath>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0</m:t>
        </m:r>
      </m:oMath>
      <w:r>
        <w:t>. Physically, a corner comes down to the base with vanishing velocity and either just touches or just misses.</w:t>
      </w:r>
    </w:p>
    <w:p w14:paraId="011DECAD" w14:textId="77777777" w:rsidR="00937C4A" w:rsidRDefault="00000000">
      <w:pPr>
        <w:pStyle w:val="BodyText"/>
      </w:pPr>
      <w:r>
        <w:t>Nothing about that sounds dangerous. It is the most violent event in the theory.</w:t>
      </w:r>
    </w:p>
    <w:p w14:paraId="740D5F78" w14:textId="77777777" w:rsidR="00937C4A" w:rsidRDefault="00000000">
      <w:pPr>
        <w:pStyle w:val="BodyText"/>
      </w:pPr>
      <w:r>
        <w:t xml:space="preserve">Immediately either side of a grazing trajectory, the dynamics differ qualitatively: one nearby orbit impacts and has its velocity reversed and scaled by </w:t>
      </w:r>
      <m:oMath>
        <m:r>
          <w:rPr>
            <w:rFonts w:ascii="Cambria Math" w:hAnsi="Cambria Math"/>
          </w:rPr>
          <m:t>r</m:t>
        </m:r>
      </m:oMath>
      <w:r>
        <w:t xml:space="preserve">; the other misses entirely and continues on the same branch. The return map is therefore not merely nonsmooth at grazing — it is </w:t>
      </w:r>
      <w:r>
        <w:rPr>
          <w:b/>
          <w:bCs/>
        </w:rPr>
        <w:t>not differentiable, and its local normal form contains a square root</w:t>
      </w:r>
      <w:r>
        <w:t>. Nordmark’s analysis of impact oscillators showed that the map near grazing behaves as</w:t>
      </w:r>
    </w:p>
    <w:p w14:paraId="40146865" w14:textId="77777777" w:rsidR="00937C4A" w:rsidRDefault="00000000">
      <w:pPr>
        <w:pStyle w:val="BodyText"/>
        <w:spacing w:before="100" w:after="140"/>
        <w:jc w:val="center"/>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 </m:t>
          </m:r>
          <m:r>
            <m:rPr>
              <m:nor/>
            </m:rPr>
            <m:t>(smooth part)</m:t>
          </m:r>
          <m:r>
            <w:rPr>
              <w:rFonts w:ascii="Cambria Math" w:hAnsi="Cambria Math"/>
            </w:rPr>
            <m:t> </m:t>
          </m:r>
          <m:r>
            <m:rPr>
              <m:sty m:val="p"/>
            </m:rPr>
            <w:rPr>
              <w:rFonts w:ascii="Cambria Math" w:hAnsi="Cambria Math"/>
            </w:rPr>
            <m:t>+</m:t>
          </m:r>
          <m:r>
            <w:rPr>
              <w:rFonts w:ascii="Cambria Math" w:hAnsi="Cambria Math"/>
            </w:rPr>
            <m:t> K</m:t>
          </m:r>
          <m:rad>
            <m:radPr>
              <m:degHide m:val="1"/>
              <m:ctrlPr>
                <w:rPr>
                  <w:rFonts w:ascii="Cambria Math" w:hAnsi="Cambria Math"/>
                </w:rPr>
              </m:ctrlPr>
            </m:radPr>
            <m:deg/>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graze</m:t>
                  </m:r>
                </m:sub>
              </m:sSub>
            </m:e>
          </m:rad>
          <m:r>
            <m:rPr>
              <m:sty m:val="p"/>
            </m:rPr>
            <w:rPr>
              <w:rFonts w:ascii="Cambria Math" w:hAnsi="Cambria Math"/>
            </w:rPr>
            <m:t>,</m:t>
          </m:r>
        </m:oMath>
      </m:oMathPara>
    </w:p>
    <w:p w14:paraId="69F5BBFD" w14:textId="77777777" w:rsidR="00937C4A" w:rsidRDefault="00000000">
      <w:r>
        <w:t xml:space="preserve">so that the local expansion rate is unbounded: </w:t>
      </w:r>
      <m:oMath>
        <m:r>
          <w:rPr>
            <w:rFonts w:ascii="Cambria Math" w:hAnsi="Cambria Math"/>
          </w:rPr>
          <m:t>dz</m:t>
        </m:r>
        <m:r>
          <m:rPr>
            <m:sty m:val="p"/>
          </m:rPr>
          <w:rPr>
            <w:rFonts w:ascii="Cambria Math" w:hAnsi="Cambria Math"/>
          </w:rPr>
          <m:t>'/</m:t>
        </m:r>
        <m:r>
          <w:rPr>
            <w:rFonts w:ascii="Cambria Math" w:hAnsi="Cambria Math"/>
          </w:rPr>
          <m:t>dz</m:t>
        </m:r>
        <m:r>
          <m:rPr>
            <m:sty m:val="p"/>
          </m:rPr>
          <w:rPr>
            <w:rFonts w:ascii="Cambria Math" w:hAnsi="Cambria Math"/>
          </w:rPr>
          <m:t>→∞</m:t>
        </m:r>
      </m:oMath>
      <w:r>
        <w:t xml:space="preserve"> as </w:t>
      </w:r>
      <m:oMath>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z</m:t>
            </m:r>
          </m:e>
          <m:sub>
            <m:r>
              <m:rPr>
                <m:sty m:val="p"/>
              </m:rPr>
              <w:rPr>
                <w:rFonts w:ascii="Cambria Math" w:hAnsi="Cambria Math"/>
              </w:rPr>
              <m:t>graze</m:t>
            </m:r>
          </m:sub>
          <m:sup>
            <m:r>
              <m:rPr>
                <m:sty m:val="p"/>
              </m:rPr>
              <w:rPr>
                <w:rFonts w:ascii="Cambria Math" w:hAnsi="Cambria Math"/>
              </w:rPr>
              <m:t>+</m:t>
            </m:r>
          </m:sup>
        </m:sSubSup>
      </m:oMath>
      <w:r>
        <w:t>.</w:t>
      </w:r>
    </w:p>
    <w:p w14:paraId="1339B5D3" w14:textId="77777777" w:rsidR="00937C4A" w:rsidRDefault="00000000">
      <w:pPr>
        <w:pStyle w:val="BodyText"/>
      </w:pPr>
      <w:r>
        <w:t>Consequences follow immediately. Grazing bifurcations can create chaotic attractors instantaneously, with no cascade. Periodic orbits can be born and destroyed without the usual bifurcation sequences. And numerically, any integrator that does not localise the impact event will make errors near grazing that are not small.</w:t>
      </w:r>
    </w:p>
    <w:p w14:paraId="28011C1F" w14:textId="77777777" w:rsidR="00937C4A" w:rsidRDefault="00000000">
      <w:pPr>
        <w:pStyle w:val="Heading3"/>
      </w:pPr>
      <w:bookmarkStart w:id="74" w:name="the-same-object-in-three-formalisms"/>
      <w:bookmarkEnd w:id="73"/>
      <w:r>
        <w:rPr>
          <w:rFonts w:ascii="Noto Sans" w:eastAsia="Noto Sans" w:hAnsi="Noto Sans"/>
        </w:rPr>
        <w:t>12.2 The same object in three formalisms</w:t>
      </w:r>
    </w:p>
    <w:p w14:paraId="4DA09B24" w14:textId="77777777" w:rsidR="00937C4A" w:rsidRDefault="00000000">
      <w:r>
        <w:t>Here is the observation that organises this chapter, and I think it is the most useful structural remark in the book.</w:t>
      </w:r>
    </w:p>
    <w:p w14:paraId="256C91AA" w14:textId="77777777" w:rsidR="00937C4A" w:rsidRDefault="00000000">
      <w:pPr>
        <w:pStyle w:val="BodyText"/>
      </w:pPr>
      <w:r>
        <w:rPr>
          <w:b/>
          <w:bCs/>
        </w:rPr>
        <w:t>In the saltation formalism (Chapter 9):</w:t>
      </w:r>
      <w:r>
        <w:t xml:space="preserve"> the saltation matrix</w:t>
      </w:r>
    </w:p>
    <w:p w14:paraId="511CFB93" w14:textId="77777777" w:rsidR="00937C4A" w:rsidRDefault="00000000">
      <w:pPr>
        <w:pStyle w:val="BodyText"/>
        <w:spacing w:before="100" w:after="140"/>
        <w:jc w:val="center"/>
      </w:pPr>
      <m:oMathPara>
        <m:oMathParaPr>
          <m:jc m:val="center"/>
        </m:oMathParaPr>
        <m:oMath>
          <m:r>
            <w:rPr>
              <w:rFonts w:ascii="Cambria Math" w:hAnsi="Cambria Math"/>
            </w:rPr>
            <m:t>Ξ</m:t>
          </m:r>
          <m:r>
            <m:rPr>
              <m:sty m:val="p"/>
            </m:rPr>
            <w:rPr>
              <w:rFonts w:ascii="Cambria Math" w:hAnsi="Cambria Math"/>
            </w:rPr>
            <m:t>=</m:t>
          </m:r>
          <m:r>
            <w:rPr>
              <w:rFonts w:ascii="Cambria Math" w:hAnsi="Cambria Math"/>
            </w:rPr>
            <m:t>DΔ</m:t>
          </m:r>
          <m:r>
            <m:rPr>
              <m:sty m:val="p"/>
            </m:rPr>
            <w:rPr>
              <w:rFonts w:ascii="Cambria Math" w:hAnsi="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DΔ</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Δ</m:t>
                  </m:r>
                </m:e>
              </m:d>
              <m:sSup>
                <m:sSupPr>
                  <m:ctrlPr>
                    <w:rPr>
                      <w:rFonts w:ascii="Cambria Math" w:hAnsi="Cambria Math"/>
                    </w:rPr>
                  </m:ctrlPr>
                </m:sSupPr>
                <m:e>
                  <m:r>
                    <w:rPr>
                      <w:rFonts w:ascii="Cambria Math" w:hAnsi="Cambria Math"/>
                    </w:rPr>
                    <m:t>n</m:t>
                  </m:r>
                </m:e>
                <m:sup>
                  <m:r>
                    <m:rPr>
                      <m:scr m:val="sans-serif"/>
                      <m:sty m:val="p"/>
                    </m:rPr>
                    <w:rPr>
                      <w:rFonts w:ascii="Cambria Math" w:hAnsi="Cambria Math"/>
                    </w:rPr>
                    <m:t>T</m:t>
                  </m:r>
                </m:sup>
              </m:sSup>
            </m:num>
            <m:den>
              <m:sSup>
                <m:sSupPr>
                  <m:ctrlPr>
                    <w:rPr>
                      <w:rFonts w:ascii="Cambria Math" w:hAnsi="Cambria Math"/>
                    </w:rPr>
                  </m:ctrlPr>
                </m:sSupPr>
                <m:e>
                  <m:r>
                    <w:rPr>
                      <w:rFonts w:ascii="Cambria Math" w:hAnsi="Cambria Math"/>
                    </w:rPr>
                    <m:t>n</m:t>
                  </m:r>
                </m:e>
                <m:sup>
                  <m:r>
                    <m:rPr>
                      <m:scr m:val="sans-serif"/>
                      <m:sty m:val="p"/>
                    </m:rPr>
                    <w:rPr>
                      <w:rFonts w:ascii="Cambria Math" w:hAnsi="Cambria Math"/>
                    </w:rPr>
                    <m:t>T</m:t>
                  </m:r>
                </m:sup>
              </m:sSup>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h</m:t>
              </m:r>
            </m:den>
          </m:f>
        </m:oMath>
      </m:oMathPara>
    </w:p>
    <w:p w14:paraId="5FEC27EB" w14:textId="77777777" w:rsidR="00937C4A" w:rsidRDefault="00000000">
      <w:r>
        <w:t xml:space="preserve">has denominator </w:t>
      </w:r>
      <m:oMath>
        <m:sSup>
          <m:sSupPr>
            <m:ctrlPr>
              <w:rPr>
                <w:rFonts w:ascii="Cambria Math" w:hAnsi="Cambria Math"/>
              </w:rPr>
            </m:ctrlPr>
          </m:sSupPr>
          <m:e>
            <m:r>
              <w:rPr>
                <w:rFonts w:ascii="Cambria Math" w:hAnsi="Cambria Math"/>
              </w:rPr>
              <m:t>n</m:t>
            </m:r>
          </m:e>
          <m:sup>
            <m:r>
              <m:rPr>
                <m:scr m:val="sans-serif"/>
                <m:sty m:val="p"/>
              </m:rPr>
              <w:rPr>
                <w:rFonts w:ascii="Cambria Math" w:hAnsi="Cambria Math"/>
              </w:rPr>
              <m:t>T</m:t>
            </m:r>
          </m:sup>
        </m:sSup>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 xml:space="preserve">, the normal component of the vector field at the crossing. At grazing this vanishes and </w:t>
      </w:r>
      <m:oMath>
        <m:r>
          <w:rPr>
            <w:rFonts w:ascii="Cambria Math" w:hAnsi="Cambria Math"/>
          </w:rPr>
          <m:t>Ξ</m:t>
        </m:r>
      </m:oMath>
      <w:r>
        <w:t xml:space="preserve"> is undefined.</w:t>
      </w:r>
    </w:p>
    <w:p w14:paraId="01C44355" w14:textId="77777777" w:rsidR="00937C4A" w:rsidRDefault="00000000">
      <w:pPr>
        <w:pStyle w:val="BodyText"/>
      </w:pPr>
      <w:r>
        <w:rPr>
          <w:b/>
          <w:bCs/>
        </w:rPr>
        <w:t>In the Conley formalism (Chapter 11):</w:t>
      </w:r>
      <w:r>
        <w:t xml:space="preserve"> the isolating neighbourhood must satisfy </w:t>
      </w:r>
      <m:oMath>
        <m:r>
          <m:rPr>
            <m:sty m:val="p"/>
          </m:rPr>
          <w:rPr>
            <w:rFonts w:ascii="Cambria Math" w:hAnsi="Cambria Math"/>
          </w:rPr>
          <m:t>Inv</m:t>
        </m:r>
        <m:d>
          <m:dPr>
            <m:ctrlPr>
              <w:rPr>
                <w:rFonts w:ascii="Cambria Math" w:hAnsi="Cambria Math"/>
              </w:rPr>
            </m:ctrlPr>
          </m:dPr>
          <m:e>
            <m:r>
              <w:rPr>
                <w:rFonts w:ascii="Cambria Math" w:hAnsi="Cambria Math"/>
              </w:rPr>
              <m:t>N</m:t>
            </m:r>
          </m:e>
        </m:d>
        <m:r>
          <m:rPr>
            <m:sty m:val="p"/>
          </m:rPr>
          <w:rPr>
            <w:rFonts w:ascii="Cambria Math" w:hAnsi="Cambria Math"/>
          </w:rPr>
          <m:t>⊂int</m:t>
        </m:r>
        <m:r>
          <w:rPr>
            <w:rFonts w:ascii="Cambria Math" w:hAnsi="Cambria Math"/>
          </w:rPr>
          <m:t>N</m:t>
        </m:r>
      </m:oMath>
      <w:r>
        <w:t>. Grazing orbits accumulate on the switching surface with unbounded local expansion, so an enclosure containing them is difficult to keep isolating, and index-pair construction can fail.</w:t>
      </w:r>
    </w:p>
    <w:p w14:paraId="6157C900" w14:textId="77777777" w:rsidR="00937C4A" w:rsidRDefault="00000000">
      <w:pPr>
        <w:pStyle w:val="BodyText"/>
      </w:pPr>
      <w:r>
        <w:rPr>
          <w:b/>
          <w:bCs/>
        </w:rPr>
        <w:t>In the categorical formalism (Chapter 17):</w:t>
      </w:r>
      <w:r>
        <w:t xml:space="preserve"> the coherence square</w:t>
      </w:r>
    </w:p>
    <w:p w14:paraId="7FC6FCE2"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σ</m:t>
              </m:r>
              <m:r>
                <m:rPr>
                  <m:sty m:val="p"/>
                </m:rPr>
                <w:rPr>
                  <w:rFonts w:ascii="Cambria Math" w:hAnsi="Cambria Math"/>
                </w:rPr>
                <m:t>'</m:t>
              </m:r>
              <m:r>
                <w:rPr>
                  <w:rFonts w:ascii="Cambria Math" w:hAnsi="Cambria Math"/>
                </w:rPr>
                <m:t>τ</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σ</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στ</m:t>
              </m:r>
            </m:sub>
          </m:sSub>
        </m:oMath>
      </m:oMathPara>
    </w:p>
    <w:p w14:paraId="0FE072ED" w14:textId="77777777" w:rsidR="00937C4A" w:rsidRDefault="00000000">
      <w:r>
        <w:t>requires the transition map to depend continuously on state and parameter. At grazing it does not, and the square simply does not exist.</w:t>
      </w:r>
    </w:p>
    <w:p w14:paraId="30A59549" w14:textId="77777777" w:rsidR="00937C4A" w:rsidRDefault="00000000">
      <w:pPr>
        <w:pStyle w:val="BodyText"/>
      </w:pPr>
      <w:r>
        <w:t>These are not three different problems. They are one event, seen three ways:</w:t>
      </w:r>
    </w:p>
    <w:p w14:paraId="5B5CEB48" w14:textId="77777777" w:rsidR="00937C4A" w:rsidRDefault="00000000">
      <w:pPr>
        <w:pStyle w:val="BodyText"/>
        <w:spacing w:before="100" w:after="140"/>
        <w:jc w:val="center"/>
      </w:pPr>
      <m:oMathPara>
        <m:oMathParaPr>
          <m:jc m:val="center"/>
        </m:oMathParaPr>
        <m:oMath>
          <m:borderBox>
            <m:borderBoxPr>
              <m:ctrlPr>
                <w:rPr>
                  <w:rFonts w:ascii="Cambria Math" w:hAnsi="Cambria Math"/>
                </w:rPr>
              </m:ctrlPr>
            </m:borderBoxPr>
            <m:e>
              <m:r>
                <w:rPr>
                  <w:rFonts w:ascii="Cambria Math" w:hAnsi="Cambria Math"/>
                </w:rPr>
                <m:t> </m:t>
              </m:r>
              <m:r>
                <m:rPr>
                  <m:nor/>
                </m:rPr>
                <m:t>Grazing is a failure of coherence between flow and reset.</m:t>
              </m:r>
              <m:r>
                <w:rPr>
                  <w:rFonts w:ascii="Cambria Math" w:hAnsi="Cambria Math"/>
                </w:rPr>
                <m:t> </m:t>
              </m:r>
            </m:e>
          </m:borderBox>
        </m:oMath>
      </m:oMathPara>
    </w:p>
    <w:p w14:paraId="16BB1A3A" w14:textId="77777777" w:rsidR="00937C4A" w:rsidRDefault="00000000">
      <w:r>
        <w:t>That reframing has a practical payoff. It says that the obstruction is not a numerical inconvenience to be engineered around with a smaller time step. It is the point at which the hybrid system stops being a well-behaved object of any of the three theories, and any theorem in any of them must either exclude grazing by hypothesis or handle it explicitly.</w:t>
      </w:r>
    </w:p>
    <w:p w14:paraId="22E9DA38" w14:textId="77777777" w:rsidR="00937C4A" w:rsidRDefault="00000000">
      <w:pPr>
        <w:pStyle w:val="Heading3"/>
      </w:pPr>
      <w:bookmarkStart w:id="75" w:name="why-this-matters-for-cairns-specifically"/>
      <w:bookmarkEnd w:id="74"/>
      <w:r>
        <w:rPr>
          <w:rFonts w:ascii="Noto Sans" w:eastAsia="Noto Sans" w:hAnsi="Noto Sans"/>
        </w:rPr>
        <w:t>12.3 Why this matters for cairns specifically</w:t>
      </w:r>
    </w:p>
    <w:p w14:paraId="00656433" w14:textId="77777777" w:rsidR="00937C4A" w:rsidRDefault="00000000">
      <w:r>
        <w:t>For a single Housner block, grazing is a codimension-one event in a two-dimensional section: a curve. One can hope to avoid it.</w:t>
      </w:r>
    </w:p>
    <w:p w14:paraId="4CC1A170" w14:textId="77777777" w:rsidR="00937C4A" w:rsidRDefault="00000000">
      <w:pPr>
        <w:pStyle w:val="BodyText"/>
      </w:pPr>
      <w:r>
        <w:t xml:space="preserve">For an </w:t>
      </w:r>
      <m:oMath>
        <m:r>
          <w:rPr>
            <w:rFonts w:ascii="Cambria Math" w:hAnsi="Cambria Math"/>
          </w:rPr>
          <m:t>N</m:t>
        </m:r>
      </m:oMath>
      <w:r>
        <w:t xml:space="preserve">-stone cairn the situation is worse in a way that is easy to underestimate. Every contact can graze independently, and near-simultaneous impacts at different interfaces produce sequences whose order is not determined by the state at </w:t>
      </w:r>
      <w:r>
        <w:lastRenderedPageBreak/>
        <w:t xml:space="preserve">finite precision. The set of grazing configurations is not a curve in a plane but a stratified set of high codimension in a space of dimension </w:t>
      </w:r>
      <m:oMath>
        <m:r>
          <w:rPr>
            <w:rFonts w:ascii="Cambria Math" w:hAnsi="Cambria Math"/>
          </w:rPr>
          <m:t>12N</m:t>
        </m:r>
      </m:oMath>
      <w:r>
        <w:t xml:space="preserve"> — and, more importantly, a system near a settled equilibrium is </w:t>
      </w:r>
      <w:r>
        <w:rPr>
          <w:i/>
          <w:iCs/>
        </w:rPr>
        <w:t>constantly</w:t>
      </w:r>
      <w:r>
        <w:t xml:space="preserve"> near grazing, because a stack that has just come to rest has contacts opening and closing with vanishing relative velocity.</w:t>
      </w:r>
    </w:p>
    <w:p w14:paraId="3B5B2646" w14:textId="77777777" w:rsidR="00937C4A" w:rsidRDefault="00000000">
      <w:pPr>
        <w:pStyle w:val="BodyText"/>
      </w:pPr>
      <w:r>
        <w:t>This is the technical reason Chapter 8’s programme is hard, and it is also why the Hampi experiment of Chapter 16 is designed around observation rather than simulation. A cairn resting on an apron between disturbances lives in a neighbourhood of the worst-behaved set in the theory.</w:t>
      </w:r>
    </w:p>
    <w:p w14:paraId="32D81276" w14:textId="77777777" w:rsidR="00937C4A" w:rsidRDefault="00000000">
      <w:pPr>
        <w:pStyle w:val="Heading3"/>
      </w:pPr>
      <w:bookmarkStart w:id="76" w:name="what-is-known-and-what-is-not"/>
      <w:bookmarkEnd w:id="75"/>
      <w:r>
        <w:rPr>
          <w:rFonts w:ascii="Noto Sans" w:eastAsia="Noto Sans" w:hAnsi="Noto Sans"/>
        </w:rPr>
        <w:t>12.4 What is known, and what is not</w:t>
      </w:r>
    </w:p>
    <w:p w14:paraId="26491A33" w14:textId="77777777" w:rsidR="00937C4A" w:rsidRDefault="00000000">
      <w:r>
        <w:t>Known:</w:t>
      </w:r>
    </w:p>
    <w:p w14:paraId="5D7EEE7E" w14:textId="77777777" w:rsidR="00937C4A" w:rsidRDefault="00000000">
      <w:pPr>
        <w:numPr>
          <w:ilvl w:val="0"/>
          <w:numId w:val="26"/>
        </w:numPr>
      </w:pPr>
      <w:r>
        <w:t>the square-root normal form and its bifurcation consequences, for single-impact oscillators;</w:t>
      </w:r>
    </w:p>
    <w:p w14:paraId="69903B0D" w14:textId="77777777" w:rsidR="00937C4A" w:rsidRDefault="00000000">
      <w:pPr>
        <w:numPr>
          <w:ilvl w:val="0"/>
          <w:numId w:val="26"/>
        </w:numPr>
      </w:pPr>
      <w:r>
        <w:t>that grazing-induced transitions to chaos are abrupt, and that basin boundaries near grazing are typically fractal;</w:t>
      </w:r>
    </w:p>
    <w:p w14:paraId="5D365569" w14:textId="77777777" w:rsidR="00937C4A" w:rsidRDefault="00000000">
      <w:pPr>
        <w:numPr>
          <w:ilvl w:val="0"/>
          <w:numId w:val="26"/>
        </w:numPr>
      </w:pPr>
      <w:r>
        <w:t>that event-localised integration with root-finding at the switching surface is necessary, not optional, for any topological claim.</w:t>
      </w:r>
    </w:p>
    <w:p w14:paraId="0877885F" w14:textId="77777777" w:rsidR="00937C4A" w:rsidRDefault="00000000">
      <w:r>
        <w:t>Not known, and stated here as open:</w:t>
      </w:r>
    </w:p>
    <w:p w14:paraId="6CB75536" w14:textId="77777777" w:rsidR="00937C4A" w:rsidRDefault="00000000">
      <w:pPr>
        <w:numPr>
          <w:ilvl w:val="0"/>
          <w:numId w:val="27"/>
        </w:numPr>
      </w:pPr>
      <w:r>
        <w:rPr>
          <w:rFonts w:ascii="Noto Sans" w:eastAsia="Noto Sans" w:hAnsi="Noto Sans"/>
          <w:b/>
          <w:bCs/>
          <w:color w:val="6F4C91"/>
          <w:sz w:val="19"/>
        </w:rPr>
        <w:t>[P]</w:t>
      </w:r>
      <w:r>
        <w:t xml:space="preserve"> whether the multivalued Conley index can be constructed for the impacting rocking map with a grazing-containing enclosure that remains isolating;</w:t>
      </w:r>
    </w:p>
    <w:p w14:paraId="504CFB5E" w14:textId="77777777" w:rsidR="00937C4A" w:rsidRDefault="00000000">
      <w:pPr>
        <w:numPr>
          <w:ilvl w:val="0"/>
          <w:numId w:val="27"/>
        </w:numPr>
      </w:pPr>
      <w:r>
        <w:rPr>
          <w:rFonts w:ascii="Noto Sans" w:eastAsia="Noto Sans" w:hAnsi="Noto Sans"/>
          <w:b/>
          <w:bCs/>
          <w:color w:val="6F4C91"/>
          <w:sz w:val="19"/>
        </w:rPr>
        <w:t>[P]</w:t>
      </w:r>
      <w:r>
        <w:t xml:space="preserve"> whether the projective mechanism threshold of Chapter 8 is even lower semicontinuous across grazing transitions, which it would need to be for the infimum to be attained;</w:t>
      </w:r>
    </w:p>
    <w:p w14:paraId="34541DA4" w14:textId="77777777" w:rsidR="00937C4A" w:rsidRDefault="00000000">
      <w:pPr>
        <w:numPr>
          <w:ilvl w:val="0"/>
          <w:numId w:val="27"/>
        </w:numPr>
      </w:pPr>
      <w:r>
        <w:rPr>
          <w:rFonts w:ascii="Noto Sans" w:eastAsia="Noto Sans" w:hAnsi="Noto Sans"/>
          <w:b/>
          <w:bCs/>
          <w:color w:val="A95B00"/>
          <w:sz w:val="19"/>
        </w:rPr>
        <w:t>[C]</w:t>
      </w:r>
      <w:r>
        <w:t xml:space="preserve"> whether the uncertainty exponent </w:t>
      </w:r>
      <m:oMath>
        <m:r>
          <w:rPr>
            <w:rFonts w:ascii="Cambria Math" w:hAnsi="Cambria Math"/>
          </w:rPr>
          <m:t>γ</m:t>
        </m:r>
      </m:oMath>
      <w:r>
        <w:t xml:space="preserve"> near a grazing set is governed by the square-root normal form, which would predict a specific value rather than an empirical one.</w:t>
      </w:r>
    </w:p>
    <w:p w14:paraId="1A01E3EA" w14:textId="77777777" w:rsidR="00937C4A" w:rsidRDefault="00000000">
      <w:r>
        <w:t xml:space="preserve">That last item is, I think, the most promising unexplored question in this part of the book. The Nordmark map has a known local structure; a basin boundary generated by grazing rather than by heteroclinic tangling might have a </w:t>
      </w:r>
      <w:r>
        <w:rPr>
          <w:i/>
          <w:iCs/>
        </w:rPr>
        <w:t>computable</w:t>
      </w:r>
      <w:r>
        <w:t xml:space="preserve"> </w:t>
      </w:r>
      <m:oMath>
        <m:r>
          <w:rPr>
            <w:rFonts w:ascii="Cambria Math" w:hAnsi="Cambria Math"/>
          </w:rPr>
          <m:t>γ</m:t>
        </m:r>
      </m:oMath>
      <w:r>
        <w:t xml:space="preserve"> rather than a fitted one. If so, the information-cost result of Chapter 15 could be given an analytical value in at least one regime instead of the unconverged numerics it currently rests on.</w:t>
      </w:r>
    </w:p>
    <w:p w14:paraId="5591387C" w14:textId="77777777" w:rsidR="00937C4A" w:rsidRDefault="00000000">
      <w:pPr>
        <w:pStyle w:val="Heading1"/>
        <w:pageBreakBefore/>
        <w:spacing w:before="3800" w:after="0"/>
      </w:pPr>
      <w:bookmarkStart w:id="77" w:name="part-iv-the-inverse-problem-1"/>
      <w:bookmarkEnd w:id="53"/>
      <w:bookmarkEnd w:id="72"/>
      <w:bookmarkEnd w:id="76"/>
      <w:r>
        <w:rPr>
          <w:rFonts w:ascii="Noto Sans" w:eastAsia="Noto Sans" w:hAnsi="Noto Sans"/>
          <w:sz w:val="44"/>
        </w:rPr>
        <w:lastRenderedPageBreak/>
        <w:t>PART IV — THE INVERSE PROBLEM</w:t>
      </w:r>
    </w:p>
    <w:p w14:paraId="3F30DAE4" w14:textId="77777777" w:rsidR="00937C4A" w:rsidRDefault="00000000">
      <w:pPr>
        <w:pStyle w:val="Heading2"/>
        <w:pageBreakBefore/>
        <w:pBdr>
          <w:bottom w:val="single" w:sz="5" w:space="5" w:color="B8C1C6"/>
        </w:pBdr>
        <w:spacing w:after="280"/>
      </w:pPr>
      <w:bookmarkStart w:id="78" w:name="chapter-13-the-fragility-manifold"/>
      <w:r>
        <w:rPr>
          <w:rFonts w:ascii="EB Garamond" w:eastAsia="EB Garamond" w:hAnsi="EB Garamond"/>
          <w:sz w:val="40"/>
        </w:rPr>
        <w:lastRenderedPageBreak/>
        <w:t>Chapter 13 — The Fragility Manifold</w:t>
      </w:r>
    </w:p>
    <w:p w14:paraId="504A419B" w14:textId="77777777" w:rsidR="00937C4A" w:rsidRDefault="00000000">
      <w:pPr>
        <w:pStyle w:val="CairnChapterBrief"/>
        <w:pBdr>
          <w:left w:val="single" w:sz="10" w:space="8" w:color="5B7D91"/>
        </w:pBdr>
        <w:shd w:val="clear" w:color="auto" w:fill="F5F7F8"/>
        <w:spacing w:before="100"/>
      </w:pPr>
      <w:r>
        <w:rPr>
          <w:iCs/>
          <w:color w:val="4E5357"/>
        </w:rPr>
        <w:t>Chapter brief. Full text remains to be written in the next manuscript installment.</w:t>
      </w:r>
    </w:p>
    <w:p w14:paraId="4BC3BCE9" w14:textId="77777777" w:rsidR="00937C4A" w:rsidRDefault="00000000">
      <w:pPr>
        <w:pStyle w:val="BodyText"/>
      </w:pPr>
      <w:r>
        <w:t xml:space="preserve">Why a scalar threshold is the wrong object; vector-valued intensity measures </w:t>
      </w:r>
      <m:oMath>
        <m:r>
          <m:rPr>
            <m:sty m:val="b"/>
          </m:rPr>
          <w:rPr>
            <w:rFonts w:ascii="Cambria Math" w:hAnsi="Cambria Math"/>
          </w:rPr>
          <m:t>η</m:t>
        </m:r>
        <m:r>
          <m:rPr>
            <m:sty m:val="p"/>
          </m:rPr>
          <w:rPr>
            <w:rFonts w:ascii="Cambria Math" w:hAnsi="Cambria Math"/>
          </w:rPr>
          <m:t>=</m:t>
        </m:r>
        <m:d>
          <m:dPr>
            <m:ctrlPr>
              <w:rPr>
                <w:rFonts w:ascii="Cambria Math" w:hAnsi="Cambria Math"/>
              </w:rPr>
            </m:ctrlPr>
          </m:dPr>
          <m:e>
            <m:r>
              <m:rPr>
                <m:sty m:val="p"/>
              </m:rPr>
              <w:rPr>
                <w:rFonts w:ascii="Cambria Math" w:hAnsi="Cambria Math"/>
              </w:rPr>
              <m:t>PGA,PGV/PGA,</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/PGA,…</m:t>
            </m:r>
          </m:e>
        </m:d>
      </m:oMath>
      <w:r>
        <w:t xml:space="preserve">; fragility as a level set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m:rPr>
                <m:sty m:val="b"/>
              </m:rPr>
              <w:rPr>
                <w:rFonts w:ascii="Cambria Math" w:hAnsi="Cambria Math"/>
              </w:rPr>
              <m:t>η</m:t>
            </m:r>
          </m:e>
        </m:d>
        <m:r>
          <m:rPr>
            <m:sty m:val="p"/>
          </m:rPr>
          <w:rPr>
            <w:rFonts w:ascii="Cambria Math" w:hAnsi="Cambria Math"/>
          </w:rPr>
          <m:t>≤</m:t>
        </m:r>
        <m:r>
          <w:rPr>
            <w:rFonts w:ascii="Cambria Math" w:hAnsi="Cambria Math"/>
          </w:rPr>
          <m:t>c</m:t>
        </m:r>
        <m:r>
          <m:rPr>
            <m:sty m:val="p"/>
          </m:rPr>
          <w:rPr>
            <w:rFonts w:ascii="Cambria Math" w:hAnsi="Cambria Math"/>
          </w:rPr>
          <m:t>}</m:t>
        </m:r>
      </m:oMath>
      <w:r>
        <w:t xml:space="preserve">; the empirical finding that the ratio </w:t>
      </w:r>
      <m:oMath>
        <m:r>
          <m:rPr>
            <m:sty m:val="p"/>
          </m:rPr>
          <w:rPr>
            <w:rFonts w:ascii="Cambria Math" w:hAnsi="Cambria Math"/>
          </w:rPr>
          <m:t>PGV/PGA</m:t>
        </m:r>
      </m:oMath>
      <w:r>
        <w:t xml:space="preserve"> is among the best predictors because it proxies dominant pulse duration; the acute sensitivity of computed fragilities to basal contact modelling. </w:t>
      </w:r>
      <w:r>
        <w:rPr>
          <w:i/>
          <w:iCs/>
        </w:rPr>
        <w:t>A surviving rock states only that its historical excitation path probably remained in a sufficiently safe region of a multidimensional space.</w:t>
      </w:r>
    </w:p>
    <w:p w14:paraId="2F331C2C" w14:textId="77777777" w:rsidR="00937C4A" w:rsidRDefault="00000000">
      <w:pPr>
        <w:pStyle w:val="Heading2"/>
        <w:pageBreakBefore/>
        <w:pBdr>
          <w:bottom w:val="single" w:sz="5" w:space="5" w:color="B8C1C6"/>
        </w:pBdr>
        <w:spacing w:after="280"/>
      </w:pPr>
      <w:bookmarkStart w:id="79" w:name="X1fe986d0e23202b92ba5405e3bb1a1cea762bb2"/>
      <w:bookmarkEnd w:id="78"/>
      <w:r>
        <w:rPr>
          <w:rFonts w:ascii="EB Garamond" w:eastAsia="EB Garamond" w:hAnsi="EB Garamond"/>
          <w:sz w:val="40"/>
        </w:rPr>
        <w:lastRenderedPageBreak/>
        <w:t xml:space="preserve">Chapter 14 — Survivor-Only Identifiability </w:t>
      </w:r>
      <w:r>
        <w:rPr>
          <w:rFonts w:ascii="Noto Sans" w:eastAsia="Noto Sans" w:hAnsi="Noto Sans"/>
          <w:color w:val="1D6848"/>
          <w:sz w:val="19"/>
        </w:rPr>
        <w:t>[T]</w:t>
      </w:r>
    </w:p>
    <w:p w14:paraId="56CCA28B" w14:textId="77777777" w:rsidR="00937C4A" w:rsidRDefault="00000000">
      <w:r>
        <w:t>This is the strongest result in the book, and it is a good deal more optimistic than the literature on survivorship bias would lead one to expect.</w:t>
      </w:r>
    </w:p>
    <w:p w14:paraId="0384912E" w14:textId="77777777" w:rsidR="00937C4A" w:rsidRDefault="00000000">
      <w:pPr>
        <w:pStyle w:val="Heading3"/>
      </w:pPr>
      <w:bookmarkStart w:id="80" w:name="setup"/>
      <w:r>
        <w:rPr>
          <w:rFonts w:ascii="Noto Sans" w:eastAsia="Noto Sans" w:hAnsi="Noto Sans"/>
        </w:rPr>
        <w:t>14.1 Setup</w:t>
      </w:r>
    </w:p>
    <w:p w14:paraId="0FC24DA8" w14:textId="77777777" w:rsidR="00937C4A" w:rsidRDefault="00000000">
      <w:r>
        <w:t xml:space="preserve">Exposure ages are unknown, distributed as </w:t>
      </w:r>
      <m:oMath>
        <m:sSub>
          <m:sSubPr>
            <m:ctrlPr>
              <w:rPr>
                <w:rFonts w:ascii="Cambria Math" w:hAnsi="Cambria Math"/>
              </w:rPr>
            </m:ctrlPr>
          </m:sSubPr>
          <m:e>
            <m:r>
              <w:rPr>
                <w:rFonts w:ascii="Cambria Math" w:hAnsi="Cambria Math"/>
              </w:rPr>
              <m:t>p</m:t>
            </m:r>
          </m:e>
          <m:sub>
            <m:r>
              <w:rPr>
                <w:rFonts w:ascii="Cambria Math" w:hAnsi="Cambria Math"/>
              </w:rPr>
              <m:t>A</m:t>
            </m:r>
          </m:sub>
        </m:sSub>
      </m:oMath>
      <w:r>
        <w:t xml:space="preserve">. Fragility </w:t>
      </w:r>
      <m:oMath>
        <m:r>
          <w:rPr>
            <w:rFonts w:ascii="Cambria Math" w:hAnsi="Cambria Math"/>
          </w:rPr>
          <m:t>q</m:t>
        </m:r>
      </m:oMath>
      <w:r>
        <w:t xml:space="preserve"> varies across the population and is known (Chapter 13 is about how expensively). Then</w:t>
      </w:r>
    </w:p>
    <w:p w14:paraId="2C29E57F" w14:textId="77777777" w:rsidR="00937C4A" w:rsidRDefault="00000000">
      <w:pPr>
        <w:pStyle w:val="BodyText"/>
        <w:spacing w:before="100" w:after="140"/>
        <w:jc w:val="center"/>
      </w:pPr>
      <m:oMathPara>
        <m:oMathParaPr>
          <m:jc m:val="center"/>
        </m:oMathParaPr>
        <m:oMath>
          <m:r>
            <m:rPr>
              <m:sty m:val="p"/>
            </m:rPr>
            <w:rPr>
              <w:rFonts w:ascii="Cambria Math" w:hAnsi="Cambria Math"/>
            </w:rPr>
            <m:t>Pr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q</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AHq</m:t>
                  </m:r>
                </m:sup>
              </m:sSup>
            </m:e>
          </m:nary>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A</m:t>
              </m:r>
            </m:sub>
          </m:sSub>
          <m:d>
            <m:dPr>
              <m:ctrlPr>
                <w:rPr>
                  <w:rFonts w:ascii="Cambria Math" w:hAnsi="Cambria Math"/>
                </w:rPr>
              </m:ctrlPr>
            </m:dPr>
            <m:e>
              <m:r>
                <w:rPr>
                  <w:rFonts w:ascii="Cambria Math" w:hAnsi="Cambria Math"/>
                </w:rPr>
                <m:t>A</m:t>
              </m:r>
            </m:e>
          </m:d>
          <m:r>
            <w:rPr>
              <w:rFonts w:ascii="Cambria Math" w:hAnsi="Cambria Math"/>
            </w:rPr>
            <m:t> dA</m:t>
          </m:r>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A</m:t>
                  </m:r>
                </m:sub>
              </m:sSub>
            </m:e>
          </m:acc>
          <m:d>
            <m:dPr>
              <m:ctrlPr>
                <w:rPr>
                  <w:rFonts w:ascii="Cambria Math" w:hAnsi="Cambria Math"/>
                </w:rPr>
              </m:ctrlPr>
            </m:dPr>
            <m:e>
              <m:r>
                <w:rPr>
                  <w:rFonts w:ascii="Cambria Math" w:hAnsi="Cambria Math"/>
                </w:rPr>
                <m:t>Hq</m:t>
              </m:r>
            </m:e>
          </m:d>
          <m:r>
            <m:rPr>
              <m:sty m:val="p"/>
            </m:rPr>
            <w:rPr>
              <w:rFonts w:ascii="Cambria Math" w:hAnsi="Cambria Math"/>
            </w:rPr>
            <m:t>,</m:t>
          </m:r>
        </m:oMath>
      </m:oMathPara>
    </w:p>
    <w:p w14:paraId="5E560D34" w14:textId="77777777" w:rsidR="00937C4A" w:rsidRDefault="00000000">
      <w:r>
        <w:t xml:space="preserve">the Laplace transform of the age distribution evaluated at </w:t>
      </w:r>
      <m:oMath>
        <m:r>
          <w:rPr>
            <w:rFonts w:ascii="Cambria Math" w:hAnsi="Cambria Math"/>
          </w:rPr>
          <m:t>Hq</m:t>
        </m:r>
      </m:oMath>
      <w:r>
        <w:t>.</w:t>
      </w:r>
    </w:p>
    <w:p w14:paraId="26457C74" w14:textId="77777777" w:rsidR="00937C4A" w:rsidRDefault="00000000">
      <w:pPr>
        <w:pStyle w:val="Heading3"/>
      </w:pPr>
      <w:bookmarkStart w:id="81" w:name="the-theorem"/>
      <w:bookmarkEnd w:id="80"/>
      <w:r>
        <w:rPr>
          <w:rFonts w:ascii="Noto Sans" w:eastAsia="Noto Sans" w:hAnsi="Noto Sans"/>
        </w:rPr>
        <w:t>14.2 The theorem</w:t>
      </w:r>
    </w:p>
    <w:p w14:paraId="52C42B95" w14:textId="77777777" w:rsidR="00937C4A" w:rsidRDefault="00000000">
      <w:r>
        <w:rPr>
          <w:b/>
          <w:bCs/>
        </w:rPr>
        <w:t>Theorem [T].</w:t>
      </w:r>
      <w:r>
        <w:t xml:space="preserve"> Suppose </w:t>
      </w:r>
      <m:oMath>
        <m:r>
          <w:rPr>
            <w:rFonts w:ascii="Cambria Math" w:hAnsi="Cambria Math"/>
          </w:rPr>
          <m:t>q</m:t>
        </m:r>
      </m:oMath>
      <w:r>
        <w:t xml:space="preserve"> varies over an interval and survival probability is observed as a function of </w:t>
      </w:r>
      <m:oMath>
        <m:r>
          <w:rPr>
            <w:rFonts w:ascii="Cambria Math" w:hAnsi="Cambria Math"/>
          </w:rPr>
          <m:t>q</m:t>
        </m:r>
      </m:oMath>
      <w:r>
        <w:t xml:space="preserve">. Then the pair </w:t>
      </w:r>
      <m:oMath>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e>
        </m:d>
      </m:oMath>
      <w:r>
        <w:t xml:space="preserve"> is identified </w:t>
      </w:r>
      <w:r>
        <w:rPr>
          <w:b/>
          <w:bCs/>
        </w:rPr>
        <w:t>up to exactly one scalar</w:t>
      </w:r>
      <w:r>
        <w:t>: the transformation</w:t>
      </w:r>
    </w:p>
    <w:p w14:paraId="4AC8CADF" w14:textId="77777777" w:rsidR="00937C4A" w:rsidRDefault="00000000">
      <w:pPr>
        <w:spacing w:before="100" w:after="140"/>
        <w:jc w:val="center"/>
      </w:pPr>
      <m:oMathPara>
        <m:oMathParaPr>
          <m:jc m:val="center"/>
        </m:oMathParaPr>
        <m:oMath>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A</m:t>
                  </m:r>
                </m:sub>
              </m:sSub>
              <m:d>
                <m:dPr>
                  <m:ctrlPr>
                    <w:rPr>
                      <w:rFonts w:ascii="Cambria Math" w:hAnsi="Cambria Math"/>
                    </w:rPr>
                  </m:ctrlPr>
                </m:dPr>
                <m:e>
                  <m:r>
                    <m:rPr>
                      <m:sty m:val="p"/>
                    </m:rPr>
                    <w:rPr>
                      <w:rFonts w:ascii="Cambria Math" w:hAnsi="Cambria Math"/>
                    </w:rPr>
                    <m:t>⋅</m:t>
                  </m:r>
                </m:e>
              </m:d>
            </m:e>
          </m:d>
          <m:r>
            <m:rPr>
              <m:sty m:val="p"/>
            </m:rPr>
            <w:rPr>
              <w:rFonts w:ascii="Cambria Math" w:hAnsi="Cambria Math"/>
            </w:rPr>
            <m:t>↦</m:t>
          </m:r>
          <m:d>
            <m:dPr>
              <m:ctrlPr>
                <w:rPr>
                  <w:rFonts w:ascii="Cambria Math" w:hAnsi="Cambria Math"/>
                </w:rPr>
              </m:ctrlPr>
            </m:dPr>
            <m:e>
              <m:r>
                <w:rPr>
                  <w:rFonts w:ascii="Cambria Math" w:hAnsi="Cambria Math"/>
                </w:rPr>
                <m:t>cH</m:t>
              </m:r>
              <m:r>
                <m:rPr>
                  <m:sty m:val="p"/>
                </m:rPr>
                <w:rPr>
                  <w:rFonts w:ascii="Cambria Math" w:hAnsi="Cambria Math"/>
                </w:rPr>
                <m:t>,</m:t>
              </m:r>
              <m:r>
                <w:rPr>
                  <w:rFonts w:ascii="Cambria Math" w:hAnsi="Cambria Math"/>
                </w:rPr>
                <m:t> c </m:t>
              </m:r>
              <m:sSub>
                <m:sSubPr>
                  <m:ctrlPr>
                    <w:rPr>
                      <w:rFonts w:ascii="Cambria Math" w:hAnsi="Cambria Math"/>
                    </w:rPr>
                  </m:ctrlPr>
                </m:sSubPr>
                <m:e>
                  <m:r>
                    <w:rPr>
                      <w:rFonts w:ascii="Cambria Math" w:hAnsi="Cambria Math"/>
                    </w:rPr>
                    <m:t>p</m:t>
                  </m:r>
                </m:e>
                <m:sub>
                  <m:r>
                    <w:rPr>
                      <w:rFonts w:ascii="Cambria Math" w:hAnsi="Cambria Math"/>
                    </w:rPr>
                    <m:t>A</m:t>
                  </m:r>
                </m:sub>
              </m:sSub>
              <m:d>
                <m:dPr>
                  <m:ctrlPr>
                    <w:rPr>
                      <w:rFonts w:ascii="Cambria Math" w:hAnsi="Cambria Math"/>
                    </w:rPr>
                  </m:ctrlPr>
                </m:dPr>
                <m:e>
                  <m:r>
                    <w:rPr>
                      <w:rFonts w:ascii="Cambria Math" w:hAnsi="Cambria Math"/>
                    </w:rPr>
                    <m:t>c </m:t>
                  </m:r>
                  <m:r>
                    <m:rPr>
                      <m:sty m:val="p"/>
                    </m:rPr>
                    <w:rPr>
                      <w:rFonts w:ascii="Cambria Math" w:hAnsi="Cambria Math"/>
                    </w:rPr>
                    <m:t>⋅</m:t>
                  </m:r>
                </m:e>
              </m:d>
            </m:e>
          </m:d>
          <m:r>
            <m:rPr>
              <m:sty m:val="p"/>
            </m:rPr>
            <w:rPr>
              <w:rFonts w:ascii="Cambria Math" w:hAnsi="Cambria Math"/>
            </w:rPr>
            <m:t>,</m:t>
          </m:r>
          <m:r>
            <w:rPr>
              <w:rFonts w:ascii="Cambria Math" w:hAnsi="Cambria Math"/>
            </w:rPr>
            <m:t>  c</m:t>
          </m:r>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141B9B64" w14:textId="77777777" w:rsidR="00937C4A" w:rsidRDefault="00000000">
      <w:r>
        <w:t xml:space="preserve">leaves every observable invariant, and no other ambiguity remains. In particular the </w:t>
      </w:r>
      <w:r>
        <w:rPr>
          <w:b/>
          <w:bCs/>
        </w:rPr>
        <w:t>shape</w:t>
      </w:r>
      <w:r>
        <w:t xml:space="preserve"> of </w:t>
      </w:r>
      <m:oMath>
        <m:sSub>
          <m:sSubPr>
            <m:ctrlPr>
              <w:rPr>
                <w:rFonts w:ascii="Cambria Math" w:hAnsi="Cambria Math"/>
              </w:rPr>
            </m:ctrlPr>
          </m:sSubPr>
          <m:e>
            <m:r>
              <w:rPr>
                <w:rFonts w:ascii="Cambria Math" w:hAnsi="Cambria Math"/>
              </w:rPr>
              <m:t>p</m:t>
            </m:r>
          </m:e>
          <m:sub>
            <m:r>
              <w:rPr>
                <w:rFonts w:ascii="Cambria Math" w:hAnsi="Cambria Math"/>
              </w:rPr>
              <m:t>A</m:t>
            </m:r>
          </m:sub>
        </m:sSub>
      </m:oMath>
      <w:r>
        <w:t xml:space="preserve"> is fully identified.</w:t>
      </w:r>
    </w:p>
    <w:p w14:paraId="0224FEA8" w14:textId="77777777" w:rsidR="00937C4A" w:rsidRDefault="00000000">
      <w:r>
        <w:rPr>
          <w:i/>
          <w:iCs/>
        </w:rPr>
        <w:t>Proof sketch.</w:t>
      </w:r>
      <w:r>
        <w:t xml:space="preserve"> Observation determines </w:t>
      </w:r>
      <m:oMath>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A</m:t>
                </m:r>
              </m:sub>
            </m:sSub>
          </m:e>
        </m:acc>
      </m:oMath>
      <w:r>
        <w:t xml:space="preserve"> on the interval </w:t>
      </w:r>
      <m:oMath>
        <m:d>
          <m:dPr>
            <m:begChr m:val="["/>
            <m:endChr m:val="]"/>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q</m:t>
                </m:r>
              </m:e>
              <m:sub>
                <m:r>
                  <m:rPr>
                    <m:sty m:val="p"/>
                  </m:rPr>
                  <w:rPr>
                    <w:rFonts w:ascii="Cambria Math" w:hAnsi="Cambria Math"/>
                  </w:rPr>
                  <m:t>max</m:t>
                </m:r>
              </m:sub>
            </m:sSub>
          </m:e>
        </m:d>
      </m:oMath>
      <w:r>
        <w:t xml:space="preserve">. Laplace transforms of probability measures are analytic on the open right half-plane, so knowledge on an interval determines </w:t>
      </w:r>
      <m:oMath>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A</m:t>
                </m:r>
              </m:sub>
            </m:sSub>
          </m:e>
        </m:acc>
      </m:oMath>
      <w:r>
        <w:t xml:space="preserve"> everywhere by analytic continuation, and injectivity of the transform determines </w:t>
      </w:r>
      <m:oMath>
        <m:sSub>
          <m:sSubPr>
            <m:ctrlPr>
              <w:rPr>
                <w:rFonts w:ascii="Cambria Math" w:hAnsi="Cambria Math"/>
              </w:rPr>
            </m:ctrlPr>
          </m:sSubPr>
          <m:e>
            <m:r>
              <w:rPr>
                <w:rFonts w:ascii="Cambria Math" w:hAnsi="Cambria Math"/>
              </w:rPr>
              <m:t>p</m:t>
            </m:r>
          </m:e>
          <m:sub>
            <m:r>
              <w:rPr>
                <w:rFonts w:ascii="Cambria Math" w:hAnsi="Cambria Math"/>
              </w:rPr>
              <m:t>A</m:t>
            </m:r>
          </m:sub>
        </m:sSub>
      </m:oMath>
      <w:r>
        <w:t xml:space="preserve"> — but only as a function of the argument </w:t>
      </w:r>
      <m:oMath>
        <m:r>
          <w:rPr>
            <w:rFonts w:ascii="Cambria Math" w:hAnsi="Cambria Math"/>
          </w:rPr>
          <m:t>Hq</m:t>
        </m:r>
      </m:oMath>
      <w:r>
        <w:t xml:space="preserve">, which is invariant under the stated rescaling. </w:t>
      </w:r>
      <m:oMath>
        <m:r>
          <m:rPr>
            <m:sty m:val="p"/>
          </m:rPr>
          <w:rPr>
            <w:rFonts w:ascii="Cambria Math" w:hAnsi="Cambria Math"/>
          </w:rPr>
          <m:t>▫</m:t>
        </m:r>
      </m:oMath>
    </w:p>
    <w:p w14:paraId="604A36C4" w14:textId="77777777" w:rsidR="00937C4A" w:rsidRDefault="00000000">
      <w:pPr>
        <w:pStyle w:val="Heading3"/>
      </w:pPr>
      <w:bookmarkStart w:id="82" w:name="confirmation"/>
      <w:bookmarkEnd w:id="81"/>
      <w:r>
        <w:rPr>
          <w:rFonts w:ascii="Noto Sans" w:eastAsia="Noto Sans" w:hAnsi="Noto Sans"/>
        </w:rPr>
        <w:t>14.3 Confirmation</w:t>
      </w:r>
    </w:p>
    <w:p w14:paraId="1A23DED7" w14:textId="77777777" w:rsidR="00937C4A" w:rsidRDefault="00000000">
      <w:r>
        <w:t xml:space="preserve">For </w:t>
      </w:r>
      <m:oMath>
        <m:r>
          <w:rPr>
            <w:rFonts w:ascii="Cambria Math" w:hAnsi="Cambria Math"/>
          </w:rPr>
          <m:t>Γ</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θ</m:t>
            </m:r>
          </m:e>
        </m:d>
      </m:oMath>
      <w:r>
        <w:t xml:space="preserve"> ages the transform is elementary: </w:t>
      </w:r>
      <m:oMath>
        <m:r>
          <m:rPr>
            <m:sty m:val="p"/>
          </m:rPr>
          <w:rPr>
            <w:rFonts w:ascii="Cambria Math" w:hAnsi="Cambria Math"/>
          </w:rPr>
          <m:t>Pr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q</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θHq</m:t>
                </m:r>
              </m:e>
            </m:d>
          </m:e>
          <m:sup>
            <m:r>
              <m:rPr>
                <m:sty m:val="p"/>
              </m:rPr>
              <w:rPr>
                <w:rFonts w:ascii="Cambria Math" w:hAnsi="Cambria Math"/>
              </w:rPr>
              <m:t>-</m:t>
            </m:r>
            <m:r>
              <w:rPr>
                <w:rFonts w:ascii="Cambria Math" w:hAnsi="Cambria Math"/>
              </w:rPr>
              <m:t>k</m:t>
            </m:r>
          </m:sup>
        </m:sSup>
      </m:oMath>
      <w:r>
        <w:t xml:space="preserve">, in which </w:t>
      </w:r>
      <m:oMath>
        <m:r>
          <w:rPr>
            <w:rFonts w:ascii="Cambria Math" w:hAnsi="Cambria Math"/>
          </w:rPr>
          <m:t>θ</m:t>
        </m:r>
      </m:oMath>
      <w:r>
        <w:t xml:space="preserve"> and </w:t>
      </w:r>
      <m:oMath>
        <m:r>
          <w:rPr>
            <w:rFonts w:ascii="Cambria Math" w:hAnsi="Cambria Math"/>
          </w:rPr>
          <m:t>H</m:t>
        </m:r>
      </m:oMath>
      <w:r>
        <w:t xml:space="preserve"> appear only as their product. Fitting synthetic data (</w:t>
      </w:r>
      <m:oMath>
        <m:r>
          <w:rPr>
            <w:rFonts w:ascii="Cambria Math" w:hAnsi="Cambria Math"/>
          </w:rPr>
          <m:t>k</m:t>
        </m:r>
        <m:r>
          <m:rPr>
            <m:sty m:val="p"/>
          </m:rPr>
          <w:rPr>
            <w:rFonts w:ascii="Cambria Math" w:hAnsi="Cambria Math"/>
          </w:rPr>
          <m:t>=</m:t>
        </m:r>
        <m:r>
          <w:rPr>
            <w:rFonts w:ascii="Cambria Math" w:hAnsi="Cambria Math"/>
          </w:rPr>
          <m:t>2.5</m:t>
        </m:r>
      </m:oMath>
      <w:r>
        <w:t xml:space="preserve">, </w:t>
      </w:r>
      <m:oMath>
        <m:r>
          <w:rPr>
            <w:rFonts w:ascii="Cambria Math" w:hAnsi="Cambria Math"/>
          </w:rPr>
          <m:t>θ</m:t>
        </m:r>
        <m:r>
          <m:rPr>
            <m:sty m:val="p"/>
          </m:rPr>
          <w:rPr>
            <w:rFonts w:ascii="Cambria Math" w:hAnsi="Cambria Math"/>
          </w:rPr>
          <m:t>=</m:t>
        </m:r>
        <m:r>
          <w:rPr>
            <w:rFonts w:ascii="Cambria Math" w:hAnsi="Cambria Math"/>
          </w:rPr>
          <m:t>4.0</m:t>
        </m:r>
      </m:oMath>
      <w:r>
        <w:t xml:space="preserve">, </w:t>
      </w:r>
      <m:oMath>
        <m:r>
          <w:rPr>
            <w:rFonts w:ascii="Cambria Math" w:hAnsi="Cambria Math"/>
          </w:rPr>
          <m:t>H</m:t>
        </m:r>
        <m:r>
          <m:rPr>
            <m:sty m:val="p"/>
          </m:rPr>
          <w:rPr>
            <w:rFonts w:ascii="Cambria Math" w:hAnsi="Cambria Math"/>
          </w:rPr>
          <m:t>=</m:t>
        </m:r>
        <m:r>
          <w:rPr>
            <w:rFonts w:ascii="Cambria Math" w:hAnsi="Cambria Math"/>
          </w:rPr>
          <m:t>0.30</m:t>
        </m:r>
      </m:oMath>
      <w:r>
        <w:t xml:space="preserve">, 16 fragility classes, </w:t>
      </w:r>
      <m:oMath>
        <m:r>
          <w:rPr>
            <w:rFonts w:ascii="Cambria Math" w:hAnsi="Cambria Math"/>
          </w:rPr>
          <m:t>n</m:t>
        </m:r>
        <m:r>
          <m:rPr>
            <m:sty m:val="p"/>
          </m:rPr>
          <w:rPr>
            <w:rFonts w:ascii="Cambria Math" w:hAnsi="Cambria Math"/>
          </w:rPr>
          <m:t>=</m:t>
        </m:r>
        <m:r>
          <w:rPr>
            <w:rFonts w:ascii="Cambria Math" w:hAnsi="Cambria Math"/>
          </w:rPr>
          <m:t>4000</m:t>
        </m:r>
      </m:oMath>
      <w:r>
        <w:t xml:space="preserve"> each) along </w:t>
      </w:r>
      <m:oMath>
        <m:r>
          <w:rPr>
            <w:rFonts w:ascii="Cambria Math" w:hAnsi="Cambria Math"/>
          </w:rPr>
          <m:t>θH</m:t>
        </m:r>
        <m:r>
          <m:rPr>
            <m:sty m:val="p"/>
          </m:rPr>
          <w:rPr>
            <w:rFonts w:ascii="Cambria Math" w:hAnsi="Cambria Math"/>
          </w:rPr>
          <m:t>=const</m:t>
        </m:r>
      </m:oMath>
      <w:r>
        <w:t>:</w:t>
      </w:r>
    </w:p>
    <w:tbl>
      <w:tblPr>
        <w:tblStyle w:val="TableGrid"/>
        <w:tblW w:w="9400" w:type="dxa"/>
        <w:jc w:val="center"/>
        <w:tblLayout w:type="fixed"/>
        <w:tblLook w:val="04A0" w:firstRow="1" w:lastRow="0" w:firstColumn="1" w:lastColumn="0" w:noHBand="0" w:noVBand="1"/>
      </w:tblPr>
      <w:tblGrid>
        <w:gridCol w:w="1200"/>
        <w:gridCol w:w="1500"/>
        <w:gridCol w:w="1500"/>
        <w:gridCol w:w="1700"/>
        <w:gridCol w:w="1400"/>
        <w:gridCol w:w="2100"/>
      </w:tblGrid>
      <w:tr w:rsidR="00937C4A" w14:paraId="6F00C599" w14:textId="77777777">
        <w:trPr>
          <w:cantSplit/>
          <w:tblHeader/>
          <w:jc w:val="center"/>
        </w:trPr>
        <w:tc>
          <w:tcPr>
            <w:tcW w:w="1200" w:type="dxa"/>
            <w:shd w:val="clear" w:color="auto" w:fill="495A65"/>
            <w:tcMar>
              <w:top w:w="55" w:type="dxa"/>
              <w:left w:w="65" w:type="dxa"/>
              <w:bottom w:w="55" w:type="dxa"/>
              <w:right w:w="65" w:type="dxa"/>
            </w:tcMar>
            <w:vAlign w:val="center"/>
          </w:tcPr>
          <w:p w14:paraId="6D289C38" w14:textId="77777777" w:rsidR="00937C4A" w:rsidRDefault="00000000">
            <w:pPr>
              <w:spacing w:after="0" w:line="240" w:lineRule="auto"/>
              <w:jc w:val="left"/>
            </w:pPr>
            <w:r>
              <w:rPr>
                <w:rFonts w:ascii="Noto Sans" w:hAnsi="Noto Sans"/>
                <w:b/>
                <w:color w:val="FFFFFF"/>
                <w:sz w:val="13"/>
              </w:rPr>
              <w:t>c</w:t>
            </w:r>
          </w:p>
        </w:tc>
        <w:tc>
          <w:tcPr>
            <w:tcW w:w="1500" w:type="dxa"/>
            <w:shd w:val="clear" w:color="auto" w:fill="495A65"/>
            <w:tcMar>
              <w:top w:w="55" w:type="dxa"/>
              <w:left w:w="65" w:type="dxa"/>
              <w:bottom w:w="55" w:type="dxa"/>
              <w:right w:w="65" w:type="dxa"/>
            </w:tcMar>
            <w:vAlign w:val="center"/>
          </w:tcPr>
          <w:p w14:paraId="49FE0070" w14:textId="77777777" w:rsidR="00937C4A" w:rsidRDefault="00000000">
            <w:pPr>
              <w:spacing w:after="0" w:line="240" w:lineRule="auto"/>
              <w:jc w:val="center"/>
            </w:pPr>
            <w:r>
              <w:rPr>
                <w:rFonts w:ascii="Noto Sans" w:hAnsi="Noto Sans"/>
                <w:b/>
                <w:color w:val="FFFFFF"/>
                <w:sz w:val="13"/>
              </w:rPr>
              <w:t>θ</w:t>
            </w:r>
          </w:p>
        </w:tc>
        <w:tc>
          <w:tcPr>
            <w:tcW w:w="1500" w:type="dxa"/>
            <w:shd w:val="clear" w:color="auto" w:fill="495A65"/>
            <w:tcMar>
              <w:top w:w="55" w:type="dxa"/>
              <w:left w:w="65" w:type="dxa"/>
              <w:bottom w:w="55" w:type="dxa"/>
              <w:right w:w="65" w:type="dxa"/>
            </w:tcMar>
            <w:vAlign w:val="center"/>
          </w:tcPr>
          <w:p w14:paraId="30639856" w14:textId="77777777" w:rsidR="00937C4A" w:rsidRDefault="00000000">
            <w:pPr>
              <w:spacing w:after="0" w:line="240" w:lineRule="auto"/>
              <w:jc w:val="center"/>
            </w:pPr>
            <w:r>
              <w:rPr>
                <w:rFonts w:ascii="Noto Sans" w:hAnsi="Noto Sans"/>
                <w:b/>
                <w:color w:val="FFFFFF"/>
                <w:sz w:val="13"/>
              </w:rPr>
              <w:t>H</w:t>
            </w:r>
          </w:p>
        </w:tc>
        <w:tc>
          <w:tcPr>
            <w:tcW w:w="1700" w:type="dxa"/>
            <w:shd w:val="clear" w:color="auto" w:fill="495A65"/>
            <w:tcMar>
              <w:top w:w="55" w:type="dxa"/>
              <w:left w:w="65" w:type="dxa"/>
              <w:bottom w:w="55" w:type="dxa"/>
              <w:right w:w="65" w:type="dxa"/>
            </w:tcMar>
            <w:vAlign w:val="center"/>
          </w:tcPr>
          <w:p w14:paraId="77D7F84D" w14:textId="77777777" w:rsidR="00937C4A" w:rsidRDefault="00000000">
            <w:pPr>
              <w:spacing w:after="0" w:line="240" w:lineRule="auto"/>
              <w:jc w:val="center"/>
            </w:pPr>
            <w:r>
              <w:rPr>
                <w:rFonts w:ascii="Noto Sans" w:hAnsi="Noto Sans"/>
                <w:b/>
                <w:color w:val="FFFFFF"/>
                <w:sz w:val="13"/>
              </w:rPr>
              <w:t>θH</w:t>
            </w:r>
          </w:p>
        </w:tc>
        <w:tc>
          <w:tcPr>
            <w:tcW w:w="1400" w:type="dxa"/>
            <w:shd w:val="clear" w:color="auto" w:fill="495A65"/>
            <w:tcMar>
              <w:top w:w="55" w:type="dxa"/>
              <w:left w:w="65" w:type="dxa"/>
              <w:bottom w:w="55" w:type="dxa"/>
              <w:right w:w="65" w:type="dxa"/>
            </w:tcMar>
            <w:vAlign w:val="center"/>
          </w:tcPr>
          <w:p w14:paraId="335D92BE" w14:textId="77777777" w:rsidR="00937C4A" w:rsidRDefault="00000000">
            <w:pPr>
              <w:spacing w:after="0" w:line="240" w:lineRule="auto"/>
              <w:jc w:val="center"/>
            </w:pPr>
            <w:r>
              <w:rPr>
                <w:rFonts w:ascii="Noto Sans" w:hAnsi="Noto Sans"/>
                <w:b/>
                <w:color w:val="FFFFFF"/>
                <w:sz w:val="13"/>
              </w:rPr>
              <w:t>k</w:t>
            </w:r>
          </w:p>
        </w:tc>
        <w:tc>
          <w:tcPr>
            <w:tcW w:w="2100" w:type="dxa"/>
            <w:shd w:val="clear" w:color="auto" w:fill="495A65"/>
            <w:tcMar>
              <w:top w:w="55" w:type="dxa"/>
              <w:left w:w="65" w:type="dxa"/>
              <w:bottom w:w="55" w:type="dxa"/>
              <w:right w:w="65" w:type="dxa"/>
            </w:tcMar>
            <w:vAlign w:val="center"/>
          </w:tcPr>
          <w:p w14:paraId="27D344BD" w14:textId="77777777" w:rsidR="00937C4A" w:rsidRDefault="00000000">
            <w:pPr>
              <w:spacing w:after="0" w:line="240" w:lineRule="auto"/>
              <w:jc w:val="center"/>
            </w:pPr>
            <w:r>
              <w:rPr>
                <w:rFonts w:ascii="Noto Sans" w:hAnsi="Noto Sans"/>
                <w:b/>
                <w:color w:val="FFFFFF"/>
                <w:sz w:val="13"/>
              </w:rPr>
              <w:t>NLL</w:t>
            </w:r>
          </w:p>
        </w:tc>
      </w:tr>
      <w:tr w:rsidR="00937C4A" w14:paraId="064D7BD4" w14:textId="77777777">
        <w:trPr>
          <w:cantSplit/>
          <w:jc w:val="center"/>
        </w:trPr>
        <w:tc>
          <w:tcPr>
            <w:tcW w:w="1200" w:type="dxa"/>
            <w:tcMar>
              <w:top w:w="55" w:type="dxa"/>
              <w:left w:w="65" w:type="dxa"/>
              <w:bottom w:w="55" w:type="dxa"/>
              <w:right w:w="65" w:type="dxa"/>
            </w:tcMar>
            <w:vAlign w:val="center"/>
          </w:tcPr>
          <w:p w14:paraId="0BA96E9A" w14:textId="77777777" w:rsidR="00937C4A" w:rsidRDefault="00000000">
            <w:pPr>
              <w:spacing w:after="0" w:line="240" w:lineRule="auto"/>
              <w:jc w:val="left"/>
            </w:pPr>
            <w:r>
              <w:rPr>
                <w:rFonts w:ascii="Noto Sans" w:hAnsi="Noto Sans"/>
                <w:sz w:val="13"/>
              </w:rPr>
              <w:t>0.2</w:t>
            </w:r>
          </w:p>
        </w:tc>
        <w:tc>
          <w:tcPr>
            <w:tcW w:w="1500" w:type="dxa"/>
            <w:tcMar>
              <w:top w:w="55" w:type="dxa"/>
              <w:left w:w="65" w:type="dxa"/>
              <w:bottom w:w="55" w:type="dxa"/>
              <w:right w:w="65" w:type="dxa"/>
            </w:tcMar>
            <w:vAlign w:val="center"/>
          </w:tcPr>
          <w:p w14:paraId="7E04D2B2" w14:textId="77777777" w:rsidR="00937C4A" w:rsidRDefault="00000000">
            <w:pPr>
              <w:spacing w:after="0" w:line="240" w:lineRule="auto"/>
              <w:jc w:val="center"/>
            </w:pPr>
            <w:r>
              <w:rPr>
                <w:rFonts w:ascii="Noto Sans" w:hAnsi="Noto Sans"/>
                <w:sz w:val="13"/>
              </w:rPr>
              <w:t>0.80</w:t>
            </w:r>
          </w:p>
        </w:tc>
        <w:tc>
          <w:tcPr>
            <w:tcW w:w="1500" w:type="dxa"/>
            <w:tcMar>
              <w:top w:w="55" w:type="dxa"/>
              <w:left w:w="65" w:type="dxa"/>
              <w:bottom w:w="55" w:type="dxa"/>
              <w:right w:w="65" w:type="dxa"/>
            </w:tcMar>
            <w:vAlign w:val="center"/>
          </w:tcPr>
          <w:p w14:paraId="1A14052E" w14:textId="77777777" w:rsidR="00937C4A" w:rsidRDefault="00000000">
            <w:pPr>
              <w:spacing w:after="0" w:line="240" w:lineRule="auto"/>
              <w:jc w:val="center"/>
            </w:pPr>
            <w:r>
              <w:rPr>
                <w:rFonts w:ascii="Noto Sans" w:hAnsi="Noto Sans"/>
                <w:sz w:val="13"/>
              </w:rPr>
              <w:t>1.3498</w:t>
            </w:r>
          </w:p>
        </w:tc>
        <w:tc>
          <w:tcPr>
            <w:tcW w:w="1700" w:type="dxa"/>
            <w:tcMar>
              <w:top w:w="55" w:type="dxa"/>
              <w:left w:w="65" w:type="dxa"/>
              <w:bottom w:w="55" w:type="dxa"/>
              <w:right w:w="65" w:type="dxa"/>
            </w:tcMar>
            <w:vAlign w:val="center"/>
          </w:tcPr>
          <w:p w14:paraId="0D177BC6" w14:textId="77777777" w:rsidR="00937C4A" w:rsidRDefault="00000000">
            <w:pPr>
              <w:spacing w:after="0" w:line="240" w:lineRule="auto"/>
              <w:jc w:val="center"/>
            </w:pPr>
            <w:r>
              <w:rPr>
                <w:rFonts w:ascii="Noto Sans" w:hAnsi="Noto Sans"/>
                <w:sz w:val="13"/>
              </w:rPr>
              <w:t>1.0798</w:t>
            </w:r>
          </w:p>
        </w:tc>
        <w:tc>
          <w:tcPr>
            <w:tcW w:w="1400" w:type="dxa"/>
            <w:tcMar>
              <w:top w:w="55" w:type="dxa"/>
              <w:left w:w="65" w:type="dxa"/>
              <w:bottom w:w="55" w:type="dxa"/>
              <w:right w:w="65" w:type="dxa"/>
            </w:tcMar>
            <w:vAlign w:val="center"/>
          </w:tcPr>
          <w:p w14:paraId="58F40809" w14:textId="77777777" w:rsidR="00937C4A" w:rsidRDefault="00000000">
            <w:pPr>
              <w:spacing w:after="0" w:line="240" w:lineRule="auto"/>
              <w:jc w:val="center"/>
            </w:pPr>
            <w:r>
              <w:rPr>
                <w:rFonts w:ascii="Noto Sans" w:hAnsi="Noto Sans"/>
                <w:sz w:val="13"/>
              </w:rPr>
              <w:t>2.7252</w:t>
            </w:r>
          </w:p>
        </w:tc>
        <w:tc>
          <w:tcPr>
            <w:tcW w:w="2100" w:type="dxa"/>
            <w:tcMar>
              <w:top w:w="55" w:type="dxa"/>
              <w:left w:w="65" w:type="dxa"/>
              <w:bottom w:w="55" w:type="dxa"/>
              <w:right w:w="65" w:type="dxa"/>
            </w:tcMar>
            <w:vAlign w:val="center"/>
          </w:tcPr>
          <w:p w14:paraId="24E52873" w14:textId="77777777" w:rsidR="00937C4A" w:rsidRDefault="00000000">
            <w:pPr>
              <w:spacing w:after="0" w:line="240" w:lineRule="auto"/>
              <w:jc w:val="center"/>
            </w:pPr>
            <w:r>
              <w:rPr>
                <w:rFonts w:ascii="Noto Sans" w:hAnsi="Noto Sans"/>
                <w:sz w:val="13"/>
              </w:rPr>
              <w:t>35480.563901</w:t>
            </w:r>
          </w:p>
        </w:tc>
      </w:tr>
      <w:tr w:rsidR="00937C4A" w14:paraId="35A08940" w14:textId="77777777">
        <w:trPr>
          <w:cantSplit/>
          <w:jc w:val="center"/>
        </w:trPr>
        <w:tc>
          <w:tcPr>
            <w:tcW w:w="1200" w:type="dxa"/>
            <w:shd w:val="clear" w:color="auto" w:fill="F4F6F7"/>
            <w:tcMar>
              <w:top w:w="55" w:type="dxa"/>
              <w:left w:w="65" w:type="dxa"/>
              <w:bottom w:w="55" w:type="dxa"/>
              <w:right w:w="65" w:type="dxa"/>
            </w:tcMar>
            <w:vAlign w:val="center"/>
          </w:tcPr>
          <w:p w14:paraId="65942265" w14:textId="77777777" w:rsidR="00937C4A" w:rsidRDefault="00000000">
            <w:pPr>
              <w:spacing w:after="0" w:line="240" w:lineRule="auto"/>
              <w:jc w:val="left"/>
            </w:pPr>
            <w:r>
              <w:rPr>
                <w:rFonts w:ascii="Noto Sans" w:hAnsi="Noto Sans"/>
                <w:sz w:val="13"/>
              </w:rPr>
              <w:t>1.0</w:t>
            </w:r>
          </w:p>
        </w:tc>
        <w:tc>
          <w:tcPr>
            <w:tcW w:w="1500" w:type="dxa"/>
            <w:shd w:val="clear" w:color="auto" w:fill="F4F6F7"/>
            <w:tcMar>
              <w:top w:w="55" w:type="dxa"/>
              <w:left w:w="65" w:type="dxa"/>
              <w:bottom w:w="55" w:type="dxa"/>
              <w:right w:w="65" w:type="dxa"/>
            </w:tcMar>
            <w:vAlign w:val="center"/>
          </w:tcPr>
          <w:p w14:paraId="7EF8673C" w14:textId="77777777" w:rsidR="00937C4A" w:rsidRDefault="00000000">
            <w:pPr>
              <w:spacing w:after="0" w:line="240" w:lineRule="auto"/>
              <w:jc w:val="center"/>
            </w:pPr>
            <w:r>
              <w:rPr>
                <w:rFonts w:ascii="Noto Sans" w:hAnsi="Noto Sans"/>
                <w:sz w:val="13"/>
              </w:rPr>
              <w:t>4.00</w:t>
            </w:r>
          </w:p>
        </w:tc>
        <w:tc>
          <w:tcPr>
            <w:tcW w:w="1500" w:type="dxa"/>
            <w:shd w:val="clear" w:color="auto" w:fill="F4F6F7"/>
            <w:tcMar>
              <w:top w:w="55" w:type="dxa"/>
              <w:left w:w="65" w:type="dxa"/>
              <w:bottom w:w="55" w:type="dxa"/>
              <w:right w:w="65" w:type="dxa"/>
            </w:tcMar>
            <w:vAlign w:val="center"/>
          </w:tcPr>
          <w:p w14:paraId="1A9D743E" w14:textId="77777777" w:rsidR="00937C4A" w:rsidRDefault="00000000">
            <w:pPr>
              <w:spacing w:after="0" w:line="240" w:lineRule="auto"/>
              <w:jc w:val="center"/>
            </w:pPr>
            <w:r>
              <w:rPr>
                <w:rFonts w:ascii="Noto Sans" w:hAnsi="Noto Sans"/>
                <w:sz w:val="13"/>
              </w:rPr>
              <w:t>0.2700</w:t>
            </w:r>
          </w:p>
        </w:tc>
        <w:tc>
          <w:tcPr>
            <w:tcW w:w="1700" w:type="dxa"/>
            <w:shd w:val="clear" w:color="auto" w:fill="F4F6F7"/>
            <w:tcMar>
              <w:top w:w="55" w:type="dxa"/>
              <w:left w:w="65" w:type="dxa"/>
              <w:bottom w:w="55" w:type="dxa"/>
              <w:right w:w="65" w:type="dxa"/>
            </w:tcMar>
            <w:vAlign w:val="center"/>
          </w:tcPr>
          <w:p w14:paraId="2581235A" w14:textId="77777777" w:rsidR="00937C4A" w:rsidRDefault="00000000">
            <w:pPr>
              <w:spacing w:after="0" w:line="240" w:lineRule="auto"/>
              <w:jc w:val="center"/>
            </w:pPr>
            <w:r>
              <w:rPr>
                <w:rFonts w:ascii="Noto Sans" w:hAnsi="Noto Sans"/>
                <w:sz w:val="13"/>
              </w:rPr>
              <w:t>1.0798</w:t>
            </w:r>
          </w:p>
        </w:tc>
        <w:tc>
          <w:tcPr>
            <w:tcW w:w="1400" w:type="dxa"/>
            <w:shd w:val="clear" w:color="auto" w:fill="F4F6F7"/>
            <w:tcMar>
              <w:top w:w="55" w:type="dxa"/>
              <w:left w:w="65" w:type="dxa"/>
              <w:bottom w:w="55" w:type="dxa"/>
              <w:right w:w="65" w:type="dxa"/>
            </w:tcMar>
            <w:vAlign w:val="center"/>
          </w:tcPr>
          <w:p w14:paraId="6635E958" w14:textId="77777777" w:rsidR="00937C4A" w:rsidRDefault="00000000">
            <w:pPr>
              <w:spacing w:after="0" w:line="240" w:lineRule="auto"/>
              <w:jc w:val="center"/>
            </w:pPr>
            <w:r>
              <w:rPr>
                <w:rFonts w:ascii="Noto Sans" w:hAnsi="Noto Sans"/>
                <w:sz w:val="13"/>
              </w:rPr>
              <w:t>2.7252</w:t>
            </w:r>
          </w:p>
        </w:tc>
        <w:tc>
          <w:tcPr>
            <w:tcW w:w="2100" w:type="dxa"/>
            <w:shd w:val="clear" w:color="auto" w:fill="F4F6F7"/>
            <w:tcMar>
              <w:top w:w="55" w:type="dxa"/>
              <w:left w:w="65" w:type="dxa"/>
              <w:bottom w:w="55" w:type="dxa"/>
              <w:right w:w="65" w:type="dxa"/>
            </w:tcMar>
            <w:vAlign w:val="center"/>
          </w:tcPr>
          <w:p w14:paraId="3D45B0E8" w14:textId="77777777" w:rsidR="00937C4A" w:rsidRDefault="00000000">
            <w:pPr>
              <w:spacing w:after="0" w:line="240" w:lineRule="auto"/>
              <w:jc w:val="center"/>
            </w:pPr>
            <w:r>
              <w:rPr>
                <w:rFonts w:ascii="Noto Sans" w:hAnsi="Noto Sans"/>
                <w:sz w:val="13"/>
              </w:rPr>
              <w:t>35480.563901</w:t>
            </w:r>
          </w:p>
        </w:tc>
      </w:tr>
      <w:tr w:rsidR="00937C4A" w14:paraId="437C7EF3" w14:textId="77777777">
        <w:trPr>
          <w:cantSplit/>
          <w:jc w:val="center"/>
        </w:trPr>
        <w:tc>
          <w:tcPr>
            <w:tcW w:w="1200" w:type="dxa"/>
            <w:tcMar>
              <w:top w:w="55" w:type="dxa"/>
              <w:left w:w="65" w:type="dxa"/>
              <w:bottom w:w="55" w:type="dxa"/>
              <w:right w:w="65" w:type="dxa"/>
            </w:tcMar>
            <w:vAlign w:val="center"/>
          </w:tcPr>
          <w:p w14:paraId="6ABE3556" w14:textId="77777777" w:rsidR="00937C4A" w:rsidRDefault="00000000">
            <w:pPr>
              <w:spacing w:after="0" w:line="240" w:lineRule="auto"/>
              <w:jc w:val="left"/>
            </w:pPr>
            <w:r>
              <w:rPr>
                <w:rFonts w:ascii="Noto Sans" w:hAnsi="Noto Sans"/>
                <w:sz w:val="13"/>
              </w:rPr>
              <w:t>5.0</w:t>
            </w:r>
          </w:p>
        </w:tc>
        <w:tc>
          <w:tcPr>
            <w:tcW w:w="1500" w:type="dxa"/>
            <w:tcMar>
              <w:top w:w="55" w:type="dxa"/>
              <w:left w:w="65" w:type="dxa"/>
              <w:bottom w:w="55" w:type="dxa"/>
              <w:right w:w="65" w:type="dxa"/>
            </w:tcMar>
            <w:vAlign w:val="center"/>
          </w:tcPr>
          <w:p w14:paraId="1E112353" w14:textId="77777777" w:rsidR="00937C4A" w:rsidRDefault="00000000">
            <w:pPr>
              <w:spacing w:after="0" w:line="240" w:lineRule="auto"/>
              <w:jc w:val="center"/>
            </w:pPr>
            <w:r>
              <w:rPr>
                <w:rFonts w:ascii="Noto Sans" w:hAnsi="Noto Sans"/>
                <w:sz w:val="13"/>
              </w:rPr>
              <w:t>20.00</w:t>
            </w:r>
          </w:p>
        </w:tc>
        <w:tc>
          <w:tcPr>
            <w:tcW w:w="1500" w:type="dxa"/>
            <w:tcMar>
              <w:top w:w="55" w:type="dxa"/>
              <w:left w:w="65" w:type="dxa"/>
              <w:bottom w:w="55" w:type="dxa"/>
              <w:right w:w="65" w:type="dxa"/>
            </w:tcMar>
            <w:vAlign w:val="center"/>
          </w:tcPr>
          <w:p w14:paraId="1284DD07" w14:textId="77777777" w:rsidR="00937C4A" w:rsidRDefault="00000000">
            <w:pPr>
              <w:spacing w:after="0" w:line="240" w:lineRule="auto"/>
              <w:jc w:val="center"/>
            </w:pPr>
            <w:r>
              <w:rPr>
                <w:rFonts w:ascii="Noto Sans" w:hAnsi="Noto Sans"/>
                <w:sz w:val="13"/>
              </w:rPr>
              <w:t>0.0540</w:t>
            </w:r>
          </w:p>
        </w:tc>
        <w:tc>
          <w:tcPr>
            <w:tcW w:w="1700" w:type="dxa"/>
            <w:tcMar>
              <w:top w:w="55" w:type="dxa"/>
              <w:left w:w="65" w:type="dxa"/>
              <w:bottom w:w="55" w:type="dxa"/>
              <w:right w:w="65" w:type="dxa"/>
            </w:tcMar>
            <w:vAlign w:val="center"/>
          </w:tcPr>
          <w:p w14:paraId="0E202006" w14:textId="77777777" w:rsidR="00937C4A" w:rsidRDefault="00000000">
            <w:pPr>
              <w:spacing w:after="0" w:line="240" w:lineRule="auto"/>
              <w:jc w:val="center"/>
            </w:pPr>
            <w:r>
              <w:rPr>
                <w:rFonts w:ascii="Noto Sans" w:hAnsi="Noto Sans"/>
                <w:sz w:val="13"/>
              </w:rPr>
              <w:t>1.0798</w:t>
            </w:r>
          </w:p>
        </w:tc>
        <w:tc>
          <w:tcPr>
            <w:tcW w:w="1400" w:type="dxa"/>
            <w:tcMar>
              <w:top w:w="55" w:type="dxa"/>
              <w:left w:w="65" w:type="dxa"/>
              <w:bottom w:w="55" w:type="dxa"/>
              <w:right w:w="65" w:type="dxa"/>
            </w:tcMar>
            <w:vAlign w:val="center"/>
          </w:tcPr>
          <w:p w14:paraId="01794ECA" w14:textId="77777777" w:rsidR="00937C4A" w:rsidRDefault="00000000">
            <w:pPr>
              <w:spacing w:after="0" w:line="240" w:lineRule="auto"/>
              <w:jc w:val="center"/>
            </w:pPr>
            <w:r>
              <w:rPr>
                <w:rFonts w:ascii="Noto Sans" w:hAnsi="Noto Sans"/>
                <w:sz w:val="13"/>
              </w:rPr>
              <w:t>2.7252</w:t>
            </w:r>
          </w:p>
        </w:tc>
        <w:tc>
          <w:tcPr>
            <w:tcW w:w="2100" w:type="dxa"/>
            <w:tcMar>
              <w:top w:w="55" w:type="dxa"/>
              <w:left w:w="65" w:type="dxa"/>
              <w:bottom w:w="55" w:type="dxa"/>
              <w:right w:w="65" w:type="dxa"/>
            </w:tcMar>
            <w:vAlign w:val="center"/>
          </w:tcPr>
          <w:p w14:paraId="25D04F3C" w14:textId="77777777" w:rsidR="00937C4A" w:rsidRDefault="00000000">
            <w:pPr>
              <w:spacing w:after="0" w:line="240" w:lineRule="auto"/>
              <w:jc w:val="center"/>
            </w:pPr>
            <w:r>
              <w:rPr>
                <w:rFonts w:ascii="Noto Sans" w:hAnsi="Noto Sans"/>
                <w:sz w:val="13"/>
              </w:rPr>
              <w:t>35480.563901</w:t>
            </w:r>
          </w:p>
        </w:tc>
      </w:tr>
      <w:tr w:rsidR="00937C4A" w14:paraId="062D63D0" w14:textId="77777777">
        <w:trPr>
          <w:cantSplit/>
          <w:jc w:val="center"/>
        </w:trPr>
        <w:tc>
          <w:tcPr>
            <w:tcW w:w="1200" w:type="dxa"/>
            <w:shd w:val="clear" w:color="auto" w:fill="F4F6F7"/>
            <w:tcMar>
              <w:top w:w="55" w:type="dxa"/>
              <w:left w:w="65" w:type="dxa"/>
              <w:bottom w:w="55" w:type="dxa"/>
              <w:right w:w="65" w:type="dxa"/>
            </w:tcMar>
            <w:vAlign w:val="center"/>
          </w:tcPr>
          <w:p w14:paraId="1A1F0091" w14:textId="77777777" w:rsidR="00937C4A" w:rsidRDefault="00000000">
            <w:pPr>
              <w:spacing w:after="0" w:line="240" w:lineRule="auto"/>
              <w:jc w:val="left"/>
            </w:pPr>
            <w:r>
              <w:rPr>
                <w:rFonts w:ascii="Noto Sans" w:hAnsi="Noto Sans"/>
                <w:sz w:val="13"/>
              </w:rPr>
              <w:t>25.0</w:t>
            </w:r>
          </w:p>
        </w:tc>
        <w:tc>
          <w:tcPr>
            <w:tcW w:w="1500" w:type="dxa"/>
            <w:shd w:val="clear" w:color="auto" w:fill="F4F6F7"/>
            <w:tcMar>
              <w:top w:w="55" w:type="dxa"/>
              <w:left w:w="65" w:type="dxa"/>
              <w:bottom w:w="55" w:type="dxa"/>
              <w:right w:w="65" w:type="dxa"/>
            </w:tcMar>
            <w:vAlign w:val="center"/>
          </w:tcPr>
          <w:p w14:paraId="32657306" w14:textId="77777777" w:rsidR="00937C4A" w:rsidRDefault="00000000">
            <w:pPr>
              <w:spacing w:after="0" w:line="240" w:lineRule="auto"/>
              <w:jc w:val="center"/>
            </w:pPr>
            <w:r>
              <w:rPr>
                <w:rFonts w:ascii="Noto Sans" w:hAnsi="Noto Sans"/>
                <w:sz w:val="13"/>
              </w:rPr>
              <w:t>100.00</w:t>
            </w:r>
          </w:p>
        </w:tc>
        <w:tc>
          <w:tcPr>
            <w:tcW w:w="1500" w:type="dxa"/>
            <w:shd w:val="clear" w:color="auto" w:fill="F4F6F7"/>
            <w:tcMar>
              <w:top w:w="55" w:type="dxa"/>
              <w:left w:w="65" w:type="dxa"/>
              <w:bottom w:w="55" w:type="dxa"/>
              <w:right w:w="65" w:type="dxa"/>
            </w:tcMar>
            <w:vAlign w:val="center"/>
          </w:tcPr>
          <w:p w14:paraId="78FA776E" w14:textId="77777777" w:rsidR="00937C4A" w:rsidRDefault="00000000">
            <w:pPr>
              <w:spacing w:after="0" w:line="240" w:lineRule="auto"/>
              <w:jc w:val="center"/>
            </w:pPr>
            <w:r>
              <w:rPr>
                <w:rFonts w:ascii="Noto Sans" w:hAnsi="Noto Sans"/>
                <w:sz w:val="13"/>
              </w:rPr>
              <w:t>0.0108</w:t>
            </w:r>
          </w:p>
        </w:tc>
        <w:tc>
          <w:tcPr>
            <w:tcW w:w="1700" w:type="dxa"/>
            <w:shd w:val="clear" w:color="auto" w:fill="F4F6F7"/>
            <w:tcMar>
              <w:top w:w="55" w:type="dxa"/>
              <w:left w:w="65" w:type="dxa"/>
              <w:bottom w:w="55" w:type="dxa"/>
              <w:right w:w="65" w:type="dxa"/>
            </w:tcMar>
            <w:vAlign w:val="center"/>
          </w:tcPr>
          <w:p w14:paraId="3BC4B763" w14:textId="77777777" w:rsidR="00937C4A" w:rsidRDefault="00000000">
            <w:pPr>
              <w:spacing w:after="0" w:line="240" w:lineRule="auto"/>
              <w:jc w:val="center"/>
            </w:pPr>
            <w:r>
              <w:rPr>
                <w:rFonts w:ascii="Noto Sans" w:hAnsi="Noto Sans"/>
                <w:sz w:val="13"/>
              </w:rPr>
              <w:t>1.0798</w:t>
            </w:r>
          </w:p>
        </w:tc>
        <w:tc>
          <w:tcPr>
            <w:tcW w:w="1400" w:type="dxa"/>
            <w:shd w:val="clear" w:color="auto" w:fill="F4F6F7"/>
            <w:tcMar>
              <w:top w:w="55" w:type="dxa"/>
              <w:left w:w="65" w:type="dxa"/>
              <w:bottom w:w="55" w:type="dxa"/>
              <w:right w:w="65" w:type="dxa"/>
            </w:tcMar>
            <w:vAlign w:val="center"/>
          </w:tcPr>
          <w:p w14:paraId="04BC37B2" w14:textId="77777777" w:rsidR="00937C4A" w:rsidRDefault="00000000">
            <w:pPr>
              <w:spacing w:after="0" w:line="240" w:lineRule="auto"/>
              <w:jc w:val="center"/>
            </w:pPr>
            <w:r>
              <w:rPr>
                <w:rFonts w:ascii="Noto Sans" w:hAnsi="Noto Sans"/>
                <w:sz w:val="13"/>
              </w:rPr>
              <w:t>2.7252</w:t>
            </w:r>
          </w:p>
        </w:tc>
        <w:tc>
          <w:tcPr>
            <w:tcW w:w="2100" w:type="dxa"/>
            <w:shd w:val="clear" w:color="auto" w:fill="F4F6F7"/>
            <w:tcMar>
              <w:top w:w="55" w:type="dxa"/>
              <w:left w:w="65" w:type="dxa"/>
              <w:bottom w:w="55" w:type="dxa"/>
              <w:right w:w="65" w:type="dxa"/>
            </w:tcMar>
            <w:vAlign w:val="center"/>
          </w:tcPr>
          <w:p w14:paraId="43B15C44" w14:textId="77777777" w:rsidR="00937C4A" w:rsidRDefault="00000000">
            <w:pPr>
              <w:spacing w:after="0" w:line="240" w:lineRule="auto"/>
              <w:jc w:val="center"/>
            </w:pPr>
            <w:r>
              <w:rPr>
                <w:rFonts w:ascii="Noto Sans" w:hAnsi="Noto Sans"/>
                <w:sz w:val="13"/>
              </w:rPr>
              <w:t>35480.563901</w:t>
            </w:r>
          </w:p>
        </w:tc>
      </w:tr>
    </w:tbl>
    <w:p w14:paraId="165AE481" w14:textId="77777777" w:rsidR="00937C4A" w:rsidRDefault="00000000">
      <w:pPr>
        <w:pStyle w:val="BodyText"/>
      </w:pPr>
      <w:r>
        <w:t xml:space="preserve">Identical to six decimals across a 125-fold range in </w:t>
      </w:r>
      <m:oMath>
        <m:r>
          <w:rPr>
            <w:rFonts w:ascii="Cambria Math" w:hAnsi="Cambria Math"/>
          </w:rPr>
          <m:t>θ</m:t>
        </m:r>
      </m:oMath>
      <w:r>
        <w:t xml:space="preserve">; the shape parameter is recovered. </w:t>
      </w:r>
      <w:r>
        <w:rPr>
          <w:rFonts w:ascii="Noto Sans" w:eastAsia="Noto Sans" w:hAnsi="Noto Sans"/>
          <w:b/>
          <w:bCs/>
          <w:color w:val="55626E"/>
          <w:sz w:val="19"/>
        </w:rPr>
        <w:t>[N]</w:t>
      </w:r>
    </w:p>
    <w:p w14:paraId="37FCD658" w14:textId="77777777" w:rsidR="00937C4A" w:rsidRDefault="00000000">
      <w:pPr>
        <w:pStyle w:val="Heading3"/>
      </w:pPr>
      <w:bookmarkStart w:id="83" w:name="X58e7f67b661bffc9345dd0b4c6081c6de3c88e4"/>
      <w:bookmarkEnd w:id="82"/>
      <w:r>
        <w:rPr>
          <w:rFonts w:ascii="Noto Sans" w:eastAsia="Noto Sans" w:hAnsi="Noto Sans"/>
        </w:rPr>
        <w:t>14.4 Why this matters more than the pessimistic version</w:t>
      </w:r>
    </w:p>
    <w:p w14:paraId="79B7D19F" w14:textId="77777777" w:rsidR="00937C4A" w:rsidRDefault="00000000">
      <w:r>
        <w:t xml:space="preserve">The defect is </w:t>
      </w:r>
      <w:r>
        <w:rPr>
          <w:b/>
          <w:bCs/>
        </w:rPr>
        <w:t>one number</w:t>
      </w:r>
      <w:r>
        <w:t xml:space="preserve">, not a function. And one number is exactly what a single independently dated object supplies. Cosmogenic-nuclide exposure dating of a fragile configuration — which models exhumation history to estimate when the object </w:t>
      </w:r>
      <w:r>
        <w:rPr>
          <w:i/>
          <w:iCs/>
        </w:rPr>
        <w:t>became</w:t>
      </w:r>
      <w:r>
        <w:t xml:space="preserve"> fragile, as distinct from the age of the rock — fixes </w:t>
      </w:r>
      <m:oMath>
        <m:r>
          <w:rPr>
            <w:rFonts w:ascii="Cambria Math" w:hAnsi="Cambria Math"/>
          </w:rPr>
          <m:t>c</m:t>
        </m:r>
      </m:oMath>
      <w:r>
        <w:t xml:space="preserve"> for the whole population.</w:t>
      </w:r>
    </w:p>
    <w:p w14:paraId="1BF1B0EF" w14:textId="77777777" w:rsidR="00937C4A" w:rsidRDefault="00000000">
      <w:pPr>
        <w:pStyle w:val="BodyText"/>
      </w:pPr>
      <w:r>
        <w:t xml:space="preserve">This inverts the usual reading. Survivor-only inference is not hopeless; it is </w:t>
      </w:r>
      <w:r>
        <w:rPr>
          <w:b/>
          <w:bCs/>
        </w:rPr>
        <w:t>hopeless up to one scalar</w:t>
      </w:r>
      <w:r>
        <w:t xml:space="preserve">, and there is a well-developed geochemical method for supplying that scalar. It also supplies the correct justification for the designed-cairn experiment of Chapter 16, which the working notes justified with the vacuous argument of Chapter 2: a cairn with known installation time is an object with </w:t>
      </w:r>
      <m:oMath>
        <m:r>
          <w:rPr>
            <w:rFonts w:ascii="Cambria Math" w:hAnsi="Cambria Math"/>
          </w:rPr>
          <m:t>A</m:t>
        </m:r>
      </m:oMath>
      <w:r>
        <w:t xml:space="preserve"> known exactly, and therefore an instrument for fixing </w:t>
      </w:r>
      <m:oMath>
        <m:r>
          <w:rPr>
            <w:rFonts w:ascii="Cambria Math" w:hAnsi="Cambria Math"/>
          </w:rPr>
          <m:t>c</m:t>
        </m:r>
      </m:oMath>
      <w:r>
        <w:t>.</w:t>
      </w:r>
    </w:p>
    <w:p w14:paraId="221D7128" w14:textId="77777777" w:rsidR="00937C4A" w:rsidRDefault="00000000">
      <w:pPr>
        <w:pStyle w:val="Heading3"/>
      </w:pPr>
      <w:bookmarkStart w:id="84" w:name="the-chain-of-dependency-stated-honestly"/>
      <w:bookmarkEnd w:id="83"/>
      <w:r>
        <w:rPr>
          <w:rFonts w:ascii="Noto Sans" w:eastAsia="Noto Sans" w:hAnsi="Noto Sans"/>
        </w:rPr>
        <w:t>14.5 The chain of dependency, stated honestly</w:t>
      </w:r>
    </w:p>
    <w:p w14:paraId="5E8AC513" w14:textId="77777777" w:rsidR="00937C4A" w:rsidRDefault="00000000">
      <w:r>
        <w:t xml:space="preserve">Identifiability requires </w:t>
      </w:r>
      <m:oMath>
        <m:r>
          <w:rPr>
            <w:rFonts w:ascii="Cambria Math" w:hAnsi="Cambria Math"/>
          </w:rPr>
          <m:t>q</m:t>
        </m:r>
      </m:oMath>
      <w:r>
        <w:t xml:space="preserve"> to be </w:t>
      </w:r>
      <w:r>
        <w:rPr>
          <w:b/>
          <w:bCs/>
        </w:rPr>
        <w:t>known</w:t>
      </w:r>
      <w:r>
        <w:t xml:space="preserve">. </w:t>
      </w:r>
      <m:oMath>
        <m:r>
          <w:rPr>
            <w:rFonts w:ascii="Cambria Math" w:hAnsi="Cambria Math"/>
          </w:rPr>
          <m:t>q</m:t>
        </m:r>
      </m:oMath>
      <w:r>
        <w:t xml:space="preserve"> comes from Chapter 13, and Chapter 13’s fragilities are acutely sensitive to unobservable contact geometry. So the theorem transfers the difficulty rather than removing it. Whether the resulting </w:t>
      </w:r>
      <w:r>
        <w:lastRenderedPageBreak/>
        <w:t xml:space="preserve">precision on </w:t>
      </w:r>
      <m:oMath>
        <m:r>
          <w:rPr>
            <w:rFonts w:ascii="Cambria Math" w:hAnsi="Cambria Math"/>
          </w:rPr>
          <m:t>H</m:t>
        </m:r>
      </m:oMath>
      <w:r>
        <w:t xml:space="preserve"> is useful depends on the precision available on </w:t>
      </w:r>
      <m:oMath>
        <m:r>
          <w:rPr>
            <w:rFonts w:ascii="Cambria Math" w:hAnsi="Cambria Math"/>
          </w:rPr>
          <m:t>q</m:t>
        </m:r>
      </m:oMath>
      <w:r>
        <w:t>, and that is the subject of the next chapter — which is also where this book previously made its worst error.</w:t>
      </w:r>
    </w:p>
    <w:p w14:paraId="0CB756ED" w14:textId="77777777" w:rsidR="00937C4A" w:rsidRDefault="00000000">
      <w:pPr>
        <w:pStyle w:val="Heading2"/>
        <w:pageBreakBefore/>
        <w:pBdr>
          <w:bottom w:val="single" w:sz="5" w:space="5" w:color="B8C1C6"/>
        </w:pBdr>
        <w:spacing w:after="280"/>
      </w:pPr>
      <w:bookmarkStart w:id="85" w:name="X57d38d4baa79199b4e6a7ecce3bc6d1c6e37f21"/>
      <w:bookmarkEnd w:id="79"/>
      <w:bookmarkEnd w:id="84"/>
      <w:r>
        <w:rPr>
          <w:rFonts w:ascii="EB Garamond" w:eastAsia="EB Garamond" w:hAnsi="EB Garamond"/>
          <w:sz w:val="40"/>
        </w:rPr>
        <w:lastRenderedPageBreak/>
        <w:t xml:space="preserve">Chapter 15 — The Cost of Certainty — and the Information-Theoretic Error </w:t>
      </w:r>
      <w:r>
        <w:rPr>
          <w:rFonts w:ascii="Noto Sans" w:eastAsia="Noto Sans" w:hAnsi="Noto Sans"/>
          <w:color w:val="A62A2A"/>
          <w:sz w:val="19"/>
        </w:rPr>
        <w:t>[X]</w:t>
      </w:r>
    </w:p>
    <w:p w14:paraId="708E8096" w14:textId="77777777" w:rsidR="00937C4A" w:rsidRDefault="00000000">
      <w:pPr>
        <w:pStyle w:val="Heading3"/>
      </w:pPr>
      <w:bookmarkStart w:id="86" w:name="the-error"/>
      <w:r>
        <w:rPr>
          <w:rFonts w:ascii="Noto Sans" w:eastAsia="Noto Sans" w:hAnsi="Noto Sans"/>
        </w:rPr>
        <w:t>15.1 The error</w:t>
      </w:r>
    </w:p>
    <w:p w14:paraId="25E7E711" w14:textId="77777777" w:rsidR="00937C4A" w:rsidRDefault="00000000">
      <w:r>
        <w:t>The working notes asserted a bound</w:t>
      </w:r>
    </w:p>
    <w:p w14:paraId="4C98324B" w14:textId="77777777" w:rsidR="00937C4A" w:rsidRDefault="00000000">
      <w:pPr>
        <w:pStyle w:val="BodyText"/>
        <w:spacing w:before="100" w:after="140"/>
        <w:jc w:val="center"/>
      </w:pPr>
      <m:oMathPara>
        <m:oMathParaPr>
          <m:jc m:val="center"/>
        </m:oMathParaPr>
        <m:oMath>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ϑ</m:t>
              </m:r>
            </m:e>
          </m:d>
          <m:r>
            <w:rPr>
              <w:rFonts w:ascii="Cambria Math" w:hAnsi="Cambria Math"/>
            </w:rPr>
            <m:t> </m:t>
          </m:r>
          <m:r>
            <m:rPr>
              <m:sty m:val="p"/>
            </m:rPr>
            <w:rPr>
              <w:rFonts w:ascii="Cambria Math" w:hAnsi="Cambria Math"/>
            </w:rPr>
            <m:t>≲</m:t>
          </m:r>
          <m:r>
            <w:rPr>
              <w:rFonts w:ascii="Cambria Math" w:hAnsi="Cambria Math"/>
            </w:rPr>
            <m:t> γ</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r>
            <m:rPr>
              <m:sty m:val="p"/>
            </m:rPr>
            <w:rPr>
              <w:rFonts w:ascii="Cambria Math" w:hAnsi="Cambria Math"/>
            </w:rPr>
            <m:t>,</m:t>
          </m:r>
        </m:oMath>
      </m:oMathPara>
    </w:p>
    <w:p w14:paraId="05CE4D27" w14:textId="77777777" w:rsidR="00937C4A" w:rsidRDefault="00000000">
      <w:r>
        <w:t>and reported that a single survival observation carries about 10 bits about ground motion when the basin boundary is smooth and about 2.1 bits when it is fractal — concluding that “eight bits are destroyed by the topology, not by the instrument.”</w:t>
      </w:r>
    </w:p>
    <w:p w14:paraId="567285D7" w14:textId="77777777" w:rsidR="00937C4A" w:rsidRDefault="00000000">
      <w:pPr>
        <w:pStyle w:val="BodyText"/>
      </w:pPr>
      <w:r>
        <w:t xml:space="preserve">This is wrong, and it is wrong for an elementary reason that requires no mechanics at all. For a binary observation </w:t>
      </w:r>
      <m:oMath>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02857D8C" w14:textId="77777777" w:rsidR="00937C4A" w:rsidRDefault="00000000">
      <w:pPr>
        <w:pStyle w:val="BodyText"/>
        <w:spacing w:before="100" w:after="140"/>
        <w:jc w:val="center"/>
      </w:pPr>
      <m:oMathPara>
        <m:oMathParaPr>
          <m:jc m:val="center"/>
        </m:oMathParaPr>
        <m:oMath>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ϑ</m:t>
              </m:r>
            </m:e>
          </m:d>
          <m:r>
            <w:rPr>
              <w:rFonts w:ascii="Cambria Math" w:hAnsi="Cambria Math"/>
            </w:rPr>
            <m:t> </m:t>
          </m:r>
          <m:r>
            <m:rPr>
              <m:sty m:val="p"/>
            </m:rPr>
            <w:rPr>
              <w:rFonts w:ascii="Cambria Math" w:hAnsi="Cambria Math"/>
            </w:rPr>
            <m:t>≤</m:t>
          </m:r>
          <m:r>
            <w:rPr>
              <w:rFonts w:ascii="Cambria Math" w:hAnsi="Cambria Math"/>
            </w:rPr>
            <m:t> H</m:t>
          </m:r>
          <m:d>
            <m:dPr>
              <m:ctrlPr>
                <w:rPr>
                  <w:rFonts w:ascii="Cambria Math" w:hAnsi="Cambria Math"/>
                </w:rPr>
              </m:ctrlPr>
            </m:dPr>
            <m:e>
              <m:r>
                <w:rPr>
                  <w:rFonts w:ascii="Cambria Math" w:hAnsi="Cambria Math"/>
                </w:rPr>
                <m:t>Y</m:t>
              </m:r>
            </m:e>
          </m:d>
          <m:r>
            <w:rPr>
              <w:rFonts w:ascii="Cambria Math" w:hAnsi="Cambria Math"/>
            </w:rPr>
            <m:t> </m:t>
          </m:r>
          <m:r>
            <m:rPr>
              <m:sty m:val="p"/>
            </m:rPr>
            <w:rPr>
              <w:rFonts w:ascii="Cambria Math" w:hAnsi="Cambria Math"/>
            </w:rPr>
            <m:t>≤</m:t>
          </m:r>
          <m:r>
            <w:rPr>
              <w:rFonts w:ascii="Cambria Math" w:hAnsi="Cambria Math"/>
            </w:rPr>
            <m:t> 1 </m:t>
          </m:r>
          <m:r>
            <m:rPr>
              <m:nor/>
            </m:rPr>
            <m:t>bit</m:t>
          </m:r>
          <m:r>
            <m:rPr>
              <m:sty m:val="p"/>
            </m:rPr>
            <w:rPr>
              <w:rFonts w:ascii="Cambria Math" w:hAnsi="Cambria Math"/>
            </w:rPr>
            <m:t>.</m:t>
          </m:r>
        </m:oMath>
      </m:oMathPara>
    </w:p>
    <w:p w14:paraId="562E21AD" w14:textId="77777777" w:rsidR="00937C4A" w:rsidRDefault="00000000">
      <w:r>
        <w:t>A single rock standing or fallen cannot carry ten bits, or two. The entropy ceiling is one bit, unconditionally, and any argument producing a larger number has an error in it regardless of how the number was obtained.</w:t>
      </w:r>
    </w:p>
    <w:p w14:paraId="42CEBE12" w14:textId="77777777" w:rsidR="00937C4A" w:rsidRDefault="00000000">
      <w:r>
        <w:rPr>
          <w:rFonts w:ascii="Noto Sans" w:eastAsia="Noto Sans" w:hAnsi="Noto Sans"/>
          <w:b/>
          <w:bCs/>
          <w:color w:val="A62A2A"/>
          <w:sz w:val="19"/>
        </w:rPr>
        <w:t>[X]</w:t>
      </w:r>
      <w:r>
        <w:t xml:space="preserve"> The mutual-information formulation of the information ceiling is </w:t>
      </w:r>
      <w:r>
        <w:rPr>
          <w:b/>
          <w:bCs/>
        </w:rPr>
        <w:t>withdrawn</w:t>
      </w:r>
      <w:r>
        <w:t>. So is the derived claim of a 23% irreducible floor on the paleoseismic hazard rate, which was built on it.</w:t>
      </w:r>
    </w:p>
    <w:p w14:paraId="105E8951" w14:textId="77777777" w:rsidR="00937C4A" w:rsidRDefault="00000000">
      <w:r>
        <w:t xml:space="preserve">There is a second defect. The uncertainty exponent was measured in initial-condition coordinates </w:t>
      </w:r>
      <m:oMath>
        <m:d>
          <m:dPr>
            <m:ctrlPr>
              <w:rPr>
                <w:rFonts w:ascii="Cambria Math" w:hAnsi="Cambria Math"/>
              </w:rPr>
            </m:ctrlPr>
          </m:dPr>
          <m:e>
            <m:r>
              <w:rPr>
                <w:rFonts w:ascii="Cambria Math" w:hAnsi="Cambria Math"/>
              </w:rPr>
              <m:t>ϕ</m:t>
            </m:r>
            <m:r>
              <m:rPr>
                <m:sty m:val="p"/>
              </m:rPr>
              <w:rPr>
                <w:rFonts w:ascii="Cambria Math" w:hAnsi="Cambria Math"/>
              </w:rPr>
              <m:t>,</m:t>
            </m:r>
            <m:r>
              <w:rPr>
                <w:rFonts w:ascii="Cambria Math" w:hAnsi="Cambria Math"/>
              </w:rPr>
              <m:t>v</m:t>
            </m:r>
          </m:e>
        </m:d>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while the claim concerned ground-motion parameters </w:t>
      </w:r>
      <m:oMath>
        <m:r>
          <w:rPr>
            <w:rFonts w:ascii="Cambria Math" w:hAnsi="Cambria Math"/>
          </w:rPr>
          <m:t>ϑ</m:t>
        </m:r>
        <m:r>
          <m:rPr>
            <m:sty m:val="p"/>
          </m:rPr>
          <w:rPr>
            <w:rFonts w:ascii="Cambria Math" w:hAnsi="Cambria Math"/>
          </w:rPr>
          <m:t>=</m:t>
        </m:r>
        <m:d>
          <m:dPr>
            <m:ctrlPr>
              <w:rPr>
                <w:rFonts w:ascii="Cambria Math" w:hAnsi="Cambria Math"/>
              </w:rPr>
            </m:ctrlPr>
          </m:dPr>
          <m:e>
            <m:r>
              <m:rPr>
                <m:sty m:val="p"/>
              </m:rPr>
              <w:rPr>
                <w:rFonts w:ascii="Cambria Math" w:hAnsi="Cambria Math"/>
              </w:rPr>
              <m:t>PGA,PGV/PGA,…</m:t>
            </m:r>
          </m:e>
        </m:d>
      </m:oMath>
      <w:r>
        <w:t>. These exponents need not agree. Equality would require a regular transverse pullback from parameter space to the basin boundary, and near folds or rank-deficient parameter maps the dimensions can change.</w:t>
      </w:r>
    </w:p>
    <w:p w14:paraId="15C69490" w14:textId="77777777" w:rsidR="00937C4A" w:rsidRDefault="00000000">
      <w:pPr>
        <w:pStyle w:val="BodyText"/>
      </w:pPr>
      <w:r>
        <w:t xml:space="preserve">There is a third. The exponents themselves are not converged: three </w:t>
      </w:r>
      <m:oMath>
        <m:r>
          <w:rPr>
            <w:rFonts w:ascii="Cambria Math" w:hAnsi="Cambria Math"/>
          </w:rPr>
          <m:t>ε</m:t>
        </m:r>
      </m:oMath>
      <w:r>
        <w:t xml:space="preserve">-values, with as few as two flipped outcomes among 6000 samples at the smallest </w:t>
      </w:r>
      <m:oMath>
        <m:r>
          <w:rPr>
            <w:rFonts w:ascii="Cambria Math" w:hAnsi="Cambria Math"/>
          </w:rPr>
          <m:t>ε</m:t>
        </m:r>
      </m:oMath>
      <w:r>
        <w:t xml:space="preserve">, so the fitted slope is dominated by binomial noise. Independent reruns gave </w:t>
      </w:r>
      <m:oMath>
        <m:r>
          <w:rPr>
            <w:rFonts w:ascii="Cambria Math" w:hAnsi="Cambria Math"/>
          </w:rPr>
          <m:t>γ</m:t>
        </m:r>
        <m:r>
          <m:rPr>
            <m:sty m:val="p"/>
          </m:rPr>
          <w:rPr>
            <w:rFonts w:ascii="Cambria Math" w:hAnsi="Cambria Math"/>
          </w:rPr>
          <m:t>≈</m:t>
        </m:r>
        <m:r>
          <w:rPr>
            <w:rFonts w:ascii="Cambria Math" w:hAnsi="Cambria Math"/>
          </w:rPr>
          <m:t>1.23</m:t>
        </m:r>
        <m:r>
          <m:rPr>
            <m:sty m:val="p"/>
          </m:rPr>
          <w:rPr>
            <w:rFonts w:ascii="Cambria Math" w:hAnsi="Cambria Math"/>
          </w:rPr>
          <m:t>,</m:t>
        </m:r>
        <m:r>
          <w:rPr>
            <w:rFonts w:ascii="Cambria Math" w:hAnsi="Cambria Math"/>
          </w:rPr>
          <m:t> 0.53</m:t>
        </m:r>
        <m:r>
          <m:rPr>
            <m:sty m:val="p"/>
          </m:rPr>
          <w:rPr>
            <w:rFonts w:ascii="Cambria Math" w:hAnsi="Cambria Math"/>
          </w:rPr>
          <m:t>,</m:t>
        </m:r>
        <m:r>
          <w:rPr>
            <w:rFonts w:ascii="Cambria Math" w:hAnsi="Cambria Math"/>
          </w:rPr>
          <m:t> 0.28</m:t>
        </m:r>
        <m:r>
          <m:rPr>
            <m:sty m:val="p"/>
          </m:rPr>
          <w:rPr>
            <w:rFonts w:ascii="Cambria Math" w:hAnsi="Cambria Math"/>
          </w:rPr>
          <m:t>,</m:t>
        </m:r>
        <m:r>
          <w:rPr>
            <w:rFonts w:ascii="Cambria Math" w:hAnsi="Cambria Math"/>
          </w:rPr>
          <m:t> 0.29</m:t>
        </m:r>
      </m:oMath>
      <w:r>
        <w:t xml:space="preserve"> where the notes reported </w:t>
      </w:r>
      <m:oMath>
        <m:r>
          <w:rPr>
            <w:rFonts w:ascii="Cambria Math" w:hAnsi="Cambria Math"/>
          </w:rPr>
          <m:t>1.02</m:t>
        </m:r>
        <m:r>
          <m:rPr>
            <m:sty m:val="p"/>
          </m:rPr>
          <w:rPr>
            <w:rFonts w:ascii="Cambria Math" w:hAnsi="Cambria Math"/>
          </w:rPr>
          <m:t>,</m:t>
        </m:r>
        <m:r>
          <w:rPr>
            <w:rFonts w:ascii="Cambria Math" w:hAnsi="Cambria Math"/>
          </w:rPr>
          <m:t> 0.77</m:t>
        </m:r>
        <m:r>
          <m:rPr>
            <m:sty m:val="p"/>
          </m:rPr>
          <w:rPr>
            <w:rFonts w:ascii="Cambria Math" w:hAnsi="Cambria Math"/>
          </w:rPr>
          <m:t>,</m:t>
        </m:r>
        <m:r>
          <w:rPr>
            <w:rFonts w:ascii="Cambria Math" w:hAnsi="Cambria Math"/>
          </w:rPr>
          <m:t> 0.21</m:t>
        </m:r>
        <m:r>
          <m:rPr>
            <m:sty m:val="p"/>
          </m:rPr>
          <w:rPr>
            <w:rFonts w:ascii="Cambria Math" w:hAnsi="Cambria Math"/>
          </w:rPr>
          <m:t>,</m:t>
        </m:r>
        <m:r>
          <w:rPr>
            <w:rFonts w:ascii="Cambria Math" w:hAnsi="Cambria Math"/>
          </w:rPr>
          <m:t> 0.21</m:t>
        </m:r>
      </m:oMath>
      <w:r>
        <w:t>.</w:t>
      </w:r>
    </w:p>
    <w:p w14:paraId="7E3E0B43" w14:textId="77777777" w:rsidR="00937C4A" w:rsidRDefault="00000000">
      <w:pPr>
        <w:pStyle w:val="Heading3"/>
      </w:pPr>
      <w:bookmarkStart w:id="87" w:name="what-is-actually-true"/>
      <w:bookmarkEnd w:id="86"/>
      <w:r>
        <w:rPr>
          <w:rFonts w:ascii="Noto Sans" w:eastAsia="Noto Sans" w:hAnsi="Noto Sans"/>
        </w:rPr>
        <w:t>15.2 What is actually true</w:t>
      </w:r>
    </w:p>
    <w:p w14:paraId="2D42F6F6" w14:textId="77777777" w:rsidR="00937C4A" w:rsidRDefault="00000000">
      <w:r>
        <w:t>The scaling relation itself is sound:</w:t>
      </w:r>
    </w:p>
    <w:p w14:paraId="7D090B50" w14:textId="77777777" w:rsidR="00937C4A" w:rsidRDefault="00000000">
      <w:pPr>
        <w:pStyle w:val="BodyText"/>
        <w:spacing w:before="100" w:after="14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ε</m:t>
              </m:r>
            </m:e>
          </m:d>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γ</m:t>
              </m:r>
            </m:sup>
          </m:sSup>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f</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r>
            <m:rPr>
              <m:sty m:val="p"/>
            </m:rPr>
            <w:rPr>
              <w:rFonts w:ascii="Cambria Math" w:hAnsi="Cambria Math"/>
            </w:rPr>
            <m:t>+</m:t>
          </m:r>
          <m:r>
            <w:rPr>
              <w:rFonts w:ascii="Cambria Math" w:hAnsi="Cambria Math"/>
            </w:rPr>
            <m:t>C</m:t>
          </m:r>
          <m:r>
            <m:rPr>
              <m:sty m:val="p"/>
            </m:rPr>
            <w:rPr>
              <w:rFonts w:ascii="Cambria Math" w:hAnsi="Cambria Math"/>
            </w:rPr>
            <m:t>.</m:t>
          </m:r>
        </m:oMath>
      </m:oMathPara>
    </w:p>
    <w:p w14:paraId="5F03F4FF" w14:textId="77777777" w:rsidR="00937C4A" w:rsidRDefault="00000000">
      <w:r>
        <w:t xml:space="preserve">Read correctly, this is a statement about </w:t>
      </w:r>
      <w:r>
        <w:rPr>
          <w:b/>
          <w:bCs/>
        </w:rPr>
        <w:t>classification reliability</w:t>
      </w:r>
      <w:r>
        <w:t>, not about information carried. To halve the ambiguous fraction — to gain one bit of ambiguity suppression — the precision on state or parameters must improve by</w:t>
      </w:r>
    </w:p>
    <w:p w14:paraId="35DABB12" w14:textId="77777777" w:rsidR="00937C4A" w:rsidRDefault="00000000">
      <w:pPr>
        <w:pStyle w:val="BodyText"/>
        <w:spacing w:before="100" w:after="140"/>
        <w:jc w:val="center"/>
      </w:pPr>
      <m:oMathPara>
        <m:oMathParaPr>
          <m:jc m:val="center"/>
        </m:oMathParaPr>
        <m:oMath>
          <m:borderBox>
            <m:borderBoxPr>
              <m:ctrlPr>
                <w:rPr>
                  <w:rFonts w:ascii="Cambria Math" w:hAnsi="Cambria Math"/>
                </w:rPr>
              </m:ctrlPr>
            </m:borderBoxPr>
            <m:e>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ε</m:t>
                      </m:r>
                    </m:e>
                    <m:sub>
                      <m:r>
                        <m:rPr>
                          <m:sty m:val="p"/>
                        </m:rPr>
                        <w:rPr>
                          <w:rFonts w:ascii="Cambria Math" w:hAnsi="Cambria Math"/>
                        </w:rPr>
                        <m:t>old</m:t>
                      </m:r>
                    </m:sub>
                  </m:sSub>
                </m:num>
                <m:den>
                  <m:sSub>
                    <m:sSubPr>
                      <m:ctrlPr>
                        <w:rPr>
                          <w:rFonts w:ascii="Cambria Math" w:hAnsi="Cambria Math"/>
                        </w:rPr>
                      </m:ctrlPr>
                    </m:sSubPr>
                    <m:e>
                      <m:r>
                        <w:rPr>
                          <w:rFonts w:ascii="Cambria Math" w:hAnsi="Cambria Math"/>
                        </w:rPr>
                        <m:t>ε</m:t>
                      </m:r>
                    </m:e>
                    <m:sub>
                      <m:r>
                        <m:rPr>
                          <m:sty m:val="p"/>
                        </m:rPr>
                        <w:rPr>
                          <w:rFonts w:ascii="Cambria Math" w:hAnsi="Cambria Math"/>
                        </w:rPr>
                        <m:t>new</m:t>
                      </m:r>
                    </m:sub>
                  </m:sSub>
                </m:den>
              </m:f>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r>
                    <m:rPr>
                      <m:sty m:val="p"/>
                    </m:rPr>
                    <w:rPr>
                      <w:rFonts w:ascii="Cambria Math" w:hAnsi="Cambria Math"/>
                    </w:rPr>
                    <m:t>/</m:t>
                  </m:r>
                  <m:r>
                    <w:rPr>
                      <w:rFonts w:ascii="Cambria Math" w:hAnsi="Cambria Math"/>
                    </w:rPr>
                    <m:t>γ</m:t>
                  </m:r>
                </m:sup>
              </m:sSup>
              <m:r>
                <m:rPr>
                  <m:sty m:val="p"/>
                </m:rPr>
                <w:rPr>
                  <w:rFonts w:ascii="Cambria Math" w:hAnsi="Cambria Math"/>
                </w:rPr>
                <m:t>.</m:t>
              </m:r>
              <m:r>
                <w:rPr>
                  <w:rFonts w:ascii="Cambria Math" w:hAnsi="Cambria Math"/>
                </w:rPr>
                <m:t> </m:t>
              </m:r>
            </m:e>
          </m:borderBox>
        </m:oMath>
      </m:oMathPara>
    </w:p>
    <w:p w14:paraId="2347729D" w14:textId="77777777" w:rsidR="00937C4A" w:rsidRDefault="00000000">
      <w:r>
        <w:t xml:space="preserve">At </w:t>
      </w:r>
      <m:oMath>
        <m:r>
          <w:rPr>
            <w:rFonts w:ascii="Cambria Math" w:hAnsi="Cambria Math"/>
          </w:rPr>
          <m:t>γ</m:t>
        </m:r>
        <m:r>
          <m:rPr>
            <m:sty m:val="p"/>
          </m:rPr>
          <w:rPr>
            <w:rFonts w:ascii="Cambria Math" w:hAnsi="Cambria Math"/>
          </w:rPr>
          <m:t>=</m:t>
        </m:r>
        <m:r>
          <w:rPr>
            <w:rFonts w:ascii="Cambria Math" w:hAnsi="Cambria Math"/>
          </w:rPr>
          <m:t>0.21</m:t>
        </m:r>
      </m:oMath>
      <w:r>
        <w:t xml:space="preserve"> that is a factor of about </w:t>
      </w:r>
      <w:r>
        <w:rPr>
          <w:b/>
          <w:bCs/>
        </w:rPr>
        <w:t>27 per bit</w:t>
      </w:r>
      <w:r>
        <w:t xml:space="preserve">. At </w:t>
      </w:r>
      <m:oMath>
        <m:r>
          <w:rPr>
            <w:rFonts w:ascii="Cambria Math" w:hAnsi="Cambria Math"/>
          </w:rPr>
          <m:t>γ</m:t>
        </m:r>
        <m:r>
          <m:rPr>
            <m:sty m:val="p"/>
          </m:rPr>
          <w:rPr>
            <w:rFonts w:ascii="Cambria Math" w:hAnsi="Cambria Math"/>
          </w:rPr>
          <m:t>=</m:t>
        </m:r>
        <m:r>
          <w:rPr>
            <w:rFonts w:ascii="Cambria Math" w:hAnsi="Cambria Math"/>
          </w:rPr>
          <m:t>1</m:t>
        </m:r>
      </m:oMath>
      <w:r>
        <w:t xml:space="preserve"> it is a factor of 2. That is a real and severe exchange rate, and it is the defensible version of everything the discarded argument was reaching for.</w:t>
      </w:r>
    </w:p>
    <w:p w14:paraId="0704B90C" w14:textId="77777777" w:rsidR="00937C4A" w:rsidRDefault="00000000">
      <w:pPr>
        <w:pStyle w:val="BodyText"/>
      </w:pPr>
      <w:r>
        <w:t xml:space="preserve">Note what it does and does not say. It does not say a rock carries less information than the entropy bound allows. It says that </w:t>
      </w:r>
      <w:r>
        <w:rPr>
          <w:i/>
          <w:iCs/>
        </w:rPr>
        <w:t>reducing the fraction of configurations whose fate you cannot predict</w:t>
      </w:r>
      <w:r>
        <w:t xml:space="preserve"> is exponentially expensive in measurement precision when </w:t>
      </w:r>
      <m:oMath>
        <m:r>
          <w:rPr>
            <w:rFonts w:ascii="Cambria Math" w:hAnsi="Cambria Math"/>
          </w:rPr>
          <m:t>γ</m:t>
        </m:r>
      </m:oMath>
      <w:r>
        <w:t xml:space="preserve"> is small. Those are different statements and only the second one is true.</w:t>
      </w:r>
    </w:p>
    <w:p w14:paraId="5B3BA3D3" w14:textId="77777777" w:rsidR="00937C4A" w:rsidRDefault="00000000">
      <w:pPr>
        <w:pStyle w:val="Heading3"/>
      </w:pPr>
      <w:bookmarkStart w:id="88" w:name="Xbed037347ea99fda5c3151f4e2df1219a8b1d97"/>
      <w:bookmarkEnd w:id="87"/>
      <w:r>
        <w:rPr>
          <w:rFonts w:ascii="Noto Sans" w:eastAsia="Noto Sans" w:hAnsi="Noto Sans"/>
        </w:rPr>
        <w:t>15.3 How a correct information calculation would go</w:t>
      </w:r>
    </w:p>
    <w:p w14:paraId="1A08C4C6" w14:textId="77777777" w:rsidR="00937C4A" w:rsidRDefault="00000000">
      <w:r>
        <w:t xml:space="preserve">For a field of </w:t>
      </w:r>
      <m:oMath>
        <m:r>
          <w:rPr>
            <w:rFonts w:ascii="Cambria Math" w:hAnsi="Cambria Math"/>
          </w:rPr>
          <m:t>N</m:t>
        </m:r>
      </m:oMath>
      <w:r>
        <w:t xml:space="preserve"> observations </w:t>
      </w:r>
      <m:oMath>
        <m:sSup>
          <m:sSupPr>
            <m:ctrlPr>
              <w:rPr>
                <w:rFonts w:ascii="Cambria Math" w:hAnsi="Cambria Math"/>
              </w:rPr>
            </m:ctrlPr>
          </m:sSupPr>
          <m:e>
            <m:r>
              <w:rPr>
                <w:rFonts w:ascii="Cambria Math" w:hAnsi="Cambria Math"/>
              </w:rPr>
              <m:t>Y</m:t>
            </m:r>
          </m:e>
          <m:sup>
            <m:r>
              <w:rPr>
                <w:rFonts w:ascii="Cambria Math" w:hAnsi="Cambria Math"/>
              </w:rPr>
              <m:t>N</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oMath>
      <w:r>
        <w:t xml:space="preserve"> the ceiling is </w:t>
      </w:r>
      <m:oMath>
        <m:r>
          <w:rPr>
            <w:rFonts w:ascii="Cambria Math" w:hAnsi="Cambria Math"/>
          </w:rPr>
          <m:t>I</m:t>
        </m:r>
        <m:d>
          <m:dPr>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N</m:t>
                </m:r>
              </m:sup>
            </m:sSup>
            <m:r>
              <m:rPr>
                <m:sty m:val="p"/>
              </m:rPr>
              <w:rPr>
                <w:rFonts w:ascii="Cambria Math" w:hAnsi="Cambria Math"/>
              </w:rPr>
              <m:t>;</m:t>
            </m:r>
            <m:r>
              <w:rPr>
                <w:rFonts w:ascii="Cambria Math" w:hAnsi="Cambria Math"/>
              </w:rPr>
              <m:t>ϑ</m:t>
            </m:r>
          </m:e>
        </m:d>
        <m:r>
          <m:rPr>
            <m:sty m:val="p"/>
          </m:rPr>
          <w:rPr>
            <w:rFonts w:ascii="Cambria Math" w:hAnsi="Cambria Math"/>
          </w:rPr>
          <m:t>≤</m:t>
        </m:r>
        <m:r>
          <w:rPr>
            <w:rFonts w:ascii="Cambria Math" w:hAnsi="Cambria Math"/>
          </w:rPr>
          <m:t>N</m:t>
        </m:r>
      </m:oMath>
      <w:r>
        <w:t xml:space="preserve"> bits, before accounting for dependence among rocks that share a site and therefore share a ground motion — dependence which reduces it further. The likelihood is</w:t>
      </w:r>
    </w:p>
    <w:p w14:paraId="5D71A1B7" w14:textId="77777777" w:rsidR="00937C4A" w:rsidRDefault="00000000">
      <w:pPr>
        <w:pStyle w:val="BodyText"/>
        <w:spacing w:before="100" w:after="140"/>
        <w:jc w:val="center"/>
      </w:pPr>
      <m:oMathPara>
        <m:oMathParaPr>
          <m:jc m:val="center"/>
        </m:oMathParaPr>
        <m:oMath>
          <m:r>
            <w:rPr>
              <w:rFonts w:ascii="Cambria Math" w:hAnsi="Cambria Math"/>
            </w:rPr>
            <w:lastRenderedPageBreak/>
            <m:t>p</m:t>
          </m:r>
          <m:d>
            <m:dPr>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N</m:t>
                  </m:r>
                </m:sup>
              </m:sSup>
              <m:r>
                <m:rPr>
                  <m:sty m:val="p"/>
                </m:rPr>
                <w:rPr>
                  <w:rFonts w:ascii="Cambria Math" w:hAnsi="Cambria Math"/>
                </w:rPr>
                <m:t>∣</m:t>
              </m:r>
              <m:r>
                <w:rPr>
                  <w:rFonts w:ascii="Cambria Math" w:hAnsi="Cambria Math"/>
                </w:rPr>
                <m:t>ϑ</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r>
                    <w:rPr>
                      <w:rFonts w:ascii="Cambria Math" w:hAnsi="Cambria Math"/>
                    </w:rPr>
                    <m:t>ϑ</m:t>
                  </m:r>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ϑ</m:t>
              </m:r>
            </m:e>
          </m:d>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Y</m:t>
                  </m:r>
                </m:e>
                <m:sub>
                  <m:r>
                    <w:rPr>
                      <w:rFonts w:ascii="Cambria Math" w:hAnsi="Cambria Math"/>
                    </w:rPr>
                    <m:t>i</m:t>
                  </m:r>
                </m:sub>
              </m:sSub>
            </m:sup>
          </m:sSup>
        </m:oMath>
      </m:oMathPara>
    </w:p>
    <w:p w14:paraId="6B55D5C0" w14:textId="77777777" w:rsidR="00937C4A" w:rsidRDefault="00000000">
      <w:r>
        <w:t xml:space="preserve">(or its correlated counterpart), and the right quantities are the Fisher information </w:t>
      </w:r>
      <m:oMath>
        <m:r>
          <m:rPr>
            <m:scr m:val="script"/>
            <m:sty m:val="p"/>
          </m:rPr>
          <w:rPr>
            <w:rFonts w:ascii="Cambria Math" w:hAnsi="Cambria Math"/>
          </w:rPr>
          <m:t>J</m:t>
        </m:r>
        <m:d>
          <m:dPr>
            <m:ctrlPr>
              <w:rPr>
                <w:rFonts w:ascii="Cambria Math" w:hAnsi="Cambria Math"/>
              </w:rPr>
            </m:ctrlPr>
          </m:dPr>
          <m:e>
            <m:r>
              <w:rPr>
                <w:rFonts w:ascii="Cambria Math" w:hAnsi="Cambria Math"/>
              </w:rPr>
              <m:t>ϑ</m:t>
            </m:r>
          </m:e>
        </m:d>
      </m:oMath>
      <w:r>
        <w:t xml:space="preserve">, posterior contraction rates, and Kullback–Leibler separation between competing hazard models. None of these was computed. </w:t>
      </w:r>
      <w:r>
        <w:rPr>
          <w:rFonts w:ascii="Noto Sans" w:eastAsia="Noto Sans" w:hAnsi="Noto Sans"/>
          <w:b/>
          <w:bCs/>
          <w:color w:val="6F4C91"/>
          <w:sz w:val="19"/>
        </w:rPr>
        <w:t>[P]</w:t>
      </w:r>
    </w:p>
    <w:p w14:paraId="56F612A5" w14:textId="77777777" w:rsidR="00937C4A" w:rsidRDefault="00000000">
      <w:pPr>
        <w:pStyle w:val="Heading3"/>
      </w:pPr>
      <w:bookmarkStart w:id="89" w:name="the-conjecture-that-remains"/>
      <w:bookmarkEnd w:id="88"/>
      <w:r>
        <w:rPr>
          <w:rFonts w:ascii="Noto Sans" w:eastAsia="Noto Sans" w:hAnsi="Noto Sans"/>
        </w:rPr>
        <w:t>15.4 The conjecture that remains</w:t>
      </w:r>
    </w:p>
    <w:p w14:paraId="3936335C" w14:textId="77777777" w:rsidR="00937C4A" w:rsidRDefault="00000000">
      <w:r>
        <w:rPr>
          <w:rFonts w:ascii="Noto Sans" w:eastAsia="Noto Sans" w:hAnsi="Noto Sans"/>
          <w:b/>
          <w:bCs/>
          <w:color w:val="A95B00"/>
          <w:sz w:val="19"/>
        </w:rPr>
        <w:t>[C]</w:t>
      </w:r>
      <w:r>
        <w:t xml:space="preserve"> The exchange rate </w:t>
      </w:r>
      <m:oMath>
        <m:sSup>
          <m:sSupPr>
            <m:ctrlPr>
              <w:rPr>
                <w:rFonts w:ascii="Cambria Math" w:hAnsi="Cambria Math"/>
              </w:rPr>
            </m:ctrlPr>
          </m:sSupPr>
          <m:e>
            <m:r>
              <w:rPr>
                <w:rFonts w:ascii="Cambria Math" w:hAnsi="Cambria Math"/>
              </w:rPr>
              <m:t>2</m:t>
            </m:r>
          </m:e>
          <m:sup>
            <m:r>
              <w:rPr>
                <w:rFonts w:ascii="Cambria Math" w:hAnsi="Cambria Math"/>
              </w:rPr>
              <m:t>1</m:t>
            </m:r>
            <m:r>
              <m:rPr>
                <m:sty m:val="p"/>
              </m:rPr>
              <w:rPr>
                <w:rFonts w:ascii="Cambria Math" w:hAnsi="Cambria Math"/>
              </w:rPr>
              <m:t>/</m:t>
            </m:r>
            <m:r>
              <w:rPr>
                <w:rFonts w:ascii="Cambria Math" w:hAnsi="Cambria Math"/>
              </w:rPr>
              <m:t>γ</m:t>
            </m:r>
          </m:sup>
        </m:sSup>
      </m:oMath>
      <w:r>
        <w:t xml:space="preserve">, computed in </w:t>
      </w:r>
      <w:r>
        <w:rPr>
          <w:b/>
          <w:bCs/>
        </w:rPr>
        <w:t>ground-motion parameter space</w:t>
      </w:r>
      <w:r>
        <w:t xml:space="preserve"> for scanned real geometries under a recorded-motion ensemble, is materially worse than 2 — and therefore constitutes a practical ceiling on PBR-based hazard validation that is not removable by better instrumentation.</w:t>
      </w:r>
    </w:p>
    <w:p w14:paraId="6F5D2E14" w14:textId="77777777" w:rsidR="00937C4A" w:rsidRDefault="00000000">
      <w:r>
        <w:t xml:space="preserve">The falsification test is direct and does not require any of this book’s machinery: estimate </w:t>
      </w:r>
      <m:oMath>
        <m:r>
          <w:rPr>
            <w:rFonts w:ascii="Cambria Math" w:hAnsi="Cambria Math"/>
          </w:rPr>
          <m:t>γ</m:t>
        </m:r>
      </m:oMath>
      <w:r>
        <w:t xml:space="preserve"> on the published scanned geometries under their own ground-motion ensemble, with six to eight logarithmically spaced </w:t>
      </w:r>
      <m:oMath>
        <m:r>
          <w:rPr>
            <w:rFonts w:ascii="Cambria Math" w:hAnsi="Cambria Math"/>
          </w:rPr>
          <m:t>ε</m:t>
        </m:r>
      </m:oMath>
      <w:r>
        <w:t xml:space="preserve">-values, common base samples across </w:t>
      </w:r>
      <m:oMath>
        <m:r>
          <w:rPr>
            <w:rFonts w:ascii="Cambria Math" w:hAnsi="Cambria Math"/>
          </w:rPr>
          <m:t>ε</m:t>
        </m:r>
      </m:oMath>
      <w:r>
        <w:t xml:space="preserve">, no clipping-induced boundary bias, bootstrap confidence intervals, an explicit scaling-range selection, and </w:t>
      </w:r>
      <m:oMath>
        <m:r>
          <w:rPr>
            <w:rFonts w:ascii="Cambria Math" w:hAnsi="Cambria Math"/>
          </w:rPr>
          <m:t>N</m:t>
        </m:r>
      </m:oMath>
      <w:r>
        <w:t xml:space="preserve"> increased wherever </w:t>
      </w:r>
      <m:oMath>
        <m:r>
          <w:rPr>
            <w:rFonts w:ascii="Cambria Math" w:hAnsi="Cambria Math"/>
          </w:rPr>
          <m:t>Nf</m:t>
        </m:r>
        <m:d>
          <m:dPr>
            <m:ctrlPr>
              <w:rPr>
                <w:rFonts w:ascii="Cambria Math" w:hAnsi="Cambria Math"/>
              </w:rPr>
            </m:ctrlPr>
          </m:dPr>
          <m:e>
            <m:r>
              <w:rPr>
                <w:rFonts w:ascii="Cambria Math" w:hAnsi="Cambria Math"/>
              </w:rPr>
              <m:t>ε</m:t>
            </m:r>
          </m:e>
        </m:d>
      </m:oMath>
      <w:r>
        <w:t xml:space="preserve"> is small. If </w:t>
      </w:r>
      <m:oMath>
        <m:r>
          <w:rPr>
            <w:rFonts w:ascii="Cambria Math" w:hAnsi="Cambria Math"/>
          </w:rPr>
          <m:t>γ</m:t>
        </m:r>
        <m:r>
          <m:rPr>
            <m:sty m:val="p"/>
          </m:rPr>
          <w:rPr>
            <w:rFonts w:ascii="Cambria Math" w:hAnsi="Cambria Math"/>
          </w:rPr>
          <m:t>≳</m:t>
        </m:r>
        <m:r>
          <w:rPr>
            <w:rFonts w:ascii="Cambria Math" w:hAnsi="Cambria Math"/>
          </w:rPr>
          <m:t>0.8</m:t>
        </m:r>
      </m:oMath>
      <w:r>
        <w:t>, the conjecture is false and the existing programme is sound.</w:t>
      </w:r>
    </w:p>
    <w:p w14:paraId="64BDB76A" w14:textId="77777777" w:rsidR="00937C4A" w:rsidRDefault="00000000">
      <w:pPr>
        <w:pStyle w:val="BodyText"/>
      </w:pPr>
      <w:r>
        <w:t>I would like to record that I expect this test to come out against me more often than the working notes assumed.</w:t>
      </w:r>
    </w:p>
    <w:p w14:paraId="5D324AFA" w14:textId="77777777" w:rsidR="00937C4A" w:rsidRDefault="00000000">
      <w:pPr>
        <w:pStyle w:val="Heading2"/>
        <w:pageBreakBefore/>
        <w:pBdr>
          <w:bottom w:val="single" w:sz="5" w:space="5" w:color="B8C1C6"/>
        </w:pBdr>
        <w:spacing w:after="280"/>
      </w:pPr>
      <w:bookmarkStart w:id="90" w:name="X403b638a50494a6e180ae41c18350071feda9dd"/>
      <w:bookmarkEnd w:id="85"/>
      <w:bookmarkEnd w:id="89"/>
      <w:r>
        <w:rPr>
          <w:rFonts w:ascii="EB Garamond" w:eastAsia="EB Garamond" w:hAnsi="EB Garamond"/>
          <w:sz w:val="40"/>
        </w:rPr>
        <w:lastRenderedPageBreak/>
        <w:t>Chapter 16 — Designing an Identifiable Experiment</w:t>
      </w:r>
    </w:p>
    <w:p w14:paraId="6D73411E" w14:textId="77777777" w:rsidR="00937C4A" w:rsidRDefault="00000000">
      <w:pPr>
        <w:pStyle w:val="CairnChapterBrief"/>
        <w:pBdr>
          <w:left w:val="single" w:sz="10" w:space="8" w:color="5B7D91"/>
        </w:pBdr>
        <w:shd w:val="clear" w:color="auto" w:fill="F5F7F8"/>
        <w:spacing w:before="100"/>
      </w:pPr>
      <w:r>
        <w:rPr>
          <w:iCs/>
          <w:color w:val="4E5357"/>
        </w:rPr>
        <w:t>Chapter brief. Full text remains to be written in the next manuscript installment.</w:t>
      </w:r>
    </w:p>
    <w:p w14:paraId="7996161A" w14:textId="77777777" w:rsidR="00937C4A" w:rsidRDefault="00000000">
      <w:pPr>
        <w:pStyle w:val="BodyText"/>
      </w:pPr>
      <w:r>
        <w:t xml:space="preserve">The designed-cairn field: known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removes the age ambiguity and fixes the scalar </w:t>
      </w:r>
      <m:oMath>
        <m:r>
          <w:rPr>
            <w:rFonts w:ascii="Cambria Math" w:hAnsi="Cambria Math"/>
          </w:rPr>
          <m:t>c</m:t>
        </m:r>
      </m:oMath>
      <w:r>
        <w:t xml:space="preserve"> of Chapter 14. Structure-from-motion geometry at installation; periodic photogrammetric resurvey; local accelerometry; rainfall and wind records; event-triggered cameras; intervention logs. Competing-risks hazard decomposition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with the standard censored likelihood.</w:t>
      </w:r>
    </w:p>
    <w:p w14:paraId="0DDAED8B" w14:textId="77777777" w:rsidR="00937C4A" w:rsidRDefault="00000000">
      <w:pPr>
        <w:pStyle w:val="BodyText"/>
      </w:pPr>
      <w:r>
        <w:rPr>
          <w:i/>
          <w:iCs/>
        </w:rPr>
        <w:t>Three arms, not two.</w:t>
      </w:r>
      <w:r>
        <w:t xml:space="preserve"> Exposed / animal-and-human-excluded / fully sheltered. A two-arm contrast estimates only the anthropogenic and animal component, since the protected group retains its own wind and rain hazard; the absolute nuisance rate requires the third arm.</w:t>
      </w:r>
    </w:p>
    <w:p w14:paraId="22D797FC" w14:textId="77777777" w:rsidR="00937C4A" w:rsidRDefault="00000000">
      <w:pPr>
        <w:pStyle w:val="BodyText"/>
      </w:pPr>
      <w:r>
        <w:rPr>
          <w:i/>
          <w:iCs/>
        </w:rPr>
        <w:t>Power.</w:t>
      </w:r>
      <w:r>
        <w:t xml:space="preserve"> For exponential survival the relative standard error of a rate is </w:t>
      </w:r>
      <m:oMath>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in events; 20% resolution on a </w:t>
      </w:r>
      <w:r>
        <w:rPr>
          <w:i/>
          <w:iCs/>
        </w:rPr>
        <w:t>ratio</w:t>
      </w:r>
      <w:r>
        <w:t xml:space="preserve"> of arms needs </w:t>
      </w:r>
      <m:oMath>
        <m:r>
          <m:rPr>
            <m:sty m:val="p"/>
          </m:rPr>
          <w:rPr>
            <w:rFonts w:ascii="Cambria Math" w:hAnsi="Cambria Math"/>
          </w:rPr>
          <m:t>≈</m:t>
        </m:r>
        <m:r>
          <w:rPr>
            <w:rFonts w:ascii="Cambria Math" w:hAnsi="Cambria Math"/>
          </w:rPr>
          <m:t>50</m:t>
        </m:r>
      </m:oMath>
      <w:r>
        <w:t xml:space="preserve"> events per arm. At a plausible Hampi disturbance rate of order </w:t>
      </w:r>
      <m:oMath>
        <m:r>
          <w:rPr>
            <w:rFonts w:ascii="Cambria Math" w:hAnsi="Cambria Math"/>
          </w:rPr>
          <m:t>1 </m:t>
        </m:r>
        <m:r>
          <m:rPr>
            <m:sty m:val="p"/>
          </m:rPr>
          <w:rPr>
            <w:rFonts w:ascii="Cambria Math" w:hAnsi="Cambria Math"/>
          </w:rPr>
          <m:t>y</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-1</m:t>
            </m:r>
          </m:sup>
        </m:sSup>
      </m:oMath>
      <w:r>
        <w:t xml:space="preserve"> per cairn: </w:t>
      </w:r>
      <w:r>
        <w:rPr>
          <w:b/>
          <w:bCs/>
        </w:rPr>
        <w:t>25 cairns per arm for two years</w:t>
      </w:r>
      <w:r>
        <w:t xml:space="preserve"> — three arms, 75 cairns, two monsoon cycles.</w:t>
      </w:r>
    </w:p>
    <w:p w14:paraId="43EE51A6" w14:textId="77777777" w:rsidR="00937C4A" w:rsidRDefault="00000000">
      <w:pPr>
        <w:pStyle w:val="BodyText"/>
      </w:pPr>
      <w:r>
        <w:rPr>
          <w:i/>
          <w:iCs/>
        </w:rPr>
        <w:t>What it will and will not deliver.</w:t>
      </w:r>
      <w:r>
        <w:t xml:space="preserve"> It will not estimate Hampi’s long-return-period seismic hazard; the return periods are three to four orders of magnitude longer than the experiment. It will estimate </w:t>
      </w:r>
      <m:oMath>
        <m:sSub>
          <m:sSubPr>
            <m:ctrlPr>
              <w:rPr>
                <w:rFonts w:ascii="Cambria Math" w:hAnsi="Cambria Math"/>
              </w:rPr>
            </m:ctrlPr>
          </m:sSubPr>
          <m:e>
            <m:r>
              <w:rPr>
                <w:rFonts w:ascii="Cambria Math" w:hAnsi="Cambria Math"/>
              </w:rPr>
              <m:t>λ</m:t>
            </m:r>
          </m:e>
          <m:sub>
            <m:r>
              <m:rPr>
                <m:sty m:val="p"/>
              </m:rPr>
              <w:rPr>
                <w:rFonts w:ascii="Cambria Math" w:hAnsi="Cambria Math"/>
              </w:rPr>
              <m:t>nonseismic</m:t>
            </m:r>
          </m:sub>
        </m:sSub>
      </m:oMath>
      <w:r>
        <w:t>, the background destruction rate of fragile configurations — a quantity that must be known before any surviving-PBR population can be interpreted probabilistically, and which is currently, silently, folded into “earthquake fragility.”</w:t>
      </w:r>
    </w:p>
    <w:p w14:paraId="28BF2280" w14:textId="77777777" w:rsidR="00937C4A" w:rsidRDefault="00000000">
      <w:pPr>
        <w:pStyle w:val="Heading1"/>
        <w:pageBreakBefore/>
        <w:spacing w:before="3800" w:after="0"/>
      </w:pPr>
      <w:bookmarkStart w:id="91" w:name="part-v-transport-1"/>
      <w:bookmarkEnd w:id="77"/>
      <w:bookmarkEnd w:id="90"/>
      <w:r>
        <w:rPr>
          <w:rFonts w:ascii="Noto Sans" w:eastAsia="Noto Sans" w:hAnsi="Noto Sans"/>
          <w:sz w:val="44"/>
        </w:rPr>
        <w:lastRenderedPageBreak/>
        <w:t>PART V — TRANSPORT</w:t>
      </w:r>
    </w:p>
    <w:p w14:paraId="479B5022" w14:textId="77777777" w:rsidR="00937C4A" w:rsidRDefault="00000000">
      <w:pPr>
        <w:pStyle w:val="Heading2"/>
        <w:pageBreakBefore/>
        <w:pBdr>
          <w:bottom w:val="single" w:sz="5" w:space="5" w:color="B8C1C6"/>
        </w:pBdr>
        <w:spacing w:after="280"/>
      </w:pPr>
      <w:bookmarkStart w:id="92" w:name="X28ca33309bd6e009a1f265ec16ade145893e804"/>
      <w:r>
        <w:rPr>
          <w:rFonts w:ascii="EB Garamond" w:eastAsia="EB Garamond" w:hAnsi="EB Garamond"/>
          <w:sz w:val="40"/>
        </w:rPr>
        <w:lastRenderedPageBreak/>
        <w:t>Chapter 17 — When Is a Result Transportable?</w:t>
      </w:r>
    </w:p>
    <w:p w14:paraId="2C5DF4B4" w14:textId="77777777" w:rsidR="00937C4A" w:rsidRDefault="00000000">
      <w:pPr>
        <w:pStyle w:val="CairnChapterBrief"/>
        <w:pBdr>
          <w:left w:val="single" w:sz="10" w:space="8" w:color="5B7D91"/>
        </w:pBdr>
        <w:shd w:val="clear" w:color="auto" w:fill="F5F7F8"/>
        <w:spacing w:before="100"/>
      </w:pPr>
      <w:r>
        <w:rPr>
          <w:iCs/>
          <w:color w:val="4E5357"/>
        </w:rPr>
        <w:t>Chapter brief. Full text remains to be written in the next manuscript installment.</w:t>
      </w:r>
    </w:p>
    <w:p w14:paraId="2B817AC1" w14:textId="77777777" w:rsidR="00937C4A" w:rsidRDefault="00000000">
      <w:pPr>
        <w:pStyle w:val="BodyText"/>
      </w:pPr>
      <w:r>
        <w:t xml:space="preserve">Why an ordinary category is insufficient: a rocking cairn has two irreducibly different kinds of evolution — smooth flow within a fixed contact mode, and discrete reset at impact, slip, separation or pivot migration. A single-arrow category collapses them into one composition law. A </w:t>
      </w:r>
      <w:r>
        <w:rPr>
          <w:b/>
          <w:bCs/>
        </w:rPr>
        <w:t>pseudo-double category</w:t>
      </w:r>
      <w:r>
        <w:t xml:space="preserve"> keeps them distinct: objects are contact-mode systems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σ</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σ</m:t>
                </m:r>
              </m:sub>
            </m:sSub>
          </m:e>
        </m:d>
      </m:oMath>
      <w:r>
        <w:t xml:space="preserve">; horizontal arrows are flows </w:t>
      </w:r>
      <m:oMath>
        <m:sSubSup>
          <m:sSubSupPr>
            <m:ctrlPr>
              <w:rPr>
                <w:rFonts w:ascii="Cambria Math" w:hAnsi="Cambria Math"/>
              </w:rPr>
            </m:ctrlPr>
          </m:sSubSupPr>
          <m:e>
            <m:r>
              <w:rPr>
                <w:rFonts w:ascii="Cambria Math" w:hAnsi="Cambria Math"/>
              </w:rPr>
              <m:t>Φ</m:t>
            </m:r>
          </m:e>
          <m:sub>
            <m:r>
              <w:rPr>
                <w:rFonts w:ascii="Cambria Math" w:hAnsi="Cambria Math"/>
              </w:rPr>
              <m:t>σ</m:t>
            </m:r>
          </m:sub>
          <m:sup>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p>
        </m:sSubSup>
      </m:oMath>
      <w:r>
        <w:t xml:space="preserve"> (partial maps, since trajectories hit guards); vertical arrows are transitions </w:t>
      </w:r>
      <m:oMath>
        <m:sSub>
          <m:sSubPr>
            <m:ctrlPr>
              <w:rPr>
                <w:rFonts w:ascii="Cambria Math" w:hAnsi="Cambria Math"/>
              </w:rPr>
            </m:ctrlPr>
          </m:sSubPr>
          <m:e>
            <m:r>
              <w:rPr>
                <w:rFonts w:ascii="Cambria Math" w:hAnsi="Cambria Math"/>
              </w:rPr>
              <m:t>R</m:t>
            </m:r>
          </m:e>
          <m:sub>
            <m:r>
              <w:rPr>
                <w:rFonts w:ascii="Cambria Math" w:hAnsi="Cambria Math"/>
              </w:rPr>
              <m:t>σ</m:t>
            </m:r>
            <m:r>
              <m:rPr>
                <m:sty m:val="p"/>
              </m:rPr>
              <w:rPr>
                <w:rFonts w:ascii="Cambria Math" w:hAnsi="Cambria Math"/>
              </w:rPr>
              <m:t>→</m:t>
            </m:r>
            <m:r>
              <w:rPr>
                <w:rFonts w:ascii="Cambria Math" w:hAnsi="Cambria Math"/>
              </w:rPr>
              <m:t>τ</m:t>
            </m:r>
          </m:sub>
        </m:sSub>
      </m:oMath>
      <w:r>
        <w:t xml:space="preserve">; squares assert </w:t>
      </w:r>
      <m:oMath>
        <m:sSub>
          <m:sSubPr>
            <m:ctrlPr>
              <w:rPr>
                <w:rFonts w:ascii="Cambria Math" w:hAnsi="Cambria Math"/>
              </w:rPr>
            </m:ctrlPr>
          </m:sSubPr>
          <m:e>
            <m:r>
              <w:rPr>
                <w:rFonts w:ascii="Cambria Math" w:hAnsi="Cambria Math"/>
              </w:rPr>
              <m:t>R</m:t>
            </m:r>
          </m:e>
          <m:sub>
            <m:r>
              <w:rPr>
                <w:rFonts w:ascii="Cambria Math" w:hAnsi="Cambria Math"/>
              </w:rPr>
              <m:t>σ</m:t>
            </m:r>
            <m:r>
              <m:rPr>
                <m:sty m:val="p"/>
              </m:rPr>
              <w:rPr>
                <w:rFonts w:ascii="Cambria Math" w:hAnsi="Cambria Math"/>
              </w:rPr>
              <m:t>'</m:t>
            </m:r>
            <m:r>
              <w:rPr>
                <w:rFonts w:ascii="Cambria Math" w:hAnsi="Cambria Math"/>
              </w:rPr>
              <m:t>τ</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στ</m:t>
            </m:r>
          </m:sub>
        </m:sSub>
      </m:oMath>
      <w:r>
        <w:t>.</w:t>
      </w:r>
    </w:p>
    <w:p w14:paraId="214EFE08" w14:textId="77777777" w:rsidR="00937C4A" w:rsidRDefault="00000000">
      <w:pPr>
        <w:pStyle w:val="BodyText"/>
      </w:pPr>
      <w:r>
        <w:rPr>
          <w:i/>
          <w:iCs/>
        </w:rPr>
        <w:t>The chapter’s one genuine insight:</w:t>
      </w:r>
      <w:r>
        <w:t xml:space="preserve"> </w:t>
      </w:r>
      <w:r>
        <w:rPr>
          <w:b/>
          <w:bCs/>
        </w:rPr>
        <w:t>grazing is a failure of coherence.</w:t>
      </w:r>
      <w:r>
        <w:t xml:space="preserve"> At grazing the transition map ceases to depend continuously on state or parameter, and the square simply does not exist. Chapter 12’s saltation singularity and Chapter 11’s isolation failure are the same event seen in a third formalism. </w:t>
      </w:r>
      <w:r>
        <w:rPr>
          <w:rFonts w:ascii="Noto Sans" w:eastAsia="Noto Sans" w:hAnsi="Noto Sans"/>
          <w:b/>
          <w:bCs/>
          <w:color w:val="6F4C91"/>
          <w:sz w:val="19"/>
        </w:rPr>
        <w:t>[P]</w:t>
      </w:r>
    </w:p>
    <w:p w14:paraId="6E742A0F" w14:textId="77777777" w:rsidR="00937C4A" w:rsidRDefault="00000000">
      <w:pPr>
        <w:pStyle w:val="Heading2"/>
        <w:pageBreakBefore/>
        <w:pBdr>
          <w:bottom w:val="single" w:sz="5" w:space="5" w:color="B8C1C6"/>
        </w:pBdr>
        <w:spacing w:after="280"/>
      </w:pPr>
      <w:bookmarkStart w:id="93" w:name="Xc4dce360feb1489a5c3f98a98b68e0d110ac94b"/>
      <w:bookmarkEnd w:id="92"/>
      <w:r>
        <w:rPr>
          <w:rFonts w:ascii="EB Garamond" w:eastAsia="EB Garamond" w:hAnsi="EB Garamond"/>
          <w:sz w:val="40"/>
        </w:rPr>
        <w:lastRenderedPageBreak/>
        <w:t>Chapter 18 — The Hybrid Fragility Transport Statement</w:t>
      </w:r>
    </w:p>
    <w:p w14:paraId="797E6148" w14:textId="77777777" w:rsidR="00937C4A" w:rsidRDefault="00000000">
      <w:pPr>
        <w:pStyle w:val="CairnChapterBrief"/>
        <w:pBdr>
          <w:left w:val="single" w:sz="10" w:space="8" w:color="5B7D91"/>
        </w:pBdr>
        <w:shd w:val="clear" w:color="auto" w:fill="F5F7F8"/>
        <w:spacing w:before="100"/>
      </w:pPr>
      <w:r>
        <w:rPr>
          <w:iCs/>
          <w:color w:val="4E5357"/>
        </w:rPr>
        <w:t>Chapter brief. Full text remains to be written in the next manuscript installment.</w:t>
      </w:r>
    </w:p>
    <w:p w14:paraId="0066ED4A" w14:textId="77777777" w:rsidR="00937C4A" w:rsidRDefault="00000000">
      <w:r>
        <w:t xml:space="preserve">Let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be rocking/contact models connected by a continuation family </w:t>
      </w:r>
      <m:oMath>
        <m:sSub>
          <m:sSubPr>
            <m:ctrlPr>
              <w:rPr>
                <w:rFonts w:ascii="Cambria Math" w:hAnsi="Cambria Math"/>
              </w:rPr>
            </m:ctrlPr>
          </m:sSubPr>
          <m:e>
            <m:r>
              <w:rPr>
                <w:rFonts w:ascii="Cambria Math" w:hAnsi="Cambria Math"/>
              </w:rPr>
              <m:t>M</m:t>
            </m:r>
          </m:e>
          <m:sub>
            <m:r>
              <w:rPr>
                <w:rFonts w:ascii="Cambria Math" w:hAnsi="Cambria Math"/>
              </w:rPr>
              <m:t>λ</m:t>
            </m:r>
          </m:sub>
        </m:sSub>
      </m:oMath>
      <w:r>
        <w:t xml:space="preserve">, </w:t>
      </w:r>
      <m:oMath>
        <m:r>
          <w:rPr>
            <w:rFonts w:ascii="Cambria Math" w:hAnsi="Cambria Math"/>
          </w:rPr>
          <m:t>λ</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possessing a common isolating neighbourhood </w:t>
      </w:r>
      <m:oMath>
        <m:r>
          <w:rPr>
            <w:rFonts w:ascii="Cambria Math" w:hAnsi="Cambria Math"/>
          </w:rPr>
          <m:t>N</m:t>
        </m:r>
      </m:oMath>
      <w:r>
        <w:t xml:space="preserve"> and excluding grazing and escape through </w:t>
      </w:r>
      <m:oMath>
        <m:r>
          <m:rPr>
            <m:sty m:val="p"/>
          </m:rPr>
          <w:rPr>
            <w:rFonts w:ascii="Cambria Math" w:hAnsi="Cambria Math"/>
          </w:rPr>
          <m:t>∂</m:t>
        </m:r>
        <m:r>
          <w:rPr>
            <w:rFonts w:ascii="Cambria Math" w:hAnsi="Cambria Math"/>
          </w:rPr>
          <m:t>N</m:t>
        </m:r>
      </m:oMath>
      <w:r>
        <w:t xml:space="preserve">. Then </w:t>
      </w:r>
      <m:oMath>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N</m:t>
            </m:r>
          </m:e>
        </m:d>
      </m:oMath>
      <w:r>
        <w:t xml:space="preserve">. Consequently non-isomorphic Conley indices </w:t>
      </w:r>
      <w:r>
        <w:rPr>
          <w:b/>
          <w:bCs/>
        </w:rPr>
        <w:t>obstruct</w:t>
      </w:r>
      <w:r>
        <w:t xml:space="preserve"> transport of a fragility classification from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to </w:t>
      </w:r>
      <m:oMath>
        <m:sSub>
          <m:sSubPr>
            <m:ctrlPr>
              <w:rPr>
                <w:rFonts w:ascii="Cambria Math" w:hAnsi="Cambria Math"/>
              </w:rPr>
            </m:ctrlPr>
          </m:sSubPr>
          <m:e>
            <m:r>
              <w:rPr>
                <w:rFonts w:ascii="Cambria Math" w:hAnsi="Cambria Math"/>
              </w:rPr>
              <m:t>M</m:t>
            </m:r>
          </m:e>
          <m:sub>
            <m:r>
              <w:rPr>
                <w:rFonts w:ascii="Cambria Math" w:hAnsi="Cambria Math"/>
              </w:rPr>
              <m:t>1</m:t>
            </m:r>
          </m:sub>
        </m:sSub>
      </m:oMath>
      <w:r>
        <w:t>.</w:t>
      </w:r>
    </w:p>
    <w:p w14:paraId="07A9D32E" w14:textId="77777777" w:rsidR="00937C4A" w:rsidRDefault="00000000">
      <w:r>
        <w:rPr>
          <w:i/>
          <w:iCs/>
        </w:rPr>
        <w:t>Its honest status.</w:t>
      </w:r>
      <w:r>
        <w:t xml:space="preserve"> This is Conley continuation with its hypotheses made explicit and dressed in categorical language. It is not new mathematics and should not be presented as a theorem of this book. Its value is rhetorical and organisational: it turns the loose phrase “the index survives contact-stiffness uncertainty” into a precise certificate, and it makes “a change of </w:t>
      </w:r>
      <m:oMath>
        <m:r>
          <w:rPr>
            <w:rFonts w:ascii="Cambria Math" w:hAnsi="Cambria Math"/>
          </w:rPr>
          <m:t>R</m:t>
        </m:r>
      </m:oMath>
      <w:r>
        <w:t xml:space="preserve"> is not automatically a geometric rescaling — it may be a change of dynamical equivalence class” into a statement with a falsification condition. Labelled </w:t>
      </w:r>
      <w:r>
        <w:rPr>
          <w:rFonts w:ascii="Noto Sans" w:eastAsia="Noto Sans" w:hAnsi="Noto Sans"/>
          <w:b/>
          <w:bCs/>
          <w:color w:val="6F4C91"/>
          <w:sz w:val="19"/>
        </w:rPr>
        <w:t>[P]</w:t>
      </w:r>
      <w:r>
        <w:t xml:space="preserve">, not </w:t>
      </w:r>
      <w:r>
        <w:rPr>
          <w:rFonts w:ascii="Noto Sans" w:eastAsia="Noto Sans" w:hAnsi="Noto Sans"/>
          <w:b/>
          <w:bCs/>
          <w:color w:val="1D6848"/>
          <w:sz w:val="19"/>
        </w:rPr>
        <w:t>[T]</w:t>
      </w:r>
      <w:r>
        <w:t>, and the chapter says so in its first paragraph.</w:t>
      </w:r>
    </w:p>
    <w:p w14:paraId="19172E08" w14:textId="77777777" w:rsidR="00937C4A" w:rsidRDefault="00000000">
      <w:pPr>
        <w:pStyle w:val="Heading2"/>
        <w:pageBreakBefore/>
        <w:pBdr>
          <w:bottom w:val="single" w:sz="5" w:space="5" w:color="B8C1C6"/>
        </w:pBdr>
        <w:spacing w:after="280"/>
      </w:pPr>
      <w:bookmarkStart w:id="94" w:name="chapter-19-two-levels-of-obstruction"/>
      <w:bookmarkEnd w:id="93"/>
      <w:r>
        <w:rPr>
          <w:rFonts w:ascii="EB Garamond" w:eastAsia="EB Garamond" w:hAnsi="EB Garamond"/>
          <w:sz w:val="40"/>
        </w:rPr>
        <w:lastRenderedPageBreak/>
        <w:t>Chapter 19 — Two Levels of Obstruction</w:t>
      </w:r>
    </w:p>
    <w:p w14:paraId="294DB21B" w14:textId="77777777" w:rsidR="00937C4A" w:rsidRDefault="00000000">
      <w:pPr>
        <w:pStyle w:val="CairnChapterBrief"/>
        <w:pBdr>
          <w:left w:val="single" w:sz="10" w:space="8" w:color="5B7D91"/>
        </w:pBdr>
        <w:shd w:val="clear" w:color="auto" w:fill="F5F7F8"/>
        <w:spacing w:before="100"/>
      </w:pPr>
      <w:r>
        <w:rPr>
          <w:iCs/>
          <w:color w:val="4E5357"/>
        </w:rPr>
        <w:t>Chapter brief. Full text remains to be written in the next manuscript installment.</w:t>
      </w:r>
    </w:p>
    <w:p w14:paraId="24B66BCC" w14:textId="77777777" w:rsidR="00937C4A" w:rsidRDefault="00000000">
      <w:pPr>
        <w:pStyle w:val="BodyText"/>
      </w:pPr>
      <w:r>
        <w:t xml:space="preserve">Local data at a scanned patch are not vector spaces — each patch admits several plausible contact geometries, friction laws, stiffnesses, mass distributions. So assign to each region a </w:t>
      </w:r>
      <w:r>
        <w:rPr>
          <w:i/>
          <w:iCs/>
        </w:rPr>
        <w:t>category</w:t>
      </w:r>
      <w:r>
        <w:t xml:space="preserve"> </w:t>
      </w:r>
      <m:oMath>
        <m:r>
          <m:rPr>
            <m:scr m:val="fraktur"/>
            <m:sty m:val="p"/>
          </m:rPr>
          <w:rPr>
            <w:rFonts w:ascii="Cambria Math" w:hAnsi="Cambria Math"/>
          </w:rPr>
          <m:t>F</m:t>
        </m:r>
        <m:d>
          <m:dPr>
            <m:ctrlPr>
              <w:rPr>
                <w:rFonts w:ascii="Cambria Math" w:hAnsi="Cambria Math"/>
              </w:rPr>
            </m:ctrlPr>
          </m:dPr>
          <m:e>
            <m:r>
              <w:rPr>
                <w:rFonts w:ascii="Cambria Math" w:hAnsi="Cambria Math"/>
              </w:rPr>
              <m:t>U</m:t>
            </m:r>
          </m:e>
        </m:d>
      </m:oMath>
      <w:r>
        <w:t xml:space="preserve"> of admissible local models, with restriction functors: a stack, not a sheaf. Descent then requires pairwise equivalences </w:t>
      </w:r>
      <m:oMath>
        <m:sSub>
          <m:sSubPr>
            <m:ctrlPr>
              <w:rPr>
                <w:rFonts w:ascii="Cambria Math" w:hAnsi="Cambria Math"/>
              </w:rPr>
            </m:ctrlPr>
          </m:sSubPr>
          <m:e>
            <m:r>
              <w:rPr>
                <w:rFonts w:ascii="Cambria Math" w:hAnsi="Cambria Math"/>
              </w:rPr>
              <m:t>g</m:t>
            </m:r>
          </m:e>
          <m:sub>
            <m:r>
              <w:rPr>
                <w:rFonts w:ascii="Cambria Math" w:hAnsi="Cambria Math"/>
              </w:rPr>
              <m:t>ij</m:t>
            </m:r>
          </m:sub>
        </m:sSub>
      </m:oMath>
      <w:r>
        <w:t xml:space="preserve"> </w:t>
      </w:r>
      <w:r>
        <w:rPr>
          <w:b/>
          <w:bCs/>
        </w:rPr>
        <w:t>and</w:t>
      </w:r>
      <w:r>
        <w:t xml:space="preserve"> coherent 2-isomorphisms </w:t>
      </w:r>
      <m:oMath>
        <m:sSub>
          <m:sSubPr>
            <m:ctrlPr>
              <w:rPr>
                <w:rFonts w:ascii="Cambria Math" w:hAnsi="Cambria Math"/>
              </w:rPr>
            </m:ctrlPr>
          </m:sSubPr>
          <m:e>
            <m:r>
              <w:rPr>
                <w:rFonts w:ascii="Cambria Math" w:hAnsi="Cambria Math"/>
              </w:rPr>
              <m:t>α</m:t>
            </m:r>
          </m:e>
          <m:sub>
            <m:r>
              <w:rPr>
                <w:rFonts w:ascii="Cambria Math" w:hAnsi="Cambria Math"/>
              </w:rPr>
              <m:t>ijk</m:t>
            </m:r>
          </m:sub>
        </m:sSub>
      </m:oMath>
      <w:r>
        <w:t xml:space="preserve"> on triple overlaps.</w:t>
      </w:r>
    </w:p>
    <w:p w14:paraId="055232DD" w14:textId="77777777" w:rsidR="00937C4A" w:rsidRDefault="00000000">
      <w:pPr>
        <w:pStyle w:val="BodyText"/>
      </w:pPr>
      <w:r>
        <w:t>Two obstruction levels follow:</w:t>
      </w:r>
    </w:p>
    <w:p w14:paraId="3D75F787" w14:textId="77777777" w:rsidR="00937C4A" w:rsidRDefault="00000000">
      <w:pPr>
        <w:numPr>
          <w:ilvl w:val="0"/>
          <w:numId w:val="28"/>
        </w:numPr>
      </w:pPr>
      <m:oMath>
        <m:sSup>
          <m:sSupPr>
            <m:ctrlPr>
              <w:rPr>
                <w:rFonts w:ascii="Cambria Math" w:hAnsi="Cambria Math"/>
              </w:rPr>
            </m:ctrlPr>
          </m:sSupPr>
          <m:e>
            <m:r>
              <w:rPr>
                <w:rFonts w:ascii="Cambria Math" w:hAnsi="Cambria Math"/>
              </w:rPr>
              <m:t>H</m:t>
            </m:r>
          </m:e>
          <m:sup>
            <m:r>
              <w:rPr>
                <w:rFonts w:ascii="Cambria Math" w:hAnsi="Cambria Math"/>
              </w:rPr>
              <m:t>1</m:t>
            </m:r>
          </m:sup>
        </m:sSup>
      </m:oMath>
      <w:r>
        <w:rPr>
          <w:b/>
          <w:bCs/>
        </w:rPr>
        <w:t>-type:</w:t>
      </w:r>
      <w:r>
        <w:t xml:space="preserve"> local models cannot be matched pairwise.</w:t>
      </w:r>
    </w:p>
    <w:p w14:paraId="71A5D0D1" w14:textId="77777777" w:rsidR="00937C4A" w:rsidRDefault="00000000">
      <w:pPr>
        <w:numPr>
          <w:ilvl w:val="0"/>
          <w:numId w:val="28"/>
        </w:numPr>
      </w:pPr>
      <m:oMath>
        <m:sSup>
          <m:sSupPr>
            <m:ctrlPr>
              <w:rPr>
                <w:rFonts w:ascii="Cambria Math" w:hAnsi="Cambria Math"/>
              </w:rPr>
            </m:ctrlPr>
          </m:sSupPr>
          <m:e>
            <m:r>
              <w:rPr>
                <w:rFonts w:ascii="Cambria Math" w:hAnsi="Cambria Math"/>
              </w:rPr>
              <m:t>H</m:t>
            </m:r>
          </m:e>
          <m:sup>
            <m:r>
              <w:rPr>
                <w:rFonts w:ascii="Cambria Math" w:hAnsi="Cambria Math"/>
              </w:rPr>
              <m:t>2</m:t>
            </m:r>
          </m:sup>
        </m:sSup>
      </m:oMath>
      <w:r>
        <w:rPr>
          <w:b/>
          <w:bCs/>
        </w:rPr>
        <w:t>-type:</w:t>
      </w:r>
      <w:r>
        <w:t xml:space="preserve"> every pair is reconcilable, but the reconciliations are incompatible around triples.</w:t>
      </w:r>
    </w:p>
    <w:p w14:paraId="0148D120" w14:textId="77777777" w:rsidR="00937C4A" w:rsidRDefault="00000000">
      <w:r>
        <w:t>Every cairn may admit a local ground-motion explanation, and every pair may be reconcilable, while the field as a whole admits no coherent global earthquake history.</w:t>
      </w:r>
    </w:p>
    <w:p w14:paraId="618B5B04" w14:textId="77777777" w:rsidR="00937C4A" w:rsidRDefault="00000000">
      <w:r>
        <w:rPr>
          <w:i/>
          <w:iCs/>
        </w:rPr>
        <w:t>And the statistical repair the earlier drafts lacked:</w:t>
      </w:r>
      <w:r>
        <w:t xml:space="preserve"> a binary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0</m:t>
        </m:r>
      </m:oMath>
      <w:r>
        <w:t xml:space="preserve"> is unusable, because under measurement noise it fires almost surely. The usable object is the </w:t>
      </w:r>
      <w:r>
        <w:rPr>
          <w:b/>
          <w:bCs/>
        </w:rPr>
        <w:t>sheaf Laplacian</w:t>
      </w:r>
      <w:r>
        <w:t xml:space="preserve">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δ</m:t>
            </m:r>
          </m:e>
          <m:sup>
            <m:r>
              <m:rPr>
                <m:scr m:val="sans-serif"/>
                <m:sty m:val="p"/>
              </m:rPr>
              <w:rPr>
                <w:rFonts w:ascii="Cambria Math" w:hAnsi="Cambria Math"/>
              </w:rPr>
              <m:t>T</m:t>
            </m:r>
          </m:sup>
        </m:sSup>
        <m:r>
          <w:rPr>
            <w:rFonts w:ascii="Cambria Math" w:hAnsi="Cambria Math"/>
          </w:rPr>
          <m:t>δ</m:t>
        </m:r>
      </m:oMath>
      <w:r>
        <w:t xml:space="preserve">, with </w:t>
      </w:r>
      <m:oMath>
        <m:r>
          <m:rPr>
            <m:sty m:val="p"/>
          </m:rPr>
          <w:rPr>
            <w:rFonts w:ascii="Cambria Math" w:hAnsi="Cambria Math"/>
          </w:rPr>
          <m:t>ker</m:t>
        </m:r>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exactly and </w:t>
      </w:r>
      <m:oMath>
        <m:sSub>
          <m:sSubPr>
            <m:ctrlPr>
              <w:rPr>
                <w:rFonts w:ascii="Cambria Math" w:hAnsi="Cambria Math"/>
              </w:rPr>
            </m:ctrlPr>
          </m:sSubPr>
          <m:e>
            <m:r>
              <w:rPr>
                <w:rFonts w:ascii="Cambria Math" w:hAnsi="Cambria Math"/>
              </w:rPr>
              <m:t>λ</m:t>
            </m:r>
          </m:e>
          <m:sub>
            <m:r>
              <w:rPr>
                <w:rFonts w:ascii="Cambria Math" w:hAnsi="Cambria Math"/>
              </w:rPr>
              <m:t>1</m:t>
            </m:r>
          </m:sub>
        </m:sSub>
        <m:d>
          <m:dPr>
            <m:ctrlPr>
              <w:rPr>
                <w:rFonts w:ascii="Cambria Math" w:hAnsi="Cambria Math"/>
              </w:rPr>
            </m:ctrlPr>
          </m:dPr>
          <m:e>
            <m:r>
              <w:rPr>
                <w:rFonts w:ascii="Cambria Math" w:hAnsi="Cambria Math"/>
              </w:rPr>
              <m:t>L</m:t>
            </m:r>
          </m:e>
        </m:d>
      </m:oMath>
      <w:r>
        <w:t xml:space="preserve"> a continuous consistency statistic admitting a null distribution — hence an actual hypothesis test rather than a decorative one. </w:t>
      </w:r>
      <w:r>
        <w:rPr>
          <w:rFonts w:ascii="Noto Sans" w:eastAsia="Noto Sans" w:hAnsi="Noto Sans"/>
          <w:b/>
          <w:bCs/>
          <w:color w:val="6F4C91"/>
          <w:sz w:val="19"/>
        </w:rPr>
        <w:t>[P]</w:t>
      </w:r>
    </w:p>
    <w:p w14:paraId="3A2F909B" w14:textId="77777777" w:rsidR="00937C4A" w:rsidRDefault="00000000">
      <w:pPr>
        <w:pStyle w:val="Heading1"/>
        <w:pageBreakBefore/>
        <w:spacing w:before="3800" w:after="0"/>
      </w:pPr>
      <w:bookmarkStart w:id="95" w:name="part-vi-the-cortical-cairn-1"/>
      <w:bookmarkEnd w:id="91"/>
      <w:bookmarkEnd w:id="94"/>
      <w:r>
        <w:rPr>
          <w:rFonts w:ascii="Noto Sans" w:eastAsia="Noto Sans" w:hAnsi="Noto Sans"/>
          <w:sz w:val="44"/>
        </w:rPr>
        <w:lastRenderedPageBreak/>
        <w:t>PART VI — THE CORTICAL CAIRN</w:t>
      </w:r>
    </w:p>
    <w:p w14:paraId="4DCB5BAE" w14:textId="77777777" w:rsidR="00937C4A" w:rsidRDefault="00000000">
      <w:pPr>
        <w:pStyle w:val="Heading2"/>
        <w:pageBreakBefore/>
        <w:pBdr>
          <w:bottom w:val="single" w:sz="5" w:space="5" w:color="B8C1C6"/>
        </w:pBdr>
        <w:spacing w:after="280"/>
      </w:pPr>
      <w:bookmarkStart w:id="96" w:name="chapter-20-from-survivor-to-recorder"/>
      <w:r>
        <w:rPr>
          <w:rFonts w:ascii="EB Garamond" w:eastAsia="EB Garamond" w:hAnsi="EB Garamond"/>
          <w:sz w:val="40"/>
        </w:rPr>
        <w:lastRenderedPageBreak/>
        <w:t>Chapter 20 — From Survivor to Recorder</w:t>
      </w:r>
    </w:p>
    <w:p w14:paraId="0D890618" w14:textId="77777777" w:rsidR="00937C4A" w:rsidRDefault="00000000">
      <w:r>
        <w:t>Everything before this chapter is about the poverty of survival as an observable. This chapter is about what to use instead, and it requires one correction to the book’s own title.</w:t>
      </w:r>
    </w:p>
    <w:p w14:paraId="5CBB7F10" w14:textId="77777777" w:rsidR="00937C4A" w:rsidRDefault="00000000">
      <w:r>
        <w:rPr>
          <w:b/>
          <w:bCs/>
        </w:rPr>
        <w:t>The earthquake is not remembered because the cairn is standing. It is remembered insofar as the earthquake changed the cairn’s internal contact configuration, and thereby changed what the cairn will do next.</w:t>
      </w:r>
    </w:p>
    <w:p w14:paraId="2006796F" w14:textId="77777777" w:rsidR="00937C4A" w:rsidRDefault="00000000">
      <w:r>
        <w:t>That correction opens a ladder with three rungs.</w:t>
      </w:r>
    </w:p>
    <w:p w14:paraId="336D4B07" w14:textId="77777777" w:rsidR="00937C4A" w:rsidRDefault="00000000">
      <w:pPr>
        <w:pStyle w:val="BodyText"/>
      </w:pPr>
      <w:r>
        <w:rPr>
          <w:b/>
          <w:bCs/>
        </w:rPr>
        <w:t>A tor is a passive survivor.</w:t>
      </w:r>
      <w:r>
        <w:t xml:space="preserve"> Its present state licenses one weak negative inference: no past input drove it outside its survival basin. It has no internal degrees of freedom that were reconfigured. It is a threshold detector that has never fired, and its output is one bit that has always read the same value.</w:t>
      </w:r>
    </w:p>
    <w:p w14:paraId="02E40BC3" w14:textId="77777777" w:rsidR="00937C4A" w:rsidRDefault="00000000">
      <w:pPr>
        <w:pStyle w:val="BodyText"/>
      </w:pPr>
      <w:r>
        <w:rPr>
          <w:b/>
          <w:bCs/>
        </w:rPr>
        <w:t>A cairn is a primitive recorder.</w:t>
      </w:r>
      <w:r>
        <w:t xml:space="preserve"> It has interfaces. Under sub-toppling excitation those interfaces micro-slip: contacts open and close, force chains reroute, the active contact graph changes. The cairn that stands after the event is not the cairn that stood before it, and the difference is readable — in rocking frequencies, in local compliance, in acoustic response, in the toppling threshold itself. A completely unchanged cairn is only a survivor. </w:t>
      </w:r>
      <w:r>
        <w:rPr>
          <w:b/>
          <w:bCs/>
        </w:rPr>
        <w:t>A subtly rearranged cairn is a memory device.</w:t>
      </w:r>
    </w:p>
    <w:p w14:paraId="01A3DE82" w14:textId="77777777" w:rsidR="00937C4A" w:rsidRDefault="00000000">
      <w:pPr>
        <w:pStyle w:val="BodyText"/>
      </w:pPr>
      <w:r>
        <w:rPr>
          <w:b/>
          <w:bCs/>
        </w:rPr>
        <w:t>A neocortical microcircuit is an adaptive recorder with a write gate.</w:t>
      </w:r>
      <w:r>
        <w:t xml:space="preserve"> It does not merely undergo perturbation; it regulates whether a perturbation is written, through inhibition, neuromodulation, synaptic tagging, competitive allocation, homeostasis, replay and consolidation. Chapter 22 takes up that gate.</w:t>
      </w:r>
    </w:p>
    <w:p w14:paraId="069BCA38" w14:textId="77777777" w:rsidR="00937C4A" w:rsidRDefault="00000000">
      <w:pPr>
        <w:pStyle w:val="Heading3"/>
      </w:pPr>
      <w:bookmarkStart w:id="97" w:name="a-common-write-equation"/>
      <w:r>
        <w:rPr>
          <w:rFonts w:ascii="Noto Sans" w:eastAsia="Noto Sans" w:hAnsi="Noto Sans"/>
        </w:rPr>
        <w:t>20.1 A common write equation</w:t>
      </w:r>
    </w:p>
    <w:p w14:paraId="21A9782B" w14:textId="77777777" w:rsidR="00937C4A" w:rsidRDefault="00000000">
      <w:r>
        <w:t xml:space="preserve">For the cairn, let </w:t>
      </w: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κ</m:t>
            </m:r>
          </m:e>
        </m:d>
      </m:oMath>
      <w:r>
        <w:t xml:space="preserve"> — configuration, velocities, active contact graph, contact-force state, and material parameters. An excitation history </w:t>
      </w:r>
      <m:oMath>
        <m:r>
          <w:rPr>
            <w:rFonts w:ascii="Cambria Math" w:hAnsi="Cambria Math"/>
          </w:rPr>
          <m:t>u</m:t>
        </m:r>
      </m:oMath>
      <w:r>
        <w:t xml:space="preserve"> generates a hybrid trajectory </w:t>
      </w:r>
      <m:oMath>
        <m:sSubSup>
          <m:sSubSupPr>
            <m:ctrlPr>
              <w:rPr>
                <w:rFonts w:ascii="Cambria Math" w:hAnsi="Cambria Math"/>
              </w:rPr>
            </m:ctrlPr>
          </m:sSubSupPr>
          <m:e>
            <m:r>
              <w:rPr>
                <w:rFonts w:ascii="Cambria Math" w:hAnsi="Cambria Math"/>
              </w:rPr>
              <m:t>Φ</m:t>
            </m:r>
          </m:e>
          <m:sub>
            <m:r>
              <w:rPr>
                <w:rFonts w:ascii="Cambria Math" w:hAnsi="Cambria Math"/>
              </w:rPr>
              <m:t>u</m:t>
            </m:r>
          </m:sub>
          <m:sup>
            <m:r>
              <w:rPr>
                <w:rFonts w:ascii="Cambria Math" w:hAnsi="Cambria Math"/>
              </w:rPr>
              <m:t>T</m:t>
            </m:r>
          </m:sup>
        </m:sSubSup>
      </m:oMath>
      <w:r>
        <w:t xml:space="preserve">. The stored trace is not the terminal state but its </w:t>
      </w:r>
      <w:r>
        <w:rPr>
          <w:b/>
          <w:bCs/>
        </w:rPr>
        <w:t>slow structural projection</w:t>
      </w:r>
      <w:r>
        <w:t>:</w:t>
      </w:r>
    </w:p>
    <w:p w14:paraId="7D73C850"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rock</m:t>
              </m:r>
            </m:sub>
          </m:sSub>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slow</m:t>
              </m:r>
            </m:sub>
          </m:sSub>
          <m:r>
            <w:rPr>
              <w:rFonts w:ascii="Cambria Math" w:hAnsi="Cambria Math"/>
            </w:rPr>
            <m:t> </m:t>
          </m:r>
          <m:sSubSup>
            <m:sSubSupPr>
              <m:ctrlPr>
                <w:rPr>
                  <w:rFonts w:ascii="Cambria Math" w:hAnsi="Cambria Math"/>
                </w:rPr>
              </m:ctrlPr>
            </m:sSubSupPr>
            <m:e>
              <m:r>
                <w:rPr>
                  <w:rFonts w:ascii="Cambria Math" w:hAnsi="Cambria Math"/>
                </w:rPr>
                <m:t>Φ</m:t>
              </m:r>
            </m:e>
            <m:sub>
              <m:r>
                <w:rPr>
                  <w:rFonts w:ascii="Cambria Math" w:hAnsi="Cambria Math"/>
                </w:rPr>
                <m:t>u</m:t>
              </m:r>
            </m:sub>
            <m:sup>
              <m:r>
                <w:rPr>
                  <w:rFonts w:ascii="Cambria Math" w:hAnsi="Cambria Math"/>
                </w:rPr>
                <m:t>T</m:t>
              </m:r>
            </m:sup>
          </m:sSubSup>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d>
          <m:r>
            <m:rPr>
              <m:sty m:val="p"/>
            </m:rPr>
            <w:rPr>
              <w:rFonts w:ascii="Cambria Math" w:hAnsi="Cambria Math"/>
            </w:rPr>
            <m:t>,</m:t>
          </m:r>
        </m:oMath>
      </m:oMathPara>
    </w:p>
    <w:p w14:paraId="5DD8AE68" w14:textId="77777777" w:rsidR="00937C4A" w:rsidRDefault="00000000">
      <w:r>
        <w:t xml:space="preserve">retaining </w:t>
      </w:r>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T</m:t>
            </m:r>
          </m:e>
        </m:d>
      </m:oMath>
      <w:r>
        <w:t xml:space="preserve">, </w:t>
      </w:r>
      <m:oMath>
        <m:r>
          <w:rPr>
            <w:rFonts w:ascii="Cambria Math" w:hAnsi="Cambria Math"/>
          </w:rPr>
          <m:t>q</m:t>
        </m:r>
        <m:d>
          <m:dPr>
            <m:ctrlPr>
              <w:rPr>
                <w:rFonts w:ascii="Cambria Math" w:hAnsi="Cambria Math"/>
              </w:rPr>
            </m:ctrlPr>
          </m:dPr>
          <m:e>
            <m:r>
              <w:rPr>
                <w:rFonts w:ascii="Cambria Math" w:hAnsi="Cambria Math"/>
              </w:rPr>
              <m:t>T</m:t>
            </m:r>
          </m:e>
        </m:d>
      </m:oMath>
      <w:r>
        <w:t>, residual contact forces, micro-slip history, contact damage.</w:t>
      </w:r>
    </w:p>
    <w:p w14:paraId="5CA7A3AC" w14:textId="77777777" w:rsidR="00937C4A" w:rsidRDefault="00000000">
      <w:pPr>
        <w:pStyle w:val="BodyText"/>
      </w:pPr>
      <w:r>
        <w:t xml:space="preserve">For a cortical microcircuit, let </w:t>
      </w:r>
      <m:oMath>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ζ</m:t>
            </m:r>
          </m:e>
        </m:d>
      </m:oMath>
      <w:r>
        <w:t xml:space="preserve"> — fast activity, synaptic weights, effective connectivity, intrinsic excitability, slower molecular and structural variables. An episode </w:t>
      </w:r>
      <m:oMath>
        <m:r>
          <w:rPr>
            <w:rFonts w:ascii="Cambria Math" w:hAnsi="Cambria Math"/>
          </w:rPr>
          <m:t>e</m:t>
        </m:r>
      </m:oMath>
      <w:r>
        <w:t xml:space="preserve"> generates </w:t>
      </w:r>
      <m:oMath>
        <m:sSubSup>
          <m:sSubSupPr>
            <m:ctrlPr>
              <w:rPr>
                <w:rFonts w:ascii="Cambria Math" w:hAnsi="Cambria Math"/>
              </w:rPr>
            </m:ctrlPr>
          </m:sSubSupPr>
          <m:e>
            <m:r>
              <w:rPr>
                <w:rFonts w:ascii="Cambria Math" w:hAnsi="Cambria Math"/>
              </w:rPr>
              <m:t>Ψ</m:t>
            </m:r>
          </m:e>
          <m:sub>
            <m:r>
              <w:rPr>
                <w:rFonts w:ascii="Cambria Math" w:hAnsi="Cambria Math"/>
              </w:rPr>
              <m:t>e</m:t>
            </m:r>
          </m:sub>
          <m:sup>
            <m:r>
              <w:rPr>
                <w:rFonts w:ascii="Cambria Math" w:hAnsi="Cambria Math"/>
              </w:rPr>
              <m:t>T</m:t>
            </m:r>
          </m:sup>
        </m:sSubSup>
      </m:oMath>
      <w:r>
        <w:t>, and</w:t>
      </w:r>
    </w:p>
    <w:p w14:paraId="263ED9CC"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cortex</m:t>
              </m:r>
            </m:sub>
          </m:sSub>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slow</m:t>
              </m:r>
            </m:sub>
          </m:sSub>
          <m:r>
            <w:rPr>
              <w:rFonts w:ascii="Cambria Math" w:hAnsi="Cambria Math"/>
            </w:rPr>
            <m:t> </m:t>
          </m:r>
          <m:sSubSup>
            <m:sSubSupPr>
              <m:ctrlPr>
                <w:rPr>
                  <w:rFonts w:ascii="Cambria Math" w:hAnsi="Cambria Math"/>
                </w:rPr>
              </m:ctrlPr>
            </m:sSubSupPr>
            <m:e>
              <m:r>
                <w:rPr>
                  <w:rFonts w:ascii="Cambria Math" w:hAnsi="Cambria Math"/>
                </w:rPr>
                <m:t>Ψ</m:t>
              </m:r>
            </m:e>
            <m:sub>
              <m:r>
                <w:rPr>
                  <w:rFonts w:ascii="Cambria Math" w:hAnsi="Cambria Math"/>
                </w:rPr>
                <m:t>e</m:t>
              </m:r>
            </m:sub>
            <m:sup>
              <m:r>
                <w:rPr>
                  <w:rFonts w:ascii="Cambria Math" w:hAnsi="Cambria Math"/>
                </w:rPr>
                <m:t>T</m:t>
              </m:r>
            </m:sup>
          </m:sSub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e>
          </m:d>
          <m:r>
            <m:rPr>
              <m:sty m:val="p"/>
            </m:rPr>
            <w:rPr>
              <w:rFonts w:ascii="Cambria Math" w:hAnsi="Cambria Math"/>
            </w:rPr>
            <m:t>.</m:t>
          </m:r>
        </m:oMath>
      </m:oMathPara>
    </w:p>
    <w:p w14:paraId="5436388E" w14:textId="77777777" w:rsidR="00937C4A" w:rsidRDefault="00000000">
      <w:r>
        <w:t>Both have the same abstract form:</w:t>
      </w:r>
    </w:p>
    <w:p w14:paraId="3F248A6F" w14:textId="77777777" w:rsidR="00937C4A" w:rsidRDefault="00000000">
      <w:pPr>
        <w:pStyle w:val="BodyText"/>
        <w:spacing w:before="100" w:after="140"/>
        <w:jc w:val="center"/>
      </w:pPr>
      <m:oMathPara>
        <m:oMathParaPr>
          <m:jc m:val="center"/>
        </m:oMathParaPr>
        <m:oMath>
          <m:borderBox>
            <m:borderBoxPr>
              <m:ctrlPr>
                <w:rPr>
                  <w:rFonts w:ascii="Cambria Math" w:hAnsi="Cambria Math"/>
                </w:rPr>
              </m:ctrlPr>
            </m:borderBoxPr>
            <m:e>
              <m:r>
                <w:rPr>
                  <w:rFonts w:ascii="Cambria Math" w:hAnsi="Cambria Math"/>
                </w:rPr>
                <m:t> M</m:t>
              </m:r>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slow</m:t>
                  </m:r>
                </m:sub>
              </m:sSub>
              <m:r>
                <w:rPr>
                  <w:rFonts w:ascii="Cambria Math" w:hAnsi="Cambria Math"/>
                </w:rPr>
                <m:t> </m:t>
              </m:r>
              <m:sSubSup>
                <m:sSubSupPr>
                  <m:ctrlPr>
                    <w:rPr>
                      <w:rFonts w:ascii="Cambria Math" w:hAnsi="Cambria Math"/>
                    </w:rPr>
                  </m:ctrlPr>
                </m:sSubSupPr>
                <m:e>
                  <m:r>
                    <w:rPr>
                      <w:rFonts w:ascii="Cambria Math" w:hAnsi="Cambria Math"/>
                    </w:rPr>
                    <m:t>Φ</m:t>
                  </m:r>
                </m:e>
                <m:sub>
                  <m:r>
                    <w:rPr>
                      <w:rFonts w:ascii="Cambria Math" w:hAnsi="Cambria Math"/>
                    </w:rPr>
                    <m:t>e</m:t>
                  </m:r>
                </m:sub>
                <m:sup>
                  <m:r>
                    <w:rPr>
                      <w:rFonts w:ascii="Cambria Math" w:hAnsi="Cambria Math"/>
                    </w:rPr>
                    <m:t>T</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t>
              </m:r>
              <m:r>
                <w:rPr>
                  <w:rFonts w:ascii="Cambria Math" w:hAnsi="Cambria Math"/>
                </w:rPr>
                <m:t> </m:t>
              </m:r>
            </m:e>
          </m:borderBox>
        </m:oMath>
      </m:oMathPara>
    </w:p>
    <w:p w14:paraId="77DF9EE9" w14:textId="77777777" w:rsidR="00937C4A" w:rsidRDefault="00000000">
      <w:r>
        <w:t>The fast trajectory is gone in both cases. What persists is a change in disposition.</w:t>
      </w:r>
    </w:p>
    <w:p w14:paraId="58E041A3" w14:textId="77777777" w:rsidR="00937C4A" w:rsidRDefault="00000000">
      <w:pPr>
        <w:pStyle w:val="Heading3"/>
      </w:pPr>
      <w:bookmarkStart w:id="98" w:name="memory-as-a-changed-future"/>
      <w:bookmarkEnd w:id="97"/>
      <w:r>
        <w:rPr>
          <w:rFonts w:ascii="Noto Sans" w:eastAsia="Noto Sans" w:hAnsi="Noto Sans"/>
        </w:rPr>
        <w:t>20.2 Memory as a changed future</w:t>
      </w:r>
    </w:p>
    <w:p w14:paraId="2E42E0C2" w14:textId="77777777" w:rsidR="00937C4A" w:rsidRDefault="00000000">
      <w:r>
        <w:t xml:space="preserve">Let </w:t>
      </w:r>
      <m:oMath>
        <m:r>
          <w:rPr>
            <w:rFonts w:ascii="Cambria Math" w:hAnsi="Cambria Math"/>
          </w:rPr>
          <m:t>c</m:t>
        </m:r>
      </m:oMath>
      <w:r>
        <w:t xml:space="preserve"> be a later probe — a small mechanical tap, or a partial sensory cue — and </w:t>
      </w:r>
      <m:oMath>
        <m:r>
          <w:rPr>
            <w:rFonts w:ascii="Cambria Math" w:hAnsi="Cambria Math"/>
          </w:rPr>
          <m:t>R</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oMath>
      <w:r>
        <w:t xml:space="preserve"> the response. The event </w:t>
      </w:r>
      <m:oMath>
        <m:r>
          <w:rPr>
            <w:rFonts w:ascii="Cambria Math" w:hAnsi="Cambria Math"/>
          </w:rPr>
          <m:t>e</m:t>
        </m:r>
      </m:oMath>
      <w:r>
        <w:t xml:space="preserve"> has been remembered when</w:t>
      </w:r>
    </w:p>
    <w:p w14:paraId="56B54472"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e</m:t>
              </m:r>
            </m:sub>
          </m:sSub>
          <m:r>
            <w:rPr>
              <w:rFonts w:ascii="Cambria Math" w:hAnsi="Cambria Math"/>
            </w:rPr>
            <m:t>R</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t>
          </m:r>
          <m:r>
            <w:rPr>
              <w:rFonts w:ascii="Cambria Math" w:hAnsi="Cambria Math"/>
            </w:rPr>
            <m:t>0</m:t>
          </m:r>
        </m:oMath>
      </m:oMathPara>
    </w:p>
    <w:p w14:paraId="030FBEAE" w14:textId="77777777" w:rsidR="00937C4A" w:rsidRDefault="00000000">
      <w:r>
        <w:t>for at least one admissible probe.</w:t>
      </w:r>
    </w:p>
    <w:p w14:paraId="0E12D6F5" w14:textId="77777777" w:rsidR="00937C4A" w:rsidRDefault="00000000">
      <w:pPr>
        <w:pStyle w:val="BodyText"/>
        <w:spacing w:before="100" w:after="140"/>
        <w:jc w:val="center"/>
      </w:pPr>
      <m:oMathPara>
        <m:oMathParaPr>
          <m:jc m:val="center"/>
        </m:oMathParaPr>
        <m:oMath>
          <m:borderBox>
            <m:borderBoxPr>
              <m:ctrlPr>
                <w:rPr>
                  <w:rFonts w:ascii="Cambria Math" w:hAnsi="Cambria Math"/>
                </w:rPr>
              </m:ctrlPr>
            </m:borderBoxPr>
            <m:e>
              <m:r>
                <w:rPr>
                  <w:rFonts w:ascii="Cambria Math" w:hAnsi="Cambria Math"/>
                </w:rPr>
                <m:t> </m:t>
              </m:r>
              <m:r>
                <m:rPr>
                  <m:nor/>
                </m:rPr>
                <m:t>A system remembers an event when the event changes its response to the future.</m:t>
              </m:r>
              <m:r>
                <w:rPr>
                  <w:rFonts w:ascii="Cambria Math" w:hAnsi="Cambria Math"/>
                </w:rPr>
                <m:t> </m:t>
              </m:r>
            </m:e>
          </m:borderBox>
        </m:oMath>
      </m:oMathPara>
    </w:p>
    <w:p w14:paraId="03CD1BE6" w14:textId="77777777" w:rsidR="00937C4A" w:rsidRDefault="00000000">
      <w:r>
        <w:t xml:space="preserve">This definition is operational, applies unchanged to stone and to cortex, and has the useful property that it makes </w:t>
      </w:r>
      <w:r>
        <w:rPr>
          <w:i/>
          <w:iCs/>
        </w:rPr>
        <w:t>persistence</w:t>
      </w:r>
      <w:r>
        <w:t xml:space="preserve"> insufficient. The tor fails it.</w:t>
      </w:r>
    </w:p>
    <w:p w14:paraId="6EB3F515" w14:textId="77777777" w:rsidR="00937C4A" w:rsidRDefault="00000000">
      <w:pPr>
        <w:pStyle w:val="Heading3"/>
      </w:pPr>
      <w:bookmarkStart w:id="99" w:name="the-correspondence-table-with-its-limits"/>
      <w:bookmarkEnd w:id="98"/>
      <w:r>
        <w:rPr>
          <w:rFonts w:ascii="Noto Sans" w:eastAsia="Noto Sans" w:hAnsi="Noto Sans"/>
        </w:rPr>
        <w:lastRenderedPageBreak/>
        <w:t>20.3 The correspondence table, with its limits</w:t>
      </w:r>
    </w:p>
    <w:tbl>
      <w:tblPr>
        <w:tblStyle w:val="TableGrid"/>
        <w:tblW w:w="9400" w:type="dxa"/>
        <w:jc w:val="center"/>
        <w:tblLayout w:type="fixed"/>
        <w:tblLook w:val="04A0" w:firstRow="1" w:lastRow="0" w:firstColumn="1" w:lastColumn="0" w:noHBand="0" w:noVBand="1"/>
      </w:tblPr>
      <w:tblGrid>
        <w:gridCol w:w="4700"/>
        <w:gridCol w:w="4700"/>
      </w:tblGrid>
      <w:tr w:rsidR="00937C4A" w14:paraId="35F2B060" w14:textId="77777777">
        <w:trPr>
          <w:cantSplit/>
          <w:tblHeader/>
          <w:jc w:val="center"/>
        </w:trPr>
        <w:tc>
          <w:tcPr>
            <w:tcW w:w="4700" w:type="dxa"/>
            <w:shd w:val="clear" w:color="auto" w:fill="495A65"/>
            <w:tcMar>
              <w:top w:w="55" w:type="dxa"/>
              <w:left w:w="65" w:type="dxa"/>
              <w:bottom w:w="55" w:type="dxa"/>
              <w:right w:w="65" w:type="dxa"/>
            </w:tcMar>
            <w:vAlign w:val="center"/>
          </w:tcPr>
          <w:p w14:paraId="08CE1F1E" w14:textId="77777777" w:rsidR="00937C4A" w:rsidRDefault="00000000">
            <w:pPr>
              <w:spacing w:after="0" w:line="240" w:lineRule="auto"/>
              <w:jc w:val="center"/>
            </w:pPr>
            <w:r>
              <w:rPr>
                <w:rFonts w:ascii="Noto Sans" w:hAnsi="Noto Sans"/>
                <w:b/>
                <w:color w:val="FFFFFF"/>
                <w:sz w:val="16"/>
              </w:rPr>
              <w:t>Cairn mechanics</w:t>
            </w:r>
          </w:p>
        </w:tc>
        <w:tc>
          <w:tcPr>
            <w:tcW w:w="4700" w:type="dxa"/>
            <w:shd w:val="clear" w:color="auto" w:fill="495A65"/>
            <w:tcMar>
              <w:top w:w="55" w:type="dxa"/>
              <w:left w:w="65" w:type="dxa"/>
              <w:bottom w:w="55" w:type="dxa"/>
              <w:right w:w="65" w:type="dxa"/>
            </w:tcMar>
            <w:vAlign w:val="center"/>
          </w:tcPr>
          <w:p w14:paraId="668C785F" w14:textId="77777777" w:rsidR="00937C4A" w:rsidRDefault="00000000">
            <w:pPr>
              <w:spacing w:after="0" w:line="240" w:lineRule="auto"/>
              <w:jc w:val="center"/>
            </w:pPr>
            <w:r>
              <w:rPr>
                <w:rFonts w:ascii="Noto Sans" w:hAnsi="Noto Sans"/>
                <w:b/>
                <w:color w:val="FFFFFF"/>
                <w:sz w:val="16"/>
              </w:rPr>
              <w:t>Cortical microcircuit</w:t>
            </w:r>
          </w:p>
        </w:tc>
      </w:tr>
      <w:tr w:rsidR="00937C4A" w14:paraId="415B68D5" w14:textId="77777777">
        <w:trPr>
          <w:cantSplit/>
          <w:jc w:val="center"/>
        </w:trPr>
        <w:tc>
          <w:tcPr>
            <w:tcW w:w="4700" w:type="dxa"/>
            <w:tcMar>
              <w:top w:w="55" w:type="dxa"/>
              <w:left w:w="65" w:type="dxa"/>
              <w:bottom w:w="55" w:type="dxa"/>
              <w:right w:w="65" w:type="dxa"/>
            </w:tcMar>
            <w:vAlign w:val="center"/>
          </w:tcPr>
          <w:p w14:paraId="3A6520E0" w14:textId="77777777" w:rsidR="00937C4A" w:rsidRDefault="00000000">
            <w:pPr>
              <w:spacing w:after="0" w:line="240" w:lineRule="auto"/>
              <w:jc w:val="center"/>
            </w:pPr>
            <w:r>
              <w:rPr>
                <w:rFonts w:ascii="Noto Sans" w:hAnsi="Noto Sans"/>
                <w:sz w:val="16"/>
              </w:rPr>
              <w:t>stone or rigid sub-block</w:t>
            </w:r>
          </w:p>
        </w:tc>
        <w:tc>
          <w:tcPr>
            <w:tcW w:w="4700" w:type="dxa"/>
            <w:tcMar>
              <w:top w:w="55" w:type="dxa"/>
              <w:left w:w="65" w:type="dxa"/>
              <w:bottom w:w="55" w:type="dxa"/>
              <w:right w:w="65" w:type="dxa"/>
            </w:tcMar>
            <w:vAlign w:val="center"/>
          </w:tcPr>
          <w:p w14:paraId="54AB0E96" w14:textId="77777777" w:rsidR="00937C4A" w:rsidRDefault="00000000">
            <w:pPr>
              <w:spacing w:after="0" w:line="240" w:lineRule="auto"/>
              <w:jc w:val="center"/>
            </w:pPr>
            <w:r>
              <w:rPr>
                <w:rFonts w:ascii="Noto Sans" w:hAnsi="Noto Sans"/>
                <w:sz w:val="16"/>
              </w:rPr>
              <w:t>neuron, dendritic compartment, local assembly</w:t>
            </w:r>
          </w:p>
        </w:tc>
      </w:tr>
      <w:tr w:rsidR="00937C4A" w14:paraId="66217347" w14:textId="77777777">
        <w:trPr>
          <w:cantSplit/>
          <w:jc w:val="center"/>
        </w:trPr>
        <w:tc>
          <w:tcPr>
            <w:tcW w:w="4700" w:type="dxa"/>
            <w:shd w:val="clear" w:color="auto" w:fill="F4F6F7"/>
            <w:tcMar>
              <w:top w:w="55" w:type="dxa"/>
              <w:left w:w="65" w:type="dxa"/>
              <w:bottom w:w="55" w:type="dxa"/>
              <w:right w:w="65" w:type="dxa"/>
            </w:tcMar>
            <w:vAlign w:val="center"/>
          </w:tcPr>
          <w:p w14:paraId="6AD19323" w14:textId="77777777" w:rsidR="00937C4A" w:rsidRDefault="00000000">
            <w:pPr>
              <w:spacing w:after="0" w:line="240" w:lineRule="auto"/>
              <w:jc w:val="center"/>
            </w:pPr>
            <w:r>
              <w:rPr>
                <w:rFonts w:ascii="Noto Sans" w:hAnsi="Noto Sans"/>
                <w:sz w:val="16"/>
              </w:rPr>
              <w:t>contact interface</w:t>
            </w:r>
          </w:p>
        </w:tc>
        <w:tc>
          <w:tcPr>
            <w:tcW w:w="4700" w:type="dxa"/>
            <w:shd w:val="clear" w:color="auto" w:fill="F4F6F7"/>
            <w:tcMar>
              <w:top w:w="55" w:type="dxa"/>
              <w:left w:w="65" w:type="dxa"/>
              <w:bottom w:w="55" w:type="dxa"/>
              <w:right w:w="65" w:type="dxa"/>
            </w:tcMar>
            <w:vAlign w:val="center"/>
          </w:tcPr>
          <w:p w14:paraId="050684CE" w14:textId="77777777" w:rsidR="00937C4A" w:rsidRDefault="00000000">
            <w:pPr>
              <w:spacing w:after="0" w:line="240" w:lineRule="auto"/>
              <w:jc w:val="center"/>
            </w:pPr>
            <w:r>
              <w:rPr>
                <w:rFonts w:ascii="Noto Sans" w:hAnsi="Noto Sans"/>
                <w:sz w:val="16"/>
              </w:rPr>
              <w:t>synapse or effective recurrent coupling</w:t>
            </w:r>
          </w:p>
        </w:tc>
      </w:tr>
      <w:tr w:rsidR="00937C4A" w14:paraId="33FBC7A9" w14:textId="77777777">
        <w:trPr>
          <w:cantSplit/>
          <w:jc w:val="center"/>
        </w:trPr>
        <w:tc>
          <w:tcPr>
            <w:tcW w:w="4700" w:type="dxa"/>
            <w:tcMar>
              <w:top w:w="55" w:type="dxa"/>
              <w:left w:w="65" w:type="dxa"/>
              <w:bottom w:w="55" w:type="dxa"/>
              <w:right w:w="65" w:type="dxa"/>
            </w:tcMar>
            <w:vAlign w:val="center"/>
          </w:tcPr>
          <w:p w14:paraId="2C505D96" w14:textId="77777777" w:rsidR="00937C4A" w:rsidRDefault="00000000">
            <w:pPr>
              <w:spacing w:after="0" w:line="240" w:lineRule="auto"/>
              <w:jc w:val="center"/>
            </w:pPr>
            <w:r>
              <w:rPr>
                <w:rFonts w:ascii="Noto Sans" w:hAnsi="Noto Sans"/>
                <w:sz w:val="16"/>
              </w:rPr>
              <w:t>contact force</w:t>
            </w:r>
          </w:p>
        </w:tc>
        <w:tc>
          <w:tcPr>
            <w:tcW w:w="4700" w:type="dxa"/>
            <w:tcMar>
              <w:top w:w="55" w:type="dxa"/>
              <w:left w:w="65" w:type="dxa"/>
              <w:bottom w:w="55" w:type="dxa"/>
              <w:right w:w="65" w:type="dxa"/>
            </w:tcMar>
            <w:vAlign w:val="center"/>
          </w:tcPr>
          <w:p w14:paraId="22230176" w14:textId="77777777" w:rsidR="00937C4A" w:rsidRDefault="00000000">
            <w:pPr>
              <w:spacing w:after="0" w:line="240" w:lineRule="auto"/>
              <w:jc w:val="center"/>
            </w:pPr>
            <w:r>
              <w:rPr>
                <w:rFonts w:ascii="Noto Sans" w:hAnsi="Noto Sans"/>
                <w:sz w:val="16"/>
              </w:rPr>
              <w:t>synaptic efficacy, causal influence</w:t>
            </w:r>
          </w:p>
        </w:tc>
      </w:tr>
      <w:tr w:rsidR="00937C4A" w14:paraId="4B337ED3" w14:textId="77777777">
        <w:trPr>
          <w:cantSplit/>
          <w:jc w:val="center"/>
        </w:trPr>
        <w:tc>
          <w:tcPr>
            <w:tcW w:w="4700" w:type="dxa"/>
            <w:shd w:val="clear" w:color="auto" w:fill="F4F6F7"/>
            <w:tcMar>
              <w:top w:w="55" w:type="dxa"/>
              <w:left w:w="65" w:type="dxa"/>
              <w:bottom w:w="55" w:type="dxa"/>
              <w:right w:w="65" w:type="dxa"/>
            </w:tcMar>
            <w:vAlign w:val="center"/>
          </w:tcPr>
          <w:p w14:paraId="5D277649" w14:textId="77777777" w:rsidR="00937C4A" w:rsidRDefault="00000000">
            <w:pPr>
              <w:spacing w:after="0" w:line="240" w:lineRule="auto"/>
              <w:jc w:val="center"/>
            </w:pPr>
            <w:r>
              <w:rPr>
                <w:rFonts w:ascii="Noto Sans" w:hAnsi="Noto Sans"/>
                <w:sz w:val="16"/>
              </w:rPr>
              <w:t>friction, restitution</w:t>
            </w:r>
          </w:p>
        </w:tc>
        <w:tc>
          <w:tcPr>
            <w:tcW w:w="4700" w:type="dxa"/>
            <w:shd w:val="clear" w:color="auto" w:fill="F4F6F7"/>
            <w:tcMar>
              <w:top w:w="55" w:type="dxa"/>
              <w:left w:w="65" w:type="dxa"/>
              <w:bottom w:w="55" w:type="dxa"/>
              <w:right w:w="65" w:type="dxa"/>
            </w:tcMar>
            <w:vAlign w:val="center"/>
          </w:tcPr>
          <w:p w14:paraId="4DF1AAD5" w14:textId="77777777" w:rsidR="00937C4A" w:rsidRDefault="00000000">
            <w:pPr>
              <w:spacing w:after="0" w:line="240" w:lineRule="auto"/>
              <w:jc w:val="center"/>
            </w:pPr>
            <w:r>
              <w:rPr>
                <w:rFonts w:ascii="Noto Sans" w:hAnsi="Noto Sans"/>
                <w:sz w:val="16"/>
              </w:rPr>
              <w:t>inhibition, adaptation, refractory reset, homeostasis</w:t>
            </w:r>
          </w:p>
        </w:tc>
      </w:tr>
      <w:tr w:rsidR="00937C4A" w14:paraId="319788FC" w14:textId="77777777">
        <w:trPr>
          <w:cantSplit/>
          <w:jc w:val="center"/>
        </w:trPr>
        <w:tc>
          <w:tcPr>
            <w:tcW w:w="4700" w:type="dxa"/>
            <w:tcMar>
              <w:top w:w="55" w:type="dxa"/>
              <w:left w:w="65" w:type="dxa"/>
              <w:bottom w:w="55" w:type="dxa"/>
              <w:right w:w="65" w:type="dxa"/>
            </w:tcMar>
            <w:vAlign w:val="center"/>
          </w:tcPr>
          <w:p w14:paraId="11954F81" w14:textId="77777777" w:rsidR="00937C4A" w:rsidRDefault="00000000">
            <w:pPr>
              <w:spacing w:after="0" w:line="240" w:lineRule="auto"/>
              <w:jc w:val="center"/>
            </w:pPr>
            <w:r>
              <w:rPr>
                <w:rFonts w:ascii="Noto Sans" w:hAnsi="Noto Sans"/>
                <w:sz w:val="16"/>
              </w:rPr>
              <w:t>force chain</w:t>
            </w:r>
          </w:p>
        </w:tc>
        <w:tc>
          <w:tcPr>
            <w:tcW w:w="4700" w:type="dxa"/>
            <w:tcMar>
              <w:top w:w="55" w:type="dxa"/>
              <w:left w:w="65" w:type="dxa"/>
              <w:bottom w:w="55" w:type="dxa"/>
              <w:right w:w="65" w:type="dxa"/>
            </w:tcMar>
            <w:vAlign w:val="center"/>
          </w:tcPr>
          <w:p w14:paraId="2817BC17" w14:textId="77777777" w:rsidR="00937C4A" w:rsidRDefault="00000000">
            <w:pPr>
              <w:spacing w:after="0" w:line="240" w:lineRule="auto"/>
              <w:jc w:val="center"/>
            </w:pPr>
            <w:r>
              <w:rPr>
                <w:rFonts w:ascii="Noto Sans" w:hAnsi="Noto Sans"/>
                <w:sz w:val="16"/>
              </w:rPr>
              <w:t>causal pathway through layers</w:t>
            </w:r>
          </w:p>
        </w:tc>
      </w:tr>
      <w:tr w:rsidR="00937C4A" w14:paraId="68BCAB6A" w14:textId="77777777">
        <w:trPr>
          <w:cantSplit/>
          <w:jc w:val="center"/>
        </w:trPr>
        <w:tc>
          <w:tcPr>
            <w:tcW w:w="4700" w:type="dxa"/>
            <w:shd w:val="clear" w:color="auto" w:fill="F4F6F7"/>
            <w:tcMar>
              <w:top w:w="55" w:type="dxa"/>
              <w:left w:w="65" w:type="dxa"/>
              <w:bottom w:w="55" w:type="dxa"/>
              <w:right w:w="65" w:type="dxa"/>
            </w:tcMar>
            <w:vAlign w:val="center"/>
          </w:tcPr>
          <w:p w14:paraId="1D6F0217" w14:textId="77777777" w:rsidR="00937C4A" w:rsidRDefault="00000000">
            <w:pPr>
              <w:spacing w:after="0" w:line="240" w:lineRule="auto"/>
              <w:jc w:val="center"/>
            </w:pPr>
            <w:r>
              <w:rPr>
                <w:rFonts w:ascii="Noto Sans" w:hAnsi="Noto Sans"/>
                <w:sz w:val="16"/>
              </w:rPr>
              <w:t>rocking mode</w:t>
            </w:r>
          </w:p>
        </w:tc>
        <w:tc>
          <w:tcPr>
            <w:tcW w:w="4700" w:type="dxa"/>
            <w:shd w:val="clear" w:color="auto" w:fill="F4F6F7"/>
            <w:tcMar>
              <w:top w:w="55" w:type="dxa"/>
              <w:left w:w="65" w:type="dxa"/>
              <w:bottom w:w="55" w:type="dxa"/>
              <w:right w:w="65" w:type="dxa"/>
            </w:tcMar>
            <w:vAlign w:val="center"/>
          </w:tcPr>
          <w:p w14:paraId="46AFFE54" w14:textId="77777777" w:rsidR="00937C4A" w:rsidRDefault="00000000">
            <w:pPr>
              <w:spacing w:after="0" w:line="240" w:lineRule="auto"/>
              <w:jc w:val="center"/>
            </w:pPr>
            <w:r>
              <w:rPr>
                <w:rFonts w:ascii="Noto Sans" w:hAnsi="Noto Sans"/>
                <w:sz w:val="16"/>
              </w:rPr>
              <w:t>transient population-activity mode</w:t>
            </w:r>
          </w:p>
        </w:tc>
      </w:tr>
      <w:tr w:rsidR="00937C4A" w14:paraId="7FCF25C5" w14:textId="77777777">
        <w:trPr>
          <w:cantSplit/>
          <w:jc w:val="center"/>
        </w:trPr>
        <w:tc>
          <w:tcPr>
            <w:tcW w:w="4700" w:type="dxa"/>
            <w:tcMar>
              <w:top w:w="55" w:type="dxa"/>
              <w:left w:w="65" w:type="dxa"/>
              <w:bottom w:w="55" w:type="dxa"/>
              <w:right w:w="65" w:type="dxa"/>
            </w:tcMar>
            <w:vAlign w:val="center"/>
          </w:tcPr>
          <w:p w14:paraId="2908E59D" w14:textId="77777777" w:rsidR="00937C4A" w:rsidRDefault="00000000">
            <w:pPr>
              <w:spacing w:after="0" w:line="240" w:lineRule="auto"/>
              <w:jc w:val="center"/>
            </w:pPr>
            <w:r>
              <w:rPr>
                <w:rFonts w:ascii="Noto Sans" w:hAnsi="Noto Sans"/>
                <w:sz w:val="16"/>
              </w:rPr>
              <w:t>contact opening / creation</w:t>
            </w:r>
          </w:p>
        </w:tc>
        <w:tc>
          <w:tcPr>
            <w:tcW w:w="4700" w:type="dxa"/>
            <w:tcMar>
              <w:top w:w="55" w:type="dxa"/>
              <w:left w:w="65" w:type="dxa"/>
              <w:bottom w:w="55" w:type="dxa"/>
              <w:right w:w="65" w:type="dxa"/>
            </w:tcMar>
            <w:vAlign w:val="center"/>
          </w:tcPr>
          <w:p w14:paraId="555D8549" w14:textId="77777777" w:rsidR="00937C4A" w:rsidRDefault="00000000">
            <w:pPr>
              <w:spacing w:after="0" w:line="240" w:lineRule="auto"/>
              <w:jc w:val="center"/>
            </w:pPr>
            <w:r>
              <w:rPr>
                <w:rFonts w:ascii="Noto Sans" w:hAnsi="Noto Sans"/>
                <w:sz w:val="16"/>
              </w:rPr>
              <w:t>synaptic weakening / strengthening, spine turnover</w:t>
            </w:r>
          </w:p>
        </w:tc>
      </w:tr>
      <w:tr w:rsidR="00937C4A" w14:paraId="49DF1074" w14:textId="77777777">
        <w:trPr>
          <w:cantSplit/>
          <w:jc w:val="center"/>
        </w:trPr>
        <w:tc>
          <w:tcPr>
            <w:tcW w:w="4700" w:type="dxa"/>
            <w:shd w:val="clear" w:color="auto" w:fill="F4F6F7"/>
            <w:tcMar>
              <w:top w:w="55" w:type="dxa"/>
              <w:left w:w="65" w:type="dxa"/>
              <w:bottom w:w="55" w:type="dxa"/>
              <w:right w:w="65" w:type="dxa"/>
            </w:tcMar>
            <w:vAlign w:val="center"/>
          </w:tcPr>
          <w:p w14:paraId="48E8F81E" w14:textId="77777777" w:rsidR="00937C4A" w:rsidRDefault="00000000">
            <w:pPr>
              <w:spacing w:after="0" w:line="240" w:lineRule="auto"/>
              <w:jc w:val="center"/>
            </w:pPr>
            <w:r>
              <w:rPr>
                <w:rFonts w:ascii="Noto Sans" w:hAnsi="Noto Sans"/>
                <w:sz w:val="16"/>
              </w:rPr>
              <w:t>earthquake waveform</w:t>
            </w:r>
          </w:p>
        </w:tc>
        <w:tc>
          <w:tcPr>
            <w:tcW w:w="4700" w:type="dxa"/>
            <w:shd w:val="clear" w:color="auto" w:fill="F4F6F7"/>
            <w:tcMar>
              <w:top w:w="55" w:type="dxa"/>
              <w:left w:w="65" w:type="dxa"/>
              <w:bottom w:w="55" w:type="dxa"/>
              <w:right w:w="65" w:type="dxa"/>
            </w:tcMar>
            <w:vAlign w:val="center"/>
          </w:tcPr>
          <w:p w14:paraId="2C8372FD" w14:textId="77777777" w:rsidR="00937C4A" w:rsidRDefault="00000000">
            <w:pPr>
              <w:spacing w:after="0" w:line="240" w:lineRule="auto"/>
              <w:jc w:val="center"/>
            </w:pPr>
            <w:r>
              <w:rPr>
                <w:rFonts w:ascii="Noto Sans" w:hAnsi="Noto Sans"/>
                <w:sz w:val="16"/>
              </w:rPr>
              <w:t>sensory, emotional, hippocampal, neuromodulatory input</w:t>
            </w:r>
          </w:p>
        </w:tc>
      </w:tr>
      <w:tr w:rsidR="00937C4A" w14:paraId="4EF8A111" w14:textId="77777777">
        <w:trPr>
          <w:cantSplit/>
          <w:jc w:val="center"/>
        </w:trPr>
        <w:tc>
          <w:tcPr>
            <w:tcW w:w="4700" w:type="dxa"/>
            <w:tcMar>
              <w:top w:w="55" w:type="dxa"/>
              <w:left w:w="65" w:type="dxa"/>
              <w:bottom w:w="55" w:type="dxa"/>
              <w:right w:w="65" w:type="dxa"/>
            </w:tcMar>
            <w:vAlign w:val="center"/>
          </w:tcPr>
          <w:p w14:paraId="0D8702FE" w14:textId="77777777" w:rsidR="00937C4A" w:rsidRDefault="00000000">
            <w:pPr>
              <w:spacing w:after="0" w:line="240" w:lineRule="auto"/>
              <w:jc w:val="center"/>
            </w:pPr>
            <w:r>
              <w:rPr>
                <w:rFonts w:ascii="Noto Sans" w:hAnsi="Noto Sans"/>
                <w:sz w:val="16"/>
              </w:rPr>
              <w:t>residual post-shock geometry</w:t>
            </w:r>
          </w:p>
        </w:tc>
        <w:tc>
          <w:tcPr>
            <w:tcW w:w="4700" w:type="dxa"/>
            <w:tcMar>
              <w:top w:w="55" w:type="dxa"/>
              <w:left w:w="65" w:type="dxa"/>
              <w:bottom w:w="55" w:type="dxa"/>
              <w:right w:w="65" w:type="dxa"/>
            </w:tcMar>
            <w:vAlign w:val="center"/>
          </w:tcPr>
          <w:p w14:paraId="0F8A7D61" w14:textId="77777777" w:rsidR="00937C4A" w:rsidRDefault="00000000">
            <w:pPr>
              <w:spacing w:after="0" w:line="240" w:lineRule="auto"/>
              <w:jc w:val="center"/>
            </w:pPr>
            <w:r>
              <w:rPr>
                <w:rFonts w:ascii="Noto Sans" w:hAnsi="Noto Sans"/>
                <w:sz w:val="16"/>
              </w:rPr>
              <w:t>persistent engram-related configuration</w:t>
            </w:r>
          </w:p>
        </w:tc>
      </w:tr>
      <w:tr w:rsidR="00937C4A" w14:paraId="7FD90399" w14:textId="77777777">
        <w:trPr>
          <w:cantSplit/>
          <w:jc w:val="center"/>
        </w:trPr>
        <w:tc>
          <w:tcPr>
            <w:tcW w:w="4700" w:type="dxa"/>
            <w:shd w:val="clear" w:color="auto" w:fill="F4F6F7"/>
            <w:tcMar>
              <w:top w:w="55" w:type="dxa"/>
              <w:left w:w="65" w:type="dxa"/>
              <w:bottom w:w="55" w:type="dxa"/>
              <w:right w:w="65" w:type="dxa"/>
            </w:tcMar>
            <w:vAlign w:val="center"/>
          </w:tcPr>
          <w:p w14:paraId="3347F72C" w14:textId="77777777" w:rsidR="00937C4A" w:rsidRDefault="00000000">
            <w:pPr>
              <w:spacing w:after="0" w:line="240" w:lineRule="auto"/>
              <w:jc w:val="center"/>
            </w:pPr>
            <w:r>
              <w:rPr>
                <w:rFonts w:ascii="Noto Sans" w:hAnsi="Noto Sans"/>
                <w:sz w:val="16"/>
              </w:rPr>
              <w:t>a later tap</w:t>
            </w:r>
          </w:p>
        </w:tc>
        <w:tc>
          <w:tcPr>
            <w:tcW w:w="4700" w:type="dxa"/>
            <w:shd w:val="clear" w:color="auto" w:fill="F4F6F7"/>
            <w:tcMar>
              <w:top w:w="55" w:type="dxa"/>
              <w:left w:w="65" w:type="dxa"/>
              <w:bottom w:w="55" w:type="dxa"/>
              <w:right w:w="65" w:type="dxa"/>
            </w:tcMar>
            <w:vAlign w:val="center"/>
          </w:tcPr>
          <w:p w14:paraId="6AE21F56" w14:textId="77777777" w:rsidR="00937C4A" w:rsidRDefault="00000000">
            <w:pPr>
              <w:spacing w:after="0" w:line="240" w:lineRule="auto"/>
              <w:jc w:val="center"/>
            </w:pPr>
            <w:r>
              <w:rPr>
                <w:rFonts w:ascii="Noto Sans" w:hAnsi="Noto Sans"/>
                <w:sz w:val="16"/>
              </w:rPr>
              <w:t>a partial retrieval cue</w:t>
            </w:r>
          </w:p>
        </w:tc>
      </w:tr>
    </w:tbl>
    <w:p w14:paraId="436C115F" w14:textId="77777777" w:rsidR="00937C4A" w:rsidRDefault="00000000">
      <w:pPr>
        <w:pStyle w:val="BodyText"/>
      </w:pPr>
      <w:r>
        <w:rPr>
          <w:rFonts w:ascii="Noto Sans" w:eastAsia="Noto Sans" w:hAnsi="Noto Sans"/>
          <w:b/>
          <w:bCs/>
          <w:color w:val="216F72"/>
          <w:sz w:val="19"/>
        </w:rPr>
        <w:t>[I]</w:t>
      </w:r>
      <w:r>
        <w:t xml:space="preserve"> — and the limits must be stated in the same breath. The stack is a model of a metastable multilayered local circuit; it is not a claim that cortical layers behave mechanically like piled rocks. The cortical column, whatever its organisational reality, is embedded in extensive horizontal, feedback and long-range connectivity that the cairn has no analogue for. Anyone who reads this table as an identity rather than a formal analogy has misread it, and I have tried to make that misreading difficult by tagging the whole of Part VI.</w:t>
      </w:r>
    </w:p>
    <w:p w14:paraId="23E34F0B" w14:textId="77777777" w:rsidR="00937C4A" w:rsidRDefault="00000000">
      <w:pPr>
        <w:pStyle w:val="Heading3"/>
      </w:pPr>
      <w:bookmarkStart w:id="100" w:name="what-the-analogy-buys"/>
      <w:bookmarkEnd w:id="99"/>
      <w:r>
        <w:rPr>
          <w:rFonts w:ascii="Noto Sans" w:eastAsia="Noto Sans" w:hAnsi="Noto Sans"/>
        </w:rPr>
        <w:t>20.4 What the analogy buys</w:t>
      </w:r>
    </w:p>
    <w:p w14:paraId="625C1131" w14:textId="77777777" w:rsidR="00937C4A" w:rsidRDefault="00000000">
      <w:r>
        <w:t>Three things, and they are the reason Part VI is in this book rather than in a different one.</w:t>
      </w:r>
    </w:p>
    <w:p w14:paraId="010C677C" w14:textId="77777777" w:rsidR="00937C4A" w:rsidRDefault="00000000">
      <w:pPr>
        <w:pStyle w:val="BodyText"/>
      </w:pPr>
      <w:r>
        <w:rPr>
          <w:b/>
          <w:bCs/>
        </w:rPr>
        <w:t>A definition of what is stored.</w:t>
      </w:r>
      <w:r>
        <w:t xml:space="preserve"> Chapter 21: the trace is not the event but an equivalence class of events,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e</m:t>
                </m:r>
              </m:e>
            </m:d>
          </m:e>
          <m:sub>
            <m:sSub>
              <m:sSubPr>
                <m:ctrlPr>
                  <w:rPr>
                    <w:rFonts w:ascii="Cambria Math" w:hAnsi="Cambria Math"/>
                  </w:rPr>
                </m:ctrlPr>
              </m:sSubPr>
              <m:e>
                <m:r>
                  <w:rPr>
                    <w:rFonts w:ascii="Cambria Math" w:hAnsi="Cambria Math"/>
                  </w:rPr>
                  <m:t>X</m:t>
                </m:r>
              </m:e>
              <m:sub>
                <m:r>
                  <w:rPr>
                    <w:rFonts w:ascii="Cambria Math" w:hAnsi="Cambria Math"/>
                  </w:rPr>
                  <m:t>0</m:t>
                </m:r>
              </m:sub>
            </m:sSub>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t>
        </m:r>
      </m:oMath>
      <w:r>
        <w:t>. Many waveforms produce the same contact rearrangement; many episodes produce the same persistent reorganisation. Reconstruction and confabulation are then the same phenomenon — selection of a plausible representative from a class wider than the original.</w:t>
      </w:r>
    </w:p>
    <w:p w14:paraId="53EABBFD" w14:textId="77777777" w:rsidR="00937C4A" w:rsidRDefault="00000000">
      <w:pPr>
        <w:pStyle w:val="BodyText"/>
      </w:pPr>
      <w:r>
        <w:rPr>
          <w:b/>
          <w:bCs/>
        </w:rPr>
        <w:t>A criterion for identity under drift.</w:t>
      </w:r>
      <w:r>
        <w:t xml:space="preserve"> Chapter 21, §3: exact firing patterns drift, weights drift, neurons enter and leave ensembles. A memory that is identified with a </w:t>
      </w:r>
      <w:r>
        <w:rPr>
          <w:i/>
          <w:iCs/>
        </w:rPr>
        <w:t>point</w:t>
      </w:r>
      <w:r>
        <w:t xml:space="preserve"> in state space cannot survive this; a memory identified with the </w:t>
      </w:r>
      <w:r>
        <w:rPr>
          <w:b/>
          <w:bCs/>
        </w:rPr>
        <w:t>continuation class of an isolated invariant set</w:t>
      </w:r>
      <w:r>
        <w:t xml:space="preserve"> can. With the logical direction kept disciplined: </w:t>
      </w:r>
      <m:oMath>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oMath>
      <w:r>
        <w:t xml:space="preserve"> </w:t>
      </w:r>
      <w:r>
        <w:rPr>
          <w:i/>
          <w:iCs/>
        </w:rPr>
        <w:t>proves</w:t>
      </w:r>
      <w:r>
        <w:t xml:space="preserve"> no isolation-preserving continuation exists, but equal indices do not prove equal memories.</w:t>
      </w:r>
    </w:p>
    <w:p w14:paraId="6F3ABEBC" w14:textId="77777777" w:rsidR="00937C4A" w:rsidRDefault="00000000">
      <w:pPr>
        <w:pStyle w:val="BodyText"/>
      </w:pPr>
      <w:r>
        <w:rPr>
          <w:b/>
          <w:bCs/>
        </w:rPr>
        <w:t>A distinction between two kinds of failure.</w:t>
      </w:r>
      <w:r>
        <w:t xml:space="preserve"> Chapter 19’s two obstruction levels transfer directly: local traces that cannot be matched pairwise, versus local traces that match pairwise but not coherently around triples. The second is a memory that is locally plausible everywhere and globally about nothing. That is a testable prediction (Chapter 23, Prediction 3) and it is not obviously predicted by any standard account.</w:t>
      </w:r>
    </w:p>
    <w:p w14:paraId="3BB43832" w14:textId="77777777" w:rsidR="00937C4A" w:rsidRDefault="00000000">
      <w:pPr>
        <w:pStyle w:val="Heading2"/>
        <w:pageBreakBefore/>
        <w:pBdr>
          <w:bottom w:val="single" w:sz="5" w:space="5" w:color="B8C1C6"/>
        </w:pBdr>
        <w:spacing w:after="280"/>
      </w:pPr>
      <w:bookmarkStart w:id="101" w:name="X21428ae7185bda158842e5cf4d3a7df71c81a32"/>
      <w:bookmarkEnd w:id="96"/>
      <w:bookmarkEnd w:id="100"/>
      <w:r>
        <w:rPr>
          <w:rFonts w:ascii="EB Garamond" w:eastAsia="EB Garamond" w:hAnsi="EB Garamond"/>
          <w:sz w:val="40"/>
        </w:rPr>
        <w:lastRenderedPageBreak/>
        <w:t>Chapter 21 — Memory as an Equivalence Class of Causes</w:t>
      </w:r>
    </w:p>
    <w:p w14:paraId="0BDCA06C" w14:textId="77777777" w:rsidR="00937C4A" w:rsidRDefault="00000000">
      <w:pPr>
        <w:pStyle w:val="CairnChapterBrief"/>
        <w:pBdr>
          <w:left w:val="single" w:sz="10" w:space="8" w:color="5B7D91"/>
        </w:pBdr>
        <w:shd w:val="clear" w:color="auto" w:fill="F5F7F8"/>
        <w:spacing w:before="100"/>
      </w:pPr>
      <w:r>
        <w:rPr>
          <w:iCs/>
          <w:color w:val="4E5357"/>
        </w:rPr>
        <w:t>Chapter brief. Full text remains to be written in the next manuscript installment.</w:t>
      </w:r>
    </w:p>
    <w:p w14:paraId="2A0302F0" w14:textId="77777777" w:rsidR="00937C4A" w:rsidRDefault="00000000">
      <w:pPr>
        <w:pStyle w:val="BodyText"/>
      </w:p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e</m:t>
                </m:r>
              </m:e>
            </m:d>
          </m:e>
          <m:sub>
            <m:sSub>
              <m:sSubPr>
                <m:ctrlPr>
                  <w:rPr>
                    <w:rFonts w:ascii="Cambria Math" w:hAnsi="Cambria Math"/>
                  </w:rPr>
                </m:ctrlPr>
              </m:sSubPr>
              <m:e>
                <m:r>
                  <w:rPr>
                    <w:rFonts w:ascii="Cambria Math" w:hAnsi="Cambria Math"/>
                  </w:rPr>
                  <m:t>X</m:t>
                </m:r>
              </m:e>
              <m:sub>
                <m:r>
                  <w:rPr>
                    <w:rFonts w:ascii="Cambria Math" w:hAnsi="Cambria Math"/>
                  </w:rPr>
                  <m:t>0</m:t>
                </m:r>
              </m:sub>
            </m:sSub>
          </m:sub>
        </m:sSub>
      </m:oMath>
      <w:r>
        <w:t xml:space="preserve"> and the non-invertibility of writing; recall as a probabilistic profunctor </w:t>
      </w:r>
      <m:oMath>
        <m:r>
          <m:rPr>
            <m:scr m:val="script"/>
            <m:sty m:val="p"/>
          </m:rPr>
          <w:rPr>
            <w:rFonts w:ascii="Cambria Math" w:hAnsi="Cambria Math"/>
          </w:rPr>
          <m:t>R:</m:t>
        </m:r>
        <m:sSup>
          <m:sSupPr>
            <m:ctrlPr>
              <w:rPr>
                <w:rFonts w:ascii="Cambria Math" w:hAnsi="Cambria Math"/>
              </w:rPr>
            </m:ctrlPr>
          </m:sSupPr>
          <m:e>
            <m:r>
              <m:rPr>
                <m:scr m:val="script"/>
                <m:sty m:val="p"/>
              </m:rPr>
              <w:rPr>
                <w:rFonts w:ascii="Cambria Math" w:hAnsi="Cambria Math"/>
              </w:rPr>
              <m:t>M</m:t>
            </m:r>
          </m:e>
          <m:sup>
            <m:r>
              <m:rPr>
                <m:sty m:val="p"/>
              </m:rPr>
              <w:rPr>
                <w:rFonts w:ascii="Cambria Math" w:hAnsi="Cambria Math"/>
              </w:rPr>
              <m:t>op</m:t>
            </m:r>
          </m:sup>
        </m:sSup>
        <m:r>
          <m:rPr>
            <m:scr m:val="script"/>
            <m:sty m:val="p"/>
          </m:rPr>
          <w:rPr>
            <w:rFonts w:ascii="Cambria Math" w:hAnsi="Cambria Math"/>
          </w:rPr>
          <m:t>×E→</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with </w:t>
      </w:r>
      <m:oMath>
        <m:r>
          <m:rPr>
            <m:scr m:val="script"/>
            <m:sty m:val="p"/>
          </m:rPr>
          <w:rPr>
            <w:rFonts w:ascii="Cambria Math" w:hAnsi="Cambria Math"/>
          </w:rPr>
          <m:t>R</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M</m:t>
            </m:r>
            <m:r>
              <m:rPr>
                <m:sty m:val="p"/>
              </m:rPr>
              <w:rPr>
                <w:rFonts w:ascii="Cambria Math" w:hAnsi="Cambria Math"/>
              </w:rPr>
              <m:t>,</m:t>
            </m:r>
            <m:r>
              <m:rPr>
                <m:nor/>
              </m:rPr>
              <m:t>cue</m:t>
            </m:r>
            <m:r>
              <m:rPr>
                <m:sty m:val="p"/>
              </m:rPr>
              <w:rPr>
                <w:rFonts w:ascii="Cambria Math" w:hAnsi="Cambria Math"/>
              </w:rPr>
              <m:t>,</m:t>
            </m:r>
            <m:r>
              <m:rPr>
                <m:nor/>
              </m:rPr>
              <m:t>context</m:t>
            </m:r>
          </m:e>
        </m:d>
      </m:oMath>
      <w:r>
        <w:t xml:space="preserve"> — formally the same inverse problem as </w:t>
      </w:r>
      <m:oMath>
        <m:r>
          <w:rPr>
            <w:rFonts w:ascii="Cambria Math" w:hAnsi="Cambria Math"/>
          </w:rPr>
          <m:t>P</m:t>
        </m:r>
        <m:d>
          <m:dPr>
            <m:ctrlPr>
              <w:rPr>
                <w:rFonts w:ascii="Cambria Math" w:hAnsi="Cambria Math"/>
              </w:rPr>
            </m:ctrlPr>
          </m:dPr>
          <m:e>
            <m:r>
              <m:rPr>
                <m:nor/>
              </m:rPr>
              <m:t>earthquake</m:t>
            </m:r>
            <m:r>
              <m:rPr>
                <m:sty m:val="p"/>
              </m:rPr>
              <w:rPr>
                <w:rFonts w:ascii="Cambria Math" w:hAnsi="Cambria Math"/>
              </w:rPr>
              <m:t>∣</m:t>
            </m:r>
            <m:r>
              <m:rPr>
                <m:nor/>
              </m:rPr>
              <m:t>present contact state</m:t>
            </m:r>
          </m:e>
        </m:d>
      </m:oMath>
      <w:r>
        <w:t xml:space="preserve">. Order-dependence: </w:t>
      </w:r>
      <m:oMath>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e</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e</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e</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e</m:t>
                </m:r>
              </m:e>
              <m:sub>
                <m:r>
                  <w:rPr>
                    <w:rFonts w:ascii="Cambria Math" w:hAnsi="Cambria Math"/>
                  </w:rPr>
                  <m:t>2</m:t>
                </m:r>
              </m:sub>
            </m:sSub>
          </m:sub>
        </m:sSub>
      </m:oMath>
      <w:r>
        <w:t xml:space="preserve">, representing interference, priming, reconsolidation, path-dependent damage. Memory as the 2-equivalence class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e</m:t>
                    </m:r>
                  </m:sub>
                </m:sSub>
              </m:e>
            </m:d>
          </m:e>
          <m:sub>
            <m:r>
              <w:rPr>
                <w:rFonts w:ascii="Cambria Math" w:hAnsi="Cambria Math"/>
              </w:rPr>
              <m:t>2</m:t>
            </m:r>
          </m:sub>
        </m:sSub>
      </m:oMath>
      <w:r>
        <w:t xml:space="preserve">. </w:t>
      </w:r>
      <w:r>
        <w:rPr>
          <w:b/>
          <w:bCs/>
        </w:rPr>
        <w:t>[I]/[C]</w:t>
      </w:r>
    </w:p>
    <w:p w14:paraId="50947166" w14:textId="77777777" w:rsidR="00937C4A" w:rsidRDefault="00000000">
      <w:pPr>
        <w:pStyle w:val="Heading2"/>
        <w:pageBreakBefore/>
        <w:pBdr>
          <w:bottom w:val="single" w:sz="5" w:space="5" w:color="B8C1C6"/>
        </w:pBdr>
        <w:spacing w:after="280"/>
      </w:pPr>
      <w:bookmarkStart w:id="102" w:name="chapter-22-the-write-gate"/>
      <w:bookmarkEnd w:id="101"/>
      <w:r>
        <w:rPr>
          <w:rFonts w:ascii="EB Garamond" w:eastAsia="EB Garamond" w:hAnsi="EB Garamond"/>
          <w:sz w:val="40"/>
        </w:rPr>
        <w:lastRenderedPageBreak/>
        <w:t>Chapter 22 — The Write Gate</w:t>
      </w:r>
    </w:p>
    <w:p w14:paraId="69CF4971" w14:textId="77777777" w:rsidR="00937C4A" w:rsidRDefault="00000000">
      <w:pPr>
        <w:pStyle w:val="CairnChapterBrief"/>
        <w:pBdr>
          <w:left w:val="single" w:sz="10" w:space="8" w:color="5B7D91"/>
        </w:pBdr>
        <w:shd w:val="clear" w:color="auto" w:fill="F5F7F8"/>
        <w:spacing w:before="100"/>
      </w:pPr>
      <w:r>
        <w:rPr>
          <w:iCs/>
          <w:color w:val="4E5357"/>
        </w:rPr>
        <w:t>Chapter brief. Full text remains to be written in the next manuscript installment.</w:t>
      </w:r>
    </w:p>
    <w:p w14:paraId="504169C3" w14:textId="77777777" w:rsidR="00937C4A" w:rsidRDefault="00000000">
      <w:pPr>
        <w:pStyle w:val="BodyText"/>
      </w:pPr>
      <w:r>
        <w:t xml:space="preserve">The decisive asymmetry: </w:t>
      </w:r>
      <m:oMath>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e>
        </m:d>
        <m:r>
          <w:rPr>
            <w:rFonts w:ascii="Cambria Math" w:hAnsi="Cambria Math"/>
          </w:rPr>
          <m:t> ΔW</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e>
        </m:d>
      </m:oMath>
      <w:r>
        <w:t xml:space="preserve"> with </w:t>
      </w:r>
      <m:oMath>
        <m:r>
          <w:rPr>
            <w:rFonts w:ascii="Cambria Math" w:hAnsi="Cambria Math"/>
          </w:rPr>
          <m:t>G</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The geological cairn remembers accidentally. The cortical cairn decides which earthquakes are allowed to become history. Consequences for the mode picture: not one scalar learning threshold but a family </w:t>
      </w:r>
      <m:oMath>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cr</m:t>
            </m:r>
          </m:sup>
        </m:sSub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w:r>
        <w:t xml:space="preserve"> over write modes, with the episode selecting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cr</m:t>
            </m:r>
          </m:sup>
        </m:sSubSup>
        <m:d>
          <m:dPr>
            <m:ctrlPr>
              <w:rPr>
                <w:rFonts w:ascii="Cambria Math" w:hAnsi="Cambria Math"/>
              </w:rPr>
            </m:ctrlPr>
          </m:dPr>
          <m:e>
            <m:r>
              <w:rPr>
                <w:rFonts w:ascii="Cambria Math" w:hAnsi="Cambria Math"/>
              </w:rPr>
              <m:t>e</m:t>
            </m:r>
          </m:e>
        </m:d>
      </m:oMath>
      <w:r>
        <w:t xml:space="preserve"> — the exact analogue of Chapter 8’s replacement of scalar </w:t>
      </w:r>
      <m:oMath>
        <m:r>
          <w:rPr>
            <w:rFonts w:ascii="Cambria Math" w:hAnsi="Cambria Math"/>
          </w:rPr>
          <m:t>α</m:t>
        </m:r>
      </m:oMath>
      <w:r>
        <w:t xml:space="preserve"> by a mechanism cone, and subject to the same basis-dependence caution. </w:t>
      </w:r>
      <w:r>
        <w:rPr>
          <w:rFonts w:ascii="Noto Sans" w:eastAsia="Noto Sans" w:hAnsi="Noto Sans"/>
          <w:b/>
          <w:bCs/>
          <w:color w:val="A95B00"/>
          <w:sz w:val="19"/>
        </w:rPr>
        <w:t>[C]</w:t>
      </w:r>
    </w:p>
    <w:p w14:paraId="78834563" w14:textId="77777777" w:rsidR="00937C4A" w:rsidRDefault="00000000">
      <w:pPr>
        <w:pStyle w:val="Heading2"/>
        <w:pageBreakBefore/>
        <w:pBdr>
          <w:bottom w:val="single" w:sz="5" w:space="5" w:color="B8C1C6"/>
        </w:pBdr>
        <w:spacing w:after="280"/>
      </w:pPr>
      <w:bookmarkStart w:id="103" w:name="chapter-23-five-falsifiable-predictions"/>
      <w:bookmarkEnd w:id="102"/>
      <w:r>
        <w:rPr>
          <w:rFonts w:ascii="EB Garamond" w:eastAsia="EB Garamond" w:hAnsi="EB Garamond"/>
          <w:sz w:val="40"/>
        </w:rPr>
        <w:lastRenderedPageBreak/>
        <w:t>Chapter 23 — Five Falsifiable Predictions</w:t>
      </w:r>
    </w:p>
    <w:p w14:paraId="5F09E837" w14:textId="77777777" w:rsidR="00937C4A" w:rsidRDefault="00000000">
      <w:pPr>
        <w:pStyle w:val="CairnChapterBrief"/>
        <w:pBdr>
          <w:left w:val="single" w:sz="10" w:space="8" w:color="5B7D91"/>
        </w:pBdr>
        <w:shd w:val="clear" w:color="auto" w:fill="F5F7F8"/>
        <w:spacing w:before="100"/>
      </w:pPr>
      <w:r>
        <w:rPr>
          <w:iCs/>
          <w:color w:val="4E5357"/>
        </w:rPr>
        <w:t>Chapter brief. Full text remains to be written in the next manuscript installment.</w:t>
      </w:r>
    </w:p>
    <w:p w14:paraId="1A1E6C8F" w14:textId="77777777" w:rsidR="00937C4A" w:rsidRDefault="00000000">
      <w:pPr>
        <w:numPr>
          <w:ilvl w:val="0"/>
          <w:numId w:val="29"/>
        </w:numPr>
      </w:pPr>
      <w:r>
        <w:rPr>
          <w:b/>
          <w:bCs/>
        </w:rPr>
        <w:t>Topology changes before mean activity does.</w:t>
      </w:r>
      <w:r>
        <w:t xml:space="preserve"> Near an allocation transition,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of the outcome space splits or merges while mean rate and ensemble size vary smoothly. </w:t>
      </w:r>
      <w:r>
        <w:rPr>
          <w:i/>
          <w:iCs/>
        </w:rPr>
        <w:t>(This is Chapter 10’s conjecture in neural clothing — and Chapter 10 is a warning about how easy it is to see this when it is not there. Any test must carry the six-point protocol of §10.4.)</w:t>
      </w:r>
    </w:p>
    <w:p w14:paraId="1C3776FA" w14:textId="77777777" w:rsidR="00937C4A" w:rsidRDefault="00000000">
      <w:pPr>
        <w:numPr>
          <w:ilvl w:val="0"/>
          <w:numId w:val="29"/>
        </w:numPr>
      </w:pPr>
      <w:r>
        <w:rPr>
          <w:b/>
          <w:bCs/>
        </w:rPr>
        <w:t>Memories survive microscopic replacement.</w:t>
      </w:r>
      <w:r>
        <w:t xml:space="preserve"> Moderate synaptic turnover preserves recall while the invariant organisation remains inside a common isolating neighbourhood; loss of continuation predicts abrupt loss better than weight-space distance.</w:t>
      </w:r>
    </w:p>
    <w:p w14:paraId="16DC242C" w14:textId="77777777" w:rsidR="00937C4A" w:rsidRDefault="00000000">
      <w:pPr>
        <w:numPr>
          <w:ilvl w:val="0"/>
          <w:numId w:val="29"/>
        </w:numPr>
      </w:pPr>
      <w:r>
        <w:rPr>
          <w:b/>
          <w:bCs/>
        </w:rPr>
        <w:t>Local agreement with global failure.</w:t>
      </w:r>
      <w:r>
        <w:t xml:space="preserve"> Pairwise decoding between regions stays accurate while triple-wise contextual consistency fails — a 2-descent obstruction, not simple information loss.</w:t>
      </w:r>
    </w:p>
    <w:p w14:paraId="16646D2D" w14:textId="77777777" w:rsidR="00937C4A" w:rsidRDefault="00000000">
      <w:pPr>
        <w:numPr>
          <w:ilvl w:val="0"/>
          <w:numId w:val="29"/>
        </w:numPr>
      </w:pPr>
      <w:r>
        <w:rPr>
          <w:b/>
          <w:bCs/>
        </w:rPr>
        <w:t>Memory precision has an uncertainty exponent.</w:t>
      </w:r>
      <w:r>
        <w:t xml:space="preserve"> </w:t>
      </w:r>
      <m:oMath>
        <m:sSub>
          <m:sSubPr>
            <m:ctrlPr>
              <w:rPr>
                <w:rFonts w:ascii="Cambria Math" w:hAnsi="Cambria Math"/>
              </w:rPr>
            </m:ctrlPr>
          </m:sSubPr>
          <m:e>
            <m:r>
              <w:rPr>
                <w:rFonts w:ascii="Cambria Math" w:hAnsi="Cambria Math"/>
              </w:rPr>
              <m:t>γ</m:t>
            </m:r>
          </m:e>
          <m:sub>
            <m:r>
              <m:rPr>
                <m:sty m:val="p"/>
              </m:rPr>
              <w:rPr>
                <w:rFonts w:ascii="Cambria Math" w:hAnsi="Cambria Math"/>
              </w:rPr>
              <m:t>cortex</m:t>
            </m:r>
          </m:sub>
        </m:sSub>
      </m:oMath>
      <w:r>
        <w:t xml:space="preserve"> estimable from allocation flips under </w:t>
      </w:r>
      <m:oMath>
        <m:r>
          <w:rPr>
            <w:rFonts w:ascii="Cambria Math" w:hAnsi="Cambria Math"/>
          </w:rPr>
          <m:t>ϑ</m:t>
        </m:r>
        <m:r>
          <m:rPr>
            <m:sty m:val="p"/>
          </m:rPr>
          <w:rPr>
            <w:rFonts w:ascii="Cambria Math" w:hAnsi="Cambria Math"/>
          </w:rPr>
          <m:t>→</m:t>
        </m:r>
        <m:r>
          <w:rPr>
            <w:rFonts w:ascii="Cambria Math" w:hAnsi="Cambria Math"/>
          </w:rPr>
          <m:t>ϑ</m:t>
        </m:r>
        <m:r>
          <m:rPr>
            <m:sty m:val="p"/>
          </m:rPr>
          <w:rPr>
            <w:rFonts w:ascii="Cambria Math" w:hAnsi="Cambria Math"/>
          </w:rPr>
          <m:t>+</m:t>
        </m:r>
        <m:r>
          <w:rPr>
            <w:rFonts w:ascii="Cambria Math" w:hAnsi="Cambria Math"/>
          </w:rPr>
          <m:t>δϑ</m:t>
        </m:r>
      </m:oMath>
      <w:r>
        <w:t xml:space="preserve">, with the cost-per-bit </w:t>
      </w:r>
      <m:oMath>
        <m:sSup>
          <m:sSupPr>
            <m:ctrlPr>
              <w:rPr>
                <w:rFonts w:ascii="Cambria Math" w:hAnsi="Cambria Math"/>
              </w:rPr>
            </m:ctrlPr>
          </m:sSupPr>
          <m:e>
            <m:r>
              <w:rPr>
                <w:rFonts w:ascii="Cambria Math" w:hAnsi="Cambria Math"/>
              </w:rPr>
              <m:t>2</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cortex</m:t>
                </m:r>
              </m:sub>
            </m:sSub>
          </m:sup>
        </m:sSup>
      </m:oMath>
      <w:r>
        <w:t xml:space="preserve"> — and with the entropy ceiling of Chapter 15 respected: </w:t>
      </w:r>
      <m:oMath>
        <m:r>
          <w:rPr>
            <w:rFonts w:ascii="Cambria Math" w:hAnsi="Cambria Math"/>
          </w:rPr>
          <m:t>I</m:t>
        </m:r>
        <m:d>
          <m:dPr>
            <m:ctrlPr>
              <w:rPr>
                <w:rFonts w:ascii="Cambria Math" w:hAnsi="Cambria Math"/>
              </w:rPr>
            </m:ctrlPr>
          </m:dPr>
          <m:e>
            <m:r>
              <w:rPr>
                <w:rFonts w:ascii="Cambria Math" w:hAnsi="Cambria Math"/>
              </w:rPr>
              <m:t>ϑ</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K</m:t>
        </m:r>
      </m:oMath>
      <w:r>
        <w:t xml:space="preserve"> bits for </w:t>
      </w:r>
      <m:oMath>
        <m:r>
          <w:rPr>
            <w:rFonts w:ascii="Cambria Math" w:hAnsi="Cambria Math"/>
          </w:rPr>
          <m:t>K</m:t>
        </m:r>
      </m:oMath>
      <w:r>
        <w:t xml:space="preserve"> binary readouts, always.</w:t>
      </w:r>
    </w:p>
    <w:p w14:paraId="25BD0BE0" w14:textId="77777777" w:rsidR="00937C4A" w:rsidRDefault="00000000">
      <w:pPr>
        <w:numPr>
          <w:ilvl w:val="0"/>
          <w:numId w:val="29"/>
        </w:numPr>
      </w:pPr>
      <w:r>
        <w:rPr>
          <w:b/>
          <w:bCs/>
        </w:rPr>
        <w:t>Replay repairs topology.</w:t>
      </w:r>
      <w:r>
        <w:t xml:space="preserve"> Successful consolidation reduces persistent local-to-global obstruction classes; disrupted replay leaves fragmented descent data.</w:t>
      </w:r>
    </w:p>
    <w:p w14:paraId="607D5083" w14:textId="77777777" w:rsidR="00937C4A" w:rsidRDefault="00000000">
      <w:r>
        <w:t xml:space="preserve">If </w:t>
      </w:r>
      <m:oMath>
        <m:sSub>
          <m:sSubPr>
            <m:ctrlPr>
              <w:rPr>
                <w:rFonts w:ascii="Cambria Math" w:hAnsi="Cambria Math"/>
              </w:rPr>
            </m:ctrlPr>
          </m:sSubPr>
          <m:e>
            <m:r>
              <w:rPr>
                <w:rFonts w:ascii="Cambria Math" w:hAnsi="Cambria Math"/>
              </w:rPr>
              <m:t>γ</m:t>
            </m:r>
          </m:e>
          <m:sub>
            <m:r>
              <m:rPr>
                <m:sty m:val="p"/>
              </m:rPr>
              <w:rPr>
                <w:rFonts w:ascii="Cambria Math" w:hAnsi="Cambria Math"/>
              </w:rPr>
              <m:t>cortex</m:t>
            </m:r>
          </m:sub>
        </m:sSub>
        <m:r>
          <m:rPr>
            <m:sty m:val="p"/>
          </m:rPr>
          <w:rPr>
            <w:rFonts w:ascii="Cambria Math" w:hAnsi="Cambria Math"/>
          </w:rPr>
          <m:t>≪</m:t>
        </m:r>
        <m:r>
          <w:rPr>
            <w:rFonts w:ascii="Cambria Math" w:hAnsi="Cambria Math"/>
          </w:rPr>
          <m:t>1</m:t>
        </m:r>
      </m:oMath>
      <w:r>
        <w:t xml:space="preserve">, that is not a defect. It may be </w:t>
      </w:r>
      <w:r>
        <w:rPr>
          <w:b/>
          <w:bCs/>
        </w:rPr>
        <w:t>categorical compression</w:t>
      </w:r>
      <w:r>
        <w:t>: metric detail of an event mapped deliberately onto one of several stable meaning classes. A brain that resolved episodes to arbitrary precision would be a brain that could not generalise.</w:t>
      </w:r>
    </w:p>
    <w:p w14:paraId="42869E03" w14:textId="77777777" w:rsidR="00937C4A" w:rsidRDefault="00000000">
      <w:pPr>
        <w:pStyle w:val="Heading1"/>
        <w:pageBreakBefore/>
        <w:spacing w:before="3800" w:after="0"/>
      </w:pPr>
      <w:bookmarkStart w:id="104" w:name="part-vii-closing-1"/>
      <w:bookmarkEnd w:id="95"/>
      <w:bookmarkEnd w:id="103"/>
      <w:r>
        <w:rPr>
          <w:rFonts w:ascii="Noto Sans" w:eastAsia="Noto Sans" w:hAnsi="Noto Sans"/>
          <w:sz w:val="44"/>
        </w:rPr>
        <w:lastRenderedPageBreak/>
        <w:t>PART VII — CLOSING</w:t>
      </w:r>
    </w:p>
    <w:p w14:paraId="4168AC8F" w14:textId="77777777" w:rsidR="00937C4A" w:rsidRDefault="00000000">
      <w:pPr>
        <w:pStyle w:val="Heading2"/>
        <w:pageBreakBefore/>
        <w:pBdr>
          <w:bottom w:val="single" w:sz="5" w:space="5" w:color="B8C1C6"/>
        </w:pBdr>
        <w:spacing w:after="280"/>
      </w:pPr>
      <w:bookmarkStart w:id="105" w:name="chapter-24-the-hampi-programme"/>
      <w:r>
        <w:rPr>
          <w:rFonts w:ascii="EB Garamond" w:eastAsia="EB Garamond" w:hAnsi="EB Garamond"/>
          <w:sz w:val="40"/>
        </w:rPr>
        <w:lastRenderedPageBreak/>
        <w:t>Chapter 24 — The Hampi Programme</w:t>
      </w:r>
    </w:p>
    <w:p w14:paraId="67B0D120" w14:textId="77777777" w:rsidR="00937C4A" w:rsidRDefault="00000000">
      <w:pPr>
        <w:pStyle w:val="CairnChapterBrief"/>
        <w:pBdr>
          <w:left w:val="single" w:sz="10" w:space="8" w:color="5B7D91"/>
        </w:pBdr>
        <w:shd w:val="clear" w:color="auto" w:fill="F5F7F8"/>
        <w:spacing w:before="100"/>
      </w:pPr>
      <w:r>
        <w:rPr>
          <w:iCs/>
          <w:color w:val="4E5357"/>
        </w:rPr>
        <w:t>Chapter brief. Full text remains to be written in the next manuscript installment.</w:t>
      </w:r>
    </w:p>
    <w:p w14:paraId="0553970A" w14:textId="77777777" w:rsidR="00937C4A" w:rsidRDefault="00000000">
      <w:pPr>
        <w:pStyle w:val="BodyText"/>
      </w:pPr>
      <w:r>
        <w:t xml:space="preserve">The full computational and field programme, ordered by what must be done first: contact-model uncertainty quantification before fragility; fragility before identifiability; </w:t>
      </w:r>
      <m:oMath>
        <m:sSub>
          <m:sSubPr>
            <m:ctrlPr>
              <w:rPr>
                <w:rFonts w:ascii="Cambria Math" w:hAnsi="Cambria Math"/>
              </w:rPr>
            </m:ctrlPr>
          </m:sSubPr>
          <m:e>
            <m:r>
              <w:rPr>
                <w:rFonts w:ascii="Cambria Math" w:hAnsi="Cambria Math"/>
              </w:rPr>
              <m:t>λ</m:t>
            </m:r>
          </m:e>
          <m:sub>
            <m:r>
              <m:rPr>
                <m:sty m:val="p"/>
              </m:rPr>
              <w:rPr>
                <w:rFonts w:ascii="Cambria Math" w:hAnsi="Cambria Math"/>
              </w:rPr>
              <m:t>nonseismic</m:t>
            </m:r>
          </m:sub>
        </m:sSub>
      </m:oMath>
      <w:r>
        <w:t xml:space="preserve"> before any survivor-population inference; convergence audits before any topological claim.</w:t>
      </w:r>
    </w:p>
    <w:p w14:paraId="72D60903" w14:textId="77777777" w:rsidR="00937C4A" w:rsidRDefault="00000000">
      <w:pPr>
        <w:pStyle w:val="Heading2"/>
        <w:pageBreakBefore/>
        <w:pBdr>
          <w:bottom w:val="single" w:sz="5" w:space="5" w:color="B8C1C6"/>
        </w:pBdr>
        <w:spacing w:after="280"/>
      </w:pPr>
      <w:bookmarkStart w:id="106" w:name="chapter-25-what-would-falsify-this-book"/>
      <w:bookmarkEnd w:id="105"/>
      <w:r>
        <w:rPr>
          <w:rFonts w:ascii="EB Garamond" w:eastAsia="EB Garamond" w:hAnsi="EB Garamond"/>
          <w:sz w:val="40"/>
        </w:rPr>
        <w:lastRenderedPageBreak/>
        <w:t>Chapter 25 — What Would Falsify This Book</w:t>
      </w:r>
    </w:p>
    <w:p w14:paraId="1824A2A4" w14:textId="77777777" w:rsidR="00937C4A" w:rsidRDefault="00000000">
      <w:pPr>
        <w:pStyle w:val="CairnChapterBrief"/>
        <w:pBdr>
          <w:left w:val="single" w:sz="10" w:space="8" w:color="5B7D91"/>
        </w:pBdr>
        <w:shd w:val="clear" w:color="auto" w:fill="F5F7F8"/>
        <w:spacing w:before="100"/>
      </w:pPr>
      <w:r>
        <w:rPr>
          <w:iCs/>
          <w:color w:val="4E5357"/>
        </w:rPr>
        <w:t>Chapter brief. Full text remains to be written in the next manuscript installment.</w:t>
      </w:r>
    </w:p>
    <w:p w14:paraId="50802C71" w14:textId="77777777" w:rsidR="00937C4A" w:rsidRDefault="00000000">
      <w:pPr>
        <w:pStyle w:val="BodyText"/>
      </w:pPr>
      <w:r>
        <w:t xml:space="preserve">A single table, one row per claim, with the tag, the test, and the outcome that kills it. Including: if </w:t>
      </w:r>
      <m:oMath>
        <m:sSub>
          <m:sSubPr>
            <m:ctrlPr>
              <w:rPr>
                <w:rFonts w:ascii="Cambria Math" w:hAnsi="Cambria Math"/>
              </w:rPr>
            </m:ctrlPr>
          </m:sSubPr>
          <m:e>
            <m:r>
              <w:rPr>
                <w:rFonts w:ascii="Cambria Math" w:hAnsi="Cambria Math"/>
              </w:rPr>
              <m:t>Ω</m:t>
            </m:r>
          </m:e>
          <m:sub>
            <m:r>
              <w:rPr>
                <w:rFonts w:ascii="Cambria Math" w:hAnsi="Cambria Math"/>
              </w:rPr>
              <m:t>j</m:t>
            </m:r>
          </m:sub>
        </m:sSub>
      </m:oMath>
      <w:r>
        <w:t xml:space="preserve"> for the published shake-table suite is distributed on both sides of </w:t>
      </w:r>
      <m:oMath>
        <m:sSub>
          <m:sSubPr>
            <m:ctrlPr>
              <w:rPr>
                <w:rFonts w:ascii="Cambria Math" w:hAnsi="Cambria Math"/>
              </w:rPr>
            </m:ctrlPr>
          </m:sSubPr>
          <m:e>
            <m:r>
              <w:rPr>
                <w:rFonts w:ascii="Cambria Math" w:hAnsi="Cambria Math"/>
              </w:rPr>
              <m:t>Ω</m:t>
            </m:r>
          </m:e>
          <m:sub>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e>
        </m:d>
      </m:oMath>
      <w:r>
        <w:t xml:space="preserve">, Chapter 7’s transport conjecture is dead. If </w:t>
      </w:r>
      <m:oMath>
        <m:r>
          <w:rPr>
            <w:rFonts w:ascii="Cambria Math" w:hAnsi="Cambria Math"/>
          </w:rPr>
          <m:t>γ</m:t>
        </m:r>
        <m:r>
          <m:rPr>
            <m:sty m:val="p"/>
          </m:rPr>
          <w:rPr>
            <w:rFonts w:ascii="Cambria Math" w:hAnsi="Cambria Math"/>
          </w:rPr>
          <m:t>≳</m:t>
        </m:r>
        <m:r>
          <w:rPr>
            <w:rFonts w:ascii="Cambria Math" w:hAnsi="Cambria Math"/>
          </w:rPr>
          <m:t>0.8</m:t>
        </m:r>
      </m:oMath>
      <w:r>
        <w:t xml:space="preserve"> in parameter space, Chapter 15’s remaining conjecture is dead. If the six-point protocol of §10.4 shows no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or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transition at the Melnikov threshold, Chapter 10’s conjecture is dead and Part III loses its motivation. If a two-arm Hampi field shows </w:t>
      </w:r>
      <m:oMath>
        <m:sSub>
          <m:sSubPr>
            <m:ctrlPr>
              <w:rPr>
                <w:rFonts w:ascii="Cambria Math" w:hAnsi="Cambria Math"/>
              </w:rPr>
            </m:ctrlPr>
          </m:sSubPr>
          <m:e>
            <m:r>
              <w:rPr>
                <w:rFonts w:ascii="Cambria Math" w:hAnsi="Cambria Math"/>
              </w:rPr>
              <m:t>λ</m:t>
            </m:r>
          </m:e>
          <m:sub>
            <m:r>
              <m:rPr>
                <m:sty m:val="p"/>
              </m:rPr>
              <w:rPr>
                <w:rFonts w:ascii="Cambria Math" w:hAnsi="Cambria Math"/>
              </w:rPr>
              <m:t>nonseismic</m:t>
            </m:r>
          </m:sub>
        </m:sSub>
      </m:oMath>
      <w:r>
        <w:t xml:space="preserve"> indistinguishable from zero, Chapter 16 is unnecessary and the survivor populations are cleaner than argued.</w:t>
      </w:r>
    </w:p>
    <w:p w14:paraId="6035D419" w14:textId="77777777" w:rsidR="00937C4A" w:rsidRDefault="00000000">
      <w:pPr>
        <w:pStyle w:val="Heading1"/>
        <w:pageBreakBefore/>
        <w:spacing w:before="1900" w:after="440"/>
      </w:pPr>
      <w:bookmarkStart w:id="107" w:name="X841d6ebf444c85f77cb4603bd379a78dfed78a4"/>
      <w:bookmarkEnd w:id="104"/>
      <w:bookmarkEnd w:id="106"/>
      <w:r>
        <w:rPr>
          <w:rFonts w:ascii="Noto Sans" w:eastAsia="Noto Sans" w:hAnsi="Noto Sans"/>
          <w:sz w:val="38"/>
        </w:rPr>
        <w:lastRenderedPageBreak/>
        <w:t>EPILOGUE — RESPECT SCIENCE. IMPORT EMOTION.</w:t>
      </w:r>
    </w:p>
    <w:p w14:paraId="0C16B640" w14:textId="77777777" w:rsidR="00937C4A" w:rsidRDefault="00000000">
      <w:r>
        <w:t>The apron is still there. The langurs will knock over most of the cairns before anyone instruments them.</w:t>
      </w:r>
    </w:p>
    <w:p w14:paraId="5E5A6FB1" w14:textId="77777777" w:rsidR="00937C4A" w:rsidRDefault="00000000">
      <w:pPr>
        <w:pStyle w:val="BodyText"/>
      </w:pPr>
      <w:r>
        <w:t>I want to end on the thing that survives the mathematics, because it is the reason the book has the title it has rather than a title with “fragility” in it.</w:t>
      </w:r>
    </w:p>
    <w:p w14:paraId="4E7BCD37" w14:textId="77777777" w:rsidR="00937C4A" w:rsidRDefault="00000000">
      <w:pPr>
        <w:pStyle w:val="BodyText"/>
      </w:pPr>
      <w:r>
        <w:t xml:space="preserve">The devotee stacking three stones is not making an error that education would fix. They are performing, with their hands, an inference that this book has spent four hundred pages formalising and then partially demolishing: that persistence is transferable, that shape carries stability, that what has lasted will last. That inference is wrong in the specific technical sense established in Chapter 5 — the missing dimensionless group is </w:t>
      </w:r>
      <m:oMath>
        <m:r>
          <w:rPr>
            <w:rFonts w:ascii="Cambria Math" w:hAnsi="Cambria Math"/>
          </w:rPr>
          <m:t>pT</m:t>
        </m:r>
      </m:oMath>
      <w:r>
        <w:t>, and the hands cannot copy a time scale. It is wrong in the deeper sense established in Part I — survival is a projection with fat fibres, and conditioning on it does not identify its cause.</w:t>
      </w:r>
    </w:p>
    <w:p w14:paraId="7E7C90BE" w14:textId="77777777" w:rsidR="00937C4A" w:rsidRDefault="00000000">
      <w:pPr>
        <w:pStyle w:val="BodyText"/>
      </w:pPr>
      <w:r>
        <w:t>And it is, all the same, the inference that every one of us makes about our own lives, continuously, and could not function without. We infer from having survived that we are the kind of thing that survives. The whole apparatus of Conley indices and Laplace transforms in this book is an elaborate machine for saying that this inference is unlicensed — and the machine does not, and cannot, tell anyone to stop making it.</w:t>
      </w:r>
    </w:p>
    <w:p w14:paraId="0BC9BA18" w14:textId="77777777" w:rsidR="00937C4A" w:rsidRDefault="00000000">
      <w:pPr>
        <w:pStyle w:val="BodyText"/>
      </w:pPr>
      <w:r>
        <w:t>What the machine can do is tell you the price. Chapter 15 puts it at roughly a factor of twenty-seven per bit, when the boundary is rough. That is what certainty costs in a world with fractal basins: not unavailable, but expensive at a rate that compounds.</w:t>
      </w:r>
    </w:p>
    <w:p w14:paraId="54F4E1F1" w14:textId="77777777" w:rsidR="00937C4A" w:rsidRDefault="00000000">
      <w:pPr>
        <w:pStyle w:val="BodyText"/>
      </w:pPr>
      <w:r>
        <w:t>There is one more thing, and it is the correction that Part VI is built on. The tors are not the impressive objects on that apron. The tors have merely persisted; they have recorded nothing, and if the ground ever does shake hard enough, they will not have remembered it either, because they will be gone.</w:t>
      </w:r>
    </w:p>
    <w:p w14:paraId="518CAF5E" w14:textId="77777777" w:rsidR="00937C4A" w:rsidRDefault="00000000">
      <w:pPr>
        <w:pStyle w:val="BodyText"/>
      </w:pPr>
      <w:r>
        <w:t xml:space="preserve">The impressive objects are the small ugly leaning ones that got knocked slightly and settled into a new configuration and are now, in a modest and entirely physical sense, </w:t>
      </w:r>
      <w:r>
        <w:rPr>
          <w:i/>
          <w:iCs/>
        </w:rPr>
        <w:t>different because of what happened to them</w:t>
      </w:r>
      <w:r>
        <w:t>. That is what a record is. That is the only thing on the apron that has a past rather than merely a duration.</w:t>
      </w:r>
    </w:p>
    <w:p w14:paraId="1D309AAB" w14:textId="77777777" w:rsidR="00937C4A" w:rsidRDefault="00000000">
      <w:pPr>
        <w:pStyle w:val="BodyText"/>
      </w:pPr>
      <w:r>
        <w:t>We are made of the second kind of object.</w:t>
      </w:r>
    </w:p>
    <w:p w14:paraId="6CAA4CB6" w14:textId="77777777" w:rsidR="00937C4A" w:rsidRDefault="00000000">
      <w:pPr>
        <w:pStyle w:val="Heading1"/>
        <w:pageBreakBefore/>
        <w:spacing w:before="1000"/>
      </w:pPr>
      <w:bookmarkStart w:id="108" w:name="appendix-a-derivations"/>
      <w:bookmarkEnd w:id="107"/>
      <w:r>
        <w:rPr>
          <w:rFonts w:ascii="Noto Sans" w:eastAsia="Noto Sans" w:hAnsi="Noto Sans"/>
        </w:rPr>
        <w:lastRenderedPageBreak/>
        <w:t>APPENDIX A — DERIVATIONS</w:t>
      </w:r>
    </w:p>
    <w:p w14:paraId="5C4DE3F7" w14:textId="77777777" w:rsidR="00937C4A" w:rsidRDefault="00000000">
      <w:pPr>
        <w:pStyle w:val="CairnChapterBrief"/>
        <w:pBdr>
          <w:left w:val="single" w:sz="10" w:space="8" w:color="5B7D91"/>
        </w:pBdr>
        <w:shd w:val="clear" w:color="auto" w:fill="F5F7F8"/>
        <w:spacing w:before="100"/>
      </w:pPr>
      <w:r>
        <w:rPr>
          <w:iCs/>
          <w:color w:val="4E5357"/>
        </w:rPr>
        <w:t>Structured appendix brief. The final publication version will expand each item into a self-contained derivation with assumptions, intermediate steps, and dimensional checks.</w:t>
      </w:r>
    </w:p>
    <w:p w14:paraId="332F72B1" w14:textId="77777777" w:rsidR="00937C4A" w:rsidRDefault="00000000">
      <w:pPr>
        <w:pStyle w:val="Heading2"/>
        <w:spacing w:before="320" w:after="280"/>
        <w:jc w:val="center"/>
      </w:pPr>
      <w:bookmarkStart w:id="109" w:name="a.1-geometry-and-moment-of-inertia"/>
      <w:r>
        <w:rPr>
          <w:rFonts w:ascii="EB Garamond" w:eastAsia="EB Garamond" w:hAnsi="EB Garamond"/>
          <w:color w:val="283037"/>
          <w:sz w:val="34"/>
        </w:rPr>
        <w:t>A.1 Geometry and moment of inertia</w:t>
      </w:r>
    </w:p>
    <w:p w14:paraId="3E4FC2B9" w14:textId="77777777" w:rsidR="00937C4A" w:rsidRDefault="00000000">
      <w:r>
        <w:t xml:space="preserve">Derive </w:t>
      </w:r>
      <m:oMath>
        <m:sSub>
          <m:sSubPr>
            <m:ctrlPr>
              <w:rPr>
                <w:rFonts w:ascii="Cambria Math" w:hAnsi="Cambria Math"/>
              </w:rPr>
            </m:ctrlPr>
          </m:sSubPr>
          <m:e>
            <m:r>
              <w:rPr>
                <w:rFonts w:ascii="Cambria Math" w:hAnsi="Cambria Math"/>
              </w:rPr>
              <m:t>I</m:t>
            </m:r>
          </m:e>
          <m:sub>
            <m:r>
              <w:rPr>
                <w:rFonts w:ascii="Cambria Math" w:hAnsi="Cambria Math"/>
              </w:rPr>
              <m:t>G</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for the homogeneous rectangle and </w:t>
      </w:r>
      <m:oMath>
        <m:sSub>
          <m:sSubPr>
            <m:ctrlPr>
              <w:rPr>
                <w:rFonts w:ascii="Cambria Math" w:hAnsi="Cambria Math"/>
              </w:rPr>
            </m:ctrlPr>
          </m:sSubPr>
          <m:e>
            <m:r>
              <w:rPr>
                <w:rFonts w:ascii="Cambria Math" w:hAnsi="Cambria Math"/>
              </w:rPr>
              <m:t>I</m:t>
            </m:r>
          </m:e>
          <m:sub>
            <m:r>
              <w:rPr>
                <w:rFonts w:ascii="Cambria Math" w:hAnsi="Cambria Math"/>
              </w:rPr>
              <m:t>O</m:t>
            </m:r>
          </m:sub>
        </m:sSub>
        <m:r>
          <m:rPr>
            <m:sty m:val="p"/>
          </m:rPr>
          <w:rPr>
            <w:rFonts w:ascii="Cambria Math" w:hAnsi="Cambria Math"/>
          </w:rPr>
          <m:t>=</m:t>
        </m:r>
        <m:f>
          <m:fPr>
            <m:type m:val="lin"/>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by the parallel-axis theorem.</w:t>
      </w:r>
    </w:p>
    <w:p w14:paraId="14EE058E" w14:textId="77777777" w:rsidR="00937C4A" w:rsidRDefault="00000000">
      <w:pPr>
        <w:pStyle w:val="Heading2"/>
        <w:spacing w:before="320" w:after="280"/>
        <w:jc w:val="center"/>
      </w:pPr>
      <w:bookmarkStart w:id="110" w:name="a.2-angular-momentum-impact-law"/>
      <w:bookmarkEnd w:id="109"/>
      <w:r>
        <w:rPr>
          <w:rFonts w:ascii="EB Garamond" w:eastAsia="EB Garamond" w:hAnsi="EB Garamond"/>
          <w:color w:val="283037"/>
          <w:sz w:val="34"/>
        </w:rPr>
        <w:t>A.2 Angular-momentum impact law</w:t>
      </w:r>
    </w:p>
    <w:p w14:paraId="0A57E3F8" w14:textId="77777777" w:rsidR="00937C4A" w:rsidRDefault="00000000">
      <w:r>
        <w:t>Reproduce the angular-momentum balance about the new pivot and obtain</w:t>
      </w:r>
    </w:p>
    <w:p w14:paraId="68D14A3A" w14:textId="77777777" w:rsidR="00937C4A" w:rsidRDefault="00000000">
      <w:pPr>
        <w:pStyle w:val="BodyText"/>
        <w:spacing w:before="100" w:after="140"/>
        <w:jc w:val="center"/>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3</m:t>
              </m:r>
            </m:num>
            <m:den>
              <m:r>
                <w:rPr>
                  <w:rFonts w:ascii="Cambria Math" w:hAnsi="Cambria Math"/>
                </w:rPr>
                <m:t>2</m:t>
              </m:r>
            </m:den>
          </m:f>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r>
            <m:rPr>
              <m:sty m:val="p"/>
            </m:rPr>
            <w:rPr>
              <w:rFonts w:ascii="Cambria Math" w:hAnsi="Cambria Math"/>
            </w:rPr>
            <m:t>.</m:t>
          </m:r>
        </m:oMath>
      </m:oMathPara>
    </w:p>
    <w:p w14:paraId="4019888F" w14:textId="77777777" w:rsidR="00937C4A" w:rsidRDefault="00000000">
      <w:r>
        <w:t>State explicitly the assumptions under which this is a coefficient of restitution rather than merely a kinematic transfer ratio.</w:t>
      </w:r>
    </w:p>
    <w:p w14:paraId="2E98A899" w14:textId="77777777" w:rsidR="00937C4A" w:rsidRDefault="00000000">
      <w:pPr>
        <w:pStyle w:val="Heading2"/>
        <w:spacing w:before="320" w:after="280"/>
        <w:jc w:val="center"/>
      </w:pPr>
      <w:bookmarkStart w:id="111" w:name="X06a20975da2c417384589120ae1cdffce73fc87"/>
      <w:bookmarkEnd w:id="110"/>
      <w:r>
        <w:rPr>
          <w:rFonts w:ascii="EB Garamond" w:eastAsia="EB Garamond" w:hAnsi="EB Garamond"/>
          <w:color w:val="283037"/>
          <w:sz w:val="34"/>
        </w:rPr>
        <w:t>A.3 Uplift, quasi-static toppling, and dynamic similarity</w:t>
      </w:r>
    </w:p>
    <w:p w14:paraId="3188B679" w14:textId="77777777" w:rsidR="00937C4A" w:rsidRDefault="00000000">
      <w:r>
        <w:t xml:space="preserve">Derive </w:t>
      </w:r>
      <m:oMath>
        <m:sSub>
          <m:sSubPr>
            <m:ctrlPr>
              <w:rPr>
                <w:rFonts w:ascii="Cambria Math" w:hAnsi="Cambria Math"/>
              </w:rPr>
            </m:ctrlPr>
          </m:sSubPr>
          <m:e>
            <m:r>
              <w:rPr>
                <w:rFonts w:ascii="Cambria Math" w:hAnsi="Cambria Math"/>
              </w:rPr>
              <m:t>a</m:t>
            </m:r>
          </m:e>
          <m:sub>
            <m:r>
              <m:rPr>
                <m:sty m:val="p"/>
              </m:rPr>
              <w:rPr>
                <w:rFonts w:ascii="Cambria Math" w:hAnsi="Cambria Math"/>
              </w:rPr>
              <m:t>up</m:t>
            </m:r>
          </m:sub>
        </m:sSub>
        <m:r>
          <m:rPr>
            <m:sty m:val="p"/>
          </m:rPr>
          <w:rPr>
            <w:rFonts w:ascii="Cambria Math" w:hAnsi="Cambria Math"/>
          </w:rPr>
          <m:t>/</m:t>
        </m:r>
        <m:r>
          <w:rPr>
            <w:rFonts w:ascii="Cambria Math" w:hAnsi="Cambria Math"/>
          </w:rPr>
          <m:t>g</m:t>
        </m:r>
        <m:r>
          <m:rPr>
            <m:sty m:val="p"/>
          </m:rPr>
          <w:rPr>
            <w:rFonts w:ascii="Cambria Math" w:hAnsi="Cambria Math"/>
          </w:rPr>
          <m:t>=tan</m:t>
        </m:r>
        <m:r>
          <w:rPr>
            <w:rFonts w:ascii="Cambria Math" w:hAnsi="Cambria Math"/>
          </w:rPr>
          <m:t>α</m:t>
        </m:r>
      </m:oMath>
      <w:r>
        <w:t xml:space="preserve">, distinguish it from trajectory-level overturning, and show that true similarity requires equality of both </w:t>
      </w:r>
      <m:oMath>
        <m:r>
          <w:rPr>
            <w:rFonts w:ascii="Cambria Math" w:hAnsi="Cambria Math"/>
          </w:rPr>
          <m:t>α</m:t>
        </m:r>
      </m:oMath>
      <w:r>
        <w:t xml:space="preserve"> and </w:t>
      </w:r>
      <m:oMath>
        <m:r>
          <w:rPr>
            <w:rFonts w:ascii="Cambria Math" w:hAnsi="Cambria Math"/>
          </w:rPr>
          <m:t>pT</m:t>
        </m:r>
      </m:oMath>
      <w:r>
        <w:t>.</w:t>
      </w:r>
    </w:p>
    <w:p w14:paraId="64CCFEF8" w14:textId="77777777" w:rsidR="00937C4A" w:rsidRDefault="00000000">
      <w:pPr>
        <w:pStyle w:val="Heading2"/>
        <w:spacing w:before="320" w:after="280"/>
        <w:jc w:val="center"/>
      </w:pPr>
      <w:bookmarkStart w:id="112" w:name="a.4-impulsive-velocity-threshold"/>
      <w:bookmarkEnd w:id="111"/>
      <w:r>
        <w:rPr>
          <w:rFonts w:ascii="EB Garamond" w:eastAsia="EB Garamond" w:hAnsi="EB Garamond"/>
          <w:color w:val="283037"/>
          <w:sz w:val="34"/>
        </w:rPr>
        <w:t>A.4 Impulsive velocity threshold</w:t>
      </w:r>
    </w:p>
    <w:p w14:paraId="275E6715" w14:textId="77777777" w:rsidR="00937C4A" w:rsidRDefault="00000000">
      <w:r>
        <w:t>Derive</w:t>
      </w:r>
    </w:p>
    <w:p w14:paraId="6BA55530" w14:textId="77777777" w:rsidR="00937C4A" w:rsidRDefault="00000000">
      <w:pPr>
        <w:pStyle w:val="BodyText"/>
        <w:spacing w:before="100" w:after="140"/>
        <w:jc w:val="center"/>
      </w:pPr>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v</m:t>
              </m:r>
            </m:e>
            <m:sup>
              <m:r>
                <m:rPr>
                  <m:sty m:val="p"/>
                </m:rPr>
                <w:rPr>
                  <w:rFonts w:ascii="Cambria Math" w:hAnsi="Cambria Math"/>
                </w:rPr>
                <m:t>cr</m:t>
              </m:r>
            </m:sup>
          </m:sSup>
          <m:r>
            <m:rPr>
              <m:sty m:val="p"/>
            </m:rPr>
            <w:rPr>
              <w:rFonts w:ascii="Cambria Math" w:hAnsi="Cambria Math"/>
            </w:rPr>
            <m:t>=</m:t>
          </m:r>
          <m:f>
            <m:fPr>
              <m:ctrlPr>
                <w:rPr>
                  <w:rFonts w:ascii="Cambria Math" w:hAnsi="Cambria Math"/>
                </w:rPr>
              </m:ctrlPr>
            </m:fPr>
            <m:num>
              <m:r>
                <w:rPr>
                  <w:rFonts w:ascii="Cambria Math" w:hAnsi="Cambria Math"/>
                </w:rPr>
                <m:t>4</m:t>
              </m:r>
              <m:rad>
                <m:radPr>
                  <m:degHide m:val="1"/>
                  <m:ctrlPr>
                    <w:rPr>
                      <w:rFonts w:ascii="Cambria Math" w:hAnsi="Cambria Math"/>
                    </w:rPr>
                  </m:ctrlPr>
                </m:radPr>
                <m:deg/>
                <m:e>
                  <m:r>
                    <w:rPr>
                      <w:rFonts w:ascii="Cambria Math" w:hAnsi="Cambria Math"/>
                    </w:rPr>
                    <m:t>3gR</m:t>
                  </m:r>
                </m:e>
              </m:rad>
              <m:r>
                <w:rPr>
                  <w:rFonts w:ascii="Cambria Math" w:hAnsi="Cambria Math"/>
                </w:rPr>
                <m:t> </m:t>
              </m:r>
              <m:r>
                <m:rPr>
                  <m:sty m:val="p"/>
                </m:rPr>
                <w:rPr>
                  <w:rFonts w:ascii="Cambria Math" w:hAnsi="Cambria Math"/>
                </w:rPr>
                <m:t>sin</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m:t>
                  </m:r>
                </m:e>
              </m:d>
            </m:num>
            <m:den>
              <m:r>
                <w:rPr>
                  <w:rFonts w:ascii="Cambria Math" w:hAnsi="Cambria Math"/>
                </w:rPr>
                <m:t>3</m:t>
              </m:r>
              <m:r>
                <m:rPr>
                  <m:sty m:val="p"/>
                </m:rPr>
                <w:rPr>
                  <w:rFonts w:ascii="Cambria Math" w:hAnsi="Cambria Math"/>
                </w:rPr>
                <m:t>cos</m:t>
              </m:r>
              <m:r>
                <w:rPr>
                  <w:rFonts w:ascii="Cambria Math" w:hAnsi="Cambria Math"/>
                </w:rPr>
                <m:t>α</m:t>
              </m:r>
            </m:den>
          </m:f>
        </m:oMath>
      </m:oMathPara>
    </w:p>
    <w:p w14:paraId="40C1F3FF" w14:textId="77777777" w:rsidR="00937C4A" w:rsidRDefault="00000000">
      <w:r>
        <w:t>from impulse and energy balance, including the conditions under which the pulse may be treated as instantaneous.</w:t>
      </w:r>
    </w:p>
    <w:p w14:paraId="6BBA444B" w14:textId="77777777" w:rsidR="00937C4A" w:rsidRDefault="00000000">
      <w:pPr>
        <w:pStyle w:val="Heading2"/>
        <w:spacing w:before="320" w:after="280"/>
        <w:jc w:val="center"/>
      </w:pPr>
      <w:bookmarkStart w:id="113" w:name="a.5-impact-centred-separatrix"/>
      <w:bookmarkEnd w:id="112"/>
      <w:r>
        <w:rPr>
          <w:rFonts w:ascii="EB Garamond" w:eastAsia="EB Garamond" w:hAnsi="EB Garamond"/>
          <w:color w:val="283037"/>
          <w:sz w:val="34"/>
        </w:rPr>
        <w:t>A.5 Impact-centred separatrix</w:t>
      </w:r>
    </w:p>
    <w:p w14:paraId="63DAD619" w14:textId="77777777" w:rsidR="00937C4A" w:rsidRDefault="00000000">
      <w:r>
        <w:t xml:space="preserve">Construct the two branches, glue them at </w:t>
      </w:r>
      <m:oMath>
        <m:r>
          <w:rPr>
            <w:rFonts w:ascii="Cambria Math" w:hAnsi="Cambria Math"/>
          </w:rPr>
          <m:t>τ</m:t>
        </m:r>
        <m:r>
          <m:rPr>
            <m:sty m:val="p"/>
          </m:rPr>
          <w:rPr>
            <w:rFonts w:ascii="Cambria Math" w:hAnsi="Cambria Math"/>
          </w:rPr>
          <m:t>=</m:t>
        </m:r>
        <m:r>
          <w:rPr>
            <w:rFonts w:ascii="Cambria Math" w:hAnsi="Cambria Math"/>
          </w:rPr>
          <m:t>0</m:t>
        </m:r>
      </m:oMath>
      <w:r>
        <w:t>, and prove</w:t>
      </w:r>
    </w:p>
    <w:p w14:paraId="5D5469CD"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2 </m:t>
          </m:r>
          <m:r>
            <m:rPr>
              <m:sty m:val="p"/>
            </m:rPr>
            <w:rPr>
              <w:rFonts w:ascii="Cambria Math" w:hAnsi="Cambria Math"/>
            </w:rPr>
            <m:t>sech</m:t>
          </m:r>
          <m:d>
            <m:dPr>
              <m:ctrlPr>
                <w:rPr>
                  <w:rFonts w:ascii="Cambria Math" w:hAnsi="Cambria Math"/>
                </w:rPr>
              </m:ctrlPr>
            </m:dPr>
            <m:e>
              <m:d>
                <m:dPr>
                  <m:begChr m:val="|"/>
                  <m:endChr m:val="|"/>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=lncot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4</m:t>
              </m:r>
            </m:e>
          </m:d>
          <m:r>
            <m:rPr>
              <m:sty m:val="p"/>
            </m:rPr>
            <w:rPr>
              <w:rFonts w:ascii="Cambria Math" w:hAnsi="Cambria Math"/>
            </w:rPr>
            <m:t>.</m:t>
          </m:r>
        </m:oMath>
      </m:oMathPara>
    </w:p>
    <w:p w14:paraId="0A6BCCD2" w14:textId="77777777" w:rsidR="00937C4A" w:rsidRDefault="00000000">
      <w:pPr>
        <w:pStyle w:val="Heading2"/>
        <w:spacing w:before="320" w:after="280"/>
        <w:jc w:val="center"/>
      </w:pPr>
      <w:bookmarkStart w:id="114" w:name="a.6-distinguished-melnikov-scaling"/>
      <w:bookmarkEnd w:id="113"/>
      <w:r>
        <w:rPr>
          <w:rFonts w:ascii="EB Garamond" w:eastAsia="EB Garamond" w:hAnsi="EB Garamond"/>
          <w:color w:val="283037"/>
          <w:sz w:val="34"/>
        </w:rPr>
        <w:t>A.6 Distinguished Melnikov scaling</w:t>
      </w:r>
    </w:p>
    <w:p w14:paraId="649D449E" w14:textId="77777777" w:rsidR="00937C4A" w:rsidRDefault="00000000">
      <w:r>
        <w:t xml:space="preserve">Show that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2</m:t>
                </m:r>
              </m:sup>
            </m:sSup>
          </m:e>
        </m:d>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3</m:t>
                </m:r>
              </m:sup>
            </m:sSup>
          </m:e>
        </m:d>
      </m:oMath>
      <w:r>
        <w:t xml:space="preserve"> make both energy contributions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4</m:t>
                </m:r>
              </m:sup>
            </m:sSup>
          </m:e>
        </m:d>
      </m:oMath>
      <w:r>
        <w:t>.</w:t>
      </w:r>
    </w:p>
    <w:p w14:paraId="005E4150" w14:textId="77777777" w:rsidR="00937C4A" w:rsidRDefault="00000000">
      <w:pPr>
        <w:pStyle w:val="Heading2"/>
        <w:spacing w:before="320" w:after="280"/>
        <w:jc w:val="center"/>
      </w:pPr>
      <w:bookmarkStart w:id="115" w:name="a.7-lorentzian-forcing-kernel"/>
      <w:bookmarkEnd w:id="114"/>
      <w:r>
        <w:rPr>
          <w:rFonts w:ascii="EB Garamond" w:eastAsia="EB Garamond" w:hAnsi="EB Garamond"/>
          <w:color w:val="283037"/>
          <w:sz w:val="34"/>
        </w:rPr>
        <w:lastRenderedPageBreak/>
        <w:t>A.7 Lorentzian forcing kernel</w:t>
      </w:r>
    </w:p>
    <w:p w14:paraId="3AFC3A5B" w14:textId="77777777" w:rsidR="00937C4A" w:rsidRDefault="00000000">
      <w:r>
        <w:t>Derive the asymptotic transform</w:t>
      </w:r>
    </w:p>
    <w:p w14:paraId="795799E9" w14:textId="77777777" w:rsidR="00937C4A" w:rsidRDefault="00000000">
      <w:pPr>
        <w:pStyle w:val="BodyText"/>
        <w:spacing w:before="100" w:after="140"/>
        <w:jc w:val="center"/>
      </w:pPr>
      <m:oMathPara>
        <m:oMathParaPr>
          <m:jc m:val="center"/>
        </m:oMathParaPr>
        <m:oMath>
          <m:r>
            <m:rPr>
              <m:scr m:val="script"/>
              <m:sty m:val="p"/>
            </m:rPr>
            <w:rPr>
              <w:rFonts w:ascii="Cambria Math" w:hAnsi="Cambria Math"/>
            </w:rPr>
            <m:t>I</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tan</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4</m:t>
                  </m:r>
                </m:e>
              </m:d>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den>
          </m:f>
        </m:oMath>
      </m:oMathPara>
    </w:p>
    <w:p w14:paraId="30B87A9A" w14:textId="77777777" w:rsidR="00937C4A" w:rsidRDefault="00000000">
      <w:r>
        <w:t xml:space="preserve">and state the nonuniformity as </w:t>
      </w:r>
      <m:oMath>
        <m:r>
          <w:rPr>
            <w:rFonts w:ascii="Cambria Math" w:hAnsi="Cambria Math"/>
          </w:rPr>
          <m:t>α</m:t>
        </m:r>
      </m:oMath>
      <w:r>
        <w:t xml:space="preserve"> leaves the slender-block regime.</w:t>
      </w:r>
    </w:p>
    <w:p w14:paraId="304442A2" w14:textId="77777777" w:rsidR="00937C4A" w:rsidRDefault="00000000">
      <w:pPr>
        <w:pStyle w:val="Heading2"/>
        <w:spacing w:before="320" w:after="280"/>
        <w:jc w:val="center"/>
      </w:pPr>
      <w:bookmarkStart w:id="116" w:name="a.8-regime-boundary"/>
      <w:bookmarkEnd w:id="115"/>
      <w:r>
        <w:rPr>
          <w:rFonts w:ascii="EB Garamond" w:eastAsia="EB Garamond" w:hAnsi="EB Garamond"/>
          <w:color w:val="283037"/>
          <w:sz w:val="34"/>
        </w:rPr>
        <w:t>A.8 Regime boundary</w:t>
      </w:r>
    </w:p>
    <w:p w14:paraId="45BD0EC7" w14:textId="77777777" w:rsidR="00937C4A" w:rsidRDefault="00000000">
      <w:r>
        <w:t xml:space="preserve">Solve </w:t>
      </w:r>
      <m:oMath>
        <m:sSubSup>
          <m:sSubSupPr>
            <m:ctrlPr>
              <w:rPr>
                <w:rFonts w:ascii="Cambria Math" w:hAnsi="Cambria Math"/>
              </w:rPr>
            </m:ctrlPr>
          </m:sSubSupPr>
          <m:e>
            <m:r>
              <w:rPr>
                <w:rFonts w:ascii="Cambria Math" w:hAnsi="Cambria Math"/>
              </w:rPr>
              <m:t>a</m:t>
            </m:r>
          </m:e>
          <m:sub>
            <m:r>
              <w:rPr>
                <w:rFonts w:ascii="Cambria Math" w:hAnsi="Cambria Math"/>
              </w:rPr>
              <m:t>0</m:t>
            </m:r>
          </m:sub>
          <m:sup>
            <m:r>
              <m:rPr>
                <m:sty m:val="p"/>
              </m:rPr>
              <w:rPr>
                <w:rFonts w:ascii="Cambria Math" w:hAnsi="Cambria Math"/>
              </w:rPr>
              <m:t>cr</m:t>
            </m:r>
          </m:sup>
        </m:sSubSup>
        <m:r>
          <m:rPr>
            <m:sty m:val="p"/>
          </m:rPr>
          <w:rPr>
            <w:rFonts w:ascii="Cambria Math" w:hAnsi="Cambria Math"/>
          </w:rPr>
          <m:t>=tan</m:t>
        </m:r>
        <m:r>
          <w:rPr>
            <w:rFonts w:ascii="Cambria Math" w:hAnsi="Cambria Math"/>
          </w:rPr>
          <m:t>α</m:t>
        </m:r>
      </m:oMath>
      <w:r>
        <w:t xml:space="preserve"> asymptotically and specify the numerical root-finding problem used for the exact quadrature form.</w:t>
      </w:r>
    </w:p>
    <w:p w14:paraId="00ECBE8A" w14:textId="77777777" w:rsidR="00937C4A" w:rsidRDefault="00000000">
      <w:pPr>
        <w:pStyle w:val="Heading2"/>
        <w:spacing w:before="320" w:after="280"/>
        <w:jc w:val="center"/>
      </w:pPr>
      <w:bookmarkStart w:id="117" w:name="X0445844dcb6e2cb26cbaa8e4e4a74d1e57eade4"/>
      <w:bookmarkEnd w:id="116"/>
      <w:r>
        <w:rPr>
          <w:rFonts w:ascii="EB Garamond" w:eastAsia="EB Garamond" w:hAnsi="EB Garamond"/>
          <w:color w:val="283037"/>
          <w:sz w:val="34"/>
        </w:rPr>
        <w:t>A.9 Maxwell–Calladine as Euler characteristic</w:t>
      </w:r>
    </w:p>
    <w:p w14:paraId="15566A3C" w14:textId="77777777" w:rsidR="00937C4A" w:rsidRDefault="00000000">
      <w:r>
        <w:t>Derive</w:t>
      </w:r>
    </w:p>
    <w:p w14:paraId="2F3638D2" w14:textId="77777777" w:rsidR="00937C4A" w:rsidRDefault="00000000">
      <w:pPr>
        <w:pStyle w:val="BodyText"/>
        <w:spacing w:before="100" w:after="140"/>
        <w:jc w:val="center"/>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6N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oMath>
      </m:oMathPara>
    </w:p>
    <w:p w14:paraId="4E2E9808" w14:textId="77777777" w:rsidR="00937C4A" w:rsidRDefault="00000000">
      <w:r>
        <w:t>for the stated two-term complex, then state the correction after removal of global rigid-body modes.</w:t>
      </w:r>
    </w:p>
    <w:p w14:paraId="6C8B54E4" w14:textId="77777777" w:rsidR="00937C4A" w:rsidRDefault="00000000">
      <w:pPr>
        <w:pStyle w:val="Heading2"/>
        <w:spacing w:before="320" w:after="280"/>
        <w:jc w:val="center"/>
      </w:pPr>
      <w:bookmarkStart w:id="118" w:name="a.10-survivor-only-identifiability"/>
      <w:bookmarkEnd w:id="117"/>
      <w:r>
        <w:rPr>
          <w:rFonts w:ascii="EB Garamond" w:eastAsia="EB Garamond" w:hAnsi="EB Garamond"/>
          <w:color w:val="283037"/>
          <w:sz w:val="34"/>
        </w:rPr>
        <w:t>A.10 Survivor-only identifiability</w:t>
      </w:r>
    </w:p>
    <w:p w14:paraId="3844993A" w14:textId="77777777" w:rsidR="00937C4A" w:rsidRDefault="00000000">
      <w:r>
        <w:t xml:space="preserve">Provide the full analytic-continuation proof for identification of </w:t>
      </w:r>
      <m:oMath>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e>
        </m:d>
      </m:oMath>
      <w:r>
        <w:t xml:space="preserve"> up to the single scaling action</w:t>
      </w:r>
    </w:p>
    <w:p w14:paraId="3AB71D36" w14:textId="77777777" w:rsidR="00937C4A" w:rsidRDefault="00000000">
      <w:pPr>
        <w:pStyle w:val="BodyText"/>
        <w:spacing w:before="100" w:after="140"/>
        <w:jc w:val="center"/>
      </w:pPr>
      <m:oMathPara>
        <m:oMathParaPr>
          <m:jc m:val="center"/>
        </m:oMathParaPr>
        <m:oMath>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d>
                <m:dPr>
                  <m:ctrlPr>
                    <w:rPr>
                      <w:rFonts w:ascii="Cambria Math" w:hAnsi="Cambria Math"/>
                    </w:rPr>
                  </m:ctrlPr>
                </m:dPr>
                <m:e>
                  <m:r>
                    <m:rPr>
                      <m:sty m:val="p"/>
                    </m:rPr>
                    <w:rPr>
                      <w:rFonts w:ascii="Cambria Math" w:hAnsi="Cambria Math"/>
                    </w:rPr>
                    <m:t>⋅</m:t>
                  </m:r>
                </m:e>
              </m:d>
            </m:e>
          </m:d>
          <m:r>
            <m:rPr>
              <m:sty m:val="p"/>
            </m:rPr>
            <w:rPr>
              <w:rFonts w:ascii="Cambria Math" w:hAnsi="Cambria Math"/>
            </w:rPr>
            <m:t>↦</m:t>
          </m:r>
          <m:d>
            <m:dPr>
              <m:ctrlPr>
                <w:rPr>
                  <w:rFonts w:ascii="Cambria Math" w:hAnsi="Cambria Math"/>
                </w:rPr>
              </m:ctrlPr>
            </m:dPr>
            <m:e>
              <m:r>
                <w:rPr>
                  <w:rFonts w:ascii="Cambria Math" w:hAnsi="Cambria Math"/>
                </w:rPr>
                <m:t>cH</m:t>
              </m:r>
              <m:r>
                <m:rPr>
                  <m:sty m:val="p"/>
                </m:rPr>
                <w:rPr>
                  <w:rFonts w:ascii="Cambria Math" w:hAnsi="Cambria Math"/>
                </w:rPr>
                <m:t>,</m:t>
              </m:r>
              <m:r>
                <w:rPr>
                  <w:rFonts w:ascii="Cambria Math" w:hAnsi="Cambria Math"/>
                </w:rPr>
                <m:t>c </m:t>
              </m:r>
              <m:sSub>
                <m:sSubPr>
                  <m:ctrlPr>
                    <w:rPr>
                      <w:rFonts w:ascii="Cambria Math" w:hAnsi="Cambria Math"/>
                    </w:rPr>
                  </m:ctrlPr>
                </m:sSubPr>
                <m:e>
                  <m:r>
                    <w:rPr>
                      <w:rFonts w:ascii="Cambria Math" w:hAnsi="Cambria Math"/>
                    </w:rPr>
                    <m:t>p</m:t>
                  </m:r>
                </m:e>
                <m:sub>
                  <m:r>
                    <w:rPr>
                      <w:rFonts w:ascii="Cambria Math" w:hAnsi="Cambria Math"/>
                    </w:rPr>
                    <m:t>A</m:t>
                  </m:r>
                </m:sub>
              </m:sSub>
              <m:d>
                <m:dPr>
                  <m:ctrlPr>
                    <w:rPr>
                      <w:rFonts w:ascii="Cambria Math" w:hAnsi="Cambria Math"/>
                    </w:rPr>
                  </m:ctrlPr>
                </m:dPr>
                <m:e>
                  <m:r>
                    <w:rPr>
                      <w:rFonts w:ascii="Cambria Math" w:hAnsi="Cambria Math"/>
                    </w:rPr>
                    <m:t>c </m:t>
                  </m:r>
                  <m:r>
                    <m:rPr>
                      <m:sty m:val="p"/>
                    </m:rPr>
                    <w:rPr>
                      <w:rFonts w:ascii="Cambria Math" w:hAnsi="Cambria Math"/>
                    </w:rPr>
                    <m:t>⋅</m:t>
                  </m:r>
                </m:e>
              </m:d>
            </m:e>
          </m:d>
          <m:r>
            <m:rPr>
              <m:sty m:val="p"/>
            </m:rPr>
            <w:rPr>
              <w:rFonts w:ascii="Cambria Math" w:hAnsi="Cambria Math"/>
            </w:rPr>
            <m:t>.</m:t>
          </m:r>
        </m:oMath>
      </m:oMathPara>
    </w:p>
    <w:p w14:paraId="1DE883F9" w14:textId="77777777" w:rsidR="00937C4A" w:rsidRDefault="00000000">
      <w:pPr>
        <w:pStyle w:val="Heading1"/>
        <w:pageBreakBefore/>
        <w:spacing w:before="1000"/>
      </w:pPr>
      <w:bookmarkStart w:id="119" w:name="appendix-b-corrected-numerical-protocols"/>
      <w:bookmarkEnd w:id="108"/>
      <w:bookmarkEnd w:id="118"/>
      <w:r>
        <w:rPr>
          <w:rFonts w:ascii="Noto Sans" w:eastAsia="Noto Sans" w:hAnsi="Noto Sans"/>
        </w:rPr>
        <w:lastRenderedPageBreak/>
        <w:t>APPENDIX B — CORRECTED NUMERICAL PROTOCOLS</w:t>
      </w:r>
    </w:p>
    <w:p w14:paraId="7C1BBBBF" w14:textId="77777777" w:rsidR="00937C4A" w:rsidRDefault="00000000">
      <w:pPr>
        <w:pStyle w:val="CairnChapterBrief"/>
        <w:pBdr>
          <w:left w:val="single" w:sz="10" w:space="8" w:color="5B7D91"/>
        </w:pBdr>
        <w:shd w:val="clear" w:color="auto" w:fill="F5F7F8"/>
        <w:spacing w:before="100"/>
      </w:pPr>
      <w:r>
        <w:rPr>
          <w:iCs/>
          <w:color w:val="4E5357"/>
        </w:rPr>
        <w:t>Structured appendix brief. Every future numerical claim in this book is required to cite the applicable protocol and report deviations from it.</w:t>
      </w:r>
    </w:p>
    <w:p w14:paraId="4EFE9BDA" w14:textId="77777777" w:rsidR="00937C4A" w:rsidRDefault="00000000">
      <w:pPr>
        <w:pStyle w:val="Heading2"/>
        <w:spacing w:before="320" w:after="280"/>
        <w:jc w:val="center"/>
      </w:pPr>
      <w:bookmarkStart w:id="120" w:name="b.1-event-localised-hybrid-integration"/>
      <w:r>
        <w:rPr>
          <w:rFonts w:ascii="EB Garamond" w:eastAsia="EB Garamond" w:hAnsi="EB Garamond"/>
          <w:color w:val="283037"/>
          <w:sz w:val="34"/>
        </w:rPr>
        <w:t>B.1 Event-localised hybrid integration</w:t>
      </w:r>
    </w:p>
    <w:p w14:paraId="18ADD1A4" w14:textId="77777777" w:rsidR="00937C4A" w:rsidRDefault="00000000">
      <w:pPr>
        <w:numPr>
          <w:ilvl w:val="0"/>
          <w:numId w:val="30"/>
        </w:numPr>
      </w:pPr>
      <w:r>
        <w:t xml:space="preserve">Locate each crossing of </w:t>
      </w:r>
      <m:oMath>
        <m:r>
          <w:rPr>
            <w:rFonts w:ascii="Cambria Math" w:hAnsi="Cambria Math"/>
          </w:rPr>
          <m:t>θ</m:t>
        </m:r>
        <m:r>
          <m:rPr>
            <m:sty m:val="p"/>
          </m:rPr>
          <w:rPr>
            <w:rFonts w:ascii="Cambria Math" w:hAnsi="Cambria Math"/>
          </w:rPr>
          <m:t>=</m:t>
        </m:r>
        <m:r>
          <w:rPr>
            <w:rFonts w:ascii="Cambria Math" w:hAnsi="Cambria Math"/>
          </w:rPr>
          <m:t>0</m:t>
        </m:r>
      </m:oMath>
      <w:r>
        <w:t xml:space="preserve"> by root finding.</w:t>
      </w:r>
    </w:p>
    <w:p w14:paraId="5F503314" w14:textId="77777777" w:rsidR="00937C4A" w:rsidRDefault="00000000">
      <w:pPr>
        <w:numPr>
          <w:ilvl w:val="0"/>
          <w:numId w:val="30"/>
        </w:numPr>
      </w:pPr>
      <w:r>
        <w:t>Advance exactly to the event time.</w:t>
      </w:r>
    </w:p>
    <w:p w14:paraId="22C47071" w14:textId="77777777" w:rsidR="00937C4A" w:rsidRDefault="00000000">
      <w:pPr>
        <w:numPr>
          <w:ilvl w:val="0"/>
          <w:numId w:val="30"/>
        </w:numPr>
      </w:pPr>
      <w:r>
        <w:t xml:space="preserve">Apply the reset at </w:t>
      </w:r>
      <m:oMath>
        <m:r>
          <w:rPr>
            <w:rFonts w:ascii="Cambria Math" w:hAnsi="Cambria Math"/>
          </w:rPr>
          <m:t>θ</m:t>
        </m:r>
        <m:r>
          <m:rPr>
            <m:sty m:val="p"/>
          </m:rPr>
          <w:rPr>
            <w:rFonts w:ascii="Cambria Math" w:hAnsi="Cambria Math"/>
          </w:rPr>
          <m:t>=</m:t>
        </m:r>
        <m:r>
          <w:rPr>
            <w:rFonts w:ascii="Cambria Math" w:hAnsi="Cambria Math"/>
          </w:rPr>
          <m:t>0</m:t>
        </m:r>
      </m:oMath>
      <w:r>
        <w:t>.</w:t>
      </w:r>
    </w:p>
    <w:p w14:paraId="651A6149" w14:textId="77777777" w:rsidR="00937C4A" w:rsidRDefault="00000000">
      <w:pPr>
        <w:numPr>
          <w:ilvl w:val="0"/>
          <w:numId w:val="30"/>
        </w:numPr>
      </w:pPr>
      <w:r>
        <w:t>Restart on the correct contact branch.</w:t>
      </w:r>
    </w:p>
    <w:p w14:paraId="40131D3D" w14:textId="77777777" w:rsidR="00937C4A" w:rsidRDefault="00000000">
      <w:pPr>
        <w:numPr>
          <w:ilvl w:val="0"/>
          <w:numId w:val="30"/>
        </w:numPr>
      </w:pPr>
      <w:r>
        <w:t>Verify convergence jointly in time step and event tolerance.</w:t>
      </w:r>
    </w:p>
    <w:p w14:paraId="38558055" w14:textId="77777777" w:rsidR="00937C4A" w:rsidRDefault="00000000">
      <w:pPr>
        <w:pStyle w:val="Heading2"/>
        <w:spacing w:before="320" w:after="280"/>
        <w:jc w:val="center"/>
      </w:pPr>
      <w:bookmarkStart w:id="121" w:name="X4ea7ff938c28e137dbad49f7e09d4fc0b246581"/>
      <w:bookmarkEnd w:id="120"/>
      <w:r>
        <w:rPr>
          <w:rFonts w:ascii="EB Garamond" w:eastAsia="EB Garamond" w:hAnsi="EB Garamond"/>
          <w:color w:val="283037"/>
          <w:sz w:val="34"/>
        </w:rPr>
        <w:t>B.2 Periodic topology of the impact section</w:t>
      </w:r>
    </w:p>
    <w:p w14:paraId="4329082F" w14:textId="77777777" w:rsidR="00937C4A" w:rsidRDefault="00000000">
      <w:r>
        <w:t xml:space="preserve">Treat phase as </w:t>
      </w:r>
      <m:oMath>
        <m:sSup>
          <m:sSupPr>
            <m:ctrlPr>
              <w:rPr>
                <w:rFonts w:ascii="Cambria Math" w:hAnsi="Cambria Math"/>
              </w:rPr>
            </m:ctrlPr>
          </m:sSupPr>
          <m:e>
            <m:r>
              <w:rPr>
                <w:rFonts w:ascii="Cambria Math" w:hAnsi="Cambria Math"/>
              </w:rPr>
              <m:t>S</m:t>
            </m:r>
          </m:e>
          <m:sup>
            <m:r>
              <w:rPr>
                <w:rFonts w:ascii="Cambria Math" w:hAnsi="Cambria Math"/>
              </w:rPr>
              <m:t>1</m:t>
            </m:r>
          </m:sup>
        </m:sSup>
      </m:oMath>
      <w:r>
        <w:t xml:space="preserve">, so the section is </w:t>
      </w:r>
      <m:oMath>
        <m:sSup>
          <m:sSupPr>
            <m:ctrlPr>
              <w:rPr>
                <w:rFonts w:ascii="Cambria Math" w:hAnsi="Cambria Math"/>
              </w:rPr>
            </m:ctrlPr>
          </m:sSupPr>
          <m:e>
            <m:r>
              <w:rPr>
                <w:rFonts w:ascii="Cambria Math" w:hAnsi="Cambria Math"/>
              </w:rPr>
              <m:t>S</m:t>
            </m:r>
          </m:e>
          <m:sup>
            <m:r>
              <w:rPr>
                <w:rFonts w:ascii="Cambria Math" w:hAnsi="Cambria Math"/>
              </w:rPr>
              <m:t>1</m:t>
            </m:r>
          </m:sup>
        </m:sSup>
        <m:r>
          <m:rPr>
            <m:sty m:val="p"/>
          </m:rPr>
          <w:rPr>
            <w:rFonts w:ascii="Cambria Math" w:hAnsi="Cambria Math"/>
          </w:rPr>
          <m:t>×</m:t>
        </m:r>
        <m:r>
          <w:rPr>
            <w:rFonts w:ascii="Cambria Math" w:hAnsi="Cambria Math"/>
          </w:rPr>
          <m:t>I</m:t>
        </m:r>
      </m:oMath>
      <w:r>
        <w:t>. Never label components on an open rectangle. Report connectivity convention, seam identification, component-size threshold, and sensitivity to each.</w:t>
      </w:r>
    </w:p>
    <w:p w14:paraId="182BBB9C" w14:textId="77777777" w:rsidR="00937C4A" w:rsidRDefault="00000000">
      <w:pPr>
        <w:pStyle w:val="Heading2"/>
        <w:spacing w:before="320" w:after="280"/>
        <w:jc w:val="center"/>
      </w:pPr>
      <w:bookmarkStart w:id="122" w:name="b.3-definition-of-the-finite-time-object"/>
      <w:bookmarkEnd w:id="121"/>
      <w:r>
        <w:rPr>
          <w:rFonts w:ascii="EB Garamond" w:eastAsia="EB Garamond" w:hAnsi="EB Garamond"/>
          <w:color w:val="283037"/>
          <w:sz w:val="34"/>
        </w:rPr>
        <w:t>B.3 Definition of the finite-time object</w:t>
      </w:r>
    </w:p>
    <w:p w14:paraId="60C8FC8D" w14:textId="77777777" w:rsidR="00937C4A" w:rsidRDefault="00000000">
      <w:r>
        <w:t>Every computed set must carry its horizon and exit threshold:</w:t>
      </w:r>
    </w:p>
    <w:p w14:paraId="198DA5DC" w14:textId="77777777" w:rsidR="00937C4A" w:rsidRDefault="00000000">
      <w:pPr>
        <w:pStyle w:val="BodyText"/>
        <w:spacing w:before="100" w:after="140"/>
        <w:jc w:val="center"/>
      </w:pPr>
      <m:oMathPara>
        <m:oMathParaPr>
          <m:jc m:val="center"/>
        </m:oMathParaP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t</m:t>
              </m:r>
            </m:sup>
          </m:sSup>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Θ</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r>
            <m:rPr>
              <m:sty m:val="p"/>
            </m:rPr>
            <w:rPr>
              <w:rFonts w:ascii="Cambria Math" w:hAnsi="Cambria Math"/>
            </w:rPr>
            <m:t>}.</m:t>
          </m:r>
        </m:oMath>
      </m:oMathPara>
    </w:p>
    <w:p w14:paraId="6A20AD54" w14:textId="77777777" w:rsidR="00937C4A" w:rsidRDefault="00000000">
      <w:r>
        <w:t xml:space="preserve">Do not call </w:t>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3α</m:t>
            </m:r>
          </m:sub>
        </m:sSub>
      </m:oMath>
      <w:r>
        <w:t xml:space="preserve"> a survival basin.</w:t>
      </w:r>
    </w:p>
    <w:p w14:paraId="02A66981" w14:textId="77777777" w:rsidR="00937C4A" w:rsidRDefault="00000000">
      <w:pPr>
        <w:pStyle w:val="Heading2"/>
        <w:spacing w:before="320" w:after="280"/>
        <w:jc w:val="center"/>
      </w:pPr>
      <w:bookmarkStart w:id="123" w:name="b.4-homology-convergence-audit"/>
      <w:bookmarkEnd w:id="122"/>
      <w:r>
        <w:rPr>
          <w:rFonts w:ascii="EB Garamond" w:eastAsia="EB Garamond" w:hAnsi="EB Garamond"/>
          <w:color w:val="283037"/>
          <w:sz w:val="34"/>
        </w:rPr>
        <w:t>B.4 Homology convergence audit</w:t>
      </w:r>
    </w:p>
    <w:p w14:paraId="452A2240" w14:textId="77777777" w:rsidR="00937C4A" w:rsidRDefault="00000000">
      <w:r>
        <w:t xml:space="preserve">Report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over a joint grid in spatial resolution, time step, event tolerance, observation horizon, and filtration threshold. A feature is admissible only if it persists across a stated range of all five.</w:t>
      </w:r>
    </w:p>
    <w:p w14:paraId="7C70C76B" w14:textId="77777777" w:rsidR="00937C4A" w:rsidRDefault="00000000">
      <w:pPr>
        <w:pStyle w:val="Heading2"/>
        <w:spacing w:before="320" w:after="280"/>
        <w:jc w:val="center"/>
      </w:pPr>
      <w:bookmarkStart w:id="124" w:name="b.5-uncertainty-exponent-estimation"/>
      <w:bookmarkEnd w:id="123"/>
      <w:r>
        <w:rPr>
          <w:rFonts w:ascii="EB Garamond" w:eastAsia="EB Garamond" w:hAnsi="EB Garamond"/>
          <w:color w:val="283037"/>
          <w:sz w:val="34"/>
        </w:rPr>
        <w:t>B.5 Uncertainty-exponent estimation</w:t>
      </w:r>
    </w:p>
    <w:p w14:paraId="0D9F405F" w14:textId="77777777" w:rsidR="00937C4A" w:rsidRDefault="00000000">
      <w:r>
        <w:t xml:space="preserve">Use at least six logarithmically spaced </w:t>
      </w:r>
      <m:oMath>
        <m:r>
          <w:rPr>
            <w:rFonts w:ascii="Cambria Math" w:hAnsi="Cambria Math"/>
          </w:rPr>
          <m:t>ε</m:t>
        </m:r>
      </m:oMath>
      <w:r>
        <w:t xml:space="preserve"> values, common base samples, no clipping bias, bootstrap confidence intervals, an explicit scaling window, and </w:t>
      </w:r>
      <m:oMath>
        <m:r>
          <w:rPr>
            <w:rFonts w:ascii="Cambria Math" w:hAnsi="Cambria Math"/>
          </w:rPr>
          <m:t>Nf</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rPr>
          <m:t>30</m:t>
        </m:r>
      </m:oMath>
      <w:r>
        <w:t xml:space="preserve"> wherever possible. Distinguish exponents in initial-condition space from those in ground-motion parameter space.</w:t>
      </w:r>
    </w:p>
    <w:p w14:paraId="31753097" w14:textId="77777777" w:rsidR="00937C4A" w:rsidRDefault="00000000">
      <w:pPr>
        <w:pStyle w:val="Heading2"/>
        <w:spacing w:before="320" w:after="280"/>
        <w:jc w:val="center"/>
      </w:pPr>
      <w:bookmarkStart w:id="125" w:name="b.6-conley-enclosure-protocol"/>
      <w:bookmarkEnd w:id="124"/>
      <w:r>
        <w:rPr>
          <w:rFonts w:ascii="EB Garamond" w:eastAsia="EB Garamond" w:hAnsi="EB Garamond"/>
          <w:color w:val="283037"/>
          <w:sz w:val="34"/>
        </w:rPr>
        <w:t>B.6 Conley enclosure protocol</w:t>
      </w:r>
    </w:p>
    <w:p w14:paraId="77D5CD8B" w14:textId="77777777" w:rsidR="00937C4A" w:rsidRDefault="00000000">
      <w:r>
        <w:t>Construct interval or multivalued enclosures of the return map, demonstrate a common isolating neighbourhood across the parameter box, and document how grazing is excluded or enclosed.</w:t>
      </w:r>
    </w:p>
    <w:p w14:paraId="603B52A4" w14:textId="77777777" w:rsidR="00937C4A" w:rsidRDefault="00000000">
      <w:pPr>
        <w:pStyle w:val="Heading2"/>
        <w:spacing w:before="320" w:after="280"/>
        <w:jc w:val="center"/>
      </w:pPr>
      <w:bookmarkStart w:id="126" w:name="b.7-survivor-only-likelihood-validation"/>
      <w:bookmarkEnd w:id="125"/>
      <w:r>
        <w:rPr>
          <w:rFonts w:ascii="EB Garamond" w:eastAsia="EB Garamond" w:hAnsi="EB Garamond"/>
          <w:color w:val="283037"/>
          <w:sz w:val="34"/>
        </w:rPr>
        <w:lastRenderedPageBreak/>
        <w:t>B.7 Survivor-only likelihood validation</w:t>
      </w:r>
    </w:p>
    <w:p w14:paraId="5EDE553D" w14:textId="77777777" w:rsidR="00937C4A" w:rsidRDefault="00000000">
      <w:r>
        <w:t>For parametric age models, verify invariance along the one-dimensional scale orbit and recovery of shape parameters by profile likelihood and synthetic-data experiments.</w:t>
      </w:r>
    </w:p>
    <w:p w14:paraId="1278E213" w14:textId="77777777" w:rsidR="00937C4A" w:rsidRDefault="00000000">
      <w:pPr>
        <w:pStyle w:val="Heading2"/>
        <w:spacing w:before="320" w:after="280"/>
        <w:jc w:val="center"/>
      </w:pPr>
      <w:bookmarkStart w:id="127" w:name="b.8-three-arm-field-experiment"/>
      <w:bookmarkEnd w:id="126"/>
      <w:r>
        <w:rPr>
          <w:rFonts w:ascii="EB Garamond" w:eastAsia="EB Garamond" w:hAnsi="EB Garamond"/>
          <w:color w:val="283037"/>
          <w:sz w:val="34"/>
        </w:rPr>
        <w:t>B.8 Three-arm field experiment</w:t>
      </w:r>
    </w:p>
    <w:p w14:paraId="4285AF5F" w14:textId="77777777" w:rsidR="00937C4A" w:rsidRDefault="00000000">
      <w:r>
        <w:t>Use exposed, animal-and-human-excluded, and fully sheltered arms. Record installation time, geometry, disturbances, interventions, and censoring. Power calculations must be recomputed from a pilot estimate of the event rate rather than treated as fixed.</w:t>
      </w:r>
    </w:p>
    <w:p w14:paraId="1DA59965" w14:textId="77777777" w:rsidR="00937C4A" w:rsidRDefault="00000000">
      <w:pPr>
        <w:pStyle w:val="Heading1"/>
        <w:pageBreakBefore/>
        <w:spacing w:before="1000"/>
      </w:pPr>
      <w:bookmarkStart w:id="128" w:name="appendix-c-errata-from-the-working-notes"/>
      <w:bookmarkEnd w:id="119"/>
      <w:bookmarkEnd w:id="127"/>
      <w:r>
        <w:rPr>
          <w:rFonts w:ascii="Noto Sans" w:eastAsia="Noto Sans" w:hAnsi="Noto Sans"/>
        </w:rPr>
        <w:lastRenderedPageBreak/>
        <w:t>APPENDIX C — ERRATA FROM THE WORKING NOTES</w:t>
      </w:r>
    </w:p>
    <w:p w14:paraId="74FA6EE9" w14:textId="77777777" w:rsidR="00937C4A" w:rsidRDefault="00000000">
      <w:r>
        <w:t>Reproduced in full, because the argument of Part I applies to the author.</w:t>
      </w:r>
    </w:p>
    <w:p w14:paraId="467DDBD4" w14:textId="77777777" w:rsidR="00937C4A" w:rsidRDefault="00000000">
      <w:pPr>
        <w:pStyle w:val="BodyText"/>
      </w:pPr>
      <w:r>
        <w:rPr>
          <w:b/>
          <w:bCs/>
        </w:rPr>
        <w:t>C.1 — Nomenclature.</w:t>
      </w:r>
      <w:r>
        <w:t xml:space="preserve"> </w:t>
      </w:r>
      <m:oMath>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Ω</m:t>
                </m:r>
              </m:e>
            </m:d>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e>
            </m:d>
          </m:e>
          <m:sup>
            <m:r>
              <m:rPr>
                <m:sty m:val="p"/>
              </m:rPr>
              <w:rPr>
                <w:rFonts w:ascii="Cambria Math" w:hAnsi="Cambria Math"/>
              </w:rPr>
              <m:t>-</m:t>
            </m:r>
            <m:r>
              <w:rPr>
                <w:rFonts w:ascii="Cambria Math" w:hAnsi="Cambria Math"/>
              </w:rPr>
              <m:t>1</m:t>
            </m:r>
          </m:sup>
        </m:sSup>
      </m:oMath>
      <w:r>
        <w:t xml:space="preserve"> was called a </w:t>
      </w:r>
      <w:r>
        <w:rPr>
          <w:i/>
          <w:iCs/>
        </w:rPr>
        <w:t>first-order low-pass filter</w:t>
      </w:r>
      <w:r>
        <w:t xml:space="preserve">. A causal first-order low-pass has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e>
            </m:d>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w:t>
      </w:r>
      <m:oMath>
        <m:r>
          <m:rPr>
            <m:sty m:val="p"/>
          </m:rPr>
          <w:rPr>
            <w:rFonts w:ascii="Cambria Math" w:hAnsi="Cambria Math"/>
          </w:rPr>
          <m:t>-</m:t>
        </m:r>
        <m:r>
          <w:rPr>
            <w:rFonts w:ascii="Cambria Math" w:hAnsi="Cambria Math"/>
          </w:rPr>
          <m:t>20</m:t>
        </m:r>
      </m:oMath>
      <w:r>
        <w:t xml:space="preserve"> dB/decade. This kernel is Lorentzian with a second-order, </w:t>
      </w:r>
      <m:oMath>
        <m:r>
          <m:rPr>
            <m:sty m:val="p"/>
          </m:rPr>
          <w:rPr>
            <w:rFonts w:ascii="Cambria Math" w:hAnsi="Cambria Math"/>
          </w:rPr>
          <m:t>-</m:t>
        </m:r>
        <m:r>
          <w:rPr>
            <w:rFonts w:ascii="Cambria Math" w:hAnsi="Cambria Math"/>
          </w:rPr>
          <m:t>40</m:t>
        </m:r>
      </m:oMath>
      <w:r>
        <w:t xml:space="preserve"> dB/decade roll-off, arising from the real-pole second-order equation </w:t>
      </w: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cos</m:t>
        </m:r>
        <m:r>
          <w:rPr>
            <w:rFonts w:ascii="Cambria Math" w:hAnsi="Cambria Math"/>
          </w:rPr>
          <m:t>Ωτ</m:t>
        </m:r>
      </m:oMath>
      <w:r>
        <w:t xml:space="preserve">. </w:t>
      </w:r>
      <w:r>
        <w:rPr>
          <w:b/>
          <w:bCs/>
        </w:rPr>
        <w:t>Corrected in §6.6.</w:t>
      </w:r>
    </w:p>
    <w:p w14:paraId="65671F2B" w14:textId="77777777" w:rsidR="00937C4A" w:rsidRDefault="00000000">
      <w:pPr>
        <w:pStyle w:val="BodyText"/>
      </w:pPr>
      <w:r>
        <w:rPr>
          <w:b/>
          <w:bCs/>
        </w:rPr>
        <w:t>C.2 — Threshold conflation.</w:t>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0</m:t>
            </m:r>
          </m:sub>
          <m:sup>
            <m:r>
              <m:rPr>
                <m:sty m:val="p"/>
              </m:rPr>
              <w:rPr>
                <w:rFonts w:ascii="Cambria Math" w:hAnsi="Cambria Math"/>
              </w:rPr>
              <m:t>cr</m:t>
            </m:r>
          </m:sup>
        </m:sSubSup>
      </m:oMath>
      <w:r>
        <w:t xml:space="preserve"> is a heteroclinic-intersection threshold and was at points used as an overturning threshold. </w:t>
      </w:r>
      <w:r>
        <w:rPr>
          <w:b/>
          <w:bCs/>
        </w:rPr>
        <w:t>Corrected in §6.6.</w:t>
      </w:r>
    </w:p>
    <w:p w14:paraId="40239594" w14:textId="77777777" w:rsidR="00937C4A" w:rsidRDefault="00000000">
      <w:pPr>
        <w:pStyle w:val="BodyText"/>
      </w:pPr>
      <w:r>
        <w:rPr>
          <w:b/>
          <w:bCs/>
        </w:rPr>
        <w:t>C.3 — Scaling.</w:t>
      </w:r>
      <w:r>
        <w:t xml:space="preserve"> “Linear in </w:t>
      </w:r>
      <m:oMath>
        <m:r>
          <w:rPr>
            <w:rFonts w:ascii="Cambria Math" w:hAnsi="Cambria Math"/>
          </w:rPr>
          <m:t>R</m:t>
        </m:r>
      </m:oMath>
      <w:r>
        <w:t xml:space="preserve">, not </w:t>
      </w:r>
      <m:oMath>
        <m:rad>
          <m:radPr>
            <m:degHide m:val="1"/>
            <m:ctrlPr>
              <w:rPr>
                <w:rFonts w:ascii="Cambria Math" w:hAnsi="Cambria Math"/>
              </w:rPr>
            </m:ctrlPr>
          </m:radPr>
          <m:deg/>
          <m:e>
            <m:r>
              <w:rPr>
                <w:rFonts w:ascii="Cambria Math" w:hAnsi="Cambria Math"/>
              </w:rPr>
              <m:t>R</m:t>
            </m:r>
          </m:e>
        </m:rad>
      </m:oMath>
      <w:r>
        <w:t xml:space="preserve">” was stated without its hypotheses. It holds for the heteroclinic threshold under harmonic forcing at fixed </w:t>
      </w:r>
      <m:oMath>
        <m:r>
          <w:rPr>
            <w:rFonts w:ascii="Cambria Math" w:hAnsi="Cambria Math"/>
          </w:rPr>
          <m:t>ω</m:t>
        </m:r>
      </m:oMath>
      <w:r>
        <w:t xml:space="preserve">. Four regimes give exponents </w:t>
      </w:r>
      <m:oMath>
        <m:r>
          <w:rPr>
            <w:rFonts w:ascii="Cambria Math" w:hAnsi="Cambria Math"/>
          </w:rPr>
          <m:t>0</m:t>
        </m:r>
        <m:r>
          <m:rPr>
            <m:sty m:val="p"/>
          </m:rPr>
          <w:rPr>
            <w:rFonts w:ascii="Cambria Math" w:hAnsi="Cambria Math"/>
          </w:rPr>
          <m:t>,</m:t>
        </m:r>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 0</m:t>
        </m:r>
      </m:oMath>
      <w:r>
        <w:t xml:space="preserve">. </w:t>
      </w:r>
      <w:r>
        <w:rPr>
          <w:b/>
          <w:bCs/>
        </w:rPr>
        <w:t>Corrected in Chapter 5.</w:t>
      </w:r>
    </w:p>
    <w:p w14:paraId="302E2A41" w14:textId="77777777" w:rsidR="00937C4A" w:rsidRDefault="00000000">
      <w:pPr>
        <w:pStyle w:val="BodyText"/>
      </w:pPr>
      <w:r>
        <w:rPr>
          <w:b/>
          <w:bCs/>
        </w:rPr>
        <w:t>C.4 — Melnikov ordering.</w:t>
      </w:r>
      <w:r>
        <w:t xml:space="preserve"> Flagged as an unresolved inconsistency; it is not. The balance is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2</m:t>
                </m:r>
              </m:sup>
            </m:sSup>
          </m:e>
        </m:d>
      </m:oMath>
      <w:r>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3</m:t>
                </m:r>
              </m:sup>
            </m:sSup>
          </m:e>
        </m:d>
      </m:oMath>
      <w:r>
        <w:t xml:space="preserve">, with both contributions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4</m:t>
                </m:r>
              </m:sup>
            </m:sSup>
          </m:e>
        </m:d>
      </m:oMath>
      <w:r>
        <w:t>; verified numerically (</w:t>
      </w:r>
      <m:oMath>
        <m:sSub>
          <m:sSubPr>
            <m:ctrlPr>
              <w:rPr>
                <w:rFonts w:ascii="Cambria Math" w:hAnsi="Cambria Math"/>
              </w:rPr>
            </m:ctrlPr>
          </m:sSubPr>
          <m:e>
            <m:r>
              <w:rPr>
                <w:rFonts w:ascii="Cambria Math" w:hAnsi="Cambria Math"/>
              </w:rPr>
              <m:t>M</m:t>
            </m:r>
          </m:e>
          <m:sub>
            <m:r>
              <m:rPr>
                <m:sty m:val="p"/>
              </m:rPr>
              <w:rPr>
                <w:rFonts w:ascii="Cambria Math" w:hAnsi="Cambria Math"/>
              </w:rPr>
              <m:t>diss</m:t>
            </m:r>
          </m:sub>
        </m:sSub>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4</m:t>
            </m:r>
          </m:sup>
        </m:sSup>
        <m:r>
          <m:rPr>
            <m:sty m:val="p"/>
          </m:rPr>
          <w:rPr>
            <w:rFonts w:ascii="Cambria Math" w:hAnsi="Cambria Math"/>
          </w:rPr>
          <m:t>→</m:t>
        </m:r>
        <m:r>
          <w:rPr>
            <w:rFonts w:ascii="Cambria Math" w:hAnsi="Cambria Math"/>
          </w:rPr>
          <m:t>1.499</m:t>
        </m:r>
      </m:oMath>
      <w:r>
        <w:t xml:space="preserve">, </w:t>
      </w:r>
      <m:oMath>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0</m:t>
            </m:r>
          </m:sub>
        </m:sSub>
        <m:r>
          <m:rPr>
            <m:scr m:val="script"/>
            <m:sty m:val="p"/>
          </m:rPr>
          <w:rPr>
            <w:rFonts w:ascii="Cambria Math" w:hAnsi="Cambria Math"/>
          </w:rPr>
          <m:t>I/</m:t>
        </m:r>
        <m:sSup>
          <m:sSupPr>
            <m:ctrlPr>
              <w:rPr>
                <w:rFonts w:ascii="Cambria Math" w:hAnsi="Cambria Math"/>
              </w:rPr>
            </m:ctrlPr>
          </m:sSupPr>
          <m:e>
            <m:r>
              <w:rPr>
                <w:rFonts w:ascii="Cambria Math" w:hAnsi="Cambria Math"/>
              </w:rPr>
              <m:t>α</m:t>
            </m:r>
          </m:e>
          <m:sup>
            <m:r>
              <w:rPr>
                <w:rFonts w:ascii="Cambria Math" w:hAnsi="Cambria Math"/>
              </w:rPr>
              <m:t>4</m:t>
            </m:r>
          </m:sup>
        </m:sSup>
        <m:r>
          <m:rPr>
            <m:sty m:val="p"/>
          </m:rPr>
          <w:rPr>
            <w:rFonts w:ascii="Cambria Math" w:hAnsi="Cambria Math"/>
          </w:rPr>
          <m:t>→</m:t>
        </m:r>
        <m:r>
          <w:rPr>
            <w:rFonts w:ascii="Cambria Math" w:hAnsi="Cambria Math"/>
          </w:rPr>
          <m:t>0.400</m:t>
        </m:r>
      </m:oMath>
      <w:r>
        <w:t xml:space="preserve">). </w:t>
      </w:r>
      <w:r>
        <w:rPr>
          <w:b/>
          <w:bCs/>
        </w:rPr>
        <w:t>Resolved in §6.3.</w:t>
      </w:r>
    </w:p>
    <w:p w14:paraId="7617D122" w14:textId="77777777" w:rsidR="00937C4A" w:rsidRDefault="00000000">
      <w:pPr>
        <w:pStyle w:val="BodyText"/>
      </w:pPr>
      <w:r>
        <w:rPr>
          <w:b/>
          <w:bCs/>
        </w:rPr>
        <w:t>C.5 — Separatrix validation.</w:t>
      </w:r>
      <w:r>
        <w:t xml:space="preserve"> The published check validated the un-offset kink </w:t>
      </w: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r>
          <w:rPr>
            <w:rFonts w:ascii="Cambria Math" w:hAnsi="Cambria Math"/>
          </w:rPr>
          <m:t>2 </m:t>
        </m:r>
        <m:r>
          <m:rPr>
            <m:sty m:val="p"/>
          </m:rPr>
          <w:rPr>
            <w:rFonts w:ascii="Cambria Math" w:hAnsi="Cambria Math"/>
          </w:rPr>
          <m:t>sech</m:t>
        </m:r>
        <m:d>
          <m:dPr>
            <m:ctrlPr>
              <w:rPr>
                <w:rFonts w:ascii="Cambria Math" w:hAnsi="Cambria Math"/>
              </w:rPr>
            </m:ctrlPr>
          </m:dPr>
          <m:e>
            <m:r>
              <w:rPr>
                <w:rFonts w:ascii="Cambria Math" w:hAnsi="Cambria Math"/>
              </w:rPr>
              <m:t>s</m:t>
            </m:r>
          </m:e>
        </m:d>
      </m:oMath>
      <w:r>
        <w:t xml:space="preserve">, not the impact-centred glued orbit </w:t>
      </w: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r>
          <w:rPr>
            <w:rFonts w:ascii="Cambria Math" w:hAnsi="Cambria Math"/>
          </w:rPr>
          <m:t>2 </m:t>
        </m:r>
        <m:r>
          <m:rPr>
            <m:sty m:val="p"/>
          </m:rPr>
          <w:rPr>
            <w:rFonts w:ascii="Cambria Math" w:hAnsi="Cambria Math"/>
          </w:rPr>
          <m:t>sech</m:t>
        </m:r>
        <m:d>
          <m:dPr>
            <m:ctrlPr>
              <w:rPr>
                <w:rFonts w:ascii="Cambria Math" w:hAnsi="Cambria Math"/>
              </w:rPr>
            </m:ctrlPr>
          </m:dPr>
          <m:e>
            <m:d>
              <m:dPr>
                <m:begChr m:val="|"/>
                <m:endChr m:val="|"/>
                <m:ctrlPr>
                  <w:rPr>
                    <w:rFonts w:ascii="Cambria Math" w:hAnsi="Cambria Math"/>
                  </w:rPr>
                </m:ctrlPr>
              </m:dPr>
              <m:e>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e>
        </m:d>
      </m:oMath>
      <w:r>
        <w:t xml:space="preserve">. </w:t>
      </w:r>
      <w:r>
        <w:rPr>
          <w:b/>
          <w:bCs/>
        </w:rPr>
        <w:t>Now validated in §6.2</w:t>
      </w:r>
      <w:r>
        <w:t xml:space="preserve"> (residual </w:t>
      </w:r>
      <m:oMath>
        <m:r>
          <w:rPr>
            <w:rFonts w:ascii="Cambria Math" w:hAnsi="Cambria Math"/>
          </w:rPr>
          <m:t>6.9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w:t>
      </w:r>
      <m:oMath>
        <m:sSub>
          <m:sSubPr>
            <m:ctrlPr>
              <w:rPr>
                <w:rFonts w:ascii="Cambria Math" w:hAnsi="Cambria Math"/>
              </w:rPr>
            </m:ctrlPr>
          </m:sSubPr>
          <m:e>
            <m:r>
              <w:rPr>
                <w:rFonts w:ascii="Cambria Math" w:hAnsi="Cambria Math"/>
              </w:rPr>
              <m:t>θ</m:t>
            </m:r>
          </m:e>
          <m:sub>
            <m:r>
              <w:rPr>
                <w:rFonts w:ascii="Cambria Math" w:hAnsi="Cambria Math"/>
              </w:rPr>
              <m:t>s</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0.348148</m:t>
        </m:r>
      </m:oMath>
      <w:r>
        <w:t xml:space="preserve"> vs </w:t>
      </w:r>
      <m:oMath>
        <m:r>
          <m:rPr>
            <m:sty m:val="p"/>
          </m:rPr>
          <w:rPr>
            <w:rFonts w:ascii="Cambria Math" w:hAnsi="Cambria Math"/>
          </w:rPr>
          <m:t>-</m:t>
        </m:r>
        <m:r>
          <w:rPr>
            <w:rFonts w:ascii="Cambria Math" w:hAnsi="Cambria Math"/>
          </w:rPr>
          <m:t>2</m:t>
        </m:r>
        <m:r>
          <m:rPr>
            <m:sty m:val="p"/>
          </m:rPr>
          <w:rPr>
            <w:rFonts w:ascii="Cambria Math" w:hAnsi="Cambria Math"/>
          </w:rPr>
          <m:t>sin</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0.348216</m:t>
        </m:r>
      </m:oMath>
      <w:r>
        <w:t>).</w:t>
      </w:r>
    </w:p>
    <w:p w14:paraId="0ABEF72C" w14:textId="77777777" w:rsidR="00937C4A" w:rsidRDefault="00000000">
      <w:pPr>
        <w:pStyle w:val="BodyText"/>
      </w:pPr>
      <w:r>
        <w:rPr>
          <w:b/>
          <w:bCs/>
        </w:rPr>
        <w:t>C.6 — Regime language.</w:t>
      </w:r>
      <w:r>
        <w:t xml:space="preserve"> “Below </w:t>
      </w:r>
      <m:oMath>
        <m:sSub>
          <m:sSubPr>
            <m:ctrlPr>
              <w:rPr>
                <w:rFonts w:ascii="Cambria Math" w:hAnsi="Cambria Math"/>
              </w:rPr>
            </m:ctrlPr>
          </m:sSubPr>
          <m:e>
            <m:r>
              <w:rPr>
                <w:rFonts w:ascii="Cambria Math" w:hAnsi="Cambria Math"/>
              </w:rPr>
              <m:t>Ω</m:t>
            </m:r>
          </m:e>
          <m:sub>
            <m:r>
              <m:rPr>
                <m:sty m:val="p"/>
              </m:rPr>
              <w:rPr>
                <w:rFonts w:ascii="Cambria Math" w:hAnsi="Cambria Math"/>
              </w:rPr>
              <m:t>*</m:t>
            </m:r>
          </m:sub>
        </m:sSub>
      </m:oMath>
      <w:r>
        <w:t xml:space="preserve"> any rocking is already chaotic” overstates a first-order Melnikov condition, which predicts existence of a chaotic invariant set, not that every trajectory belongs to it. “Deterministic corridor” is wrong — the model is deterministic throughout. </w:t>
      </w:r>
      <w:r>
        <w:rPr>
          <w:b/>
          <w:bCs/>
        </w:rPr>
        <w:t>Corrected in Chapter 7</w:t>
      </w:r>
      <w:r>
        <w:t xml:space="preserve"> to </w:t>
      </w:r>
      <w:r>
        <w:rPr>
          <w:i/>
          <w:iCs/>
        </w:rPr>
        <w:t>Melnikov-regular corridor</w:t>
      </w:r>
      <w:r>
        <w:t>.</w:t>
      </w:r>
    </w:p>
    <w:p w14:paraId="5B1D0329" w14:textId="77777777" w:rsidR="00937C4A" w:rsidRDefault="00000000">
      <w:pPr>
        <w:pStyle w:val="BodyText"/>
      </w:pPr>
      <w:r>
        <w:rPr>
          <w:b/>
          <w:bCs/>
        </w:rPr>
        <w:t>C.7 — Transport claim.</w:t>
      </w:r>
      <w:r>
        <w:t xml:space="preserve"> The assertion that PBR fragility methodology is calibrated at 0.2–1 Hz near-fault pulses is too narrow; the calibration suite is broader and vector-valued. </w:t>
      </w:r>
      <w:r>
        <w:rPr>
          <w:b/>
          <w:bCs/>
        </w:rPr>
        <w:t>Downgraded in Chapter 7</w:t>
      </w:r>
      <w:r>
        <w:t xml:space="preserve"> from finding to specified test.</w:t>
      </w:r>
    </w:p>
    <w:p w14:paraId="030F343C" w14:textId="77777777" w:rsidR="00937C4A" w:rsidRDefault="00000000">
      <w:pPr>
        <w:pStyle w:val="BodyText"/>
      </w:pPr>
      <w:r>
        <w:rPr>
          <w:b/>
          <w:bCs/>
        </w:rPr>
        <w:t xml:space="preserve">C.8 — RETRACTED: the </w:t>
      </w:r>
      <m:oMath>
        <m:sSub>
          <m:sSubPr>
            <m:ctrlPr>
              <w:rPr>
                <w:rFonts w:ascii="Cambria Math" w:hAnsi="Cambria Math"/>
              </w:rPr>
            </m:ctrlPr>
          </m:sSubPr>
          <m:e>
            <m:r>
              <w:rPr>
                <w:rFonts w:ascii="Cambria Math" w:hAnsi="Cambria Math"/>
              </w:rPr>
              <m:t>β</m:t>
            </m:r>
          </m:e>
          <m:sub>
            <m:r>
              <w:rPr>
                <w:rFonts w:ascii="Cambria Math" w:hAnsi="Cambria Math"/>
              </w:rPr>
              <m:t>0</m:t>
            </m:r>
          </m:sub>
        </m:sSub>
      </m:oMath>
      <w:r>
        <w:rPr>
          <w:b/>
          <w:bCs/>
        </w:rPr>
        <w:t xml:space="preserve"> transition.</w:t>
      </w:r>
      <w:r>
        <w:t xml:space="preserve"> Component counts were computed on a rectangular array with four-connectivity, without gluing the periodic phase seam of the cylinder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and without a minimum component size. The reported </w:t>
      </w:r>
      <m:oMath>
        <m:r>
          <w:rPr>
            <w:rFonts w:ascii="Cambria Math" w:hAnsi="Cambria Math"/>
          </w:rPr>
          <m:t>1</m:t>
        </m:r>
        <m:r>
          <m:rPr>
            <m:sty m:val="p"/>
          </m:rPr>
          <w:rPr>
            <w:rFonts w:ascii="Cambria Math" w:hAnsi="Cambria Math"/>
          </w:rPr>
          <m:t>→</m:t>
        </m:r>
        <m:r>
          <w:rPr>
            <w:rFonts w:ascii="Cambria Math" w:hAnsi="Cambria Math"/>
          </w:rPr>
          <m:t>2</m:t>
        </m:r>
      </m:oMath>
      <w:r>
        <w:t xml:space="preserve"> transition at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0.175</m:t>
        </m:r>
      </m:oMath>
      <w:r>
        <w:t xml:space="preserve"> is a single grid cell; corrected counts give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1</m:t>
        </m:r>
      </m:oMath>
      <w:r>
        <w:t xml:space="preserve"> at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0.175</m:t>
        </m:r>
      </m:oMath>
      <w:r>
        <w:t xml:space="preserve"> </w:t>
      </w:r>
      <w:r>
        <w:rPr>
          <w:b/>
          <w:bCs/>
        </w:rPr>
        <w:t xml:space="preserve">and at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0.220</m:t>
        </m:r>
      </m:oMath>
      <w:r>
        <w:t>, at every resolution tested. The subsequent claim that resolution-</w:t>
      </w:r>
      <w:r>
        <w:rPr>
          <w:i/>
          <w:iCs/>
        </w:rPr>
        <w:t>instability</w:t>
      </w:r>
      <w:r>
        <w:t xml:space="preserve"> of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diagnostic used the same defective labelling and is withdrawn with it. Additional defects: exit condition </w:t>
      </w:r>
      <m:oMath>
        <m:d>
          <m:dPr>
            <m:begChr m:val="|"/>
            <m:endChr m:val="|"/>
            <m:ctrlPr>
              <w:rPr>
                <w:rFonts w:ascii="Cambria Math" w:hAnsi="Cambria Math"/>
              </w:rPr>
            </m:ctrlPr>
          </m:dPr>
          <m:e>
            <m:r>
              <w:rPr>
                <w:rFonts w:ascii="Cambria Math" w:hAnsi="Cambria Math"/>
              </w:rPr>
              <m:t>θ</m:t>
            </m:r>
          </m:e>
        </m:d>
        <m:r>
          <m:rPr>
            <m:sty m:val="p"/>
          </m:rPr>
          <w:rPr>
            <w:rFonts w:ascii="Cambria Math" w:hAnsi="Cambria Math"/>
          </w:rPr>
          <m:t>&gt;</m:t>
        </m:r>
        <m:r>
          <w:rPr>
            <w:rFonts w:ascii="Cambria Math" w:hAnsi="Cambria Math"/>
          </w:rPr>
          <m:t>3α</m:t>
        </m:r>
      </m:oMath>
      <w:r>
        <w:t xml:space="preserve"> rather than the separatrix; impacts not event-localised; counts not reproducible across settings. </w:t>
      </w:r>
      <w:r>
        <w:rPr>
          <w:b/>
          <w:bCs/>
        </w:rPr>
        <w:t>Retracted in Chapter 10, with a six-point protocol for what would establish the conjecture.</w:t>
      </w:r>
    </w:p>
    <w:p w14:paraId="79538A54" w14:textId="77777777" w:rsidR="00937C4A" w:rsidRDefault="00000000">
      <w:pPr>
        <w:pStyle w:val="BodyText"/>
      </w:pPr>
      <w:r>
        <w:rPr>
          <w:b/>
          <w:bCs/>
        </w:rPr>
        <w:t>C.9 — RETRACTED: the information ceiling.</w:t>
      </w:r>
      <w:r>
        <w:t xml:space="preserve"> </w:t>
      </w:r>
      <m:oMath>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ϑ</m:t>
            </m:r>
          </m:e>
        </m:d>
        <m:r>
          <m:rPr>
            <m:sty m:val="p"/>
          </m:rP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oMath>
      <w:r>
        <w:t xml:space="preserve"> with </w:t>
      </w:r>
      <m:oMath>
        <m:r>
          <w:rPr>
            <w:rFonts w:ascii="Cambria Math" w:hAnsi="Cambria Math"/>
          </w:rPr>
          <m:t>Y</m:t>
        </m:r>
      </m:oMath>
      <w:r>
        <w:t xml:space="preserve"> binary violates </w:t>
      </w:r>
      <m:oMath>
        <m:r>
          <w:rPr>
            <w:rFonts w:ascii="Cambria Math" w:hAnsi="Cambria Math"/>
          </w:rPr>
          <m:t>I</m:t>
        </m:r>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1</m:t>
        </m:r>
      </m:oMath>
      <w:r>
        <w:t xml:space="preserve"> bit. Reported figures of 10 bits and 2.1 bits are impossible. The derived 23% floor on hazard rate falls with it. Additionally: exponent measured in initial-condition space but claimed in parameter space; exponent estimates unconverged (three </w:t>
      </w:r>
      <m:oMath>
        <m:r>
          <w:rPr>
            <w:rFonts w:ascii="Cambria Math" w:hAnsi="Cambria Math"/>
          </w:rPr>
          <m:t>ε</m:t>
        </m:r>
      </m:oMath>
      <w:r>
        <w:t xml:space="preserve">-values, two flips at the smallest; independent reruns give </w:t>
      </w:r>
      <m:oMath>
        <m:r>
          <w:rPr>
            <w:rFonts w:ascii="Cambria Math" w:hAnsi="Cambria Math"/>
          </w:rPr>
          <m:t>1.23</m:t>
        </m:r>
        <m:r>
          <m:rPr>
            <m:sty m:val="p"/>
          </m:rPr>
          <w:rPr>
            <w:rFonts w:ascii="Cambria Math" w:hAnsi="Cambria Math"/>
          </w:rPr>
          <m:t>,</m:t>
        </m:r>
        <m:r>
          <w:rPr>
            <w:rFonts w:ascii="Cambria Math" w:hAnsi="Cambria Math"/>
          </w:rPr>
          <m:t>0.53</m:t>
        </m:r>
        <m:r>
          <m:rPr>
            <m:sty m:val="p"/>
          </m:rPr>
          <w:rPr>
            <w:rFonts w:ascii="Cambria Math" w:hAnsi="Cambria Math"/>
          </w:rPr>
          <m:t>,</m:t>
        </m:r>
        <m:r>
          <w:rPr>
            <w:rFonts w:ascii="Cambria Math" w:hAnsi="Cambria Math"/>
          </w:rPr>
          <m:t>0.28</m:t>
        </m:r>
        <m:r>
          <m:rPr>
            <m:sty m:val="p"/>
          </m:rPr>
          <w:rPr>
            <w:rFonts w:ascii="Cambria Math" w:hAnsi="Cambria Math"/>
          </w:rPr>
          <m:t>,</m:t>
        </m:r>
        <m:r>
          <w:rPr>
            <w:rFonts w:ascii="Cambria Math" w:hAnsi="Cambria Math"/>
          </w:rPr>
          <m:t>0.29</m:t>
        </m:r>
      </m:oMath>
      <w:r>
        <w:t xml:space="preserve"> against </w:t>
      </w:r>
      <m:oMath>
        <m:r>
          <w:rPr>
            <w:rFonts w:ascii="Cambria Math" w:hAnsi="Cambria Math"/>
          </w:rPr>
          <m:t>1.02</m:t>
        </m:r>
        <m:r>
          <m:rPr>
            <m:sty m:val="p"/>
          </m:rPr>
          <w:rPr>
            <w:rFonts w:ascii="Cambria Math" w:hAnsi="Cambria Math"/>
          </w:rPr>
          <m:t>,</m:t>
        </m:r>
        <m:r>
          <w:rPr>
            <w:rFonts w:ascii="Cambria Math" w:hAnsi="Cambria Math"/>
          </w:rPr>
          <m:t>0.77</m:t>
        </m:r>
        <m:r>
          <m:rPr>
            <m:sty m:val="p"/>
          </m:rPr>
          <w:rPr>
            <w:rFonts w:ascii="Cambria Math" w:hAnsi="Cambria Math"/>
          </w:rPr>
          <m:t>,</m:t>
        </m:r>
        <m:r>
          <w:rPr>
            <w:rFonts w:ascii="Cambria Math" w:hAnsi="Cambria Math"/>
          </w:rPr>
          <m:t>0.21</m:t>
        </m:r>
        <m:r>
          <m:rPr>
            <m:sty m:val="p"/>
          </m:rPr>
          <w:rPr>
            <w:rFonts w:ascii="Cambria Math" w:hAnsi="Cambria Math"/>
          </w:rPr>
          <m:t>,</m:t>
        </m:r>
        <m:r>
          <w:rPr>
            <w:rFonts w:ascii="Cambria Math" w:hAnsi="Cambria Math"/>
          </w:rPr>
          <m:t>0.21</m:t>
        </m:r>
      </m:oMath>
      <w:r>
        <w:t xml:space="preserve">). </w:t>
      </w:r>
      <w:r>
        <w:rPr>
          <w:b/>
          <w:bCs/>
        </w:rPr>
        <w:t>Retracted in Chapter 15</w:t>
      </w:r>
      <w:r>
        <w:t xml:space="preserve">, replaced by the precision cost </w:t>
      </w:r>
      <m:oMath>
        <m:sSup>
          <m:sSupPr>
            <m:ctrlPr>
              <w:rPr>
                <w:rFonts w:ascii="Cambria Math" w:hAnsi="Cambria Math"/>
              </w:rPr>
            </m:ctrlPr>
          </m:sSupPr>
          <m:e>
            <m:r>
              <w:rPr>
                <w:rFonts w:ascii="Cambria Math" w:hAnsi="Cambria Math"/>
              </w:rPr>
              <m:t>2</m:t>
            </m:r>
          </m:e>
          <m:sup>
            <m:r>
              <w:rPr>
                <w:rFonts w:ascii="Cambria Math" w:hAnsi="Cambria Math"/>
              </w:rPr>
              <m:t>1</m:t>
            </m:r>
            <m:r>
              <m:rPr>
                <m:sty m:val="p"/>
              </m:rPr>
              <w:rPr>
                <w:rFonts w:ascii="Cambria Math" w:hAnsi="Cambria Math"/>
              </w:rPr>
              <m:t>/</m:t>
            </m:r>
            <m:r>
              <w:rPr>
                <w:rFonts w:ascii="Cambria Math" w:hAnsi="Cambria Math"/>
              </w:rPr>
              <m:t>γ</m:t>
            </m:r>
          </m:sup>
        </m:sSup>
      </m:oMath>
      <w:r>
        <w:t xml:space="preserve"> per bit of ambiguity suppression.</w:t>
      </w:r>
    </w:p>
    <w:p w14:paraId="14EEC2FD" w14:textId="77777777" w:rsidR="00937C4A" w:rsidRDefault="00000000">
      <w:pPr>
        <w:pStyle w:val="BodyText"/>
      </w:pPr>
      <w:r>
        <w:rPr>
          <w:b/>
          <w:bCs/>
        </w:rPr>
        <w:t>C.10 — Conley continuation.</w:t>
      </w:r>
      <w:r>
        <w:t xml:space="preserve"> “The index survives contact-stiffness uncertainty” omits its hypothesis. Continuation requires uniform isolation </w:t>
      </w:r>
      <m:oMath>
        <m:r>
          <m:rPr>
            <m:sty m:val="p"/>
          </m:rPr>
          <w:rPr>
            <w:rFonts w:ascii="Cambria Math" w:hAnsi="Cambria Math"/>
          </w:rPr>
          <m:t>Inv</m:t>
        </m:r>
        <m:d>
          <m:dPr>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λ</m:t>
                </m:r>
              </m:sub>
            </m:sSub>
          </m:e>
        </m:d>
        <m:r>
          <m:rPr>
            <m:sty m:val="p"/>
          </m:rPr>
          <w:rPr>
            <w:rFonts w:ascii="Cambria Math" w:hAnsi="Cambria Math"/>
          </w:rPr>
          <m:t>⊂int</m:t>
        </m:r>
        <m:r>
          <w:rPr>
            <w:rFonts w:ascii="Cambria Math" w:hAnsi="Cambria Math"/>
          </w:rPr>
          <m:t>N</m:t>
        </m:r>
      </m:oMath>
      <w:r>
        <w:t xml:space="preserve"> for all </w:t>
      </w:r>
      <m:oMath>
        <m:r>
          <w:rPr>
            <w:rFonts w:ascii="Cambria Math" w:hAnsi="Cambria Math"/>
          </w:rPr>
          <m:t>λ</m:t>
        </m:r>
      </m:oMath>
      <w:r>
        <w:t xml:space="preserve">. </w:t>
      </w:r>
      <w:r>
        <w:rPr>
          <w:b/>
          <w:bCs/>
        </w:rPr>
        <w:t>Corrected in Chapter 11.</w:t>
      </w:r>
    </w:p>
    <w:p w14:paraId="26BB21E1" w14:textId="77777777" w:rsidR="00937C4A" w:rsidRDefault="00000000">
      <w:pPr>
        <w:pStyle w:val="BodyText"/>
      </w:pPr>
      <w:r>
        <w:rPr>
          <w:b/>
          <w:bCs/>
        </w:rPr>
        <w:t>C.11 — Slenderness spectrum.</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oMath>
      <w:r>
        <w:t xml:space="preserve"> indexed by a basis of </w:t>
      </w:r>
      <m:oMath>
        <m:r>
          <m:rPr>
            <m:sty m:val="p"/>
          </m:rPr>
          <w:rPr>
            <w:rFonts w:ascii="Cambria Math" w:hAnsi="Cambria Math"/>
          </w:rPr>
          <m:t>ker</m:t>
        </m:r>
        <m:r>
          <w:rPr>
            <w:rFonts w:ascii="Cambria Math" w:hAnsi="Cambria Math"/>
          </w:rPr>
          <m:t>C</m:t>
        </m:r>
      </m:oMath>
      <w:r>
        <w:t xml:space="preserve"> is basis-dependent and not invariant. </w:t>
      </w:r>
      <w:r>
        <w:rPr>
          <w:b/>
          <w:bCs/>
        </w:rPr>
        <w:t>Replaced in Chapter 8</w:t>
      </w:r>
      <w:r>
        <w:t xml:space="preserve"> by the projective mechanism cone and </w:t>
      </w:r>
      <m:oMath>
        <m:sSub>
          <m:sSubPr>
            <m:ctrlPr>
              <w:rPr>
                <w:rFonts w:ascii="Cambria Math" w:hAnsi="Cambria Math"/>
              </w:rPr>
            </m:ctrlPr>
          </m:sSubPr>
          <m:e>
            <m:r>
              <m:rPr>
                <m:sty m:val="p"/>
              </m:rPr>
              <w:rPr>
                <w:rFonts w:ascii="Cambria Math" w:hAnsi="Cambria Math"/>
              </w:rPr>
              <m:t>inf</m:t>
            </m:r>
          </m:e>
          <m:sub>
            <m:d>
              <m:dPr>
                <m:begChr m:val="["/>
                <m:endChr m:val="]"/>
                <m:ctrlPr>
                  <w:rPr>
                    <w:rFonts w:ascii="Cambria Math" w:hAnsi="Cambria Math"/>
                  </w:rPr>
                </m:ctrlPr>
              </m:dPr>
              <m:e>
                <m:r>
                  <w:rPr>
                    <w:rFonts w:ascii="Cambria Math" w:hAnsi="Cambria Math"/>
                  </w:rPr>
                  <m:t>ξ</m:t>
                </m:r>
              </m:e>
            </m:d>
            <m:r>
              <m:rPr>
                <m:scr m:val="double-struck"/>
                <m:sty m:val="p"/>
              </m:rPr>
              <w:rPr>
                <w:rFonts w:ascii="Cambria Math" w:hAnsi="Cambria Math"/>
              </w:rPr>
              <m:t>∈P</m:t>
            </m:r>
            <m:d>
              <m:dPr>
                <m:ctrlPr>
                  <w:rPr>
                    <w:rFonts w:ascii="Cambria Math" w:hAnsi="Cambria Math"/>
                  </w:rPr>
                </m:ctrlPr>
              </m:dPr>
              <m:e>
                <m:r>
                  <m:rPr>
                    <m:scr m:val="script"/>
                    <m:sty m:val="p"/>
                  </m:rPr>
                  <w:rPr>
                    <w:rFonts w:ascii="Cambria Math" w:hAnsi="Cambria Math"/>
                  </w:rPr>
                  <m:t>M</m:t>
                </m:r>
              </m:e>
            </m:d>
          </m:sub>
        </m:sSub>
        <m:sSubSup>
          <m:sSubSupPr>
            <m:ctrlPr>
              <w:rPr>
                <w:rFonts w:ascii="Cambria Math" w:hAnsi="Cambria Math"/>
              </w:rPr>
            </m:ctrlPr>
          </m:sSubSupPr>
          <m:e>
            <m:r>
              <w:rPr>
                <w:rFonts w:ascii="Cambria Math" w:hAnsi="Cambria Math"/>
              </w:rPr>
              <m:t>a</m:t>
            </m:r>
          </m:e>
          <m:sub>
            <m:r>
              <w:rPr>
                <w:rFonts w:ascii="Cambria Math" w:hAnsi="Cambria Math"/>
              </w:rPr>
              <m:t>0</m:t>
            </m:r>
          </m:sub>
          <m:sup>
            <m:r>
              <m:rPr>
                <m:sty m:val="p"/>
              </m:rPr>
              <w:rPr>
                <w:rFonts w:ascii="Cambria Math" w:hAnsi="Cambria Math"/>
              </w:rPr>
              <m:t>cr</m:t>
            </m:r>
          </m:sup>
        </m:sSubSup>
        <m:d>
          <m:dPr>
            <m:ctrlPr>
              <w:rPr>
                <w:rFonts w:ascii="Cambria Math" w:hAnsi="Cambria Math"/>
              </w:rPr>
            </m:ctrlPr>
          </m:dPr>
          <m:e>
            <m:d>
              <m:dPr>
                <m:begChr m:val="["/>
                <m:endChr m:val="]"/>
                <m:ctrlPr>
                  <w:rPr>
                    <w:rFonts w:ascii="Cambria Math" w:hAnsi="Cambria Math"/>
                  </w:rPr>
                </m:ctrlPr>
              </m:dPr>
              <m:e>
                <m:r>
                  <w:rPr>
                    <w:rFonts w:ascii="Cambria Math" w:hAnsi="Cambria Math"/>
                  </w:rPr>
                  <m:t>ξ</m:t>
                </m:r>
              </m:e>
            </m:d>
          </m:e>
        </m:d>
      </m:oMath>
      <w:r>
        <w:t>.</w:t>
      </w:r>
    </w:p>
    <w:p w14:paraId="740F7087" w14:textId="77777777" w:rsidR="00937C4A" w:rsidRDefault="00000000">
      <w:pPr>
        <w:pStyle w:val="BodyText"/>
      </w:pPr>
      <w:r>
        <w:rPr>
          <w:b/>
          <w:bCs/>
        </w:rPr>
        <w:t>C.12 — Sheaf obstruction.</w:t>
      </w:r>
      <w:r>
        <w:t xml:space="preserve">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0</m:t>
        </m:r>
      </m:oMath>
      <w:r>
        <w:t xml:space="preserve"> is unusable under noise. </w:t>
      </w:r>
      <w:r>
        <w:rPr>
          <w:b/>
          <w:bCs/>
        </w:rPr>
        <w:t>Replaced in Chapter 19</w:t>
      </w:r>
      <w:r>
        <w:t xml:space="preserve"> by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of the sheaf Laplacian with a null distribution.</w:t>
      </w:r>
    </w:p>
    <w:p w14:paraId="0F5CE94D" w14:textId="77777777" w:rsidR="00937C4A" w:rsidRDefault="00000000">
      <w:pPr>
        <w:pStyle w:val="BodyText"/>
      </w:pPr>
      <w:r>
        <w:rPr>
          <w:b/>
          <w:bCs/>
        </w:rPr>
        <w:t>Count:</w:t>
      </w:r>
      <w:r>
        <w:t xml:space="preserve"> twelve corrections, of which two are full retractions of headline results. Ratio of retracted to advanced headline claims in the working notes: </w:t>
      </w:r>
      <w:r>
        <w:rPr>
          <w:b/>
          <w:bCs/>
        </w:rPr>
        <w:t>2 of 4</w:t>
      </w:r>
      <w:r>
        <w:t>.</w:t>
      </w:r>
    </w:p>
    <w:p w14:paraId="7A6EE4FE" w14:textId="77777777" w:rsidR="00937C4A" w:rsidRDefault="00000000">
      <w:pPr>
        <w:pStyle w:val="BodyText"/>
      </w:pPr>
      <w:r>
        <w:lastRenderedPageBreak/>
        <w:t>That number belongs on the cover more than any of the theorems do.</w:t>
      </w:r>
    </w:p>
    <w:p w14:paraId="0B53E30E" w14:textId="77777777" w:rsidR="00937C4A" w:rsidRDefault="00000000">
      <w:pPr>
        <w:pStyle w:val="Heading1"/>
        <w:pageBreakBefore/>
        <w:spacing w:before="1000"/>
      </w:pPr>
      <w:bookmarkStart w:id="129" w:name="X9cc6d0f11f545f89dc6283307969b4aa6e984e4"/>
      <w:bookmarkEnd w:id="128"/>
      <w:r>
        <w:rPr>
          <w:rFonts w:ascii="Noto Sans" w:eastAsia="Noto Sans" w:hAnsi="Noto Sans"/>
        </w:rPr>
        <w:lastRenderedPageBreak/>
        <w:t>APPENDIX D — REPRODUCTION CODE AND TEST MANIFEST</w:t>
      </w:r>
    </w:p>
    <w:p w14:paraId="2C3A5073" w14:textId="77777777" w:rsidR="00937C4A" w:rsidRDefault="00000000">
      <w:pPr>
        <w:pStyle w:val="CairnChapterBrief"/>
        <w:pBdr>
          <w:left w:val="single" w:sz="10" w:space="8" w:color="5B7D91"/>
        </w:pBdr>
        <w:shd w:val="clear" w:color="auto" w:fill="F5F7F8"/>
        <w:spacing w:before="100"/>
      </w:pPr>
      <w:r>
        <w:rPr>
          <w:iCs/>
          <w:color w:val="4E5357"/>
        </w:rPr>
        <w:t>Structured appendix brief. The earlier validation script is archived because its basin-topology routine used an open rectangular phase domain and non-event-localised impacts. It is evidence in the errata, not production code.</w:t>
      </w:r>
    </w:p>
    <w:p w14:paraId="542D26BD" w14:textId="77777777" w:rsidR="00937C4A" w:rsidRDefault="00000000">
      <w:pPr>
        <w:pStyle w:val="BodyText"/>
      </w:pPr>
      <w:r>
        <w:t>The release repository for the final book should contain four independent layers.</w:t>
      </w:r>
    </w:p>
    <w:p w14:paraId="63340E21" w14:textId="77777777" w:rsidR="00937C4A" w:rsidRDefault="00000000">
      <w:pPr>
        <w:pStyle w:val="Heading2"/>
        <w:spacing w:before="320" w:after="280"/>
        <w:jc w:val="center"/>
      </w:pPr>
      <w:bookmarkStart w:id="130" w:name="d.1-analytical-validation"/>
      <w:r>
        <w:rPr>
          <w:rFonts w:ascii="EB Garamond" w:eastAsia="EB Garamond" w:hAnsi="EB Garamond"/>
          <w:color w:val="283037"/>
          <w:sz w:val="34"/>
        </w:rPr>
        <w:t>D.1 Analytical validation</w:t>
      </w:r>
    </w:p>
    <w:p w14:paraId="5F0EF049" w14:textId="77777777" w:rsidR="00937C4A" w:rsidRDefault="00000000">
      <w:pPr>
        <w:numPr>
          <w:ilvl w:val="0"/>
          <w:numId w:val="31"/>
        </w:numPr>
      </w:pPr>
      <w:r>
        <w:t>exact and asymptotic Melnikov integrals;</w:t>
      </w:r>
    </w:p>
    <w:p w14:paraId="5B251ABA" w14:textId="77777777" w:rsidR="00937C4A" w:rsidRDefault="00000000">
      <w:pPr>
        <w:numPr>
          <w:ilvl w:val="0"/>
          <w:numId w:val="31"/>
        </w:numPr>
      </w:pPr>
      <w:r>
        <w:t>impact-centred separatrix residuals;</w:t>
      </w:r>
    </w:p>
    <w:p w14:paraId="397F353A" w14:textId="77777777" w:rsidR="00937C4A" w:rsidRDefault="00000000">
      <w:pPr>
        <w:numPr>
          <w:ilvl w:val="0"/>
          <w:numId w:val="31"/>
        </w:numPr>
      </w:pPr>
      <w:r>
        <w:t>distinguished-limit ratios;</w:t>
      </w:r>
    </w:p>
    <w:p w14:paraId="6029BBDF" w14:textId="77777777" w:rsidR="00937C4A" w:rsidRDefault="00000000">
      <w:pPr>
        <w:numPr>
          <w:ilvl w:val="0"/>
          <w:numId w:val="31"/>
        </w:numPr>
      </w:pPr>
      <w:r>
        <w:t xml:space="preserve">numerical roots for </w:t>
      </w:r>
      <m:oMath>
        <m:sSub>
          <m:sSubPr>
            <m:ctrlPr>
              <w:rPr>
                <w:rFonts w:ascii="Cambria Math" w:hAnsi="Cambria Math"/>
              </w:rPr>
            </m:ctrlPr>
          </m:sSubPr>
          <m:e>
            <m:r>
              <w:rPr>
                <w:rFonts w:ascii="Cambria Math" w:hAnsi="Cambria Math"/>
              </w:rPr>
              <m:t>Ω</m:t>
            </m:r>
          </m:e>
          <m:sub>
            <m:r>
              <m:rPr>
                <m:sty m:val="p"/>
              </m:rPr>
              <w:rPr>
                <w:rFonts w:ascii="Cambria Math" w:hAnsi="Cambria Math"/>
              </w:rPr>
              <m:t>*</m:t>
            </m:r>
          </m:sub>
        </m:sSub>
        <m:d>
          <m:dPr>
            <m:ctrlPr>
              <w:rPr>
                <w:rFonts w:ascii="Cambria Math" w:hAnsi="Cambria Math"/>
              </w:rPr>
            </m:ctrlPr>
          </m:dPr>
          <m:e>
            <m:r>
              <w:rPr>
                <w:rFonts w:ascii="Cambria Math" w:hAnsi="Cambria Math"/>
              </w:rPr>
              <m:t>α</m:t>
            </m:r>
          </m:e>
        </m:d>
      </m:oMath>
      <w:r>
        <w:t>;</w:t>
      </w:r>
    </w:p>
    <w:p w14:paraId="3C1956FE" w14:textId="77777777" w:rsidR="00937C4A" w:rsidRDefault="00000000">
      <w:pPr>
        <w:numPr>
          <w:ilvl w:val="0"/>
          <w:numId w:val="31"/>
        </w:numPr>
      </w:pPr>
      <w:r>
        <w:t>dimensional and limiting-regime tests.</w:t>
      </w:r>
    </w:p>
    <w:p w14:paraId="332B2737" w14:textId="77777777" w:rsidR="00937C4A" w:rsidRDefault="00000000">
      <w:pPr>
        <w:pStyle w:val="Heading2"/>
        <w:spacing w:before="320" w:after="280"/>
        <w:jc w:val="center"/>
      </w:pPr>
      <w:bookmarkStart w:id="131" w:name="d.2-event-driven-rocking-solver"/>
      <w:bookmarkEnd w:id="130"/>
      <w:r>
        <w:rPr>
          <w:rFonts w:ascii="EB Garamond" w:eastAsia="EB Garamond" w:hAnsi="EB Garamond"/>
          <w:color w:val="283037"/>
          <w:sz w:val="34"/>
        </w:rPr>
        <w:t>D.2 Event-driven rocking solver</w:t>
      </w:r>
    </w:p>
    <w:p w14:paraId="198C33C3" w14:textId="77777777" w:rsidR="00937C4A" w:rsidRDefault="00000000">
      <w:r>
        <w:t>Required automated tests:</w:t>
      </w:r>
    </w:p>
    <w:p w14:paraId="32AA7DF5" w14:textId="77777777" w:rsidR="00937C4A" w:rsidRDefault="00000000">
      <w:pPr>
        <w:numPr>
          <w:ilvl w:val="0"/>
          <w:numId w:val="32"/>
        </w:numPr>
      </w:pPr>
      <w:r>
        <w:t>zero forcing conserves branch energy between impacts;</w:t>
      </w:r>
    </w:p>
    <w:p w14:paraId="51AEE9BC" w14:textId="77777777" w:rsidR="00937C4A" w:rsidRDefault="00000000">
      <w:pPr>
        <w:numPr>
          <w:ilvl w:val="0"/>
          <w:numId w:val="32"/>
        </w:numPr>
      </w:pPr>
      <w:r>
        <w:t>impact velocities satisfy the specified reset to tolerance;</w:t>
      </w:r>
    </w:p>
    <w:p w14:paraId="3E49A0F2" w14:textId="77777777" w:rsidR="00937C4A" w:rsidRDefault="00000000">
      <w:pPr>
        <w:numPr>
          <w:ilvl w:val="0"/>
          <w:numId w:val="32"/>
        </w:numPr>
      </w:pPr>
      <w:r>
        <w:t>event time converges under step refinement;</w:t>
      </w:r>
    </w:p>
    <w:p w14:paraId="29B040FA" w14:textId="77777777" w:rsidR="00937C4A" w:rsidRDefault="00000000">
      <w:pPr>
        <w:numPr>
          <w:ilvl w:val="0"/>
          <w:numId w:val="32"/>
        </w:numPr>
      </w:pPr>
      <w:r>
        <w:t xml:space="preserve">results are invariant under a </w:t>
      </w:r>
      <m:oMath>
        <m:r>
          <w:rPr>
            <w:rFonts w:ascii="Cambria Math" w:hAnsi="Cambria Math"/>
          </w:rPr>
          <m:t>2π</m:t>
        </m:r>
      </m:oMath>
      <w:r>
        <w:t xml:space="preserve"> phase shift;</w:t>
      </w:r>
    </w:p>
    <w:p w14:paraId="69B98139" w14:textId="77777777" w:rsidR="00937C4A" w:rsidRDefault="00000000">
      <w:pPr>
        <w:numPr>
          <w:ilvl w:val="0"/>
          <w:numId w:val="32"/>
        </w:numPr>
      </w:pPr>
      <w:r>
        <w:t>escape classification converges as the numerical tolerances are tightened.</w:t>
      </w:r>
    </w:p>
    <w:p w14:paraId="0C9F4FB6" w14:textId="77777777" w:rsidR="00937C4A" w:rsidRDefault="00000000">
      <w:pPr>
        <w:pStyle w:val="Heading2"/>
        <w:spacing w:before="320" w:after="280"/>
        <w:jc w:val="center"/>
      </w:pPr>
      <w:bookmarkStart w:id="132" w:name="d.3-topological-analysis"/>
      <w:bookmarkEnd w:id="131"/>
      <w:r>
        <w:rPr>
          <w:rFonts w:ascii="EB Garamond" w:eastAsia="EB Garamond" w:hAnsi="EB Garamond"/>
          <w:color w:val="283037"/>
          <w:sz w:val="34"/>
        </w:rPr>
        <w:t>D.3 Topological analysis</w:t>
      </w:r>
    </w:p>
    <w:p w14:paraId="56C1B116" w14:textId="77777777" w:rsidR="00937C4A" w:rsidRDefault="00000000">
      <w:pPr>
        <w:numPr>
          <w:ilvl w:val="0"/>
          <w:numId w:val="33"/>
        </w:numPr>
      </w:pPr>
      <w:r>
        <w:t>periodic cubical complexes on the cylindrical section;</w:t>
      </w:r>
    </w:p>
    <w:p w14:paraId="5FB38D21" w14:textId="77777777" w:rsidR="00937C4A" w:rsidRDefault="00000000">
      <w:pPr>
        <w:numPr>
          <w:ilvl w:val="0"/>
          <w:numId w:val="33"/>
        </w:numPr>
      </w:pPr>
      <w:r>
        <w:t>four- versus eight-connectivity comparison retained only as a regression test;</w:t>
      </w:r>
    </w:p>
    <w:p w14:paraId="063A19A9" w14:textId="77777777" w:rsidR="00937C4A" w:rsidRDefault="00000000">
      <w:pPr>
        <w:numPr>
          <w:ilvl w:val="0"/>
          <w:numId w:val="33"/>
        </w:numPr>
      </w:pPr>
      <w:r>
        <w:t>component-size and persistence filters reported explicitly;</w:t>
      </w:r>
    </w:p>
    <w:p w14:paraId="7DF726BB" w14:textId="77777777" w:rsidR="00937C4A" w:rsidRDefault="00000000">
      <w:pPr>
        <w:numPr>
          <w:ilvl w:val="0"/>
          <w:numId w:val="33"/>
        </w:numPr>
      </w:pPr>
      <w:r>
        <w:t>synthetic examples with known homology used before the rocking data.</w:t>
      </w:r>
    </w:p>
    <w:p w14:paraId="0D95D8EF" w14:textId="77777777" w:rsidR="00937C4A" w:rsidRDefault="00000000">
      <w:pPr>
        <w:pStyle w:val="Heading2"/>
        <w:spacing w:before="320" w:after="280"/>
        <w:jc w:val="center"/>
      </w:pPr>
      <w:bookmarkStart w:id="133" w:name="d.4-statistical-inference"/>
      <w:bookmarkEnd w:id="132"/>
      <w:r>
        <w:rPr>
          <w:rFonts w:ascii="EB Garamond" w:eastAsia="EB Garamond" w:hAnsi="EB Garamond"/>
          <w:color w:val="283037"/>
          <w:sz w:val="34"/>
        </w:rPr>
        <w:t>D.4 Statistical inference</w:t>
      </w:r>
    </w:p>
    <w:p w14:paraId="48B00C2F" w14:textId="77777777" w:rsidR="00937C4A" w:rsidRDefault="00000000">
      <w:pPr>
        <w:numPr>
          <w:ilvl w:val="0"/>
          <w:numId w:val="34"/>
        </w:numPr>
      </w:pPr>
      <w:r>
        <w:t>Laplace-transform examples, including the Gamma family;</w:t>
      </w:r>
    </w:p>
    <w:p w14:paraId="24D04C3B" w14:textId="77777777" w:rsidR="00937C4A" w:rsidRDefault="00000000">
      <w:pPr>
        <w:numPr>
          <w:ilvl w:val="0"/>
          <w:numId w:val="34"/>
        </w:numPr>
      </w:pPr>
      <w:r>
        <w:t>profile likelihood along the scaling orbit;</w:t>
      </w:r>
    </w:p>
    <w:p w14:paraId="66092F26" w14:textId="77777777" w:rsidR="00937C4A" w:rsidRDefault="00000000">
      <w:pPr>
        <w:numPr>
          <w:ilvl w:val="0"/>
          <w:numId w:val="34"/>
        </w:numPr>
      </w:pPr>
      <w:r>
        <w:t>correlated survivor likelihoods;</w:t>
      </w:r>
    </w:p>
    <w:p w14:paraId="0962BC18" w14:textId="77777777" w:rsidR="00937C4A" w:rsidRDefault="00000000">
      <w:pPr>
        <w:numPr>
          <w:ilvl w:val="0"/>
          <w:numId w:val="34"/>
        </w:numPr>
      </w:pPr>
      <w:r>
        <w:lastRenderedPageBreak/>
        <w:t>uncertainty-exponent estimation with bootstrap intervals.</w:t>
      </w:r>
    </w:p>
    <w:p w14:paraId="2BD69ECA" w14:textId="77777777" w:rsidR="00937C4A" w:rsidRDefault="00000000">
      <w:pPr>
        <w:pStyle w:val="Heading2"/>
        <w:spacing w:before="320" w:after="280"/>
        <w:jc w:val="center"/>
      </w:pPr>
      <w:bookmarkStart w:id="134" w:name="d.5-reproducibility-record"/>
      <w:bookmarkEnd w:id="133"/>
      <w:r>
        <w:rPr>
          <w:rFonts w:ascii="EB Garamond" w:eastAsia="EB Garamond" w:hAnsi="EB Garamond"/>
          <w:color w:val="283037"/>
          <w:sz w:val="34"/>
        </w:rPr>
        <w:t>D.5 Reproducibility record</w:t>
      </w:r>
    </w:p>
    <w:p w14:paraId="63967C74" w14:textId="77777777" w:rsidR="00937C4A" w:rsidRDefault="00000000">
      <w:r>
        <w:t>Every numerical table in the final edition should be generated from a versioned script and accompanied by a machine-readable parameter file, package lock file, random seed, hardware note, and checksum of the output data.</w:t>
      </w:r>
    </w:p>
    <w:p w14:paraId="1F315C83" w14:textId="77777777" w:rsidR="00937C4A" w:rsidRDefault="00000000">
      <w:pPr>
        <w:pStyle w:val="Heading1"/>
        <w:pageBreakBefore/>
        <w:spacing w:before="1000"/>
      </w:pPr>
      <w:bookmarkStart w:id="135" w:name="selected-references"/>
      <w:bookmarkEnd w:id="129"/>
      <w:bookmarkEnd w:id="134"/>
      <w:r>
        <w:rPr>
          <w:rFonts w:ascii="Noto Sans" w:eastAsia="Noto Sans" w:hAnsi="Noto Sans"/>
        </w:rPr>
        <w:lastRenderedPageBreak/>
        <w:t>SELECTED REFERENCES</w:t>
      </w:r>
    </w:p>
    <w:p w14:paraId="43B6D66C" w14:textId="77777777" w:rsidR="00937C4A" w:rsidRDefault="00000000">
      <w:r>
        <w:rPr>
          <w:b/>
          <w:bCs/>
        </w:rPr>
        <w:t>Rocking dynamics</w:t>
      </w:r>
      <w:r>
        <w:t xml:space="preserve"> - Housner, G.W. (1963). The behaviour of inverted pendulum structures during earthquakes. </w:t>
      </w:r>
      <w:r>
        <w:rPr>
          <w:i/>
          <w:iCs/>
        </w:rPr>
        <w:t>BSSA</w:t>
      </w:r>
      <w:r>
        <w:t xml:space="preserve"> </w:t>
      </w:r>
      <w:r>
        <w:rPr>
          <w:b/>
          <w:bCs/>
        </w:rPr>
        <w:t>53</w:t>
      </w:r>
      <w:r>
        <w:t xml:space="preserve">, 403–417. - Yim, C.-S., Chopra, A.K., Penzien, J. (1980). Rocking response of rigid blocks to earthquakes. </w:t>
      </w:r>
      <w:r>
        <w:rPr>
          <w:i/>
          <w:iCs/>
        </w:rPr>
        <w:t>EESD</w:t>
      </w:r>
      <w:r>
        <w:t xml:space="preserve"> </w:t>
      </w:r>
      <w:r>
        <w:rPr>
          <w:b/>
          <w:bCs/>
        </w:rPr>
        <w:t>8</w:t>
      </w:r>
      <w:r>
        <w:t xml:space="preserve">, 565–587. - Hogan, S.J. (1989). On the dynamics of rigid block motion under harmonic forcing. </w:t>
      </w:r>
      <w:r>
        <w:rPr>
          <w:i/>
          <w:iCs/>
        </w:rPr>
        <w:t>Proc. R. Soc. A</w:t>
      </w:r>
      <w:r>
        <w:t xml:space="preserve"> </w:t>
      </w:r>
      <w:r>
        <w:rPr>
          <w:b/>
          <w:bCs/>
        </w:rPr>
        <w:t>425</w:t>
      </w:r>
      <w:r>
        <w:t xml:space="preserve">, 441–476. - Hogan, S.J. (1992). Heteroclinic bifurcations in damped rigid block motion. </w:t>
      </w:r>
      <w:r>
        <w:rPr>
          <w:i/>
          <w:iCs/>
        </w:rPr>
        <w:t>Proc. R. Soc. A</w:t>
      </w:r>
      <w:r>
        <w:t xml:space="preserve"> </w:t>
      </w:r>
      <w:r>
        <w:rPr>
          <w:b/>
          <w:bCs/>
        </w:rPr>
        <w:t>439</w:t>
      </w:r>
      <w:r>
        <w:t xml:space="preserve">, 155–162. - Bruhn, B., Koch, B.P. (1991). Heteroclinic bifurcations and invariant manifolds in rocking block dynamics. </w:t>
      </w:r>
      <w:r>
        <w:rPr>
          <w:i/>
          <w:iCs/>
        </w:rPr>
        <w:t>Z. Naturforsch.</w:t>
      </w:r>
      <w:r>
        <w:t xml:space="preserve"> </w:t>
      </w:r>
      <w:r>
        <w:rPr>
          <w:b/>
          <w:bCs/>
        </w:rPr>
        <w:t>46a</w:t>
      </w:r>
      <w:r>
        <w:t xml:space="preserve">, 481–490. - Lenci, S., Rega, G. (2005). Heteroclinic bifurcations and optimal control in the nonlinear rocking dynamics of generic and slender rigid blocks. </w:t>
      </w:r>
      <w:r>
        <w:rPr>
          <w:i/>
          <w:iCs/>
        </w:rPr>
        <w:t>IJBC</w:t>
      </w:r>
      <w:r>
        <w:t xml:space="preserve"> </w:t>
      </w:r>
      <w:r>
        <w:rPr>
          <w:b/>
          <w:bCs/>
        </w:rPr>
        <w:t>15</w:t>
      </w:r>
      <w:r>
        <w:t xml:space="preserve">, 1901–1918. - Zhang, J., Makris, N. (2001). Rocking response of free-standing blocks under cycloidal pulses. </w:t>
      </w:r>
      <w:r>
        <w:rPr>
          <w:i/>
          <w:iCs/>
        </w:rPr>
        <w:t>J. Eng. Mech.</w:t>
      </w:r>
      <w:r>
        <w:t xml:space="preserve"> </w:t>
      </w:r>
      <w:r>
        <w:rPr>
          <w:b/>
          <w:bCs/>
        </w:rPr>
        <w:t>127</w:t>
      </w:r>
      <w:r>
        <w:t xml:space="preserve">, 473–483. - Makris, N., Konstantinidis, D. (2003). The rocking spectrum and the limitations of practical design methodologies. </w:t>
      </w:r>
      <w:r>
        <w:rPr>
          <w:i/>
          <w:iCs/>
        </w:rPr>
        <w:t>EESD</w:t>
      </w:r>
      <w:r>
        <w:t xml:space="preserve"> </w:t>
      </w:r>
      <w:r>
        <w:rPr>
          <w:b/>
          <w:bCs/>
        </w:rPr>
        <w:t>32</w:t>
      </w:r>
      <w:r>
        <w:t xml:space="preserve">, 265–289. - Dimitrakopoulos, E.G., DeJong, M.J. (2012). Revisiting Housner’s model. </w:t>
      </w:r>
      <w:r>
        <w:rPr>
          <w:i/>
          <w:iCs/>
        </w:rPr>
        <w:t>EESD</w:t>
      </w:r>
      <w:r>
        <w:t xml:space="preserve"> </w:t>
      </w:r>
      <w:r>
        <w:rPr>
          <w:b/>
          <w:bCs/>
        </w:rPr>
        <w:t>41</w:t>
      </w:r>
      <w:r>
        <w:t>, 2221–2241.</w:t>
      </w:r>
    </w:p>
    <w:p w14:paraId="584CB5FD" w14:textId="77777777" w:rsidR="00937C4A" w:rsidRDefault="00000000">
      <w:pPr>
        <w:pStyle w:val="BodyText"/>
      </w:pPr>
      <w:r>
        <w:rPr>
          <w:b/>
          <w:bCs/>
        </w:rPr>
        <w:t>Non-smooth Melnikov</w:t>
      </w:r>
      <w:r>
        <w:t xml:space="preserve"> - Battelli, F., Fečkan, M. (2008). Homoclinic trajectories in discontinuous systems. </w:t>
      </w:r>
      <w:r>
        <w:rPr>
          <w:i/>
          <w:iCs/>
        </w:rPr>
        <w:t>JDDE</w:t>
      </w:r>
      <w:r>
        <w:t xml:space="preserve"> </w:t>
      </w:r>
      <w:r>
        <w:rPr>
          <w:b/>
          <w:bCs/>
        </w:rPr>
        <w:t>20</w:t>
      </w:r>
      <w:r>
        <w:t xml:space="preserve">, 337–376. - Kukučka, P. (2007). Melnikov method for discontinuous planar systems. </w:t>
      </w:r>
      <w:r>
        <w:rPr>
          <w:i/>
          <w:iCs/>
        </w:rPr>
        <w:t>Nonlinear Analysis</w:t>
      </w:r>
      <w:r>
        <w:t xml:space="preserve"> </w:t>
      </w:r>
      <w:r>
        <w:rPr>
          <w:b/>
          <w:bCs/>
        </w:rPr>
        <w:t>66</w:t>
      </w:r>
      <w:r>
        <w:t xml:space="preserve">, 2698–2719. - Granados, A., Hogan, S.J., Seara, T.M. (2012). The Melnikov method and subharmonic orbits in a piecewise-smooth system. </w:t>
      </w:r>
      <w:r>
        <w:rPr>
          <w:i/>
          <w:iCs/>
        </w:rPr>
        <w:t>SIAM J. Appl. Dyn. Syst.</w:t>
      </w:r>
      <w:r>
        <w:t xml:space="preserve"> </w:t>
      </w:r>
      <w:r>
        <w:rPr>
          <w:b/>
          <w:bCs/>
        </w:rPr>
        <w:t>11</w:t>
      </w:r>
      <w:r>
        <w:t xml:space="preserve">, 801–830. [arXiv:1201.5475] - di Bernardo, M., Budd, C.J., Champneys, A.R., Kowalczyk, P. (2008). </w:t>
      </w:r>
      <w:r>
        <w:rPr>
          <w:i/>
          <w:iCs/>
        </w:rPr>
        <w:t>Piecewise-smooth Dynamical Systems</w:t>
      </w:r>
      <w:r>
        <w:t>. Springer.</w:t>
      </w:r>
    </w:p>
    <w:p w14:paraId="11EE9310" w14:textId="77777777" w:rsidR="00937C4A" w:rsidRDefault="00000000">
      <w:pPr>
        <w:pStyle w:val="BodyText"/>
      </w:pPr>
      <w:r>
        <w:rPr>
          <w:b/>
          <w:bCs/>
        </w:rPr>
        <w:t>Conley index / computational topology</w:t>
      </w:r>
      <w:r>
        <w:t xml:space="preserve"> - Conley, C. (1978). </w:t>
      </w:r>
      <w:r>
        <w:rPr>
          <w:i/>
          <w:iCs/>
        </w:rPr>
        <w:t>Isolated Invariant Sets and the Morse Index</w:t>
      </w:r>
      <w:r>
        <w:t xml:space="preserve">. AMS CBMS 38. - Mischaikow, K., Mrozek, M. (1995). Chaos in the Lorenz equations: a computer-assisted proof. </w:t>
      </w:r>
      <w:r>
        <w:rPr>
          <w:i/>
          <w:iCs/>
        </w:rPr>
        <w:t>Bull. AMS</w:t>
      </w:r>
      <w:r>
        <w:t xml:space="preserve"> </w:t>
      </w:r>
      <w:r>
        <w:rPr>
          <w:b/>
          <w:bCs/>
        </w:rPr>
        <w:t>32</w:t>
      </w:r>
      <w:r>
        <w:t xml:space="preserve">, 66–72. - Kaczynski, T., Mischaikow, K., Mrozek, M. (2004). </w:t>
      </w:r>
      <w:r>
        <w:rPr>
          <w:i/>
          <w:iCs/>
        </w:rPr>
        <w:t>Computational Homology</w:t>
      </w:r>
      <w:r>
        <w:t xml:space="preserve">. Springer. - Kaczynski, T., Mrozek, M. (1995). Conley index for discrete multivalued dynamical systems. </w:t>
      </w:r>
      <w:r>
        <w:rPr>
          <w:i/>
          <w:iCs/>
        </w:rPr>
        <w:t>Topology Appl.</w:t>
      </w:r>
      <w:r>
        <w:t xml:space="preserve"> </w:t>
      </w:r>
      <w:r>
        <w:rPr>
          <w:b/>
          <w:bCs/>
        </w:rPr>
        <w:t>65</w:t>
      </w:r>
      <w:r>
        <w:t>, 83–96.</w:t>
      </w:r>
    </w:p>
    <w:p w14:paraId="088C92B9" w14:textId="77777777" w:rsidR="00937C4A" w:rsidRDefault="00000000">
      <w:pPr>
        <w:pStyle w:val="BodyText"/>
      </w:pPr>
      <w:r>
        <w:rPr>
          <w:b/>
          <w:bCs/>
        </w:rPr>
        <w:t>Basins, fractality, integrity</w:t>
      </w:r>
      <w:r>
        <w:t xml:space="preserve"> - Grebogi, C., McDonald, S.W., Ott, E., Yorke, J.A. (1983). Final state sensitivity: an obstruction to predictability. </w:t>
      </w:r>
      <w:r>
        <w:rPr>
          <w:i/>
          <w:iCs/>
        </w:rPr>
        <w:t>Phys. Lett. A</w:t>
      </w:r>
      <w:r>
        <w:t xml:space="preserve"> </w:t>
      </w:r>
      <w:r>
        <w:rPr>
          <w:b/>
          <w:bCs/>
        </w:rPr>
        <w:t>99</w:t>
      </w:r>
      <w:r>
        <w:t xml:space="preserve">, 415–418. - Soliman, M.S., Thompson, J.M.T. (1989). Integrity measures quantifying the erosion of smooth and fractal basins of attraction. </w:t>
      </w:r>
      <w:r>
        <w:rPr>
          <w:i/>
          <w:iCs/>
        </w:rPr>
        <w:t>J. Sound Vib.</w:t>
      </w:r>
      <w:r>
        <w:t xml:space="preserve"> </w:t>
      </w:r>
      <w:r>
        <w:rPr>
          <w:b/>
          <w:bCs/>
        </w:rPr>
        <w:t>135</w:t>
      </w:r>
      <w:r>
        <w:t xml:space="preserve">, 453–475. - Rega, G., Lenci, S. (2005). Identifying, evaluating, and controlling dynamical integrity measures. </w:t>
      </w:r>
      <w:r>
        <w:rPr>
          <w:i/>
          <w:iCs/>
        </w:rPr>
        <w:t>Nonlinear Anal.</w:t>
      </w:r>
      <w:r>
        <w:t xml:space="preserve"> </w:t>
      </w:r>
      <w:r>
        <w:rPr>
          <w:b/>
          <w:bCs/>
        </w:rPr>
        <w:t>63</w:t>
      </w:r>
      <w:r>
        <w:t>, 902–914.</w:t>
      </w:r>
    </w:p>
    <w:p w14:paraId="13E588BE" w14:textId="77777777" w:rsidR="00937C4A" w:rsidRDefault="00000000">
      <w:pPr>
        <w:pStyle w:val="BodyText"/>
      </w:pPr>
      <w:r>
        <w:rPr>
          <w:b/>
          <w:bCs/>
        </w:rPr>
        <w:t>Rigidity / topological mechanics</w:t>
      </w:r>
      <w:r>
        <w:t xml:space="preserve"> - Calladine, C.R. (1978). Buckminster Fuller’s “tensegrity” structures and Clerk Maxwell’s rules. </w:t>
      </w:r>
      <w:r>
        <w:rPr>
          <w:i/>
          <w:iCs/>
        </w:rPr>
        <w:t>Int. J. Solids Struct.</w:t>
      </w:r>
      <w:r>
        <w:t xml:space="preserve"> </w:t>
      </w:r>
      <w:r>
        <w:rPr>
          <w:b/>
          <w:bCs/>
        </w:rPr>
        <w:t>14</w:t>
      </w:r>
      <w:r>
        <w:t xml:space="preserve">, 161–172. - Kane, C.L., Lubensky, T.C. (2014). Topological boundary modes in isostatic lattices. </w:t>
      </w:r>
      <w:r>
        <w:rPr>
          <w:i/>
          <w:iCs/>
        </w:rPr>
        <w:t>Nature Physics</w:t>
      </w:r>
      <w:r>
        <w:t xml:space="preserve"> </w:t>
      </w:r>
      <w:r>
        <w:rPr>
          <w:b/>
          <w:bCs/>
        </w:rPr>
        <w:t>10</w:t>
      </w:r>
      <w:r>
        <w:t>, 39–45.</w:t>
      </w:r>
    </w:p>
    <w:p w14:paraId="67BBAA14" w14:textId="77777777" w:rsidR="00937C4A" w:rsidRDefault="00000000">
      <w:pPr>
        <w:pStyle w:val="BodyText"/>
      </w:pPr>
      <w:r>
        <w:rPr>
          <w:b/>
          <w:bCs/>
        </w:rPr>
        <w:t>PBR / paleoseismology</w:t>
      </w:r>
      <w:r>
        <w:t xml:space="preserve"> - Anooshehpoor, A., Brune, J.N., Zeng, Y. (2004). Methodology for obtaining constraints on ground motion from precariously balanced rocks. </w:t>
      </w:r>
      <w:r>
        <w:rPr>
          <w:i/>
          <w:iCs/>
        </w:rPr>
        <w:t>BSSA</w:t>
      </w:r>
      <w:r>
        <w:t xml:space="preserve"> </w:t>
      </w:r>
      <w:r>
        <w:rPr>
          <w:b/>
          <w:bCs/>
        </w:rPr>
        <w:t>94</w:t>
      </w:r>
      <w:r>
        <w:t xml:space="preserve">, 285–303. - Purvance, M.D., Anooshehpoor, A., Brune, J.N. (2008). Freestanding block overturning fragilities. </w:t>
      </w:r>
      <w:r>
        <w:rPr>
          <w:i/>
          <w:iCs/>
        </w:rPr>
        <w:t>EESD</w:t>
      </w:r>
      <w:r>
        <w:t xml:space="preserve"> </w:t>
      </w:r>
      <w:r>
        <w:rPr>
          <w:b/>
          <w:bCs/>
        </w:rPr>
        <w:t>37</w:t>
      </w:r>
      <w:r>
        <w:t xml:space="preserve">, 791–808. - Balco, G., Purvance, M.D., Rood, D.H. (2011). Exposure dating of precariously balanced rocks. </w:t>
      </w:r>
      <w:r>
        <w:rPr>
          <w:i/>
          <w:iCs/>
        </w:rPr>
        <w:t>Quaternary Geochronology</w:t>
      </w:r>
      <w:r>
        <w:t xml:space="preserve"> </w:t>
      </w:r>
      <w:r>
        <w:rPr>
          <w:b/>
          <w:bCs/>
        </w:rPr>
        <w:t>6</w:t>
      </w:r>
      <w:r>
        <w:t xml:space="preserve">, 295–303. - Rood, A.H. et al. (2020). Earthquake hazard uncertainties improved using precariously balanced rocks. </w:t>
      </w:r>
      <w:r>
        <w:rPr>
          <w:i/>
          <w:iCs/>
        </w:rPr>
        <w:t>AGU Advances</w:t>
      </w:r>
      <w:r>
        <w:t xml:space="preserve"> </w:t>
      </w:r>
      <w:r>
        <w:rPr>
          <w:b/>
          <w:bCs/>
        </w:rPr>
        <w:t>1</w:t>
      </w:r>
      <w:r>
        <w:t xml:space="preserve">, e2020AV000182. - Saifullah, M.K. et al. (2023). Uncertainty in overturning of precariously balanced rocks due to basal contact. </w:t>
      </w:r>
      <w:r>
        <w:rPr>
          <w:i/>
          <w:iCs/>
        </w:rPr>
        <w:t>EESD</w:t>
      </w:r>
      <w:r>
        <w:t xml:space="preserve"> </w:t>
      </w:r>
      <w:r>
        <w:rPr>
          <w:b/>
          <w:bCs/>
        </w:rPr>
        <w:t>52</w:t>
      </w:r>
      <w:r>
        <w:t xml:space="preserve">. - Rajendran, C.P., Rajendran, K., John, B. (1996). The 1993 Killari (Latur) earthquake: fault reactivation in the Precambrian crust. </w:t>
      </w:r>
      <w:r>
        <w:rPr>
          <w:i/>
          <w:iCs/>
        </w:rPr>
        <w:t>Geology</w:t>
      </w:r>
      <w:r>
        <w:t xml:space="preserve"> </w:t>
      </w:r>
      <w:r>
        <w:rPr>
          <w:b/>
          <w:bCs/>
        </w:rPr>
        <w:t>24</w:t>
      </w:r>
      <w:r>
        <w:t>, 651–654.</w:t>
      </w:r>
    </w:p>
    <w:p w14:paraId="25789EEE" w14:textId="77777777" w:rsidR="00937C4A" w:rsidRDefault="00000000">
      <w:pPr>
        <w:pStyle w:val="Heading2"/>
        <w:spacing w:before="320" w:after="280"/>
        <w:jc w:val="center"/>
      </w:pPr>
      <w:bookmarkStart w:id="136" w:name="X8a4ade53997c65d95f099b4a2ec3ecfafe60ea7"/>
      <w:r>
        <w:rPr>
          <w:rFonts w:ascii="EB Garamond" w:eastAsia="EB Garamond" w:hAnsi="EB Garamond"/>
          <w:color w:val="283037"/>
          <w:sz w:val="34"/>
        </w:rPr>
        <w:t>Additional Topology, Hybrid-Systems, and Inference References</w:t>
      </w:r>
    </w:p>
    <w:p w14:paraId="1F75C5E3" w14:textId="77777777" w:rsidR="00937C4A" w:rsidRDefault="00000000">
      <w:pPr>
        <w:numPr>
          <w:ilvl w:val="0"/>
          <w:numId w:val="35"/>
        </w:numPr>
      </w:pPr>
      <w:r>
        <w:t xml:space="preserve">Schweinhart, B. (2021). Persistent homology and the upper box dimension. </w:t>
      </w:r>
      <w:r>
        <w:rPr>
          <w:i/>
          <w:iCs/>
        </w:rPr>
        <w:t>Discrete Comput. Geom.</w:t>
      </w:r>
      <w:r>
        <w:t xml:space="preserve"> </w:t>
      </w:r>
      <w:r>
        <w:rPr>
          <w:b/>
          <w:bCs/>
        </w:rPr>
        <w:t>65</w:t>
      </w:r>
      <w:r>
        <w:t>, 331–364.</w:t>
      </w:r>
    </w:p>
    <w:p w14:paraId="04355C80" w14:textId="77777777" w:rsidR="00937C4A" w:rsidRDefault="00000000">
      <w:pPr>
        <w:numPr>
          <w:ilvl w:val="0"/>
          <w:numId w:val="35"/>
        </w:numPr>
      </w:pPr>
      <w:r>
        <w:t xml:space="preserve">Hansen, J., Ghrist, R. (2019). Toward a spectral theory of cellular sheaves. </w:t>
      </w:r>
      <w:r>
        <w:rPr>
          <w:i/>
          <w:iCs/>
        </w:rPr>
        <w:t>J. Appl. Comput. Topol.</w:t>
      </w:r>
      <w:r>
        <w:t xml:space="preserve"> </w:t>
      </w:r>
      <w:r>
        <w:rPr>
          <w:b/>
          <w:bCs/>
        </w:rPr>
        <w:t>3</w:t>
      </w:r>
      <w:r>
        <w:t>, 315–358.</w:t>
      </w:r>
    </w:p>
    <w:p w14:paraId="0E2A5579" w14:textId="77777777" w:rsidR="00937C4A" w:rsidRDefault="00000000">
      <w:pPr>
        <w:numPr>
          <w:ilvl w:val="0"/>
          <w:numId w:val="35"/>
        </w:numPr>
      </w:pPr>
      <w:r>
        <w:lastRenderedPageBreak/>
        <w:t xml:space="preserve">Robinson, M. (2014). </w:t>
      </w:r>
      <w:r>
        <w:rPr>
          <w:i/>
          <w:iCs/>
        </w:rPr>
        <w:t>Topological Signal Processing</w:t>
      </w:r>
      <w:r>
        <w:t>. Springer.</w:t>
      </w:r>
    </w:p>
    <w:p w14:paraId="091DB490" w14:textId="77777777" w:rsidR="00937C4A" w:rsidRDefault="00000000">
      <w:pPr>
        <w:numPr>
          <w:ilvl w:val="0"/>
          <w:numId w:val="35"/>
        </w:numPr>
      </w:pPr>
      <w:r>
        <w:t xml:space="preserve">Carlsson, G., de Silva, V. (2010). Zigzag persistence. </w:t>
      </w:r>
      <w:r>
        <w:rPr>
          <w:i/>
          <w:iCs/>
        </w:rPr>
        <w:t>Found. Comput. Math.</w:t>
      </w:r>
      <w:r>
        <w:t xml:space="preserve"> </w:t>
      </w:r>
      <w:r>
        <w:rPr>
          <w:b/>
          <w:bCs/>
        </w:rPr>
        <w:t>10</w:t>
      </w:r>
      <w:r>
        <w:t>, 367–405.</w:t>
      </w:r>
    </w:p>
    <w:p w14:paraId="53A4B53A" w14:textId="77777777" w:rsidR="00937C4A" w:rsidRDefault="00000000">
      <w:pPr>
        <w:numPr>
          <w:ilvl w:val="0"/>
          <w:numId w:val="35"/>
        </w:numPr>
      </w:pPr>
      <w:r>
        <w:t xml:space="preserve">Franzosa, R. (1989). The connection matrix theory for Morse decompositions. </w:t>
      </w:r>
      <w:r>
        <w:rPr>
          <w:i/>
          <w:iCs/>
        </w:rPr>
        <w:t>Trans. AMS</w:t>
      </w:r>
      <w:r>
        <w:t xml:space="preserve"> </w:t>
      </w:r>
      <w:r>
        <w:rPr>
          <w:b/>
          <w:bCs/>
        </w:rPr>
        <w:t>311</w:t>
      </w:r>
      <w:r>
        <w:t>, 561–592.</w:t>
      </w:r>
    </w:p>
    <w:p w14:paraId="70C965C2" w14:textId="77777777" w:rsidR="00937C4A" w:rsidRDefault="00000000">
      <w:pPr>
        <w:numPr>
          <w:ilvl w:val="0"/>
          <w:numId w:val="35"/>
        </w:numPr>
      </w:pPr>
      <w:r>
        <w:t xml:space="preserve">Nordmark, A.B. (1991). Non-periodic motion caused by grazing incidence in an impact oscillator. </w:t>
      </w:r>
      <w:r>
        <w:rPr>
          <w:i/>
          <w:iCs/>
        </w:rPr>
        <w:t>J. Sound Vib.</w:t>
      </w:r>
      <w:r>
        <w:t xml:space="preserve"> </w:t>
      </w:r>
      <w:r>
        <w:rPr>
          <w:b/>
          <w:bCs/>
        </w:rPr>
        <w:t>145</w:t>
      </w:r>
      <w:r>
        <w:t>, 279–297.</w:t>
      </w:r>
    </w:p>
    <w:p w14:paraId="7951AEB2" w14:textId="77777777" w:rsidR="00937C4A" w:rsidRDefault="00000000">
      <w:pPr>
        <w:numPr>
          <w:ilvl w:val="0"/>
          <w:numId w:val="35"/>
        </w:numPr>
      </w:pPr>
      <w:r>
        <w:t xml:space="preserve">Leine, R.I., Nijmeijer, H. (2004). </w:t>
      </w:r>
      <w:r>
        <w:rPr>
          <w:i/>
          <w:iCs/>
        </w:rPr>
        <w:t>Dynamics and Bifurcations of Non-Smooth Mechanical Systems</w:t>
      </w:r>
      <w:r>
        <w:t>. Springer.</w:t>
      </w:r>
    </w:p>
    <w:p w14:paraId="4DA7E02B" w14:textId="77777777" w:rsidR="00937C4A" w:rsidRDefault="00000000">
      <w:pPr>
        <w:numPr>
          <w:ilvl w:val="0"/>
          <w:numId w:val="35"/>
        </w:numPr>
      </w:pPr>
      <w:r>
        <w:t xml:space="preserve">Stewart, D.E. (2000). Rigid-body dynamics with friction and impact. </w:t>
      </w:r>
      <w:r>
        <w:rPr>
          <w:i/>
          <w:iCs/>
        </w:rPr>
        <w:t>SIAM Review</w:t>
      </w:r>
      <w:r>
        <w:t xml:space="preserve"> </w:t>
      </w:r>
      <w:r>
        <w:rPr>
          <w:b/>
          <w:bCs/>
        </w:rPr>
        <w:t>42</w:t>
      </w:r>
      <w:r>
        <w:t>, 3–39.</w:t>
      </w:r>
    </w:p>
    <w:p w14:paraId="3C4FB50D" w14:textId="77777777" w:rsidR="00937C4A" w:rsidRDefault="00000000">
      <w:pPr>
        <w:numPr>
          <w:ilvl w:val="0"/>
          <w:numId w:val="35"/>
        </w:numPr>
      </w:pPr>
      <w:r>
        <w:t xml:space="preserve">Kurtz, T.G., et al. — on Laplace-transform identifiability in frailty models; see also Elbers, C., Ridder, G. (1982). True and spurious duration dependence. </w:t>
      </w:r>
      <w:r>
        <w:rPr>
          <w:i/>
          <w:iCs/>
        </w:rPr>
        <w:t>Rev. Econ. Stud.</w:t>
      </w:r>
      <w:r>
        <w:t xml:space="preserve"> </w:t>
      </w:r>
      <w:r>
        <w:rPr>
          <w:b/>
          <w:bCs/>
        </w:rPr>
        <w:t>49</w:t>
      </w:r>
      <w:r>
        <w:t>, 403–409.</w:t>
      </w:r>
      <w:bookmarkEnd w:id="135"/>
      <w:bookmarkEnd w:id="136"/>
    </w:p>
    <w:sectPr w:rsidR="00937C4A" w:rsidSect="00034616">
      <w:headerReference w:type="default" r:id="rId8"/>
      <w:footerReference w:type="default" r:id="rId9"/>
      <w:pgSz w:w="11909" w:h="16834"/>
      <w:pgMar w:top="1123" w:right="1037" w:bottom="1037" w:left="1181" w:header="432" w:footer="4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EA020" w14:textId="77777777" w:rsidR="00AF6879" w:rsidRDefault="00AF6879">
      <w:pPr>
        <w:spacing w:after="0" w:line="240" w:lineRule="auto"/>
      </w:pPr>
      <w:r>
        <w:separator/>
      </w:r>
    </w:p>
  </w:endnote>
  <w:endnote w:type="continuationSeparator" w:id="0">
    <w:p w14:paraId="4F6A0D6D" w14:textId="77777777" w:rsidR="00AF6879" w:rsidRDefault="00AF6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EB Garamond">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w:charset w:val="00"/>
    <w:family w:val="swiss"/>
    <w:pitch w:val="variable"/>
    <w:sig w:usb0="E00082FF" w:usb1="400078FF" w:usb2="00000021" w:usb3="00000000" w:csb0="0000019F" w:csb1="00000000"/>
  </w:font>
  <w:font w:name="DejaVu Sans Mono">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F13D" w14:textId="77777777" w:rsidR="00937C4A" w:rsidRDefault="00000000">
    <w:pPr>
      <w:pStyle w:val="Footer"/>
      <w:jc w:val="center"/>
    </w:pPr>
    <w:r>
      <w:rPr>
        <w:rFonts w:ascii="Noto Sans" w:hAnsi="Noto Sans"/>
        <w:color w:val="64696E"/>
        <w:sz w:val="16"/>
      </w:rPr>
      <w:fldChar w:fldCharType="begin"/>
    </w:r>
    <w:r>
      <w:rPr>
        <w:rFonts w:ascii="Noto Sans" w:hAnsi="Noto Sans"/>
        <w:color w:val="64696E"/>
        <w:sz w:val="16"/>
      </w:rPr>
      <w:instrText xml:space="preserve"> PAGE </w:instrText>
    </w:r>
    <w:r w:rsidR="00026B4B">
      <w:rPr>
        <w:rFonts w:ascii="Noto Sans" w:hAnsi="Noto Sans"/>
        <w:color w:val="64696E"/>
        <w:sz w:val="16"/>
      </w:rPr>
      <w:fldChar w:fldCharType="separate"/>
    </w:r>
    <w:r w:rsidR="00026B4B">
      <w:rPr>
        <w:rFonts w:ascii="Noto Sans" w:hAnsi="Noto Sans"/>
        <w:noProof/>
        <w:color w:val="64696E"/>
        <w:sz w:val="16"/>
      </w:rPr>
      <w:t>1</w:t>
    </w:r>
    <w:r>
      <w:rPr>
        <w:rFonts w:ascii="Noto Sans" w:hAnsi="Noto Sans"/>
        <w:color w:val="64696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ACC0C" w14:textId="77777777" w:rsidR="00AF6879" w:rsidRDefault="00AF6879">
      <w:r>
        <w:separator/>
      </w:r>
    </w:p>
  </w:footnote>
  <w:footnote w:type="continuationSeparator" w:id="0">
    <w:p w14:paraId="11588240" w14:textId="77777777" w:rsidR="00AF6879" w:rsidRDefault="00AF6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CA38A" w14:textId="77777777" w:rsidR="00937C4A" w:rsidRDefault="00000000">
    <w:pPr>
      <w:pStyle w:val="Header"/>
      <w:pBdr>
        <w:bottom w:val="single" w:sz="3" w:space="4" w:color="D5D9DC"/>
      </w:pBdr>
      <w:jc w:val="center"/>
    </w:pPr>
    <w:r>
      <w:rPr>
        <w:rFonts w:ascii="Noto Sans" w:hAnsi="Noto Sans"/>
        <w:color w:val="696E72"/>
        <w:sz w:val="15"/>
      </w:rPr>
      <w:t>THE CAIRN DOES NOT REMEMBER THE EARTHQUAKE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4D442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462682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FA7033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00A99414"/>
    <w:multiLevelType w:val="multilevel"/>
    <w:tmpl w:val="BC383848"/>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3" w15:restartNumberingAfterBreak="0">
    <w:nsid w:val="00A99419"/>
    <w:multiLevelType w:val="multilevel"/>
    <w:tmpl w:val="A9CEB4B0"/>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14" w15:restartNumberingAfterBreak="0">
    <w:nsid w:val="0A994113"/>
    <w:multiLevelType w:val="multilevel"/>
    <w:tmpl w:val="29DE7444"/>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15" w15:restartNumberingAfterBreak="0">
    <w:nsid w:val="0A994117"/>
    <w:multiLevelType w:val="multilevel"/>
    <w:tmpl w:val="6D6A0D76"/>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16" w15:restartNumberingAfterBreak="0">
    <w:nsid w:val="0A994120"/>
    <w:multiLevelType w:val="multilevel"/>
    <w:tmpl w:val="B1BAD7C0"/>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17" w15:restartNumberingAfterBreak="0">
    <w:nsid w:val="0A994124"/>
    <w:multiLevelType w:val="multilevel"/>
    <w:tmpl w:val="58C63E74"/>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 w16cid:durableId="1796635709">
    <w:abstractNumId w:val="8"/>
  </w:num>
  <w:num w:numId="2" w16cid:durableId="1036392379">
    <w:abstractNumId w:val="6"/>
  </w:num>
  <w:num w:numId="3" w16cid:durableId="486871535">
    <w:abstractNumId w:val="5"/>
  </w:num>
  <w:num w:numId="4" w16cid:durableId="1665861690">
    <w:abstractNumId w:val="4"/>
  </w:num>
  <w:num w:numId="5" w16cid:durableId="434712658">
    <w:abstractNumId w:val="7"/>
  </w:num>
  <w:num w:numId="6" w16cid:durableId="1565412292">
    <w:abstractNumId w:val="3"/>
  </w:num>
  <w:num w:numId="7" w16cid:durableId="80227621">
    <w:abstractNumId w:val="2"/>
  </w:num>
  <w:num w:numId="8" w16cid:durableId="711226659">
    <w:abstractNumId w:val="1"/>
  </w:num>
  <w:num w:numId="9" w16cid:durableId="1004632063">
    <w:abstractNumId w:val="0"/>
  </w:num>
  <w:num w:numId="10" w16cid:durableId="965231780">
    <w:abstractNumId w:val="9"/>
  </w:num>
  <w:num w:numId="11" w16cid:durableId="152642364">
    <w:abstractNumId w:val="10"/>
  </w:num>
  <w:num w:numId="12" w16cid:durableId="688457749">
    <w:abstractNumId w:val="10"/>
  </w:num>
  <w:num w:numId="13" w16cid:durableId="1332877215">
    <w:abstractNumId w:val="10"/>
  </w:num>
  <w:num w:numId="14" w16cid:durableId="13395038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8548072">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1057973843">
    <w:abstractNumId w:val="1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7" w16cid:durableId="1394238705">
    <w:abstractNumId w:val="14"/>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8" w16cid:durableId="1264074863">
    <w:abstractNumId w:val="15"/>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9" w16cid:durableId="1824158087">
    <w:abstractNumId w:val="16"/>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20" w16cid:durableId="427889263">
    <w:abstractNumId w:val="17"/>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21" w16cid:durableId="1927836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48867837">
    <w:abstractNumId w:val="10"/>
  </w:num>
  <w:num w:numId="23" w16cid:durableId="879972716">
    <w:abstractNumId w:val="10"/>
  </w:num>
  <w:num w:numId="24" w16cid:durableId="5064045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632593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10865631">
    <w:abstractNumId w:val="10"/>
  </w:num>
  <w:num w:numId="27" w16cid:durableId="324818892">
    <w:abstractNumId w:val="10"/>
  </w:num>
  <w:num w:numId="28" w16cid:durableId="10440588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90317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62839269">
    <w:abstractNumId w:val="10"/>
  </w:num>
  <w:num w:numId="31" w16cid:durableId="1241527581">
    <w:abstractNumId w:val="10"/>
  </w:num>
  <w:num w:numId="32" w16cid:durableId="2130113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90251565">
    <w:abstractNumId w:val="10"/>
  </w:num>
  <w:num w:numId="34" w16cid:durableId="1649548972">
    <w:abstractNumId w:val="10"/>
  </w:num>
  <w:num w:numId="35" w16cid:durableId="1353387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3F5"/>
    <w:rsid w:val="00026B4B"/>
    <w:rsid w:val="00034616"/>
    <w:rsid w:val="0006063C"/>
    <w:rsid w:val="000F64BA"/>
    <w:rsid w:val="0015074B"/>
    <w:rsid w:val="0029639D"/>
    <w:rsid w:val="0032590D"/>
    <w:rsid w:val="00326F90"/>
    <w:rsid w:val="00515D97"/>
    <w:rsid w:val="00937C4A"/>
    <w:rsid w:val="00AA1D8D"/>
    <w:rsid w:val="00AC7025"/>
    <w:rsid w:val="00AF6879"/>
    <w:rsid w:val="00B47730"/>
    <w:rsid w:val="00CB0664"/>
    <w:rsid w:val="00E40BD4"/>
    <w:rsid w:val="00E663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FDFF8"/>
  <w15:docId w15:val="{5D560893-665C-47A1-9C73-DDAC6AFF0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EB Garamond" w:eastAsia="EB Garamond" w:hAnsi="EB Garamond"/>
      <w:sz w:val="21"/>
    </w:rPr>
  </w:style>
  <w:style w:type="paragraph" w:styleId="Heading1">
    <w:name w:val="heading 1"/>
    <w:basedOn w:val="Normal"/>
    <w:next w:val="Normal"/>
    <w:link w:val="Heading1Char"/>
    <w:uiPriority w:val="9"/>
    <w:qFormat/>
    <w:rsid w:val="00FC693F"/>
    <w:pPr>
      <w:keepNext/>
      <w:keepLines/>
      <w:spacing w:before="480" w:after="400"/>
      <w:jc w:val="center"/>
      <w:outlineLvl w:val="0"/>
    </w:pPr>
    <w:rPr>
      <w:rFonts w:asciiTheme="majorHAnsi" w:eastAsiaTheme="majorEastAsia" w:hAnsiTheme="majorHAnsi" w:cstheme="majorBidi"/>
      <w:b/>
      <w:bCs/>
      <w:color w:val="283037"/>
      <w:sz w:val="36"/>
      <w:szCs w:val="28"/>
    </w:rPr>
  </w:style>
  <w:style w:type="paragraph" w:styleId="Heading2">
    <w:name w:val="heading 2"/>
    <w:basedOn w:val="Normal"/>
    <w:next w:val="Normal"/>
    <w:link w:val="Heading2Char"/>
    <w:uiPriority w:val="9"/>
    <w:unhideWhenUsed/>
    <w:qFormat/>
    <w:rsid w:val="00FC693F"/>
    <w:pPr>
      <w:keepNext/>
      <w:keepLines/>
      <w:spacing w:before="200" w:after="240"/>
      <w:jc w:val="left"/>
      <w:outlineLvl w:val="1"/>
    </w:pPr>
    <w:rPr>
      <w:rFonts w:asciiTheme="majorHAnsi" w:eastAsiaTheme="majorEastAsia" w:hAnsiTheme="majorHAnsi" w:cstheme="majorBidi"/>
      <w:b/>
      <w:bCs/>
      <w:color w:val="232B32"/>
      <w:sz w:val="3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14652"/>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b/>
      <w:bCs/>
      <w:i/>
      <w:iCs/>
      <w:color w:val="31465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504" w:right="288"/>
    </w:pPr>
    <w:rPr>
      <w:i/>
      <w:iCs/>
      <w:color w:val="373B3E"/>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Noto Sans" w:eastAsia="Noto Sans" w:hAnsi="Noto Sans"/>
      <w:b/>
      <w:bCs/>
      <w:i/>
      <w:color w:val="52585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Noto Sans" w:eastAsia="Noto Sans" w:hAnsi="Noto Sans"/>
      <w:color w:val="2D3236"/>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irnBookTitle">
    <w:name w:val="Cairn Book Title"/>
    <w:pPr>
      <w:keepNext/>
      <w:spacing w:before="3000" w:after="360"/>
      <w:jc w:val="center"/>
    </w:pPr>
    <w:rPr>
      <w:rFonts w:ascii="EB Garamond" w:eastAsia="EB Garamond" w:hAnsi="EB Garamond"/>
      <w:b/>
      <w:color w:val="1D262C"/>
      <w:sz w:val="58"/>
    </w:rPr>
  </w:style>
  <w:style w:type="paragraph" w:customStyle="1" w:styleId="CairnBookSubtitle">
    <w:name w:val="Cairn Book Subtitle"/>
    <w:pPr>
      <w:spacing w:after="840"/>
      <w:jc w:val="center"/>
    </w:pPr>
    <w:rPr>
      <w:rFonts w:ascii="EB Garamond" w:eastAsia="EB Garamond" w:hAnsi="EB Garamond"/>
      <w:i/>
      <w:color w:val="3A4349"/>
      <w:sz w:val="32"/>
    </w:rPr>
  </w:style>
  <w:style w:type="paragraph" w:customStyle="1" w:styleId="CairnBookAuthor">
    <w:name w:val="Cairn Book Author"/>
    <w:pPr>
      <w:spacing w:after="560"/>
      <w:jc w:val="center"/>
    </w:pPr>
    <w:rPr>
      <w:rFonts w:ascii="Noto Sans" w:eastAsia="Noto Sans" w:hAnsi="Noto Sans"/>
      <w:b/>
      <w:color w:val="232B32"/>
      <w:sz w:val="26"/>
    </w:rPr>
  </w:style>
  <w:style w:type="paragraph" w:customStyle="1" w:styleId="CairnBookSeries">
    <w:name w:val="Cairn Book Series"/>
    <w:pPr>
      <w:jc w:val="center"/>
    </w:pPr>
    <w:rPr>
      <w:rFonts w:ascii="Noto Sans" w:eastAsia="Noto Sans" w:hAnsi="Noto Sans"/>
      <w:b/>
      <w:color w:val="545E64"/>
      <w:sz w:val="19"/>
    </w:rPr>
  </w:style>
  <w:style w:type="paragraph" w:customStyle="1" w:styleId="CairnBookMotto">
    <w:name w:val="Cairn Book Motto"/>
    <w:pPr>
      <w:spacing w:after="720"/>
      <w:jc w:val="center"/>
    </w:pPr>
    <w:rPr>
      <w:rFonts w:ascii="EB Garamond" w:eastAsia="EB Garamond" w:hAnsi="EB Garamond"/>
      <w:i/>
      <w:color w:val="545E64"/>
    </w:rPr>
  </w:style>
  <w:style w:type="paragraph" w:customStyle="1" w:styleId="CairnBookEdition">
    <w:name w:val="Cairn Book Edition"/>
    <w:pPr>
      <w:spacing w:after="60"/>
      <w:jc w:val="center"/>
    </w:pPr>
    <w:rPr>
      <w:rFonts w:ascii="Noto Sans" w:eastAsia="Noto Sans" w:hAnsi="Noto Sans"/>
      <w:color w:val="646C70"/>
      <w:sz w:val="17"/>
    </w:rPr>
  </w:style>
  <w:style w:type="paragraph" w:customStyle="1" w:styleId="CairnCopyright">
    <w:name w:val="Cairn Copyright"/>
    <w:pPr>
      <w:ind w:left="648" w:right="648"/>
    </w:pPr>
    <w:rPr>
      <w:rFonts w:ascii="EB Garamond" w:eastAsia="EB Garamond" w:hAnsi="EB Garamond"/>
      <w:color w:val="41464A"/>
      <w:sz w:val="19"/>
    </w:rPr>
  </w:style>
  <w:style w:type="paragraph" w:customStyle="1" w:styleId="CairnManuscriptStatus">
    <w:name w:val="Cairn Manuscript Status"/>
    <w:pPr>
      <w:spacing w:before="200" w:after="280"/>
      <w:ind w:left="360" w:right="360"/>
    </w:pPr>
    <w:rPr>
      <w:rFonts w:ascii="Noto Sans" w:eastAsia="Noto Sans" w:hAnsi="Noto Sans"/>
      <w:i/>
      <w:color w:val="484F53"/>
      <w:sz w:val="17"/>
    </w:rPr>
  </w:style>
  <w:style w:type="paragraph" w:customStyle="1" w:styleId="CairnChapterBrief">
    <w:name w:val="Cairn Chapter Brief"/>
    <w:pPr>
      <w:spacing w:before="80"/>
      <w:ind w:left="403" w:right="230"/>
    </w:pPr>
    <w:rPr>
      <w:rFonts w:ascii="EB Garamond" w:eastAsia="EB Garamond" w:hAnsi="EB Garamond"/>
      <w:i/>
      <w:color w:val="56585A"/>
      <w:sz w:val="20"/>
    </w:rPr>
  </w:style>
  <w:style w:type="paragraph" w:customStyle="1" w:styleId="CairnSourceCode">
    <w:name w:val="Cairn Source Code"/>
    <w:pPr>
      <w:spacing w:after="60"/>
      <w:ind w:left="360"/>
    </w:pPr>
    <w:rPr>
      <w:rFonts w:ascii="DejaVu Sans Mono" w:eastAsia="DejaVu Sans Mono" w:hAnsi="DejaVu Sans Mono"/>
      <w:color w:val="2D3032"/>
      <w:sz w:val="1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DefaultParagraphFont"/>
    <w:uiPriority w:val="99"/>
    <w:unhideWhenUsed/>
    <w:rsid w:val="000263F5"/>
    <w:rPr>
      <w:color w:val="0000FF" w:themeColor="hyperlink"/>
      <w:u w:val="single"/>
    </w:rPr>
  </w:style>
  <w:style w:type="character" w:styleId="UnresolvedMention">
    <w:name w:val="Unresolved Mention"/>
    <w:basedOn w:val="DefaultParagraphFont"/>
    <w:uiPriority w:val="99"/>
    <w:semiHidden/>
    <w:unhideWhenUsed/>
    <w:rsid w:val="000263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3140/RG.2.2.30192.012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69</Pages>
  <Words>16598</Words>
  <Characters>94614</Characters>
  <Application>Microsoft Office Word</Application>
  <DocSecurity>0</DocSecurity>
  <Lines>788</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Cairn Does Not Remember the Earthquake</dc:title>
  <dc:subject>Chaos, Homology, and the Mathematics of Conditioned Survival</dc:subject>
  <dc:creator>Debi Prasad Ghosh</dc:creator>
  <cp:keywords>rocking block, cairn, precariously balanced rocks, homology, Conley index, survivorship, neocortical memory</cp:keywords>
  <dc:description>Current manuscript edition, July 2026.</dc:description>
  <cp:lastModifiedBy>Debiprasad Ghosh</cp:lastModifiedBy>
  <cp:revision>8</cp:revision>
  <cp:lastPrinted>2026-07-26T04:36:00Z</cp:lastPrinted>
  <dcterms:created xsi:type="dcterms:W3CDTF">2026-07-26T03:43:00Z</dcterms:created>
  <dcterms:modified xsi:type="dcterms:W3CDTF">2026-07-26T05:47:00Z</dcterms:modified>
</cp:coreProperties>
</file>