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56BFA" w14:textId="77777777" w:rsidR="008B588A" w:rsidRDefault="00000000">
      <w:pPr>
        <w:pStyle w:val="Title"/>
        <w:spacing w:before="480"/>
        <w:jc w:val="center"/>
      </w:pPr>
      <w:r>
        <w:t>The Integral Audit</w:t>
      </w:r>
    </w:p>
    <w:p w14:paraId="752C25C4" w14:textId="77777777" w:rsidR="008B588A" w:rsidRDefault="00000000">
      <w:pPr>
        <w:jc w:val="center"/>
        <w:rPr>
          <w:rFonts w:hint="eastAsia"/>
        </w:rPr>
      </w:pPr>
      <w:r>
        <w:rPr>
          <w:rFonts w:ascii="Liberation Sans" w:hAnsi="Liberation Sans"/>
          <w:b/>
          <w:color w:val="244A66"/>
          <w:sz w:val="28"/>
        </w:rPr>
        <w:t>Torsion, Coefficient False Zeros, and Arithmetic Governance in Defensible Intelligence</w:t>
      </w:r>
    </w:p>
    <w:p w14:paraId="39B1C923" w14:textId="011B6E66" w:rsidR="008B588A" w:rsidRDefault="00000000">
      <w:pPr>
        <w:jc w:val="center"/>
        <w:rPr>
          <w:rFonts w:hint="eastAsia"/>
          <w:b/>
          <w:sz w:val="22"/>
        </w:rPr>
      </w:pPr>
      <w:r>
        <w:rPr>
          <w:b/>
          <w:sz w:val="22"/>
        </w:rPr>
        <w:t>D. P. Ghosh</w:t>
      </w:r>
      <w:r w:rsidR="0042341F">
        <w:rPr>
          <w:b/>
          <w:sz w:val="22"/>
        </w:rPr>
        <w:t xml:space="preserve">, </w:t>
      </w:r>
      <w:hyperlink r:id="rId8" w:history="1">
        <w:r w:rsidR="0042341F" w:rsidRPr="0087036D">
          <w:rPr>
            <w:rStyle w:val="Hyperlink"/>
            <w:b/>
            <w:sz w:val="22"/>
          </w:rPr>
          <w:t>debiprasadghosh@gmail.com</w:t>
        </w:r>
      </w:hyperlink>
      <w:r w:rsidR="0042341F">
        <w:rPr>
          <w:b/>
          <w:sz w:val="22"/>
        </w:rPr>
        <w:t xml:space="preserve"> </w:t>
      </w:r>
    </w:p>
    <w:p w14:paraId="7E1C6473" w14:textId="425CA121" w:rsidR="00671420" w:rsidRDefault="004F2E21">
      <w:pPr>
        <w:jc w:val="center"/>
        <w:rPr>
          <w:rFonts w:hint="eastAsia"/>
        </w:rPr>
      </w:pPr>
      <w:hyperlink r:id="rId9" w:history="1">
        <w:r w:rsidRPr="00B01F43">
          <w:rPr>
            <w:rStyle w:val="Hyperlink"/>
          </w:rPr>
          <w:t>https://doi.org/10.13140/RG.2.2.29870.27209</w:t>
        </w:r>
      </w:hyperlink>
      <w:r>
        <w:t xml:space="preserve"> </w:t>
      </w:r>
    </w:p>
    <w:p w14:paraId="747E2425" w14:textId="77777777" w:rsidR="008B588A" w:rsidRDefault="00000000">
      <w:pPr>
        <w:jc w:val="center"/>
        <w:rPr>
          <w:rFonts w:hint="eastAsia"/>
        </w:rPr>
      </w:pPr>
      <w:r>
        <w:rPr>
          <w:rFonts w:ascii="Liberation Sans" w:hAnsi="Liberation Sans"/>
          <w:color w:val="5F6B75"/>
          <w:sz w:val="19"/>
        </w:rPr>
        <w:t>Defensible Intelligence Series · Conceptual Paper (No Experiment)</w:t>
      </w:r>
    </w:p>
    <w:p w14:paraId="263D96E1" w14:textId="77777777" w:rsidR="008B588A" w:rsidRDefault="008B588A">
      <w:pPr>
        <w:pBdr>
          <w:bottom w:val="single" w:sz="12" w:space="1" w:color="4472C4"/>
        </w:pBdr>
        <w:spacing w:before="120" w:after="160"/>
        <w:rPr>
          <w:rFonts w:hint="eastAsia"/>
        </w:rPr>
      </w:pPr>
    </w:p>
    <w:tbl>
      <w:tblPr>
        <w:tblW w:w="0" w:type="auto"/>
        <w:jc w:val="center"/>
        <w:tblLook w:val="04A0" w:firstRow="1" w:lastRow="0" w:firstColumn="1" w:lastColumn="0" w:noHBand="0" w:noVBand="1"/>
      </w:tblPr>
      <w:tblGrid>
        <w:gridCol w:w="9298"/>
      </w:tblGrid>
      <w:tr w:rsidR="008B588A" w14:paraId="65C56DE1" w14:textId="77777777">
        <w:trPr>
          <w:cantSplit/>
          <w:jc w:val="center"/>
        </w:trPr>
        <w:tc>
          <w:tcPr>
            <w:tcW w:w="9298" w:type="dxa"/>
            <w:tcBorders>
              <w:top w:val="single" w:sz="6" w:space="0" w:color="A9B7C6"/>
              <w:left w:val="single" w:sz="6" w:space="0" w:color="A9B7C6"/>
              <w:bottom w:val="single" w:sz="6" w:space="0" w:color="A9B7C6"/>
              <w:right w:val="single" w:sz="6" w:space="0" w:color="A9B7C6"/>
            </w:tcBorders>
            <w:shd w:val="clear" w:color="auto" w:fill="EEF3F8"/>
          </w:tcPr>
          <w:p w14:paraId="23D1FDE5" w14:textId="77777777" w:rsidR="008B588A" w:rsidRDefault="00000000">
            <w:pPr>
              <w:rPr>
                <w:rFonts w:hint="eastAsia"/>
              </w:rPr>
            </w:pPr>
            <w:r>
              <w:rPr>
                <w:rFonts w:ascii="Liberation Sans" w:hAnsi="Liberation Sans"/>
                <w:b/>
                <w:color w:val="17365D"/>
              </w:rPr>
              <w:t>Abstract</w:t>
            </w:r>
          </w:p>
          <w:p w14:paraId="4A0610F5" w14:textId="77777777" w:rsidR="008B588A" w:rsidRDefault="00000000">
            <w:pPr>
              <w:spacing w:line="252" w:lineRule="auto"/>
              <w:jc w:val="both"/>
              <w:rPr>
                <w:rFonts w:hint="eastAsia"/>
              </w:rPr>
            </w:pPr>
            <w:r>
              <w:rPr>
                <w:sz w:val="19"/>
              </w:rPr>
              <w:t>Defensible intelligence requires an audit of whether local claims, memories, and action proposals can be assembled into a legitimate global state. Existing implementations usually perform this audit over real-valued vector spaces, where residuals can be localized and optimized by metric or Hodge methods. This paper identifies a structurally different failure mode: a correct characteristic-zero audit can return zero because finite-order information has been erased by the coefficient system itself. We call this a coefficient false zero. The proposed remedy is the Integral Audit, whose master object is a certified finite integral chain/cochain complex rather than any single field-valued cohomology group. Its integral invariants contain both the free component visible to rational or real audits and the torsion component invisible to them. Universal-coefficient exact sequences relate these coefficient views; Smith normal form and higher p-primary lifting recover the complete finite-order structure. The paper then separates algebraic type from institutional meaning through a signed torsion registry, and protects declared attaching relations through a structural firewall. A release kernel is proposed in which integral admissibility is checked before real-valued localization and optimization. Finally, a cortical torsion circuit is developed as a falsifiable biological candidate: microcolumns provide a possible directed path algebra, but periodic dynamics, grid-cell tori, and head-direction rings are explicitly distinguished from genuine homological torsion. The contribution is conceptual and architectural. It does not claim experimental evidence for cortical torsion or a literal neural Bockstein computation.</w:t>
            </w:r>
          </w:p>
        </w:tc>
      </w:tr>
    </w:tbl>
    <w:p w14:paraId="621539A3" w14:textId="77777777" w:rsidR="008B588A" w:rsidRDefault="00000000">
      <w:pPr>
        <w:spacing w:before="120"/>
        <w:rPr>
          <w:rFonts w:hint="eastAsia"/>
        </w:rPr>
      </w:pPr>
      <w:r>
        <w:rPr>
          <w:rFonts w:ascii="Liberation Sans" w:hAnsi="Liberation Sans"/>
          <w:b/>
          <w:sz w:val="19"/>
        </w:rPr>
        <w:t xml:space="preserve">Keywords: </w:t>
      </w:r>
      <w:r>
        <w:rPr>
          <w:sz w:val="19"/>
        </w:rPr>
        <w:t>integral cohomology; torsion; Universal Coefficient Theorem; Smith normal form; coefficient false zero; sheaf audit; cortical microcolumn; AI governance; defensible intelligence</w:t>
      </w:r>
    </w:p>
    <w:p w14:paraId="63510771" w14:textId="77777777" w:rsidR="008B588A" w:rsidRDefault="00000000">
      <w:pPr>
        <w:spacing w:before="80"/>
        <w:rPr>
          <w:rFonts w:hint="eastAsia"/>
        </w:rPr>
      </w:pPr>
      <w:r>
        <w:rPr>
          <w:rFonts w:ascii="Liberation Sans" w:hAnsi="Liberation Sans"/>
          <w:b/>
          <w:sz w:val="18"/>
        </w:rPr>
        <w:t xml:space="preserve">Claim tiers. </w:t>
      </w:r>
      <w:r>
        <w:rPr>
          <w:sz w:val="18"/>
        </w:rPr>
        <w:t>[LB-math] established mathematics; [LB-rule] governing methodological rule; [SUP] directly supported empirical finding; [CAND] falsifiable architectural proposal; [CAND-map] candidate structural mapping to biology; [DEBT] open problem; [HOR] quarantined horizon.</w:t>
      </w:r>
    </w:p>
    <w:p w14:paraId="3697631A" w14:textId="77777777" w:rsidR="008B588A" w:rsidRDefault="00000000">
      <w:pPr>
        <w:pStyle w:val="Heading1"/>
      </w:pPr>
      <w:r>
        <w:t>1. Introduction</w:t>
      </w:r>
    </w:p>
    <w:p w14:paraId="68C1A93F" w14:textId="77777777" w:rsidR="008B588A" w:rsidRDefault="00000000">
      <w:pPr>
        <w:pStyle w:val="BodyText"/>
        <w:rPr>
          <w:rFonts w:hint="eastAsia"/>
        </w:rPr>
      </w:pPr>
      <w:r>
        <w:t>Modern artificial intelligence is overwhelmingly built in characteristic-zero numerical spaces. Attention, normalization, residual transport, gradient descent, energy minimization, and Hodge-style localization are naturally implemented over real vector spaces. These mechanisms are powerful for graded variation: they can measure distance, reduce residuals, and optimize a candidate within a smooth representational chamber. Yet their mathematical convenience creates a blind spot. Finite-order classes disappear when an integral complex is rationalized. A system may therefore compute a perfectly correct real-valued audit and still certify a state whose integral structure contains a nontrivial arithmetic obstruction.</w:t>
      </w:r>
    </w:p>
    <w:p w14:paraId="6886B6B1" w14:textId="77777777" w:rsidR="008B588A" w:rsidRDefault="00000000">
      <w:pPr>
        <w:pStyle w:val="BodyText"/>
        <w:rPr>
          <w:rFonts w:hint="eastAsia"/>
        </w:rPr>
      </w:pPr>
      <w:r>
        <w:t>The central proposal of this paper is that a defensible audit should begin one level below any field-valued calculation. Its master object should be a certified integral chain or cochain complex whose different coefficient realizations are treated as derived views. Rational and real coefficients expose the free component and enable metric-dependent localization; modular coefficients expose prime participation; higher Bocksteins, p-power lifting, or Smith normal form recover finite-order structure. The resulting principle is not “torsion instead of geometry.” It is integral admissibility before real-valued optimization.</w:t>
      </w:r>
    </w:p>
    <w:p w14:paraId="131B9838" w14:textId="77777777" w:rsidR="008B588A" w:rsidRDefault="00000000">
      <w:pPr>
        <w:pStyle w:val="BodyText"/>
        <w:rPr>
          <w:rFonts w:hint="eastAsia"/>
        </w:rPr>
      </w:pPr>
      <w:r>
        <w:t xml:space="preserve">This paper consolidates the torsion line of the Defensible Intelligence framework into a single conceptual architecture. It makes six contributions. First, it defines the Integral Audit Complex and states the exact assumptions under which universal-coefficient methods apply. Second, it introduces the coefficient false zero </w:t>
      </w:r>
      <w:r>
        <w:lastRenderedPageBreak/>
        <w:t>as distinct from a coarse-cover false zero, a restriction-map defect, and a vacuous gate. Third, it interprets torsion as finite-order information that ordinary affine averaging has no automatic licence to combine. Fourth, it separates the algebraic torsion signature from its semantic and institutional interpretation through a signed registry. Fifth, it proposes a structural firewall and an integral release kernel. Sixth, it develops a cortical microcolumn realization as a deliberately narrow [CAND-map], with periodic oscillations, grid-cell tori, and head-direction rings used as fences and negative controls rather than indiscriminate support.</w:t>
      </w:r>
    </w:p>
    <w:p w14:paraId="24AB4FBF" w14:textId="77777777" w:rsidR="008B588A" w:rsidRDefault="00000000">
      <w:pPr>
        <w:pStyle w:val="BodyText"/>
        <w:rPr>
          <w:rFonts w:hint="eastAsia"/>
        </w:rPr>
      </w:pPr>
      <w:r>
        <w:t>The paper is conceptual. It reports no experiment and does not claim that the cortex literally computes integral cohomology, Smith normal form, or Bockstein operators. The biological sections formulate structural hypotheses and explicit falsifiers. The load-bearing claims are mathematical; the implementation and neuroscience claims remain candidates.</w:t>
      </w:r>
    </w:p>
    <w:p w14:paraId="5B1F1D17" w14:textId="77777777" w:rsidR="008B588A" w:rsidRDefault="00000000">
      <w:pPr>
        <w:pStyle w:val="Heading2"/>
      </w:pPr>
      <w:r>
        <w:t>1.1 Relation to the existing framework</w:t>
      </w:r>
    </w:p>
    <w:p w14:paraId="53ABD8DD" w14:textId="77777777" w:rsidR="008B588A" w:rsidRDefault="00000000">
      <w:pPr>
        <w:pStyle w:val="BodyText"/>
        <w:rPr>
          <w:rFonts w:hint="eastAsia"/>
        </w:rPr>
      </w:pPr>
      <w:r>
        <w:t>The proposal extends three existing components. Nerve-Attention supplies a certified simplicial domain rather than filling every attention clique as a simplex. The Cohomological Attention Block (CAB) tests whether typed local sections agree on witnessed overlaps. The Restriction Vertex carries a proposed global claim back toward the local evidence and hidden constraints it presupposes. The Integral Audit adds a fourth requirement: the coefficient system must be capable of representing the obstruction being tested. A gate can fail even when its cover, restriction maps, and arithmetic are internally correct, because it asked the question over a coefficient field that erased the answer.</w:t>
      </w:r>
    </w:p>
    <w:p w14:paraId="02AB8A81" w14:textId="77777777" w:rsidR="008B588A" w:rsidRDefault="00000000">
      <w:pPr>
        <w:pStyle w:val="Heading1"/>
      </w:pPr>
      <w:r>
        <w:t>2. The Certified Integral Audit Complex</w:t>
      </w:r>
    </w:p>
    <w:p w14:paraId="09ED1FC7" w14:textId="77777777" w:rsidR="008B588A" w:rsidRDefault="00000000">
      <w:pPr>
        <w:pStyle w:val="Heading2"/>
      </w:pPr>
      <w:r>
        <w:t>2.1 Mathematical setup</w:t>
      </w:r>
    </w:p>
    <w:p w14:paraId="68E8CF83" w14:textId="77777777" w:rsidR="008B588A" w:rsidRDefault="00000000">
      <w:pPr>
        <w:pStyle w:val="BodyText"/>
        <w:rPr>
          <w:rFonts w:hint="eastAsia"/>
        </w:rPr>
      </w:pPr>
      <w:r>
        <w:t>Let K be a finite certified cellular or simplicial complex produced from witnessed overlaps. Let C•_Z(K) be its cellular chain complex of finitely generated free abelian groups. For a standard coefficient group G, cochains are C^k(K;G)=Hom(C_k(K;Z),G), with coboundary δ satisfying δ²=0. In a sheaf-aware implementation, stalk data and restriction maps modify the incidence matrices; the operational requirement is that the resulting audit complex be an explicitly declared finite integral complex. The ordinary Universal Coefficient Theorem applies directly to the constant/free cellular case. General sheaf-valued coefficients require the corresponding derived-functor formulation and should not be smuggled into the classical theorem without its hypotheses.</w:t>
      </w:r>
    </w:p>
    <w:p w14:paraId="466DCA98" w14:textId="77777777" w:rsidR="008B588A" w:rsidRDefault="00000000">
      <w:pPr>
        <w:spacing w:before="100"/>
        <w:jc w:val="center"/>
        <w:rPr>
          <w:rFonts w:hint="eastAsia"/>
        </w:rPr>
      </w:pPr>
      <w:r>
        <w:rPr>
          <w:i/>
          <w:sz w:val="22"/>
        </w:rPr>
        <w:t>C^0_Z  —δ⁰→  C^1_Z  —δ¹→  C^2_Z  —δ²→  ···,       δᵏ⁺¹δᵏ = 0</w:t>
      </w:r>
      <w:r>
        <w:rPr>
          <w:rFonts w:ascii="Liberation Sans" w:hAnsi="Liberation Sans"/>
          <w:sz w:val="18"/>
        </w:rPr>
        <w:t xml:space="preserve">    (1)</w:t>
      </w:r>
    </w:p>
    <w:p w14:paraId="7D01F6FE" w14:textId="77777777" w:rsidR="008B588A" w:rsidRDefault="00000000">
      <w:pPr>
        <w:pStyle w:val="BodyText"/>
        <w:rPr>
          <w:rFonts w:hint="eastAsia"/>
        </w:rPr>
      </w:pPr>
      <w:r>
        <w:t>The integral cohomology in degree k is</w:t>
      </w:r>
    </w:p>
    <w:p w14:paraId="4F6D5CF1" w14:textId="77777777" w:rsidR="008B588A" w:rsidRDefault="00000000">
      <w:pPr>
        <w:spacing w:before="100"/>
        <w:jc w:val="center"/>
        <w:rPr>
          <w:rFonts w:hint="eastAsia"/>
        </w:rPr>
      </w:pPr>
      <w:r>
        <w:rPr>
          <w:i/>
          <w:sz w:val="22"/>
        </w:rPr>
        <w:t>Hᵏ(C_Z) = ker(δᵏ) / im(δᵏ⁻¹).</w:t>
      </w:r>
      <w:r>
        <w:rPr>
          <w:rFonts w:ascii="Liberation Sans" w:hAnsi="Liberation Sans"/>
          <w:sz w:val="18"/>
        </w:rPr>
        <w:t xml:space="preserve">    (2)</w:t>
      </w:r>
    </w:p>
    <w:p w14:paraId="31936E55" w14:textId="77777777" w:rsidR="008B588A" w:rsidRDefault="00000000">
      <w:pPr>
        <w:pStyle w:val="BodyText"/>
        <w:rPr>
          <w:rFonts w:hint="eastAsia"/>
        </w:rPr>
      </w:pPr>
      <w:r>
        <w:t>For a finite complex, Hᵏ(C_Z) is a finitely generated abelian group. Its torsion subgroup Tor Hᵏ is canonical, and the quotient Hᵏ/Tor Hᵏ is free. One may write an isomorphism</w:t>
      </w:r>
    </w:p>
    <w:p w14:paraId="7FFC721D" w14:textId="77777777" w:rsidR="008B588A" w:rsidRDefault="00000000">
      <w:pPr>
        <w:spacing w:before="100"/>
        <w:jc w:val="center"/>
        <w:rPr>
          <w:rFonts w:hint="eastAsia"/>
        </w:rPr>
      </w:pPr>
      <w:r>
        <w:rPr>
          <w:i/>
          <w:sz w:val="22"/>
        </w:rPr>
        <w:t>Hᵏ(C_Z) ≅ Z^βᵏ ⊕ Tᵏ,      Tᵏ ≅ ⊕ₚ ⊕ⱼ Z/pᵉₚⱼZ,</w:t>
      </w:r>
      <w:r>
        <w:rPr>
          <w:rFonts w:ascii="Liberation Sans" w:hAnsi="Liberation Sans"/>
          <w:sz w:val="18"/>
        </w:rPr>
        <w:t xml:space="preserve">    (3)</w:t>
      </w:r>
    </w:p>
    <w:p w14:paraId="12B2CE6E" w14:textId="77777777" w:rsidR="008B588A" w:rsidRDefault="00000000">
      <w:pPr>
        <w:pStyle w:val="BodyText"/>
        <w:rPr>
          <w:rFonts w:hint="eastAsia"/>
        </w:rPr>
      </w:pPr>
      <w:r>
        <w:t>but the splitting between free and torsion representatives is not canonical. What is canonical is the torsion subgroup, the free quotient, and the isomorphism class of the finite abelian group. This distinction matters when audit records must be transported functorially between versions.</w:t>
      </w:r>
    </w:p>
    <w:p w14:paraId="70A60A3B" w14:textId="77777777" w:rsidR="008B588A" w:rsidRDefault="00000000">
      <w:pPr>
        <w:pStyle w:val="Heading2"/>
      </w:pPr>
      <w:r>
        <w:t>2.2 Smith normal form as the complete finite-order certificate</w:t>
      </w:r>
    </w:p>
    <w:p w14:paraId="2CE36316" w14:textId="77777777" w:rsidR="008B588A" w:rsidRDefault="00000000">
      <w:pPr>
        <w:pStyle w:val="BodyText"/>
        <w:rPr>
          <w:rFonts w:hint="eastAsia"/>
        </w:rPr>
      </w:pPr>
      <w:r>
        <w:t>The complete torsion structure is recovered from integer boundary or coboundary matrices by Smith-normal-form reduction, together with the kernel–image calculation appropriate to the degree being audited. Unimodular row and column operations transform an integer matrix A into a diagonal form diag(d₁,…,dᵣ,0,…,0) with dᵢ dividing dᵢ₊₁. Nonunit invariant factors generate the finite cyclic summands. A single field computation cannot distinguish Z/2 from Z/4 or Z/8; Smith form can.</w:t>
      </w:r>
    </w:p>
    <w:p w14:paraId="2A5CFAF7" w14:textId="77777777" w:rsidR="008B588A" w:rsidRDefault="00000000">
      <w:pPr>
        <w:spacing w:before="100"/>
        <w:jc w:val="center"/>
        <w:rPr>
          <w:rFonts w:hint="eastAsia"/>
        </w:rPr>
      </w:pPr>
      <w:r>
        <w:rPr>
          <w:i/>
          <w:sz w:val="22"/>
        </w:rPr>
        <w:t>UAV = diag(d₁,…,dᵣ,0,…,0),       dᵢ | dᵢ₊₁,       det U = det V = ±1.</w:t>
      </w:r>
      <w:r>
        <w:rPr>
          <w:rFonts w:ascii="Liberation Sans" w:hAnsi="Liberation Sans"/>
          <w:sz w:val="18"/>
        </w:rPr>
        <w:t xml:space="preserve">    (4)</w:t>
      </w:r>
    </w:p>
    <w:p w14:paraId="4C14A381" w14:textId="77777777" w:rsidR="008B588A" w:rsidRDefault="00000000">
      <w:pPr>
        <w:pStyle w:val="BodyText"/>
        <w:rPr>
          <w:rFonts w:hint="eastAsia"/>
        </w:rPr>
      </w:pPr>
      <w:r>
        <w:lastRenderedPageBreak/>
        <w:t>The framework therefore treats the integer matrices—not a preselected field reduction—as the durable audit record. Field projections may be cached for speed, but they are lossy derivatives of the integral object.</w:t>
      </w:r>
    </w:p>
    <w:p w14:paraId="4ED17A88" w14:textId="77777777" w:rsidR="008B588A" w:rsidRDefault="00000000">
      <w:pPr>
        <w:pStyle w:val="Heading2"/>
      </w:pPr>
      <w:r>
        <w:t>2.3 Audit channels and their visibility</w:t>
      </w:r>
    </w:p>
    <w:tbl>
      <w:tblPr>
        <w:tblStyle w:val="TableGrid"/>
        <w:tblW w:w="0" w:type="auto"/>
        <w:jc w:val="center"/>
        <w:tblLook w:val="04A0" w:firstRow="1" w:lastRow="0" w:firstColumn="1" w:lastColumn="0" w:noHBand="0" w:noVBand="1"/>
      </w:tblPr>
      <w:tblGrid>
        <w:gridCol w:w="2324"/>
        <w:gridCol w:w="2324"/>
        <w:gridCol w:w="2324"/>
        <w:gridCol w:w="2324"/>
      </w:tblGrid>
      <w:tr w:rsidR="008B588A" w14:paraId="0F51B461" w14:textId="77777777">
        <w:trPr>
          <w:cantSplit/>
          <w:tblHeader/>
          <w:jc w:val="center"/>
        </w:trPr>
        <w:tc>
          <w:tcPr>
            <w:tcW w:w="2324" w:type="dxa"/>
            <w:shd w:val="clear" w:color="auto" w:fill="D9E5F2"/>
            <w:vAlign w:val="center"/>
          </w:tcPr>
          <w:p w14:paraId="5556981C" w14:textId="77777777" w:rsidR="008B588A" w:rsidRDefault="00000000">
            <w:pPr>
              <w:rPr>
                <w:rFonts w:hint="eastAsia"/>
              </w:rPr>
            </w:pPr>
            <w:r>
              <w:rPr>
                <w:rFonts w:ascii="Liberation Sans" w:hAnsi="Liberation Sans"/>
                <w:b/>
                <w:sz w:val="17"/>
              </w:rPr>
              <w:t>Audit channel</w:t>
            </w:r>
          </w:p>
        </w:tc>
        <w:tc>
          <w:tcPr>
            <w:tcW w:w="2324" w:type="dxa"/>
            <w:shd w:val="clear" w:color="auto" w:fill="D9E5F2"/>
            <w:vAlign w:val="center"/>
          </w:tcPr>
          <w:p w14:paraId="761648CE" w14:textId="77777777" w:rsidR="008B588A" w:rsidRDefault="00000000">
            <w:pPr>
              <w:rPr>
                <w:rFonts w:hint="eastAsia"/>
              </w:rPr>
            </w:pPr>
            <w:r>
              <w:rPr>
                <w:rFonts w:ascii="Liberation Sans" w:hAnsi="Liberation Sans"/>
                <w:b/>
                <w:sz w:val="17"/>
              </w:rPr>
              <w:t>What it can expose</w:t>
            </w:r>
          </w:p>
        </w:tc>
        <w:tc>
          <w:tcPr>
            <w:tcW w:w="2324" w:type="dxa"/>
            <w:shd w:val="clear" w:color="auto" w:fill="D9E5F2"/>
            <w:vAlign w:val="center"/>
          </w:tcPr>
          <w:p w14:paraId="4FF3F07C" w14:textId="77777777" w:rsidR="008B588A" w:rsidRDefault="00000000">
            <w:pPr>
              <w:rPr>
                <w:rFonts w:hint="eastAsia"/>
              </w:rPr>
            </w:pPr>
            <w:r>
              <w:rPr>
                <w:rFonts w:ascii="Liberation Sans" w:hAnsi="Liberation Sans"/>
                <w:b/>
                <w:sz w:val="17"/>
              </w:rPr>
              <w:t>What it erases or confounds</w:t>
            </w:r>
          </w:p>
        </w:tc>
        <w:tc>
          <w:tcPr>
            <w:tcW w:w="2324" w:type="dxa"/>
            <w:shd w:val="clear" w:color="auto" w:fill="D9E5F2"/>
            <w:vAlign w:val="center"/>
          </w:tcPr>
          <w:p w14:paraId="5C5DA361" w14:textId="77777777" w:rsidR="008B588A" w:rsidRDefault="00000000">
            <w:pPr>
              <w:rPr>
                <w:rFonts w:hint="eastAsia"/>
              </w:rPr>
            </w:pPr>
            <w:r>
              <w:rPr>
                <w:rFonts w:ascii="Liberation Sans" w:hAnsi="Liberation Sans"/>
                <w:b/>
                <w:sz w:val="17"/>
              </w:rPr>
              <w:t>Architectural role</w:t>
            </w:r>
          </w:p>
        </w:tc>
      </w:tr>
      <w:tr w:rsidR="008B588A" w14:paraId="0ADC05AF" w14:textId="77777777">
        <w:trPr>
          <w:cantSplit/>
          <w:jc w:val="center"/>
        </w:trPr>
        <w:tc>
          <w:tcPr>
            <w:tcW w:w="2324" w:type="dxa"/>
          </w:tcPr>
          <w:p w14:paraId="4C81B58B" w14:textId="77777777" w:rsidR="008B588A" w:rsidRDefault="00000000">
            <w:pPr>
              <w:spacing w:after="0" w:line="240" w:lineRule="auto"/>
              <w:rPr>
                <w:rFonts w:hint="eastAsia"/>
              </w:rPr>
            </w:pPr>
            <w:r>
              <w:rPr>
                <w:sz w:val="16"/>
              </w:rPr>
              <w:t>Integral Z</w:t>
            </w:r>
          </w:p>
        </w:tc>
        <w:tc>
          <w:tcPr>
            <w:tcW w:w="2324" w:type="dxa"/>
          </w:tcPr>
          <w:p w14:paraId="271E7A34" w14:textId="77777777" w:rsidR="008B588A" w:rsidRDefault="00000000">
            <w:pPr>
              <w:spacing w:after="0" w:line="240" w:lineRule="auto"/>
              <w:rPr>
                <w:rFonts w:hint="eastAsia"/>
              </w:rPr>
            </w:pPr>
            <w:r>
              <w:rPr>
                <w:sz w:val="16"/>
              </w:rPr>
              <w:t>Free rank and complete finite invariant factors</w:t>
            </w:r>
          </w:p>
        </w:tc>
        <w:tc>
          <w:tcPr>
            <w:tcW w:w="2324" w:type="dxa"/>
          </w:tcPr>
          <w:p w14:paraId="5742D529" w14:textId="77777777" w:rsidR="008B588A" w:rsidRDefault="00000000">
            <w:pPr>
              <w:spacing w:after="0" w:line="240" w:lineRule="auto"/>
              <w:rPr>
                <w:rFonts w:hint="eastAsia"/>
              </w:rPr>
            </w:pPr>
            <w:r>
              <w:rPr>
                <w:sz w:val="16"/>
              </w:rPr>
              <w:t>Nothing at the abelian-group level; semantics still absent</w:t>
            </w:r>
          </w:p>
        </w:tc>
        <w:tc>
          <w:tcPr>
            <w:tcW w:w="2324" w:type="dxa"/>
          </w:tcPr>
          <w:p w14:paraId="39F86F8B" w14:textId="77777777" w:rsidR="008B588A" w:rsidRDefault="00000000">
            <w:pPr>
              <w:spacing w:after="0" w:line="240" w:lineRule="auto"/>
              <w:rPr>
                <w:rFonts w:hint="eastAsia"/>
              </w:rPr>
            </w:pPr>
            <w:r>
              <w:rPr>
                <w:sz w:val="16"/>
              </w:rPr>
              <w:t>Master structural audit</w:t>
            </w:r>
          </w:p>
        </w:tc>
      </w:tr>
      <w:tr w:rsidR="008B588A" w14:paraId="21A941F0" w14:textId="77777777">
        <w:trPr>
          <w:cantSplit/>
          <w:jc w:val="center"/>
        </w:trPr>
        <w:tc>
          <w:tcPr>
            <w:tcW w:w="2324" w:type="dxa"/>
          </w:tcPr>
          <w:p w14:paraId="35D2CA6A" w14:textId="77777777" w:rsidR="008B588A" w:rsidRDefault="00000000">
            <w:pPr>
              <w:spacing w:after="0" w:line="240" w:lineRule="auto"/>
              <w:rPr>
                <w:rFonts w:hint="eastAsia"/>
              </w:rPr>
            </w:pPr>
            <w:r>
              <w:rPr>
                <w:sz w:val="16"/>
              </w:rPr>
              <w:t>Rational/real Q or R</w:t>
            </w:r>
          </w:p>
        </w:tc>
        <w:tc>
          <w:tcPr>
            <w:tcW w:w="2324" w:type="dxa"/>
          </w:tcPr>
          <w:p w14:paraId="72AC150E" w14:textId="77777777" w:rsidR="008B588A" w:rsidRDefault="00000000">
            <w:pPr>
              <w:spacing w:after="0" w:line="240" w:lineRule="auto"/>
              <w:rPr>
                <w:rFonts w:hint="eastAsia"/>
              </w:rPr>
            </w:pPr>
            <w:r>
              <w:rPr>
                <w:sz w:val="16"/>
              </w:rPr>
              <w:t>Free cohomology and metric/Hodge localization</w:t>
            </w:r>
          </w:p>
        </w:tc>
        <w:tc>
          <w:tcPr>
            <w:tcW w:w="2324" w:type="dxa"/>
          </w:tcPr>
          <w:p w14:paraId="4EB09E0A" w14:textId="77777777" w:rsidR="008B588A" w:rsidRDefault="00000000">
            <w:pPr>
              <w:spacing w:after="0" w:line="240" w:lineRule="auto"/>
              <w:rPr>
                <w:rFonts w:hint="eastAsia"/>
              </w:rPr>
            </w:pPr>
            <w:r>
              <w:rPr>
                <w:sz w:val="16"/>
              </w:rPr>
              <w:t>All finite torsion</w:t>
            </w:r>
          </w:p>
        </w:tc>
        <w:tc>
          <w:tcPr>
            <w:tcW w:w="2324" w:type="dxa"/>
          </w:tcPr>
          <w:p w14:paraId="68ABCB75" w14:textId="77777777" w:rsidR="008B588A" w:rsidRDefault="00000000">
            <w:pPr>
              <w:spacing w:after="0" w:line="240" w:lineRule="auto"/>
              <w:rPr>
                <w:rFonts w:hint="eastAsia"/>
              </w:rPr>
            </w:pPr>
            <w:r>
              <w:rPr>
                <w:sz w:val="16"/>
              </w:rPr>
              <w:t>Graded global obstruction and localization</w:t>
            </w:r>
          </w:p>
        </w:tc>
      </w:tr>
      <w:tr w:rsidR="008B588A" w14:paraId="430023C6" w14:textId="77777777">
        <w:trPr>
          <w:cantSplit/>
          <w:jc w:val="center"/>
        </w:trPr>
        <w:tc>
          <w:tcPr>
            <w:tcW w:w="2324" w:type="dxa"/>
          </w:tcPr>
          <w:p w14:paraId="75536662" w14:textId="77777777" w:rsidR="008B588A" w:rsidRDefault="00000000">
            <w:pPr>
              <w:spacing w:after="0" w:line="240" w:lineRule="auto"/>
              <w:rPr>
                <w:rFonts w:hint="eastAsia"/>
              </w:rPr>
            </w:pPr>
            <w:r>
              <w:rPr>
                <w:sz w:val="16"/>
              </w:rPr>
              <w:t>Mod p</w:t>
            </w:r>
          </w:p>
        </w:tc>
        <w:tc>
          <w:tcPr>
            <w:tcW w:w="2324" w:type="dxa"/>
          </w:tcPr>
          <w:p w14:paraId="1B8BA169" w14:textId="77777777" w:rsidR="008B588A" w:rsidRDefault="00000000">
            <w:pPr>
              <w:spacing w:after="0" w:line="240" w:lineRule="auto"/>
              <w:rPr>
                <w:rFonts w:hint="eastAsia"/>
              </w:rPr>
            </w:pPr>
            <w:r>
              <w:rPr>
                <w:sz w:val="16"/>
              </w:rPr>
              <w:t>Prime participation, free rank mod p, selected adjacent-degree torsion</w:t>
            </w:r>
          </w:p>
        </w:tc>
        <w:tc>
          <w:tcPr>
            <w:tcW w:w="2324" w:type="dxa"/>
          </w:tcPr>
          <w:p w14:paraId="56BBEA85" w14:textId="77777777" w:rsidR="008B588A" w:rsidRDefault="00000000">
            <w:pPr>
              <w:spacing w:after="0" w:line="240" w:lineRule="auto"/>
              <w:rPr>
                <w:rFonts w:hint="eastAsia"/>
              </w:rPr>
            </w:pPr>
            <w:r>
              <w:rPr>
                <w:sz w:val="16"/>
              </w:rPr>
              <w:t>Prime-power exponent and source separation without extra analysis</w:t>
            </w:r>
          </w:p>
        </w:tc>
        <w:tc>
          <w:tcPr>
            <w:tcW w:w="2324" w:type="dxa"/>
          </w:tcPr>
          <w:p w14:paraId="0220E50F" w14:textId="77777777" w:rsidR="008B588A" w:rsidRDefault="00000000">
            <w:pPr>
              <w:spacing w:after="0" w:line="240" w:lineRule="auto"/>
              <w:rPr>
                <w:rFonts w:hint="eastAsia"/>
              </w:rPr>
            </w:pPr>
            <w:r>
              <w:rPr>
                <w:sz w:val="16"/>
              </w:rPr>
              <w:t>Fast arithmetic screen</w:t>
            </w:r>
          </w:p>
        </w:tc>
      </w:tr>
      <w:tr w:rsidR="008B588A" w14:paraId="5739BFC8" w14:textId="77777777">
        <w:trPr>
          <w:cantSplit/>
          <w:jc w:val="center"/>
        </w:trPr>
        <w:tc>
          <w:tcPr>
            <w:tcW w:w="2324" w:type="dxa"/>
          </w:tcPr>
          <w:p w14:paraId="77694D07" w14:textId="77777777" w:rsidR="008B588A" w:rsidRDefault="00000000">
            <w:pPr>
              <w:spacing w:after="0" w:line="240" w:lineRule="auto"/>
              <w:rPr>
                <w:rFonts w:hint="eastAsia"/>
              </w:rPr>
            </w:pPr>
            <w:r>
              <w:rPr>
                <w:sz w:val="16"/>
              </w:rPr>
              <w:t>Z/pʳ or higher Bockstein</w:t>
            </w:r>
          </w:p>
        </w:tc>
        <w:tc>
          <w:tcPr>
            <w:tcW w:w="2324" w:type="dxa"/>
          </w:tcPr>
          <w:p w14:paraId="1DBCFE2E" w14:textId="77777777" w:rsidR="008B588A" w:rsidRDefault="00000000">
            <w:pPr>
              <w:spacing w:after="0" w:line="240" w:lineRule="auto"/>
              <w:rPr>
                <w:rFonts w:hint="eastAsia"/>
              </w:rPr>
            </w:pPr>
            <w:r>
              <w:rPr>
                <w:sz w:val="16"/>
              </w:rPr>
              <w:t>Successive p-adic lifting obstructions</w:t>
            </w:r>
          </w:p>
        </w:tc>
        <w:tc>
          <w:tcPr>
            <w:tcW w:w="2324" w:type="dxa"/>
          </w:tcPr>
          <w:p w14:paraId="766FEF44" w14:textId="77777777" w:rsidR="008B588A" w:rsidRDefault="00000000">
            <w:pPr>
              <w:spacing w:after="0" w:line="240" w:lineRule="auto"/>
              <w:rPr>
                <w:rFonts w:hint="eastAsia"/>
              </w:rPr>
            </w:pPr>
            <w:r>
              <w:rPr>
                <w:sz w:val="16"/>
              </w:rPr>
              <w:t>Other primes and semantic meaning</w:t>
            </w:r>
          </w:p>
        </w:tc>
        <w:tc>
          <w:tcPr>
            <w:tcW w:w="2324" w:type="dxa"/>
          </w:tcPr>
          <w:p w14:paraId="3F3B0BA0" w14:textId="77777777" w:rsidR="008B588A" w:rsidRDefault="00000000">
            <w:pPr>
              <w:spacing w:after="0" w:line="240" w:lineRule="auto"/>
              <w:rPr>
                <w:rFonts w:hint="eastAsia"/>
              </w:rPr>
            </w:pPr>
            <w:r>
              <w:rPr>
                <w:sz w:val="16"/>
              </w:rPr>
              <w:t>Prime-power refinement</w:t>
            </w:r>
          </w:p>
        </w:tc>
      </w:tr>
      <w:tr w:rsidR="008B588A" w14:paraId="4970BFA0" w14:textId="77777777">
        <w:trPr>
          <w:cantSplit/>
          <w:jc w:val="center"/>
        </w:trPr>
        <w:tc>
          <w:tcPr>
            <w:tcW w:w="2324" w:type="dxa"/>
          </w:tcPr>
          <w:p w14:paraId="5D7F4082" w14:textId="77777777" w:rsidR="008B588A" w:rsidRDefault="00000000">
            <w:pPr>
              <w:spacing w:after="0" w:line="240" w:lineRule="auto"/>
              <w:rPr>
                <w:rFonts w:hint="eastAsia"/>
              </w:rPr>
            </w:pPr>
            <w:r>
              <w:rPr>
                <w:sz w:val="16"/>
              </w:rPr>
              <w:t>Registry and policy</w:t>
            </w:r>
          </w:p>
        </w:tc>
        <w:tc>
          <w:tcPr>
            <w:tcW w:w="2324" w:type="dxa"/>
          </w:tcPr>
          <w:p w14:paraId="75DAA7CB" w14:textId="77777777" w:rsidR="008B588A" w:rsidRDefault="00000000">
            <w:pPr>
              <w:spacing w:after="0" w:line="240" w:lineRule="auto"/>
              <w:rPr>
                <w:rFonts w:hint="eastAsia"/>
              </w:rPr>
            </w:pPr>
            <w:r>
              <w:rPr>
                <w:sz w:val="16"/>
              </w:rPr>
              <w:t>Institutional meaning, authority, permitted repair</w:t>
            </w:r>
          </w:p>
        </w:tc>
        <w:tc>
          <w:tcPr>
            <w:tcW w:w="2324" w:type="dxa"/>
          </w:tcPr>
          <w:p w14:paraId="60641E84" w14:textId="77777777" w:rsidR="008B588A" w:rsidRDefault="00000000">
            <w:pPr>
              <w:spacing w:after="0" w:line="240" w:lineRule="auto"/>
              <w:rPr>
                <w:rFonts w:hint="eastAsia"/>
              </w:rPr>
            </w:pPr>
            <w:r>
              <w:rPr>
                <w:sz w:val="16"/>
              </w:rPr>
              <w:t>No new topology</w:t>
            </w:r>
          </w:p>
        </w:tc>
        <w:tc>
          <w:tcPr>
            <w:tcW w:w="2324" w:type="dxa"/>
          </w:tcPr>
          <w:p w14:paraId="7BF38CE2" w14:textId="77777777" w:rsidR="008B588A" w:rsidRDefault="00000000">
            <w:pPr>
              <w:spacing w:after="0" w:line="240" w:lineRule="auto"/>
              <w:rPr>
                <w:rFonts w:hint="eastAsia"/>
              </w:rPr>
            </w:pPr>
            <w:r>
              <w:rPr>
                <w:sz w:val="16"/>
              </w:rPr>
              <w:t>Governance interpretation</w:t>
            </w:r>
          </w:p>
        </w:tc>
      </w:tr>
    </w:tbl>
    <w:p w14:paraId="05742AFB" w14:textId="77777777" w:rsidR="008B588A" w:rsidRDefault="00000000">
      <w:pPr>
        <w:pStyle w:val="Caption"/>
        <w:jc w:val="center"/>
        <w:rPr>
          <w:rFonts w:hint="eastAsia"/>
        </w:rPr>
      </w:pPr>
      <w:r>
        <w:t>Table 1. The integral object and its coefficient- and policy-specific readings.</w:t>
      </w:r>
    </w:p>
    <w:p w14:paraId="54A18818" w14:textId="77777777" w:rsidR="008B588A" w:rsidRDefault="00000000">
      <w:pPr>
        <w:pStyle w:val="Heading1"/>
      </w:pPr>
      <w:r>
        <w:t>3. Coefficient Projections and the Universal Coefficient Theorem</w:t>
      </w:r>
    </w:p>
    <w:p w14:paraId="53EEE14D" w14:textId="77777777" w:rsidR="008B588A" w:rsidRDefault="00000000">
      <w:pPr>
        <w:pStyle w:val="Heading2"/>
      </w:pPr>
      <w:r>
        <w:t>3.1 Two related universal-coefficient statements</w:t>
      </w:r>
    </w:p>
    <w:p w14:paraId="0E4625FC" w14:textId="77777777" w:rsidR="008B588A" w:rsidRDefault="00000000">
      <w:pPr>
        <w:pStyle w:val="BodyText"/>
        <w:rPr>
          <w:rFonts w:hint="eastAsia"/>
        </w:rPr>
      </w:pPr>
      <w:r>
        <w:t>Two universal-coefficient constructions must be kept distinct. For the ordinary cellular chain complex of a space, cohomology with coefficients G fits into the classical short exact sequence</w:t>
      </w:r>
    </w:p>
    <w:p w14:paraId="342BF450" w14:textId="77777777" w:rsidR="008B588A" w:rsidRDefault="00000000">
      <w:pPr>
        <w:spacing w:before="100"/>
        <w:jc w:val="center"/>
        <w:rPr>
          <w:rFonts w:hint="eastAsia"/>
        </w:rPr>
      </w:pPr>
      <w:r>
        <w:rPr>
          <w:i/>
          <w:sz w:val="22"/>
        </w:rPr>
        <w:t>0 → Ext¹_Z(Hₖ₋₁(K;Z),G) → Hᵏ(K;G) → Hom_Z(Hₖ(K;Z),G) → 0.</w:t>
      </w:r>
      <w:r>
        <w:rPr>
          <w:rFonts w:ascii="Liberation Sans" w:hAnsi="Liberation Sans"/>
          <w:sz w:val="18"/>
        </w:rPr>
        <w:t xml:space="preserve">    (5)</w:t>
      </w:r>
    </w:p>
    <w:p w14:paraId="15486AA5" w14:textId="77777777" w:rsidR="008B588A" w:rsidRDefault="00000000">
      <w:pPr>
        <w:pStyle w:val="BodyText"/>
        <w:rPr>
          <w:rFonts w:hint="eastAsia"/>
        </w:rPr>
      </w:pPr>
      <w:r>
        <w:t>The sequence splits, but not naturally. For an already constructed finite free integral cochain complex C^•_Z whose coefficients are changed by tensoring, the corresponding coefficient-change sequence is</w:t>
      </w:r>
    </w:p>
    <w:p w14:paraId="162FFDA8" w14:textId="77777777" w:rsidR="008B588A" w:rsidRDefault="00000000">
      <w:pPr>
        <w:spacing w:before="100"/>
        <w:jc w:val="center"/>
        <w:rPr>
          <w:rFonts w:hint="eastAsia"/>
        </w:rPr>
      </w:pPr>
      <w:r>
        <w:rPr>
          <w:i/>
          <w:sz w:val="22"/>
        </w:rPr>
        <w:t>0 → Hᵏ(C_Z)⊗G → Hᵏ(C_Z⊗G) → Tor¹_Z(Hᵏ⁺¹(C_Z),G) → 0.</w:t>
      </w:r>
      <w:r>
        <w:rPr>
          <w:rFonts w:ascii="Liberation Sans" w:hAnsi="Liberation Sans"/>
          <w:sz w:val="18"/>
        </w:rPr>
        <w:t xml:space="preserve">    (6)</w:t>
      </w:r>
    </w:p>
    <w:p w14:paraId="4A22D4F9" w14:textId="77777777" w:rsidR="008B588A" w:rsidRDefault="00000000">
      <w:pPr>
        <w:pStyle w:val="BodyText"/>
        <w:rPr>
          <w:rFonts w:hint="eastAsia"/>
        </w:rPr>
      </w:pPr>
      <w:r>
        <w:t>Equation (5) is the standard topological UCT for cohomology built as Hom from chains. Equation (6) is the operational form for a free integral cochain complex subjected to coefficient change. Both encode the same discipline: field-valued audits are derived views, and the relationship is exact but not a natural direct-sum coordinate system. A general cellular-sheaf audit may require a universal-coefficient spectral sequence or derived tensor/Hom calculation; this paper therefore marks the finite free case as the load-bearing implementation target and the general sheaf case as [DEBT].</w:t>
      </w:r>
    </w:p>
    <w:p w14:paraId="35511E1D" w14:textId="77777777" w:rsidR="008B588A" w:rsidRDefault="00000000">
      <w:pPr>
        <w:pStyle w:val="Heading2"/>
      </w:pPr>
      <w:r>
        <w:t>3.2 Rationalization and the coefficient false zero</w:t>
      </w:r>
    </w:p>
    <w:p w14:paraId="03FD0738" w14:textId="77777777" w:rsidR="008B588A" w:rsidRDefault="00000000">
      <w:pPr>
        <w:pStyle w:val="BodyText"/>
        <w:rPr>
          <w:rFonts w:hint="eastAsia"/>
        </w:rPr>
      </w:pPr>
      <w:r>
        <w:t>Tensoring a finite abelian torsion group with Q or R annihilates it. Characteristic-zero cohomology therefore preserves the free rank but cannot represent finite-order classes. Hodge theory then selects a metric-dependent harmonic representative of a real cohomology class; it does not recover the integral torsion that rationalization removed.</w:t>
      </w:r>
    </w:p>
    <w:p w14:paraId="1D0AAA2A" w14:textId="77777777" w:rsidR="008B588A" w:rsidRDefault="00000000">
      <w:pPr>
        <w:spacing w:before="100"/>
        <w:jc w:val="center"/>
        <w:rPr>
          <w:rFonts w:hint="eastAsia"/>
        </w:rPr>
      </w:pPr>
      <w:r>
        <w:rPr>
          <w:i/>
          <w:sz w:val="22"/>
        </w:rPr>
        <w:t>Hᵏ(C_Z)⊗Q ≅ Q^βᵏ,       Tᵏ⊗Q = 0.</w:t>
      </w:r>
      <w:r>
        <w:rPr>
          <w:rFonts w:ascii="Liberation Sans" w:hAnsi="Liberation Sans"/>
          <w:sz w:val="18"/>
        </w:rPr>
        <w:t xml:space="preserve">    (7)</w:t>
      </w:r>
    </w:p>
    <w:p w14:paraId="3D2ED74A" w14:textId="77777777" w:rsidR="008B588A" w:rsidRDefault="00000000">
      <w:pPr>
        <w:pStyle w:val="BodyText"/>
        <w:rPr>
          <w:rFonts w:hint="eastAsia"/>
        </w:rPr>
      </w:pPr>
      <w:r>
        <w:t>This motivates a distinct failure category: a coefficient false zero is a zero returned by a correct audit whose coefficient system cannot represent an existing integral obstruction. The standard witness is the real projective plane. Its first integral homology is Z/2, whereas H₁(RP²;Q)=0. Dually, the torsion appears as H²(RP²;Z)=Z/2 while real cohomology in that degree vanishes. The real audit is not numerically wrong; it answers a weaker question.</w:t>
      </w:r>
    </w:p>
    <w:p w14:paraId="4905F70B" w14:textId="77777777" w:rsidR="008B588A" w:rsidRDefault="00000000">
      <w:pPr>
        <w:jc w:val="center"/>
        <w:rPr>
          <w:rFonts w:hint="eastAsia"/>
        </w:rPr>
      </w:pPr>
      <w:r>
        <w:rPr>
          <w:rFonts w:ascii="Liberation Sans" w:hAnsi="Liberation Sans"/>
          <w:b/>
          <w:color w:val="17365D"/>
          <w:sz w:val="20"/>
        </w:rPr>
        <w:t>False-zero taxonomy</w:t>
      </w:r>
    </w:p>
    <w:tbl>
      <w:tblPr>
        <w:tblStyle w:val="TableGrid"/>
        <w:tblW w:w="0" w:type="auto"/>
        <w:jc w:val="center"/>
        <w:tblLook w:val="04A0" w:firstRow="1" w:lastRow="0" w:firstColumn="1" w:lastColumn="0" w:noHBand="0" w:noVBand="1"/>
      </w:tblPr>
      <w:tblGrid>
        <w:gridCol w:w="4649"/>
        <w:gridCol w:w="4649"/>
      </w:tblGrid>
      <w:tr w:rsidR="008B588A" w14:paraId="43A88640" w14:textId="77777777">
        <w:trPr>
          <w:cantSplit/>
          <w:jc w:val="center"/>
        </w:trPr>
        <w:tc>
          <w:tcPr>
            <w:tcW w:w="4649" w:type="dxa"/>
            <w:shd w:val="clear" w:color="auto" w:fill="EEF3F8"/>
          </w:tcPr>
          <w:p w14:paraId="04E32D94" w14:textId="77777777" w:rsidR="008B588A" w:rsidRDefault="00000000">
            <w:pPr>
              <w:spacing w:after="0"/>
              <w:rPr>
                <w:rFonts w:hint="eastAsia"/>
              </w:rPr>
            </w:pPr>
            <w:r>
              <w:rPr>
                <w:rFonts w:ascii="Liberation Sans" w:hAnsi="Liberation Sans"/>
                <w:b/>
                <w:sz w:val="17"/>
              </w:rPr>
              <w:t>Cover false zero</w:t>
            </w:r>
          </w:p>
        </w:tc>
        <w:tc>
          <w:tcPr>
            <w:tcW w:w="4649" w:type="dxa"/>
          </w:tcPr>
          <w:p w14:paraId="1A582C4F" w14:textId="77777777" w:rsidR="008B588A" w:rsidRDefault="00000000">
            <w:pPr>
              <w:spacing w:after="0"/>
              <w:rPr>
                <w:rFonts w:hint="eastAsia"/>
              </w:rPr>
            </w:pPr>
            <w:r>
              <w:rPr>
                <w:sz w:val="17"/>
              </w:rPr>
              <w:t>The cover is too coarse; a contradiction is hidden inside an unresolved overlap.</w:t>
            </w:r>
          </w:p>
        </w:tc>
      </w:tr>
      <w:tr w:rsidR="008B588A" w14:paraId="07AE52B0" w14:textId="77777777">
        <w:trPr>
          <w:cantSplit/>
          <w:jc w:val="center"/>
        </w:trPr>
        <w:tc>
          <w:tcPr>
            <w:tcW w:w="4649" w:type="dxa"/>
            <w:shd w:val="clear" w:color="auto" w:fill="EEF3F8"/>
          </w:tcPr>
          <w:p w14:paraId="33331DE4" w14:textId="77777777" w:rsidR="008B588A" w:rsidRDefault="00000000">
            <w:pPr>
              <w:spacing w:after="0"/>
              <w:rPr>
                <w:rFonts w:hint="eastAsia"/>
              </w:rPr>
            </w:pPr>
            <w:r>
              <w:rPr>
                <w:rFonts w:ascii="Liberation Sans" w:hAnsi="Liberation Sans"/>
                <w:b/>
                <w:sz w:val="17"/>
              </w:rPr>
              <w:t>Restriction false zero</w:t>
            </w:r>
          </w:p>
        </w:tc>
        <w:tc>
          <w:tcPr>
            <w:tcW w:w="4649" w:type="dxa"/>
          </w:tcPr>
          <w:p w14:paraId="4B0E8919" w14:textId="77777777" w:rsidR="008B588A" w:rsidRDefault="00000000">
            <w:pPr>
              <w:spacing w:after="0"/>
              <w:rPr>
                <w:rFonts w:hint="eastAsia"/>
              </w:rPr>
            </w:pPr>
            <w:r>
              <w:rPr>
                <w:sz w:val="17"/>
              </w:rPr>
              <w:t>The comparison maps are misspecified; the audit tests the wrong interface.</w:t>
            </w:r>
          </w:p>
        </w:tc>
      </w:tr>
      <w:tr w:rsidR="008B588A" w14:paraId="40C272CB" w14:textId="77777777">
        <w:trPr>
          <w:cantSplit/>
          <w:jc w:val="center"/>
        </w:trPr>
        <w:tc>
          <w:tcPr>
            <w:tcW w:w="4649" w:type="dxa"/>
            <w:shd w:val="clear" w:color="auto" w:fill="EEF3F8"/>
          </w:tcPr>
          <w:p w14:paraId="45A6CBCE" w14:textId="77777777" w:rsidR="008B588A" w:rsidRDefault="00000000">
            <w:pPr>
              <w:spacing w:after="0"/>
              <w:rPr>
                <w:rFonts w:hint="eastAsia"/>
              </w:rPr>
            </w:pPr>
            <w:r>
              <w:rPr>
                <w:rFonts w:ascii="Liberation Sans" w:hAnsi="Liberation Sans"/>
                <w:b/>
                <w:sz w:val="17"/>
              </w:rPr>
              <w:t>Coefficient false zero</w:t>
            </w:r>
          </w:p>
        </w:tc>
        <w:tc>
          <w:tcPr>
            <w:tcW w:w="4649" w:type="dxa"/>
          </w:tcPr>
          <w:p w14:paraId="2AE57B93" w14:textId="77777777" w:rsidR="008B588A" w:rsidRDefault="00000000">
            <w:pPr>
              <w:spacing w:after="0"/>
              <w:rPr>
                <w:rFonts w:hint="eastAsia"/>
              </w:rPr>
            </w:pPr>
            <w:r>
              <w:rPr>
                <w:sz w:val="17"/>
              </w:rPr>
              <w:t>The coefficient system erases the obstruction before the audit begins.</w:t>
            </w:r>
          </w:p>
        </w:tc>
      </w:tr>
      <w:tr w:rsidR="008B588A" w14:paraId="559D5D1F" w14:textId="77777777">
        <w:trPr>
          <w:cantSplit/>
          <w:jc w:val="center"/>
        </w:trPr>
        <w:tc>
          <w:tcPr>
            <w:tcW w:w="4649" w:type="dxa"/>
            <w:shd w:val="clear" w:color="auto" w:fill="EEF3F8"/>
          </w:tcPr>
          <w:p w14:paraId="7EBABF04" w14:textId="77777777" w:rsidR="008B588A" w:rsidRDefault="00000000">
            <w:pPr>
              <w:spacing w:after="0"/>
              <w:rPr>
                <w:rFonts w:hint="eastAsia"/>
              </w:rPr>
            </w:pPr>
            <w:r>
              <w:rPr>
                <w:rFonts w:ascii="Liberation Sans" w:hAnsi="Liberation Sans"/>
                <w:b/>
                <w:sz w:val="17"/>
              </w:rPr>
              <w:t>Vacuous gate</w:t>
            </w:r>
          </w:p>
        </w:tc>
        <w:tc>
          <w:tcPr>
            <w:tcW w:w="4649" w:type="dxa"/>
          </w:tcPr>
          <w:p w14:paraId="5D3F0485" w14:textId="77777777" w:rsidR="008B588A" w:rsidRDefault="00000000">
            <w:pPr>
              <w:spacing w:after="0"/>
              <w:rPr>
                <w:rFonts w:hint="eastAsia"/>
              </w:rPr>
            </w:pPr>
            <w:r>
              <w:rPr>
                <w:sz w:val="17"/>
              </w:rPr>
              <w:t>The test cannot fail in its declared regime, or failure is delegated to an unspecified predicate.</w:t>
            </w:r>
          </w:p>
        </w:tc>
      </w:tr>
    </w:tbl>
    <w:p w14:paraId="110A634E" w14:textId="77777777" w:rsidR="008B588A" w:rsidRDefault="00000000">
      <w:pPr>
        <w:pStyle w:val="Caption"/>
        <w:jc w:val="center"/>
        <w:rPr>
          <w:rFonts w:hint="eastAsia"/>
        </w:rPr>
      </w:pPr>
      <w:r>
        <w:lastRenderedPageBreak/>
        <w:t>Table 2. Four distinct reasons why an audit may return an unjustified clean verdict.</w:t>
      </w:r>
    </w:p>
    <w:p w14:paraId="5690502C" w14:textId="77777777" w:rsidR="008B588A" w:rsidRDefault="00000000">
      <w:pPr>
        <w:pStyle w:val="Heading2"/>
      </w:pPr>
      <w:r>
        <w:t>3.3 Prime participation is not prime-power reconstruction</w:t>
      </w:r>
    </w:p>
    <w:p w14:paraId="79608198" w14:textId="77777777" w:rsidR="008B588A" w:rsidRDefault="00000000">
      <w:pPr>
        <w:pStyle w:val="BodyText"/>
        <w:rPr>
          <w:rFonts w:hint="eastAsia"/>
        </w:rPr>
      </w:pPr>
      <w:r>
        <w:t>A mod-p audit is a useful screen but not a complete torsion certificate. For a cyclic group, Tor(Z/n,Z/p) ≅ Z/gcd(n,p). Thus a mod-2 calculation detects that 2 divides n, but does not distinguish n=2,4,8. The first Bockstein detects a first p-adic lifting obstruction; higher p-power information requires higher Bocksteins, coefficients Z/pʳ, a Bockstein spectral sequence, or direct Smith-normal-form computation. A prime sweep is therefore necessary for broad screening and insufficient for complete reconstruction.</w:t>
      </w:r>
    </w:p>
    <w:p w14:paraId="03681015" w14:textId="77777777" w:rsidR="00275B59" w:rsidRDefault="00000000">
      <w:pPr>
        <w:spacing w:before="100"/>
        <w:jc w:val="center"/>
        <w:rPr>
          <w:rFonts w:hint="eastAsia"/>
          <w:i/>
          <w:sz w:val="22"/>
        </w:rPr>
      </w:pPr>
      <w:r>
        <w:rPr>
          <w:i/>
          <w:sz w:val="22"/>
        </w:rPr>
        <w:t xml:space="preserve">beta_p ≠ 0 implies a nontrivial first p-adic lifting obstruction; </w:t>
      </w:r>
    </w:p>
    <w:p w14:paraId="0658ADB7" w14:textId="70D0555F" w:rsidR="008B588A" w:rsidRDefault="00000000">
      <w:pPr>
        <w:spacing w:before="100"/>
        <w:jc w:val="center"/>
        <w:rPr>
          <w:rFonts w:hint="eastAsia"/>
        </w:rPr>
      </w:pPr>
      <w:r>
        <w:rPr>
          <w:i/>
          <w:sz w:val="22"/>
        </w:rPr>
        <w:t>beta_p alone does not imply the full p-power order.    (8)</w:t>
      </w:r>
    </w:p>
    <w:p w14:paraId="130D04F3" w14:textId="77777777" w:rsidR="008B588A" w:rsidRDefault="00000000">
      <w:pPr>
        <w:pStyle w:val="Heading1"/>
      </w:pPr>
      <w:r>
        <w:t>4. Torsion as Finite-Order Information</w:t>
      </w:r>
    </w:p>
    <w:p w14:paraId="75838BFB" w14:textId="77777777" w:rsidR="008B588A" w:rsidRDefault="00000000">
      <w:pPr>
        <w:pStyle w:val="Heading2"/>
      </w:pPr>
      <w:r>
        <w:t>4.1 Periodic dynamics is not additive torsion</w:t>
      </w:r>
    </w:p>
    <w:p w14:paraId="529E14BE" w14:textId="77777777" w:rsidR="008B588A" w:rsidRDefault="00000000">
      <w:pPr>
        <w:pStyle w:val="BodyText"/>
        <w:rPr>
          <w:rFonts w:hint="eastAsia"/>
        </w:rPr>
      </w:pPr>
      <w:r>
        <w:t>The first fence is algebraic. A state-update operator U may have finite order, Uⁿ=I, while acting on a torsion-free module. A quarter-turn matrix on Z² satisfies U⁴=I, yet nx=0 implies x=0. Periodicity is therefore a candidate dynamical signature, not a homological invariant.</w:t>
      </w:r>
    </w:p>
    <w:p w14:paraId="158EA0E8" w14:textId="77777777" w:rsidR="008B588A" w:rsidRDefault="00000000">
      <w:pPr>
        <w:spacing w:before="100"/>
        <w:jc w:val="center"/>
        <w:rPr>
          <w:rFonts w:hint="eastAsia"/>
        </w:rPr>
      </w:pPr>
      <w:r>
        <w:rPr>
          <w:i/>
          <w:sz w:val="22"/>
        </w:rPr>
        <w:t>Uⁿ = I   does not imply   n[x] = 0.</w:t>
      </w:r>
      <w:r>
        <w:rPr>
          <w:rFonts w:ascii="Liberation Sans" w:hAnsi="Liberation Sans"/>
          <w:sz w:val="18"/>
        </w:rPr>
        <w:t xml:space="preserve">    (9)</w:t>
      </w:r>
    </w:p>
    <w:p w14:paraId="1BBF9CA1" w14:textId="77777777" w:rsidR="008B588A" w:rsidRDefault="00000000">
      <w:pPr>
        <w:pStyle w:val="BodyText"/>
        <w:rPr>
          <w:rFonts w:hint="eastAsia"/>
        </w:rPr>
      </w:pPr>
      <w:r>
        <w:t>Genuine torsion appears only after a declared quotient or attaching relation produces a nonzero class annihilated by a finite integer. The canonical topological model is a circle with a 2-cell attached by a degree-n map, Xₙ=S¹∪ₙe². Its cellular boundary map is multiplication by n, and H₁(Xₙ; Z) is isomorphic to Z/n. The recurrent route supplies the 1-cell; the degree-n closure witness supplies the torsion.</w:t>
      </w:r>
    </w:p>
    <w:p w14:paraId="20E896BF" w14:textId="77777777" w:rsidR="008B588A" w:rsidRDefault="00000000">
      <w:pPr>
        <w:pStyle w:val="Heading2"/>
      </w:pPr>
      <w:r>
        <w:t>4.2 A residue is not a magnitude</w:t>
      </w:r>
    </w:p>
    <w:p w14:paraId="15EBD117" w14:textId="77777777" w:rsidR="008B588A" w:rsidRDefault="00000000">
      <w:pPr>
        <w:pStyle w:val="BodyText"/>
        <w:rPr>
          <w:rFonts w:hint="eastAsia"/>
        </w:rPr>
      </w:pPr>
      <w:r>
        <w:t>A class in Z/n stores a modular residue rather than an ordered magnitude. There is no universally defined canonical affine mean internal to Z/n. For observations x₁,…,x_m, an internal mean μ would have to satisfy mμ=Σxᵢ mod n. Depending on gcd(m,n), this equation may have a unique solution, several solutions, or no solution. Quotient-aware aggregation, circular embeddings, or group-algebra methods can be added, but each adds geometry not contained in the torsion group itself.</w:t>
      </w:r>
    </w:p>
    <w:p w14:paraId="12C11F92" w14:textId="77777777" w:rsidR="008B588A" w:rsidRDefault="00000000">
      <w:pPr>
        <w:spacing w:before="100"/>
        <w:jc w:val="center"/>
        <w:rPr>
          <w:rFonts w:hint="eastAsia"/>
        </w:rPr>
      </w:pPr>
      <w:r>
        <w:rPr>
          <w:i/>
          <w:sz w:val="22"/>
        </w:rPr>
        <w:t>mμ = Σᵢxᵢ  (mod n):   unique, non-unique, or insoluble according to the arithmetic.</w:t>
      </w:r>
      <w:r>
        <w:rPr>
          <w:rFonts w:ascii="Liberation Sans" w:hAnsi="Liberation Sans"/>
          <w:sz w:val="18"/>
        </w:rPr>
        <w:t xml:space="preserve">    (10)</w:t>
      </w:r>
    </w:p>
    <w:p w14:paraId="15E4F111" w14:textId="77777777" w:rsidR="008B588A" w:rsidRDefault="00000000">
      <w:pPr>
        <w:pStyle w:val="BodyText"/>
        <w:rPr>
          <w:rFonts w:hint="eastAsia"/>
        </w:rPr>
      </w:pPr>
      <w:r>
        <w:t>The AI consequence is precise: torsion is not memory that averaging cannot touch; it is information that ordinary affine averaging has no automatic right to combine. Any aggregation must declare the quotient structure and the operation that preserves it.</w:t>
      </w:r>
    </w:p>
    <w:p w14:paraId="0B00E887" w14:textId="77777777" w:rsidR="008B588A" w:rsidRDefault="00000000">
      <w:pPr>
        <w:pStyle w:val="Heading2"/>
      </w:pPr>
      <w:r>
        <w:t>4.3 Wiring may create torsion</w:t>
      </w:r>
    </w:p>
    <w:p w14:paraId="3CE5443B" w14:textId="77777777" w:rsidR="008B588A" w:rsidRDefault="00000000">
      <w:pPr>
        <w:pStyle w:val="BodyText"/>
        <w:rPr>
          <w:rFonts w:hint="eastAsia"/>
        </w:rPr>
      </w:pPr>
      <w:r>
        <w:t>Global torsion cannot be inferred by listing the torsion carried by local modules. Attaching maps can manufacture finite-order classes from torsion-free pieces. The Klein bottle, for example, has H₁≅Z⊕Z/2 even though it can be assembled from local pieces whose first homology is free. In the proposed architecture, this means that a collection of torsion-free microcircuits may acquire global torsion through orientation-reversing or finite-order interconnection rules. The wiring, not only the nodes, is part of the invariant.</w:t>
      </w:r>
    </w:p>
    <w:p w14:paraId="42776652" w14:textId="77777777" w:rsidR="008B588A" w:rsidRDefault="00000000">
      <w:pPr>
        <w:pStyle w:val="Heading1"/>
      </w:pPr>
      <w:r>
        <w:t>5. From Torsion Signature to Governing Policy</w:t>
      </w:r>
    </w:p>
    <w:p w14:paraId="799D3E4A" w14:textId="77777777" w:rsidR="008B588A" w:rsidRDefault="00000000">
      <w:pPr>
        <w:pStyle w:val="Heading2"/>
      </w:pPr>
      <w:r>
        <w:t>5.1 The signature classifies algebra, not meaning</w:t>
      </w:r>
    </w:p>
    <w:p w14:paraId="206B894E" w14:textId="77777777" w:rsidR="008B588A" w:rsidRDefault="00000000">
      <w:pPr>
        <w:pStyle w:val="BodyText"/>
        <w:rPr>
          <w:rFonts w:hint="eastAsia"/>
        </w:rPr>
      </w:pPr>
      <w:r>
        <w:t>The p-primary decomposition is a complete invariant of a finite abelian group up to isomorphism. It does not identify what an active class means. Two unrelated constraints may both appear as Z/2; the same group may encode an orientation reversal, a parity check, a two-role cycle, or a safety interlock. Degree, location, coefficient object, cover, monodromy, provenance, version, and authority remain external to the abstract group.</w:t>
      </w:r>
    </w:p>
    <w:p w14:paraId="587F48E1" w14:textId="77777777" w:rsidR="008B588A" w:rsidRDefault="00000000">
      <w:pPr>
        <w:spacing w:before="100"/>
        <w:jc w:val="center"/>
        <w:rPr>
          <w:rFonts w:hint="eastAsia"/>
        </w:rPr>
      </w:pPr>
      <w:r>
        <w:rPr>
          <w:i/>
          <w:sz w:val="22"/>
        </w:rPr>
        <w:t>𝔗(o) = (k, p, e, [o], 𝓕, 𝓤, v, 𝓟, 𝓡).</w:t>
      </w:r>
      <w:r>
        <w:rPr>
          <w:rFonts w:ascii="Liberation Sans" w:hAnsi="Liberation Sans"/>
          <w:sz w:val="18"/>
        </w:rPr>
        <w:t xml:space="preserve">    (11)</w:t>
      </w:r>
    </w:p>
    <w:p w14:paraId="261BCDE3" w14:textId="77777777" w:rsidR="008B588A" w:rsidRDefault="00000000">
      <w:pPr>
        <w:pStyle w:val="BodyText"/>
        <w:rPr>
          <w:rFonts w:hint="eastAsia"/>
        </w:rPr>
      </w:pPr>
      <w:r>
        <w:lastRenderedPageBreak/>
        <w:t>Equation (11) defines a typed torsion audit record: cohomological degree k; prime p and exponent e; active class [o]; coefficient or constraint object 𝓕; certified cover 𝓤; version v; provenance 𝓟; and registry entry 𝓡. The record, not the bare cyclic factor, is the unit of governance.</w:t>
      </w:r>
    </w:p>
    <w:p w14:paraId="13B63165" w14:textId="77777777" w:rsidR="008B588A" w:rsidRDefault="00000000">
      <w:pPr>
        <w:pStyle w:val="Heading2"/>
      </w:pPr>
      <w:r>
        <w:t>5.2 The signed registry</w:t>
      </w:r>
    </w:p>
    <w:p w14:paraId="4F919E72" w14:textId="77777777" w:rsidR="008B588A" w:rsidRDefault="00000000">
      <w:pPr>
        <w:pStyle w:val="BodyText"/>
        <w:rPr>
          <w:rFonts w:hint="eastAsia"/>
        </w:rPr>
      </w:pPr>
      <w:r>
        <w:t>A signed registry maps a fully typed audit record to an institutional interpretation and permitted response. It is authored by an authorized human or institution and carries an effective date, domain, version, repair procedure, supersession relation, revocation condition, and signature. Without this registry the arithmetic audit is a detector without a dictionary: it can report a finite-order class but cannot know whether that class is dangerous, benign, expected, or irrelevant.</w:t>
      </w:r>
    </w:p>
    <w:p w14:paraId="20786271" w14:textId="77777777" w:rsidR="008B588A" w:rsidRDefault="00000000">
      <w:pPr>
        <w:spacing w:before="100"/>
        <w:jc w:val="center"/>
        <w:rPr>
          <w:rFonts w:hint="eastAsia"/>
        </w:rPr>
      </w:pPr>
      <w:r>
        <w:rPr>
          <w:i/>
          <w:sz w:val="22"/>
        </w:rPr>
        <w:t>Pᵥ : Hᵏ(C_Z) → {hard veto, conditional, repairable, graded, informational}.</w:t>
      </w:r>
      <w:r>
        <w:rPr>
          <w:rFonts w:ascii="Liberation Sans" w:hAnsi="Liberation Sans"/>
          <w:sz w:val="18"/>
        </w:rPr>
        <w:t xml:space="preserve">    (12)</w:t>
      </w:r>
    </w:p>
    <w:p w14:paraId="45655986" w14:textId="77777777" w:rsidR="008B588A" w:rsidRDefault="00000000">
      <w:pPr>
        <w:pStyle w:val="BodyText"/>
        <w:rPr>
          <w:rFonts w:hint="eastAsia"/>
        </w:rPr>
      </w:pPr>
      <w:r>
        <w:t>The map Pᵥ is semantic and institutional, not a theorem of algebra. A free class may be a hard veto; a torsion class may be informational. Torsion is a natural carrier for finite-order constraints such as parity, orientation, cyclic authorization, or checksum consistency. It is not the universal carrier of all non-negotiable constraints. Ordered limits such as clearance, temperature, load capacity, and monotone causal direction may require inequalities, order structures, or protected regions rather than torsion.</w:t>
      </w:r>
    </w:p>
    <w:p w14:paraId="5C2846AA" w14:textId="77777777" w:rsidR="008B588A" w:rsidRDefault="00000000">
      <w:pPr>
        <w:pStyle w:val="Heading2"/>
      </w:pPr>
      <w:r>
        <w:t>5.3 The structural firewall</w:t>
      </w:r>
    </w:p>
    <w:p w14:paraId="102BD18F" w14:textId="77777777" w:rsidR="008B588A" w:rsidRDefault="00000000">
      <w:pPr>
        <w:pStyle w:val="BodyText"/>
        <w:rPr>
          <w:rFonts w:hint="eastAsia"/>
        </w:rPr>
      </w:pPr>
      <w:r>
        <w:t>Torsion is not automatically immune to continuous learning. A continuous parameter trajectory can cross a threshold that changes an edge, a witnessed simplex, a restriction map, a quotient relation, or an attaching degree. The induced integer complex can then change discontinuously, and so can its Smith invariants. Protection requires a structural firewall: learning may update numerical weights, but protected attaching relations may change only through a certified chain map that preserves the declared invariant factors or through a new audit and signature.</w:t>
      </w:r>
    </w:p>
    <w:p w14:paraId="7C1320B4" w14:textId="77777777" w:rsidR="008B588A" w:rsidRDefault="00000000">
      <w:pPr>
        <w:spacing w:before="100"/>
        <w:jc w:val="center"/>
        <w:rPr>
          <w:rFonts w:hint="eastAsia"/>
        </w:rPr>
      </w:pPr>
      <w:r>
        <w:rPr>
          <w:i/>
          <w:sz w:val="22"/>
        </w:rPr>
        <w:t>Phi maps the protected complex C_v to C_(v+1) and is certified to preserve the protected class or trigger re-authorization.    (13)</w:t>
      </w:r>
    </w:p>
    <w:p w14:paraId="04DA9DB8" w14:textId="77777777" w:rsidR="008B588A" w:rsidRDefault="00000000">
      <w:pPr>
        <w:pStyle w:val="Heading2"/>
      </w:pPr>
      <w:r>
        <w:t>5.4 The integral release kernel</w:t>
      </w:r>
    </w:p>
    <w:p w14:paraId="51E146ED" w14:textId="77777777" w:rsidR="008B588A" w:rsidRDefault="00000000">
      <w:pPr>
        <w:pStyle w:val="BodyText"/>
        <w:rPr>
          <w:rFonts w:hint="eastAsia"/>
        </w:rPr>
      </w:pPr>
      <w:r>
        <w:t>The final release architecture does not veto every torsion class. It first constructs the integral audit object, then resolves the algebraic class, consults the signed registry, localizes any free real obstruction, and optimizes only inside the region licensed by both structural and institutional conditions.</w:t>
      </w:r>
    </w:p>
    <w:tbl>
      <w:tblPr>
        <w:tblStyle w:val="TableGrid"/>
        <w:tblW w:w="0" w:type="auto"/>
        <w:jc w:val="center"/>
        <w:tblLook w:val="04A0" w:firstRow="1" w:lastRow="0" w:firstColumn="1" w:lastColumn="0" w:noHBand="0" w:noVBand="1"/>
      </w:tblPr>
      <w:tblGrid>
        <w:gridCol w:w="9298"/>
      </w:tblGrid>
      <w:tr w:rsidR="008B588A" w14:paraId="00AB0A82" w14:textId="77777777">
        <w:trPr>
          <w:cantSplit/>
          <w:jc w:val="center"/>
        </w:trPr>
        <w:tc>
          <w:tcPr>
            <w:tcW w:w="9298" w:type="dxa"/>
            <w:shd w:val="clear" w:color="auto" w:fill="E8F0F7"/>
          </w:tcPr>
          <w:p w14:paraId="4A6ADCF2" w14:textId="77777777" w:rsidR="008B588A" w:rsidRDefault="00000000">
            <w:pPr>
              <w:rPr>
                <w:rFonts w:hint="eastAsia"/>
              </w:rPr>
            </w:pPr>
            <w:r>
              <w:rPr>
                <w:rFonts w:ascii="Liberation Sans" w:hAnsi="Liberation Sans"/>
                <w:b/>
                <w:color w:val="17365D"/>
                <w:sz w:val="17"/>
              </w:rPr>
              <w:t xml:space="preserve">1. TYPE  </w:t>
            </w:r>
            <w:r>
              <w:rPr>
                <w:sz w:val="17"/>
              </w:rPr>
              <w:t>Declare domain, coefficient system, evidence, authority, and consequence.</w:t>
            </w:r>
          </w:p>
        </w:tc>
      </w:tr>
      <w:tr w:rsidR="008B588A" w14:paraId="7D11D550" w14:textId="77777777">
        <w:trPr>
          <w:cantSplit/>
          <w:jc w:val="center"/>
        </w:trPr>
        <w:tc>
          <w:tcPr>
            <w:tcW w:w="9298" w:type="dxa"/>
            <w:shd w:val="clear" w:color="auto" w:fill="F7F9FB"/>
          </w:tcPr>
          <w:p w14:paraId="3CBEC17E" w14:textId="77777777" w:rsidR="008B588A" w:rsidRDefault="00000000">
            <w:pPr>
              <w:rPr>
                <w:rFonts w:hint="eastAsia"/>
              </w:rPr>
            </w:pPr>
            <w:r>
              <w:rPr>
                <w:rFonts w:ascii="Liberation Sans" w:hAnsi="Liberation Sans"/>
                <w:b/>
                <w:color w:val="17365D"/>
                <w:sz w:val="17"/>
              </w:rPr>
              <w:t xml:space="preserve">2. CONSTRUCT  </w:t>
            </w:r>
            <w:r>
              <w:rPr>
                <w:sz w:val="17"/>
              </w:rPr>
              <w:t>Build the certified integral nerve and chain/cochain complex.</w:t>
            </w:r>
          </w:p>
        </w:tc>
      </w:tr>
      <w:tr w:rsidR="008B588A" w14:paraId="7184223D" w14:textId="77777777">
        <w:trPr>
          <w:cantSplit/>
          <w:jc w:val="center"/>
        </w:trPr>
        <w:tc>
          <w:tcPr>
            <w:tcW w:w="9298" w:type="dxa"/>
            <w:shd w:val="clear" w:color="auto" w:fill="E8F0F7"/>
          </w:tcPr>
          <w:p w14:paraId="303161DD" w14:textId="77777777" w:rsidR="008B588A" w:rsidRDefault="00000000">
            <w:pPr>
              <w:rPr>
                <w:rFonts w:hint="eastAsia"/>
              </w:rPr>
            </w:pPr>
            <w:r>
              <w:rPr>
                <w:rFonts w:ascii="Liberation Sans" w:hAnsi="Liberation Sans"/>
                <w:b/>
                <w:color w:val="17365D"/>
                <w:sz w:val="17"/>
              </w:rPr>
              <w:t xml:space="preserve">3. AUDIT OVER Z  </w:t>
            </w:r>
            <w:r>
              <w:rPr>
                <w:sz w:val="17"/>
              </w:rPr>
              <w:t>Compute free and torsion invariants; use Smith form or p-primary lifting.</w:t>
            </w:r>
          </w:p>
        </w:tc>
      </w:tr>
      <w:tr w:rsidR="008B588A" w14:paraId="476AA6B4" w14:textId="77777777">
        <w:trPr>
          <w:cantSplit/>
          <w:jc w:val="center"/>
        </w:trPr>
        <w:tc>
          <w:tcPr>
            <w:tcW w:w="9298" w:type="dxa"/>
            <w:shd w:val="clear" w:color="auto" w:fill="F7F9FB"/>
          </w:tcPr>
          <w:p w14:paraId="75227EE2" w14:textId="77777777" w:rsidR="008B588A" w:rsidRDefault="00000000">
            <w:pPr>
              <w:rPr>
                <w:rFonts w:hint="eastAsia"/>
              </w:rPr>
            </w:pPr>
            <w:r>
              <w:rPr>
                <w:rFonts w:ascii="Liberation Sans" w:hAnsi="Liberation Sans"/>
                <w:b/>
                <w:color w:val="17365D"/>
                <w:sz w:val="17"/>
              </w:rPr>
              <w:t xml:space="preserve">4. INTERPRET  </w:t>
            </w:r>
            <w:r>
              <w:rPr>
                <w:sz w:val="17"/>
              </w:rPr>
              <w:t>Map the fully typed class through the signed registry.</w:t>
            </w:r>
          </w:p>
        </w:tc>
      </w:tr>
      <w:tr w:rsidR="008B588A" w14:paraId="08DF407E" w14:textId="77777777">
        <w:trPr>
          <w:cantSplit/>
          <w:jc w:val="center"/>
        </w:trPr>
        <w:tc>
          <w:tcPr>
            <w:tcW w:w="9298" w:type="dxa"/>
            <w:shd w:val="clear" w:color="auto" w:fill="E8F0F7"/>
          </w:tcPr>
          <w:p w14:paraId="618A11F1" w14:textId="77777777" w:rsidR="008B588A" w:rsidRDefault="00000000">
            <w:pPr>
              <w:rPr>
                <w:rFonts w:hint="eastAsia"/>
              </w:rPr>
            </w:pPr>
            <w:r>
              <w:rPr>
                <w:rFonts w:ascii="Liberation Sans" w:hAnsi="Liberation Sans"/>
                <w:b/>
                <w:color w:val="17365D"/>
                <w:sz w:val="17"/>
              </w:rPr>
              <w:t xml:space="preserve">5. WITHHOLD / REPAIR  </w:t>
            </w:r>
            <w:r>
              <w:rPr>
                <w:sz w:val="17"/>
              </w:rPr>
              <w:t>Apply a licensed response; finite order alone does not prescribe repetition.</w:t>
            </w:r>
          </w:p>
        </w:tc>
      </w:tr>
      <w:tr w:rsidR="008B588A" w14:paraId="2EA71064" w14:textId="77777777">
        <w:trPr>
          <w:cantSplit/>
          <w:jc w:val="center"/>
        </w:trPr>
        <w:tc>
          <w:tcPr>
            <w:tcW w:w="9298" w:type="dxa"/>
            <w:shd w:val="clear" w:color="auto" w:fill="F7F9FB"/>
          </w:tcPr>
          <w:p w14:paraId="77B9D180" w14:textId="77777777" w:rsidR="008B588A" w:rsidRDefault="00000000">
            <w:pPr>
              <w:rPr>
                <w:rFonts w:hint="eastAsia"/>
              </w:rPr>
            </w:pPr>
            <w:r>
              <w:rPr>
                <w:rFonts w:ascii="Liberation Sans" w:hAnsi="Liberation Sans"/>
                <w:b/>
                <w:color w:val="17365D"/>
                <w:sz w:val="17"/>
              </w:rPr>
              <w:t xml:space="preserve">6. LOCALIZE OVER R  </w:t>
            </w:r>
            <w:r>
              <w:rPr>
                <w:sz w:val="17"/>
              </w:rPr>
              <w:t>Use the declared metric and Hodge machinery on the free real obstruction.</w:t>
            </w:r>
          </w:p>
        </w:tc>
      </w:tr>
      <w:tr w:rsidR="008B588A" w14:paraId="7A40BBB5" w14:textId="77777777">
        <w:trPr>
          <w:cantSplit/>
          <w:jc w:val="center"/>
        </w:trPr>
        <w:tc>
          <w:tcPr>
            <w:tcW w:w="9298" w:type="dxa"/>
            <w:shd w:val="clear" w:color="auto" w:fill="E8F0F7"/>
          </w:tcPr>
          <w:p w14:paraId="5A2C8D97" w14:textId="77777777" w:rsidR="008B588A" w:rsidRDefault="00000000">
            <w:pPr>
              <w:rPr>
                <w:rFonts w:hint="eastAsia"/>
              </w:rPr>
            </w:pPr>
            <w:r>
              <w:rPr>
                <w:rFonts w:ascii="Liberation Sans" w:hAnsi="Liberation Sans"/>
                <w:b/>
                <w:color w:val="17365D"/>
                <w:sz w:val="17"/>
              </w:rPr>
              <w:t xml:space="preserve">7. OPTIMIZE AND RELEASE  </w:t>
            </w:r>
            <w:r>
              <w:rPr>
                <w:sz w:val="17"/>
              </w:rPr>
              <w:t>Score only within the admissible region; terminate at authorized release.</w:t>
            </w:r>
          </w:p>
        </w:tc>
      </w:tr>
    </w:tbl>
    <w:p w14:paraId="206E1780" w14:textId="77777777" w:rsidR="008B588A" w:rsidRDefault="00000000">
      <w:pPr>
        <w:pStyle w:val="Caption"/>
        <w:jc w:val="center"/>
        <w:rPr>
          <w:rFonts w:hint="eastAsia"/>
        </w:rPr>
      </w:pPr>
      <w:r>
        <w:t>Figure 1. The Integral Release Kernel: integral admissibility before real-valued optimization.</w:t>
      </w:r>
    </w:p>
    <w:p w14:paraId="3A885002" w14:textId="77777777" w:rsidR="008B588A" w:rsidRDefault="00000000">
      <w:pPr>
        <w:pStyle w:val="Heading1"/>
      </w:pPr>
      <w:r>
        <w:t>6. The Cortical Torsion Circuit as a Candidate Biological Architecture</w:t>
      </w:r>
    </w:p>
    <w:p w14:paraId="1A7233A5" w14:textId="77777777" w:rsidR="008B588A" w:rsidRDefault="00000000">
      <w:pPr>
        <w:pStyle w:val="Heading2"/>
      </w:pPr>
      <w:r>
        <w:t>6.1 From microcircuit to path algebra</w:t>
      </w:r>
    </w:p>
    <w:p w14:paraId="2A340F65" w14:textId="77777777" w:rsidR="008B588A" w:rsidRDefault="00000000">
      <w:pPr>
        <w:pStyle w:val="BodyText"/>
        <w:rPr>
          <w:rFonts w:hint="eastAsia"/>
        </w:rPr>
      </w:pPr>
      <w:r>
        <w:t>Layer-5 neocortical studies have reported cell-type-specific radial clusters, termed microcolumns, with synchronized activity and repeated lattice organization in several cortical regions (Maruoka et al., 2017). This supports a recurrent modular substrate, not a torsion invariant. The natural mathematical abstraction of a directed excitatory–inhibitory circuit is a quiver Qᵢ with relations Iᵢ and path algebra kQᵢ/Iᵢ. A cyclic or finite-order module appears only after coarse-graining to distinguishable circuit phases and declaring which state transitions are identified.</w:t>
      </w:r>
    </w:p>
    <w:p w14:paraId="2A3F4FFD" w14:textId="77777777" w:rsidR="008B588A" w:rsidRDefault="00000000">
      <w:pPr>
        <w:spacing w:before="100"/>
        <w:jc w:val="center"/>
        <w:rPr>
          <w:rFonts w:hint="eastAsia"/>
        </w:rPr>
      </w:pPr>
      <w:r>
        <w:rPr>
          <w:i/>
          <w:sz w:val="22"/>
        </w:rPr>
        <w:t>A_i = kQ_i / I_i, with A_i acting on M_i.    (14)</w:t>
      </w:r>
    </w:p>
    <w:p w14:paraId="59EC5C86" w14:textId="77777777" w:rsidR="008B588A" w:rsidRDefault="00000000">
      <w:pPr>
        <w:pStyle w:val="BodyText"/>
        <w:rPr>
          <w:rFonts w:hint="eastAsia"/>
        </w:rPr>
      </w:pPr>
      <w:r>
        <w:lastRenderedPageBreak/>
        <w:t>The microcolumn is therefore not Z/n. It is a directed circuit whose state module may, under a verified quotient, contain a finite-order class. The load-bearing biological object is the quotient: which activities count as baseline-equivalent, locally cancellable, phase-equivalent, or observationally identical.</w:t>
      </w:r>
    </w:p>
    <w:p w14:paraId="5BA662AF" w14:textId="77777777" w:rsidR="008B588A" w:rsidRDefault="00000000">
      <w:pPr>
        <w:pStyle w:val="Heading2"/>
      </w:pPr>
      <w:r>
        <w:t>6.2 The closure witness</w:t>
      </w:r>
    </w:p>
    <w:p w14:paraId="1924C3E5" w14:textId="77777777" w:rsidR="008B588A" w:rsidRDefault="00000000">
      <w:pPr>
        <w:pStyle w:val="BodyText"/>
        <w:rPr>
          <w:rFonts w:hint="eastAsia"/>
        </w:rPr>
      </w:pPr>
      <w:r>
        <w:t>A finite-order return Uⁿ≈I under a typed readout supplies only periodic dynamics. Homological torsion requires a higher-cell witness whose attaching relation yields a nonunit invariant factor. In an experimental reconstruction, states would define vertices, reproducible transitions would define directed edges, and a 2-cell would be admitted only when an independent intervention or joint observation witnesses the closure relation. Filling a graph cycle merely because it is present would repeat the clique-is-not-a-simplex error.</w:t>
      </w:r>
    </w:p>
    <w:p w14:paraId="327BE662" w14:textId="77777777" w:rsidR="008B588A" w:rsidRDefault="00000000">
      <w:pPr>
        <w:pStyle w:val="Heading2"/>
      </w:pPr>
      <w:r>
        <w:t>6.3 Local coefficients and intercolumn gluing</w:t>
      </w:r>
    </w:p>
    <w:p w14:paraId="56420E4C" w14:textId="77777777" w:rsidR="008B588A" w:rsidRDefault="00000000">
      <w:pPr>
        <w:pStyle w:val="BodyText"/>
        <w:rPr>
          <w:rFonts w:hint="eastAsia"/>
        </w:rPr>
      </w:pPr>
      <w:r>
        <w:t>If different microcolumns carry different candidate modules Mᵢ and intercolumn projections induce transport maps ρₑ:Mᵢ→Mⱼ, the cortical sheet becomes a local coefficient system or cellular sheaf/cosheaf, depending on whether restriction or aggregation is being modeled. Global torsion may then arise from attaching and transport even when every local module is torsion-free. Finite-order monodromy may twist the coefficient system, but finite-order monodromy is not itself homological torsion.</w:t>
      </w:r>
    </w:p>
    <w:p w14:paraId="3F2B6B80" w14:textId="77777777" w:rsidR="008B588A" w:rsidRDefault="00000000">
      <w:pPr>
        <w:pStyle w:val="Heading2"/>
      </w:pPr>
      <w:r>
        <w:t>6.4 What neuroscience supports—and what it does not</w:t>
      </w:r>
    </w:p>
    <w:tbl>
      <w:tblPr>
        <w:tblStyle w:val="TableGrid"/>
        <w:tblW w:w="0" w:type="auto"/>
        <w:jc w:val="center"/>
        <w:tblLook w:val="04A0" w:firstRow="1" w:lastRow="0" w:firstColumn="1" w:lastColumn="0" w:noHBand="0" w:noVBand="1"/>
      </w:tblPr>
      <w:tblGrid>
        <w:gridCol w:w="3099"/>
        <w:gridCol w:w="3099"/>
        <w:gridCol w:w="3099"/>
      </w:tblGrid>
      <w:tr w:rsidR="008B588A" w14:paraId="60DA81C6" w14:textId="77777777">
        <w:trPr>
          <w:cantSplit/>
          <w:tblHeader/>
          <w:jc w:val="center"/>
        </w:trPr>
        <w:tc>
          <w:tcPr>
            <w:tcW w:w="3099" w:type="dxa"/>
            <w:shd w:val="clear" w:color="auto" w:fill="D9E5F2"/>
          </w:tcPr>
          <w:p w14:paraId="7FC7EAEF" w14:textId="77777777" w:rsidR="008B588A" w:rsidRDefault="00000000">
            <w:pPr>
              <w:rPr>
                <w:rFonts w:hint="eastAsia"/>
              </w:rPr>
            </w:pPr>
            <w:r>
              <w:rPr>
                <w:rFonts w:ascii="Liberation Sans" w:hAnsi="Liberation Sans"/>
                <w:b/>
                <w:sz w:val="17"/>
              </w:rPr>
              <w:t>Finding</w:t>
            </w:r>
          </w:p>
        </w:tc>
        <w:tc>
          <w:tcPr>
            <w:tcW w:w="3099" w:type="dxa"/>
            <w:shd w:val="clear" w:color="auto" w:fill="D9E5F2"/>
          </w:tcPr>
          <w:p w14:paraId="338CC012" w14:textId="77777777" w:rsidR="008B588A" w:rsidRDefault="00000000">
            <w:pPr>
              <w:rPr>
                <w:rFonts w:hint="eastAsia"/>
              </w:rPr>
            </w:pPr>
            <w:r>
              <w:rPr>
                <w:rFonts w:ascii="Liberation Sans" w:hAnsi="Liberation Sans"/>
                <w:b/>
                <w:sz w:val="17"/>
              </w:rPr>
              <w:t>What it supports</w:t>
            </w:r>
          </w:p>
        </w:tc>
        <w:tc>
          <w:tcPr>
            <w:tcW w:w="3099" w:type="dxa"/>
            <w:shd w:val="clear" w:color="auto" w:fill="D9E5F2"/>
          </w:tcPr>
          <w:p w14:paraId="39B14616" w14:textId="77777777" w:rsidR="008B588A" w:rsidRDefault="00000000">
            <w:pPr>
              <w:rPr>
                <w:rFonts w:hint="eastAsia"/>
              </w:rPr>
            </w:pPr>
            <w:r>
              <w:rPr>
                <w:rFonts w:ascii="Liberation Sans" w:hAnsi="Liberation Sans"/>
                <w:b/>
                <w:sz w:val="17"/>
              </w:rPr>
              <w:t>Torsion verdict</w:t>
            </w:r>
          </w:p>
        </w:tc>
      </w:tr>
      <w:tr w:rsidR="008B588A" w14:paraId="43F6F2AA" w14:textId="77777777">
        <w:trPr>
          <w:cantSplit/>
          <w:jc w:val="center"/>
        </w:trPr>
        <w:tc>
          <w:tcPr>
            <w:tcW w:w="3099" w:type="dxa"/>
          </w:tcPr>
          <w:p w14:paraId="39B16338" w14:textId="77777777" w:rsidR="008B588A" w:rsidRDefault="00000000">
            <w:pPr>
              <w:spacing w:after="0"/>
              <w:rPr>
                <w:rFonts w:hint="eastAsia"/>
              </w:rPr>
            </w:pPr>
            <w:r>
              <w:rPr>
                <w:sz w:val="16"/>
              </w:rPr>
              <w:t>Layer-5 microcolumns</w:t>
            </w:r>
          </w:p>
        </w:tc>
        <w:tc>
          <w:tcPr>
            <w:tcW w:w="3099" w:type="dxa"/>
          </w:tcPr>
          <w:p w14:paraId="65383076" w14:textId="77777777" w:rsidR="008B588A" w:rsidRDefault="00000000">
            <w:pPr>
              <w:spacing w:after="0"/>
              <w:rPr>
                <w:rFonts w:hint="eastAsia"/>
              </w:rPr>
            </w:pPr>
            <w:r>
              <w:rPr>
                <w:sz w:val="16"/>
              </w:rPr>
              <w:t>Repeated, typed, synchronized local circuit modules</w:t>
            </w:r>
          </w:p>
        </w:tc>
        <w:tc>
          <w:tcPr>
            <w:tcW w:w="3099" w:type="dxa"/>
          </w:tcPr>
          <w:p w14:paraId="37A805E5" w14:textId="77777777" w:rsidR="008B588A" w:rsidRDefault="00000000">
            <w:pPr>
              <w:spacing w:after="0"/>
              <w:rPr>
                <w:rFonts w:hint="eastAsia"/>
              </w:rPr>
            </w:pPr>
            <w:r>
              <w:rPr>
                <w:sz w:val="16"/>
              </w:rPr>
              <w:t>[SUP] substrate; quotient and closure relation remain [DEBT]</w:t>
            </w:r>
          </w:p>
        </w:tc>
      </w:tr>
      <w:tr w:rsidR="008B588A" w14:paraId="04D6201C" w14:textId="77777777">
        <w:trPr>
          <w:cantSplit/>
          <w:jc w:val="center"/>
        </w:trPr>
        <w:tc>
          <w:tcPr>
            <w:tcW w:w="3099" w:type="dxa"/>
          </w:tcPr>
          <w:p w14:paraId="73C840BE" w14:textId="77777777" w:rsidR="008B588A" w:rsidRDefault="00000000">
            <w:pPr>
              <w:spacing w:after="0"/>
              <w:rPr>
                <w:rFonts w:hint="eastAsia"/>
              </w:rPr>
            </w:pPr>
            <w:r>
              <w:rPr>
                <w:sz w:val="16"/>
              </w:rPr>
              <w:t>Theta–gamma phase coding</w:t>
            </w:r>
          </w:p>
        </w:tc>
        <w:tc>
          <w:tcPr>
            <w:tcW w:w="3099" w:type="dxa"/>
          </w:tcPr>
          <w:p w14:paraId="6468A2D2" w14:textId="77777777" w:rsidR="008B588A" w:rsidRDefault="00000000">
            <w:pPr>
              <w:spacing w:after="0"/>
              <w:rPr>
                <w:rFonts w:hint="eastAsia"/>
              </w:rPr>
            </w:pPr>
            <w:r>
              <w:rPr>
                <w:sz w:val="16"/>
              </w:rPr>
              <w:t>Phase-indexed sequence organization and finite temporal capacity</w:t>
            </w:r>
          </w:p>
        </w:tc>
        <w:tc>
          <w:tcPr>
            <w:tcW w:w="3099" w:type="dxa"/>
          </w:tcPr>
          <w:p w14:paraId="1D3B3E6A" w14:textId="77777777" w:rsidR="008B588A" w:rsidRDefault="00000000">
            <w:pPr>
              <w:spacing w:after="0"/>
              <w:rPr>
                <w:rFonts w:hint="eastAsia"/>
              </w:rPr>
            </w:pPr>
            <w:r>
              <w:rPr>
                <w:sz w:val="16"/>
              </w:rPr>
              <w:t>[SUP] phase code; not a torsion order</w:t>
            </w:r>
          </w:p>
        </w:tc>
      </w:tr>
      <w:tr w:rsidR="008B588A" w14:paraId="4271D0BA" w14:textId="77777777">
        <w:trPr>
          <w:cantSplit/>
          <w:jc w:val="center"/>
        </w:trPr>
        <w:tc>
          <w:tcPr>
            <w:tcW w:w="3099" w:type="dxa"/>
          </w:tcPr>
          <w:p w14:paraId="259A7D1C" w14:textId="77777777" w:rsidR="008B588A" w:rsidRDefault="00000000">
            <w:pPr>
              <w:spacing w:after="0"/>
              <w:rPr>
                <w:rFonts w:hint="eastAsia"/>
              </w:rPr>
            </w:pPr>
            <w:r>
              <w:rPr>
                <w:sz w:val="16"/>
              </w:rPr>
              <w:t>Grid-cell modules and toroidal population activity</w:t>
            </w:r>
          </w:p>
        </w:tc>
        <w:tc>
          <w:tcPr>
            <w:tcW w:w="3099" w:type="dxa"/>
          </w:tcPr>
          <w:p w14:paraId="32BE51B9" w14:textId="77777777" w:rsidR="008B588A" w:rsidRDefault="00000000">
            <w:pPr>
              <w:spacing w:after="0"/>
              <w:rPr>
                <w:rFonts w:hint="eastAsia"/>
              </w:rPr>
            </w:pPr>
            <w:r>
              <w:rPr>
                <w:sz w:val="16"/>
              </w:rPr>
              <w:t>Modular/periodic spatial coding; a torus is a genuine neural state manifold</w:t>
            </w:r>
          </w:p>
        </w:tc>
        <w:tc>
          <w:tcPr>
            <w:tcW w:w="3099" w:type="dxa"/>
          </w:tcPr>
          <w:p w14:paraId="4A51E2AD" w14:textId="77777777" w:rsidR="008B588A" w:rsidRDefault="00000000">
            <w:pPr>
              <w:spacing w:after="0"/>
              <w:rPr>
                <w:rFonts w:hint="eastAsia"/>
              </w:rPr>
            </w:pPr>
            <w:r>
              <w:rPr>
                <w:sz w:val="16"/>
              </w:rPr>
              <w:t>[SUP] modular topology; ordinary integral homology of T² is torsion-free</w:t>
            </w:r>
          </w:p>
        </w:tc>
      </w:tr>
      <w:tr w:rsidR="008B588A" w14:paraId="1AE05CCB" w14:textId="77777777">
        <w:trPr>
          <w:cantSplit/>
          <w:jc w:val="center"/>
        </w:trPr>
        <w:tc>
          <w:tcPr>
            <w:tcW w:w="3099" w:type="dxa"/>
          </w:tcPr>
          <w:p w14:paraId="23614D28" w14:textId="77777777" w:rsidR="008B588A" w:rsidRDefault="00000000">
            <w:pPr>
              <w:spacing w:after="0"/>
              <w:rPr>
                <w:rFonts w:hint="eastAsia"/>
              </w:rPr>
            </w:pPr>
            <w:r>
              <w:rPr>
                <w:sz w:val="16"/>
              </w:rPr>
              <w:t>Head-direction ring manifold</w:t>
            </w:r>
          </w:p>
        </w:tc>
        <w:tc>
          <w:tcPr>
            <w:tcW w:w="3099" w:type="dxa"/>
          </w:tcPr>
          <w:p w14:paraId="66D9CC59" w14:textId="77777777" w:rsidR="008B588A" w:rsidRDefault="00000000">
            <w:pPr>
              <w:spacing w:after="0"/>
              <w:rPr>
                <w:rFonts w:hint="eastAsia"/>
              </w:rPr>
            </w:pPr>
            <w:r>
              <w:rPr>
                <w:sz w:val="16"/>
              </w:rPr>
              <w:t>A recurrent neural state space homeomorphic to S¹</w:t>
            </w:r>
          </w:p>
        </w:tc>
        <w:tc>
          <w:tcPr>
            <w:tcW w:w="3099" w:type="dxa"/>
          </w:tcPr>
          <w:p w14:paraId="4C8163D9" w14:textId="77777777" w:rsidR="008B588A" w:rsidRDefault="00000000">
            <w:pPr>
              <w:spacing w:after="0"/>
              <w:rPr>
                <w:rFonts w:hint="eastAsia"/>
              </w:rPr>
            </w:pPr>
            <w:r>
              <w:rPr>
                <w:sz w:val="16"/>
              </w:rPr>
              <w:t>Negative control: H₁(S¹;Z)=Z, a free cycle, not torsion</w:t>
            </w:r>
          </w:p>
        </w:tc>
      </w:tr>
      <w:tr w:rsidR="008B588A" w14:paraId="7522602C" w14:textId="77777777">
        <w:trPr>
          <w:cantSplit/>
          <w:jc w:val="center"/>
        </w:trPr>
        <w:tc>
          <w:tcPr>
            <w:tcW w:w="3099" w:type="dxa"/>
          </w:tcPr>
          <w:p w14:paraId="2C548CDF" w14:textId="77777777" w:rsidR="008B588A" w:rsidRDefault="00000000">
            <w:pPr>
              <w:spacing w:after="0"/>
              <w:rPr>
                <w:rFonts w:hint="eastAsia"/>
              </w:rPr>
            </w:pPr>
            <w:r>
              <w:rPr>
                <w:sz w:val="16"/>
              </w:rPr>
              <w:t>Generic oscillations and up/down states</w:t>
            </w:r>
          </w:p>
        </w:tc>
        <w:tc>
          <w:tcPr>
            <w:tcW w:w="3099" w:type="dxa"/>
          </w:tcPr>
          <w:p w14:paraId="42AD1889" w14:textId="77777777" w:rsidR="008B588A" w:rsidRDefault="00000000">
            <w:pPr>
              <w:spacing w:after="0"/>
              <w:rPr>
                <w:rFonts w:hint="eastAsia"/>
              </w:rPr>
            </w:pPr>
            <w:r>
              <w:rPr>
                <w:sz w:val="16"/>
              </w:rPr>
              <w:t>Periodic dynamics</w:t>
            </w:r>
          </w:p>
        </w:tc>
        <w:tc>
          <w:tcPr>
            <w:tcW w:w="3099" w:type="dxa"/>
          </w:tcPr>
          <w:p w14:paraId="05930B3A" w14:textId="77777777" w:rsidR="008B588A" w:rsidRDefault="00000000">
            <w:pPr>
              <w:spacing w:after="0"/>
              <w:rPr>
                <w:rFonts w:hint="eastAsia"/>
              </w:rPr>
            </w:pPr>
            <w:r>
              <w:rPr>
                <w:sz w:val="16"/>
              </w:rPr>
              <w:t>Excluded as direct torsion evidence by Equation (9)</w:t>
            </w:r>
          </w:p>
        </w:tc>
      </w:tr>
    </w:tbl>
    <w:p w14:paraId="42D0695A" w14:textId="77777777" w:rsidR="008B588A" w:rsidRDefault="00000000">
      <w:pPr>
        <w:pStyle w:val="Caption"/>
        <w:jc w:val="center"/>
        <w:rPr>
          <w:rFonts w:hint="eastAsia"/>
        </w:rPr>
      </w:pPr>
      <w:r>
        <w:t>Table 3. Neuroscientific evidence is strongest for modular and recurrent substrates, not for homological torsion.</w:t>
      </w:r>
    </w:p>
    <w:p w14:paraId="506674CA" w14:textId="77777777" w:rsidR="008B588A" w:rsidRDefault="00000000">
      <w:pPr>
        <w:pStyle w:val="BodyText"/>
        <w:rPr>
          <w:rFonts w:hint="eastAsia"/>
        </w:rPr>
      </w:pPr>
      <w:r>
        <w:t>The grid system is especially instructive. Grid cells are organized into modules, and population activity has been observed on a toroidal manifold (Gardner et al., 2022). The torus has free first homology Z², not torsion. Grid coding therefore supports modular and quotient-aware information processing but cannot be cited as direct evidence of homological torsion. Likewise, the head-direction manifold provides a clean ring with H₁=Z and functions as a necessary negative control. The correct current tier is [CAND-map] for the cortical torsion identification and [DEBT] for the biological quotient, higher-cell witness, and nonunit Smith invariant.</w:t>
      </w:r>
    </w:p>
    <w:p w14:paraId="059B5416" w14:textId="77777777" w:rsidR="008B588A" w:rsidRDefault="00000000">
      <w:pPr>
        <w:pStyle w:val="Heading1"/>
      </w:pPr>
      <w:r>
        <w:t>7. Artificial Implementation</w:t>
      </w:r>
    </w:p>
    <w:p w14:paraId="32F57648" w14:textId="77777777" w:rsidR="008B588A" w:rsidRDefault="00000000">
      <w:pPr>
        <w:pStyle w:val="Heading2"/>
      </w:pPr>
      <w:r>
        <w:t>7.1 Minimal integral audit pipeline</w:t>
      </w:r>
    </w:p>
    <w:p w14:paraId="0DC77B08" w14:textId="77777777" w:rsidR="008B588A" w:rsidRDefault="00000000">
      <w:pPr>
        <w:pStyle w:val="BodyText"/>
        <w:rPr>
          <w:rFonts w:hint="eastAsia"/>
        </w:rPr>
      </w:pPr>
      <w:r>
        <w:t>An executable surrogate can be built without claiming that present neural networks already realize it. The input is a certified nerve, typed integral stalk or interface data, and integer restriction/incidence maps. The output is a structured verdict rather than a scalar loss. A minimal pipeline is:</w:t>
      </w:r>
    </w:p>
    <w:p w14:paraId="38C79156" w14:textId="77777777" w:rsidR="008B588A" w:rsidRDefault="00000000">
      <w:pPr>
        <w:pStyle w:val="BodyText"/>
        <w:ind w:left="340" w:hanging="198"/>
        <w:rPr>
          <w:rFonts w:hint="eastAsia"/>
        </w:rPr>
      </w:pPr>
      <w:r>
        <w:rPr>
          <w:rFonts w:ascii="Liberation Sans" w:hAnsi="Liberation Sans"/>
          <w:b/>
        </w:rPr>
        <w:t xml:space="preserve">1. </w:t>
      </w:r>
      <w:r>
        <w:t>Compile tokens, observations, tools, and actions into a typed semantic intermediate representation.</w:t>
      </w:r>
    </w:p>
    <w:p w14:paraId="5B1F6941" w14:textId="77777777" w:rsidR="008B588A" w:rsidRDefault="00000000">
      <w:pPr>
        <w:pStyle w:val="BodyText"/>
        <w:ind w:left="340" w:hanging="198"/>
        <w:rPr>
          <w:rFonts w:hint="eastAsia"/>
        </w:rPr>
      </w:pPr>
      <w:r>
        <w:rPr>
          <w:rFonts w:ascii="Liberation Sans" w:hAnsi="Liberation Sans"/>
          <w:b/>
        </w:rPr>
        <w:t xml:space="preserve">2. </w:t>
      </w:r>
      <w:r>
        <w:t>Construct a witnessed nerve; never infer higher simplices solely from pairwise attention scores.</w:t>
      </w:r>
    </w:p>
    <w:p w14:paraId="5F15DAB9" w14:textId="77777777" w:rsidR="008B588A" w:rsidRDefault="00000000">
      <w:pPr>
        <w:pStyle w:val="BodyText"/>
        <w:ind w:left="340" w:hanging="198"/>
        <w:rPr>
          <w:rFonts w:hint="eastAsia"/>
        </w:rPr>
      </w:pPr>
      <w:r>
        <w:rPr>
          <w:rFonts w:ascii="Liberation Sans" w:hAnsi="Liberation Sans"/>
          <w:b/>
        </w:rPr>
        <w:t xml:space="preserve">3. </w:t>
      </w:r>
      <w:r>
        <w:t>Assemble the finite integral boundary/coboundary matrices and verify δ²=0.</w:t>
      </w:r>
    </w:p>
    <w:p w14:paraId="6474CB90" w14:textId="77777777" w:rsidR="008B588A" w:rsidRDefault="00000000">
      <w:pPr>
        <w:pStyle w:val="BodyText"/>
        <w:ind w:left="340" w:hanging="198"/>
        <w:rPr>
          <w:rFonts w:hint="eastAsia"/>
        </w:rPr>
      </w:pPr>
      <w:r>
        <w:rPr>
          <w:rFonts w:ascii="Liberation Sans" w:hAnsi="Liberation Sans"/>
          <w:b/>
        </w:rPr>
        <w:t xml:space="preserve">4. </w:t>
      </w:r>
      <w:r>
        <w:t>Compute integral cohomology and Smith invariants, locally or incrementally where possible.</w:t>
      </w:r>
    </w:p>
    <w:p w14:paraId="6FB243C7" w14:textId="77777777" w:rsidR="008B588A" w:rsidRDefault="00000000">
      <w:pPr>
        <w:pStyle w:val="BodyText"/>
        <w:ind w:left="340" w:hanging="198"/>
        <w:rPr>
          <w:rFonts w:hint="eastAsia"/>
        </w:rPr>
      </w:pPr>
      <w:r>
        <w:rPr>
          <w:rFonts w:ascii="Liberation Sans" w:hAnsi="Liberation Sans"/>
          <w:b/>
        </w:rPr>
        <w:t xml:space="preserve">5. </w:t>
      </w:r>
      <w:r>
        <w:t>Use rational/real projection for free-class localization and mod-p screens for cheap arithmetic alerts.</w:t>
      </w:r>
    </w:p>
    <w:p w14:paraId="24DF1BC9" w14:textId="77777777" w:rsidR="008B588A" w:rsidRDefault="00000000">
      <w:pPr>
        <w:pStyle w:val="BodyText"/>
        <w:ind w:left="340" w:hanging="198"/>
        <w:rPr>
          <w:rFonts w:hint="eastAsia"/>
        </w:rPr>
      </w:pPr>
      <w:r>
        <w:rPr>
          <w:rFonts w:ascii="Liberation Sans" w:hAnsi="Liberation Sans"/>
          <w:b/>
        </w:rPr>
        <w:t xml:space="preserve">6. </w:t>
      </w:r>
      <w:r>
        <w:t>Populate a torsion audit record and query the signed registry.</w:t>
      </w:r>
    </w:p>
    <w:p w14:paraId="1E39B67A" w14:textId="77777777" w:rsidR="008B588A" w:rsidRDefault="00000000">
      <w:pPr>
        <w:pStyle w:val="BodyText"/>
        <w:ind w:left="340" w:hanging="198"/>
        <w:rPr>
          <w:rFonts w:hint="eastAsia"/>
        </w:rPr>
      </w:pPr>
      <w:r>
        <w:rPr>
          <w:rFonts w:ascii="Liberation Sans" w:hAnsi="Liberation Sans"/>
          <w:b/>
        </w:rPr>
        <w:lastRenderedPageBreak/>
        <w:t xml:space="preserve">7. </w:t>
      </w:r>
      <w:r>
        <w:t>Withhold, repair, escalate, or continue according to the registry and the free obstruction policy.</w:t>
      </w:r>
    </w:p>
    <w:p w14:paraId="271A3299" w14:textId="77777777" w:rsidR="008B588A" w:rsidRDefault="00000000">
      <w:pPr>
        <w:pStyle w:val="BodyText"/>
        <w:ind w:left="340" w:hanging="198"/>
        <w:rPr>
          <w:rFonts w:hint="eastAsia"/>
        </w:rPr>
      </w:pPr>
      <w:r>
        <w:rPr>
          <w:rFonts w:ascii="Liberation Sans" w:hAnsi="Liberation Sans"/>
          <w:b/>
        </w:rPr>
        <w:t xml:space="preserve">8. </w:t>
      </w:r>
      <w:r>
        <w:t>Record the result, coefficient declaration, cover version, and invariant-preserving update in the Certified Memory Ledger.</w:t>
      </w:r>
    </w:p>
    <w:p w14:paraId="3313EDFA" w14:textId="77777777" w:rsidR="008B588A" w:rsidRDefault="00000000">
      <w:pPr>
        <w:pStyle w:val="Heading2"/>
      </w:pPr>
      <w:r>
        <w:t>7.2 Verdict vocabulary</w:t>
      </w:r>
    </w:p>
    <w:p w14:paraId="1E9D53DC" w14:textId="77777777" w:rsidR="008B588A" w:rsidRDefault="00000000">
      <w:pPr>
        <w:pStyle w:val="BodyText"/>
        <w:rPr>
          <w:rFonts w:hint="eastAsia"/>
        </w:rPr>
      </w:pPr>
      <w:r>
        <w:t>The release kernel should distinguish at least six states: CLEAN-INTEGRAL; FREE-OBSTRUCTION; TORSION-INFORMATIONAL; TORSION-VETO; COEFFICIENT-UNCHECKED; and NON-CERTIFIABLE. A torsion order n never automatically means “repeat n times.” Repetition is licensed only when the induced action on cohomology is known and every intermediate state is safe. The default response to an active finite-order veto is withhold and seek a certified annihilating or restructuring operation.</w:t>
      </w:r>
    </w:p>
    <w:p w14:paraId="14A6CFB4" w14:textId="77777777" w:rsidR="008B588A" w:rsidRDefault="00000000">
      <w:pPr>
        <w:pStyle w:val="Heading2"/>
      </w:pPr>
      <w:r>
        <w:t>7.3 Computational budgets</w:t>
      </w:r>
    </w:p>
    <w:p w14:paraId="5E7AE961" w14:textId="77777777" w:rsidR="008B588A" w:rsidRDefault="00000000">
      <w:pPr>
        <w:pStyle w:val="BodyText"/>
        <w:rPr>
          <w:rFonts w:hint="eastAsia"/>
        </w:rPr>
      </w:pPr>
      <w:r>
        <w:t>Exact integer computation is more expensive than a single field reduction. The architecture therefore needs declared budgets: a cover-resolution budget; an integer-matrix size and coefficient-growth budget; a prime-screen bound; a p-power lifting depth; and a latency budget for authorized release. These budgets describe what the audit did not test. A system that screened only p=2 should report “clean in the 2-primary channel,” not “torsion-free.”</w:t>
      </w:r>
    </w:p>
    <w:p w14:paraId="2C5828E6" w14:textId="77777777" w:rsidR="008B588A" w:rsidRDefault="00000000">
      <w:pPr>
        <w:pStyle w:val="Heading1"/>
      </w:pPr>
      <w:r>
        <w:t>8. Falsifiability and Research Programme</w:t>
      </w:r>
    </w:p>
    <w:p w14:paraId="4D25C04B" w14:textId="77777777" w:rsidR="008B588A" w:rsidRDefault="00000000">
      <w:pPr>
        <w:pStyle w:val="BodyText"/>
        <w:rPr>
          <w:rFonts w:hint="eastAsia"/>
        </w:rPr>
      </w:pPr>
      <w:r>
        <w:t>The proposal earns the [CAND] tier only if it can fail. Five tests are decisive.</w:t>
      </w:r>
    </w:p>
    <w:p w14:paraId="3C4ED4B0" w14:textId="77777777" w:rsidR="008B588A" w:rsidRDefault="00000000">
      <w:pPr>
        <w:pStyle w:val="BodyText"/>
        <w:ind w:left="198" w:firstLine="0"/>
        <w:rPr>
          <w:rFonts w:hint="eastAsia"/>
        </w:rPr>
      </w:pPr>
      <w:r>
        <w:rPr>
          <w:rFonts w:ascii="Liberation Sans" w:hAnsi="Liberation Sans"/>
          <w:b/>
          <w:color w:val="244A66"/>
        </w:rPr>
        <w:t xml:space="preserve">Coefficient-divergence benchmark. </w:t>
      </w:r>
      <w:r>
        <w:t>Construct pairs of finite complexes with identical rational Betti numbers but different integral torsion. A rational audit must treat them identically; the integral audit must distinguish them. Failure to diverge would make the integral layer idle.</w:t>
      </w:r>
    </w:p>
    <w:p w14:paraId="37423CCE" w14:textId="77777777" w:rsidR="008B588A" w:rsidRDefault="00000000">
      <w:pPr>
        <w:pStyle w:val="BodyText"/>
        <w:ind w:left="198" w:firstLine="0"/>
        <w:rPr>
          <w:rFonts w:hint="eastAsia"/>
        </w:rPr>
      </w:pPr>
      <w:r>
        <w:rPr>
          <w:rFonts w:ascii="Liberation Sans" w:hAnsi="Liberation Sans"/>
          <w:b/>
          <w:color w:val="244A66"/>
        </w:rPr>
        <w:t xml:space="preserve">Prime-power benchmark. </w:t>
      </w:r>
      <w:r>
        <w:t>Include Z/p, Z/p², and Z/p³ cases. A first mod-p screen should detect prime participation but fail to recover the full exponent; Smith form or higher lifting must recover it.</w:t>
      </w:r>
    </w:p>
    <w:p w14:paraId="03236EA6" w14:textId="77777777" w:rsidR="008B588A" w:rsidRDefault="00000000">
      <w:pPr>
        <w:pStyle w:val="BodyText"/>
        <w:ind w:left="198" w:firstLine="0"/>
        <w:rPr>
          <w:rFonts w:hint="eastAsia"/>
        </w:rPr>
      </w:pPr>
      <w:r>
        <w:rPr>
          <w:rFonts w:ascii="Liberation Sans" w:hAnsi="Liberation Sans"/>
          <w:b/>
          <w:color w:val="244A66"/>
        </w:rPr>
        <w:t xml:space="preserve">Registry semantic test. </w:t>
      </w:r>
      <w:r>
        <w:t>Use algebraically identical torsion groups for different meanings. The system must produce different policy outcomes only through the signed typed registry, proving that group type is not being mistaken for semantics.</w:t>
      </w:r>
    </w:p>
    <w:p w14:paraId="0158988C" w14:textId="77777777" w:rsidR="008B588A" w:rsidRDefault="00000000">
      <w:pPr>
        <w:pStyle w:val="BodyText"/>
        <w:ind w:left="198" w:firstLine="0"/>
        <w:rPr>
          <w:rFonts w:hint="eastAsia"/>
        </w:rPr>
      </w:pPr>
      <w:r>
        <w:rPr>
          <w:rFonts w:ascii="Liberation Sans" w:hAnsi="Liberation Sans"/>
          <w:b/>
          <w:color w:val="244A66"/>
        </w:rPr>
        <w:t xml:space="preserve">Firewall ablation. </w:t>
      </w:r>
      <w:r>
        <w:t>Freeze protected attaching maps during training and verify invariant preservation; then permit a topology-changing update and verify that torsion can change and re-authorization is triggered.</w:t>
      </w:r>
    </w:p>
    <w:p w14:paraId="3EE0D5DB" w14:textId="77777777" w:rsidR="008B588A" w:rsidRDefault="00000000">
      <w:pPr>
        <w:pStyle w:val="BodyText"/>
        <w:ind w:left="198" w:firstLine="0"/>
        <w:rPr>
          <w:rFonts w:hint="eastAsia"/>
        </w:rPr>
      </w:pPr>
      <w:r>
        <w:rPr>
          <w:rFonts w:ascii="Liberation Sans" w:hAnsi="Liberation Sans"/>
          <w:b/>
          <w:color w:val="244A66"/>
        </w:rPr>
        <w:t xml:space="preserve">Neural reconstruction test. </w:t>
      </w:r>
      <w:r>
        <w:t>From high-resolution cortical recordings, reconstruct a typed state complex, compute integer invariants, and perturb the predicted closure relation. Direct support requires a stable nonunit Smith factor that changes as the attaching relation predicts; modular behavior alone is insufficient.</w:t>
      </w:r>
    </w:p>
    <w:p w14:paraId="5278F65D" w14:textId="77777777" w:rsidR="008B588A" w:rsidRDefault="00000000">
      <w:pPr>
        <w:pStyle w:val="Heading2"/>
      </w:pPr>
      <w:r>
        <w:t>8.1 Open debts</w:t>
      </w:r>
    </w:p>
    <w:p w14:paraId="05902348" w14:textId="77777777" w:rsidR="008B588A" w:rsidRDefault="00000000">
      <w:pPr>
        <w:pStyle w:val="BodyText"/>
        <w:rPr>
          <w:rFonts w:hint="eastAsia"/>
        </w:rPr>
      </w:pPr>
      <w:r>
        <w:t>The principal [DEBT] items are: learning an audit-grade integral typing without forcing a metric discretization; extending the exact UCT treatment from finite free cellular complexes to the full sheaf-valued setting; controlling integer coefficient growth in online computation; designing the signed registry and its authority model; proving that a proposed finite-order class encodes the intended constraint; constructing certified chain-equivalence updates; and identifying any genuine biological quotient and higher-cell closure witness. The nonabelian frontier remains outside the present paper: torsion in abelian homology cannot by itself encode every role, authority, or path-dependent obstruction.</w:t>
      </w:r>
    </w:p>
    <w:p w14:paraId="05A63E4D" w14:textId="77777777" w:rsidR="008B588A" w:rsidRDefault="00000000">
      <w:pPr>
        <w:pStyle w:val="Heading1"/>
      </w:pPr>
      <w:r>
        <w:t>9. Discussion</w:t>
      </w:r>
    </w:p>
    <w:p w14:paraId="55B0CBD7" w14:textId="77777777" w:rsidR="008B588A" w:rsidRDefault="00000000">
      <w:pPr>
        <w:pStyle w:val="BodyText"/>
        <w:rPr>
          <w:rFonts w:hint="eastAsia"/>
        </w:rPr>
      </w:pPr>
      <w:r>
        <w:t xml:space="preserve">The Integral Audit changes the interpretation of several familiar AI operations. A real residual is no longer the whole disagreement; it is the characteristic-zero projection of a potentially richer integral class. Hodge localization remains indispensable, but only after the architecture has checked that rationalization did not erase finite-order information. Likewise, a modular code is not automatically torsion, and a torsion group is </w:t>
      </w:r>
      <w:r>
        <w:lastRenderedPageBreak/>
        <w:t>not automatically a veto. Each ascent requires a certificate: periodicity to quotient, quotient to attaching relation, attaching relation to invariant, invariant to semantic registry, and registry to authorized release.</w:t>
      </w:r>
    </w:p>
    <w:p w14:paraId="7A88D5F6" w14:textId="77777777" w:rsidR="008B588A" w:rsidRDefault="00000000">
      <w:pPr>
        <w:pStyle w:val="BodyText"/>
        <w:rPr>
          <w:rFonts w:hint="eastAsia"/>
        </w:rPr>
      </w:pPr>
      <w:r>
        <w:t>This yields a four-way discipline. Mathematics determines which classes exist. Representation determines which coefficient systems can see them. Governance determines what the classes mean and which responses are permitted. Neuroscience supplies candidate realizations and negative controls but does not promote a structural analogy to biological fact. The paper’s strongest claim is therefore architectural rather than biological: a high-consequence intelligent system should not return “coherent” without declaring whether its coefficient system was capable of detecting finite-order obstructions.</w:t>
      </w:r>
    </w:p>
    <w:p w14:paraId="6E853CEB" w14:textId="77777777" w:rsidR="008B588A" w:rsidRDefault="00000000">
      <w:pPr>
        <w:pStyle w:val="BodyText"/>
        <w:rPr>
          <w:rFonts w:hint="eastAsia"/>
        </w:rPr>
      </w:pPr>
      <w:r>
        <w:t>The proposal also clarifies the relationship between constraints and objectives. The free–torsion split is not identical to the objective–constraint split. It is a design vocabulary from which a policy can be built. Some constraints are finite-order and naturally torsional; others are ordered, causal, or geometric. Some torsion is benign information. The signed registry prevents algebra from silently acquiring institutional authority.</w:t>
      </w:r>
    </w:p>
    <w:p w14:paraId="087EFBA2" w14:textId="77777777" w:rsidR="008B588A" w:rsidRDefault="00000000">
      <w:pPr>
        <w:pStyle w:val="BodyText"/>
        <w:rPr>
          <w:rFonts w:hint="eastAsia"/>
        </w:rPr>
      </w:pPr>
      <w:r>
        <w:t>Within the wider Defensible Intelligence architecture, the Integral Audit belongs in four places at once: the mathematical core that defines integral cochains and coefficient changes; the reflexive layer that audits the instrument’s undeclared coefficient; the biological candidate that asks whether microcircuits implement finite-order quotients; and the governance layer that decides whether an active class is a veto. The conceptual paper unifies those placements without collapsing their claim tiers.</w:t>
      </w:r>
    </w:p>
    <w:p w14:paraId="0A883DDC" w14:textId="77777777" w:rsidR="008B588A" w:rsidRDefault="00000000">
      <w:pPr>
        <w:pStyle w:val="Heading1"/>
      </w:pPr>
      <w:r>
        <w:t>10. Conclusion</w:t>
      </w:r>
    </w:p>
    <w:p w14:paraId="27B9E9C1" w14:textId="77777777" w:rsidR="008B588A" w:rsidRDefault="00000000">
      <w:pPr>
        <w:pStyle w:val="BodyText"/>
        <w:rPr>
          <w:rFonts w:hint="eastAsia"/>
        </w:rPr>
      </w:pPr>
      <w:r>
        <w:t>The master object of a defensible arithmetic audit is a certified finite integral chain/cochain complex. Its rational and real realizations expose the free component and support metric-dependent Hodge localization; its modular and p-power realizations expose arithmetic structure that characteristic-zero calculations erase. Universal-coefficient exact sequences relate these views without supplying a canonical splitting. Smith normal form remains the complete finite abelian certificate in the finite free setting.</w:t>
      </w:r>
    </w:p>
    <w:p w14:paraId="224959DF" w14:textId="77777777" w:rsidR="008B588A" w:rsidRDefault="00000000">
      <w:pPr>
        <w:pStyle w:val="BodyText"/>
        <w:rPr>
          <w:rFonts w:hint="eastAsia"/>
        </w:rPr>
      </w:pPr>
      <w:r>
        <w:t>Torsion becomes a governing invariant only through a certified semantic contract. The torsion signature identifies finite-order algebra; the signed registry supplies meaning, authority, and permitted repair; the structural firewall preserves protected attaching relations; and the release kernel places integral admissibility before real-valued optimization. The cortical torsion circuit remains a falsifiable candidate, not established anatomy. Its decisive evidence would be a typed neural complex with a perturbable nonunit Smith invariant—not merely rhythm, recurrence, or modular behavior.</w:t>
      </w:r>
    </w:p>
    <w:p w14:paraId="730981CC" w14:textId="77777777" w:rsidR="008B588A" w:rsidRDefault="00000000">
      <w:pPr>
        <w:pStyle w:val="BodyText"/>
        <w:rPr>
          <w:rFonts w:hint="eastAsia"/>
        </w:rPr>
      </w:pPr>
      <w:r>
        <w:t>The final principle is therefore: boundary before score requires coefficient before verdict. A system has not completed its audit until it has declared what kinds of obstruction its mathematics was able—and unable—to represent.</w:t>
      </w:r>
    </w:p>
    <w:p w14:paraId="4EC55B61" w14:textId="77777777" w:rsidR="008B588A" w:rsidRDefault="00000000">
      <w:pPr>
        <w:pStyle w:val="Heading1"/>
      </w:pPr>
      <w:r>
        <w:t>References</w:t>
      </w:r>
    </w:p>
    <w:p w14:paraId="044F8437" w14:textId="77777777" w:rsidR="008B588A" w:rsidRDefault="00000000">
      <w:pPr>
        <w:pStyle w:val="Reference"/>
        <w:rPr>
          <w:rFonts w:hint="eastAsia"/>
        </w:rPr>
      </w:pPr>
      <w:r>
        <w:t xml:space="preserve">Chaudhuri, R., Gerçek, B., Pandey, B., Peyrache, A., &amp; Fiete, I. (2019). The intrinsic attractor manifold and population dynamics of a canonical cognitive circuit across waking and sleep. Nature Neuroscience, 22, 1512–1520. </w:t>
      </w:r>
      <w:hyperlink r:id="rId10">
        <w:r w:rsidR="008B588A">
          <w:rPr>
            <w:color w:val="1F4E79"/>
            <w:u w:val="single"/>
          </w:rPr>
          <w:t>https://doi.org/10.1038/s41593-019-0460-x</w:t>
        </w:r>
      </w:hyperlink>
    </w:p>
    <w:p w14:paraId="798FDBA3" w14:textId="77777777" w:rsidR="008B588A" w:rsidRDefault="00000000">
      <w:pPr>
        <w:pStyle w:val="Reference"/>
        <w:rPr>
          <w:rFonts w:hint="eastAsia"/>
        </w:rPr>
      </w:pPr>
      <w:r>
        <w:t>Curry, J. M. (2014). Sheaves, cosheaves and applications. Doctoral dissertation, University of Pennsylvania.</w:t>
      </w:r>
    </w:p>
    <w:p w14:paraId="1EE9FC1F" w14:textId="77777777" w:rsidR="008B588A" w:rsidRDefault="00000000">
      <w:pPr>
        <w:pStyle w:val="Reference"/>
        <w:rPr>
          <w:rFonts w:hint="eastAsia"/>
        </w:rPr>
      </w:pPr>
      <w:r>
        <w:t>Edelsbrunner, H., &amp; Harer, J. (2010). Computational topology: An introduction. American Mathematical Society.</w:t>
      </w:r>
    </w:p>
    <w:p w14:paraId="1179E723" w14:textId="77777777" w:rsidR="008B588A" w:rsidRDefault="00000000">
      <w:pPr>
        <w:pStyle w:val="Reference"/>
        <w:rPr>
          <w:rFonts w:hint="eastAsia"/>
        </w:rPr>
      </w:pPr>
      <w:r>
        <w:t xml:space="preserve">Fiete, I. R., Burak, Y., &amp; Brookings, T. (2008). What grid cells convey about rat location. Journal of Neuroscience, 28(27), 6858–6871. </w:t>
      </w:r>
      <w:hyperlink r:id="rId11">
        <w:r w:rsidR="008B588A">
          <w:rPr>
            <w:color w:val="1F4E79"/>
            <w:u w:val="single"/>
          </w:rPr>
          <w:t>https://doi.org/10.1523/JNEUROSCI.5684-07.2008</w:t>
        </w:r>
      </w:hyperlink>
    </w:p>
    <w:p w14:paraId="0CA4F432" w14:textId="77777777" w:rsidR="008B588A" w:rsidRDefault="00000000">
      <w:pPr>
        <w:pStyle w:val="Reference"/>
        <w:rPr>
          <w:rFonts w:hint="eastAsia"/>
        </w:rPr>
      </w:pPr>
      <w:r>
        <w:t xml:space="preserve">Gardner, R. J., Hermansen, E., Pachitariu, M., Burak, Y., Baas, N. A., Dunn, B. A., Moser, M.-B., &amp; Moser, E. I. (2022). Toroidal topology of population activity in grid cells. Nature, 602, 123–128. </w:t>
      </w:r>
      <w:hyperlink r:id="rId12">
        <w:r w:rsidR="008B588A">
          <w:rPr>
            <w:color w:val="1F4E79"/>
            <w:u w:val="single"/>
          </w:rPr>
          <w:t>https://doi.org/10.1038/s41586-021-04268-7</w:t>
        </w:r>
      </w:hyperlink>
    </w:p>
    <w:p w14:paraId="2F38EAC5" w14:textId="77777777" w:rsidR="008B588A" w:rsidRDefault="00000000">
      <w:pPr>
        <w:pStyle w:val="Reference"/>
        <w:rPr>
          <w:rFonts w:hint="eastAsia"/>
        </w:rPr>
      </w:pPr>
      <w:r>
        <w:t xml:space="preserve">Ghosh, D. P. (2026a). The Certified Memory Ledger: A Defensible Homological Architecture for Recall. </w:t>
      </w:r>
      <w:hyperlink r:id="rId13">
        <w:r w:rsidR="008B588A">
          <w:rPr>
            <w:color w:val="1F4E79"/>
            <w:u w:val="single"/>
          </w:rPr>
          <w:t>https://doi.org/10.13140/RG.2.2.32223.01445</w:t>
        </w:r>
      </w:hyperlink>
    </w:p>
    <w:p w14:paraId="359361C8" w14:textId="77777777" w:rsidR="008B588A" w:rsidRDefault="00000000">
      <w:pPr>
        <w:pStyle w:val="Reference"/>
        <w:rPr>
          <w:rFonts w:hint="eastAsia"/>
        </w:rPr>
      </w:pPr>
      <w:r>
        <w:t xml:space="preserve">Ghosh, D. P. (2026b). Three Scopes, Two Axes: Traceability, Torsion, and What Separates Certified Abstraction from Structural Memory Transfer. </w:t>
      </w:r>
      <w:hyperlink r:id="rId14">
        <w:r w:rsidR="008B588A">
          <w:rPr>
            <w:color w:val="1F4E79"/>
            <w:u w:val="single"/>
          </w:rPr>
          <w:t>https://doi.org/10.13140/RG.2.2.30512.52486</w:t>
        </w:r>
      </w:hyperlink>
    </w:p>
    <w:p w14:paraId="721B03CE" w14:textId="77777777" w:rsidR="008B588A" w:rsidRDefault="00000000">
      <w:pPr>
        <w:pStyle w:val="Reference"/>
        <w:rPr>
          <w:rFonts w:hint="eastAsia"/>
        </w:rPr>
      </w:pPr>
      <w:r>
        <w:t xml:space="preserve">Ghosh, D. P. (2026c). Memory as a Covering Space: Entorhinal Base, Hippocampal Cover, and the Monodromy of Defensible Inference. </w:t>
      </w:r>
      <w:hyperlink r:id="rId15">
        <w:r w:rsidR="008B588A">
          <w:rPr>
            <w:color w:val="1F4E79"/>
            <w:u w:val="single"/>
          </w:rPr>
          <w:t>https://doi.org/10.13140/RG.2.2.23801.63841</w:t>
        </w:r>
      </w:hyperlink>
    </w:p>
    <w:p w14:paraId="116DE0FD" w14:textId="77777777" w:rsidR="008B588A" w:rsidRDefault="00000000">
      <w:pPr>
        <w:pStyle w:val="Reference"/>
        <w:rPr>
          <w:rFonts w:hint="eastAsia"/>
        </w:rPr>
      </w:pPr>
      <w:r>
        <w:t xml:space="preserve">Ghosh, D. P. (2026d). What the Cover Adds: Transfer, Disconnection, and the Read-Only Consolidation of History-Indexed Memory. </w:t>
      </w:r>
      <w:hyperlink r:id="rId16">
        <w:r w:rsidR="008B588A">
          <w:rPr>
            <w:color w:val="1F4E79"/>
            <w:u w:val="single"/>
          </w:rPr>
          <w:t>https://doi.org/10.13140/RG.2.2.11035.22561</w:t>
        </w:r>
      </w:hyperlink>
    </w:p>
    <w:p w14:paraId="3F5CF3CC" w14:textId="77777777" w:rsidR="008B588A" w:rsidRDefault="00000000">
      <w:pPr>
        <w:pStyle w:val="Reference"/>
        <w:rPr>
          <w:rFonts w:hint="eastAsia"/>
        </w:rPr>
      </w:pPr>
      <w:r>
        <w:lastRenderedPageBreak/>
        <w:t xml:space="preserve">Ghosh, D. P. (2026e). The Fibre Is One Budget: Separation, Monodromy, and the Exact Trade Between Preventing and Detecting Forgetting. </w:t>
      </w:r>
      <w:hyperlink r:id="rId17">
        <w:r w:rsidR="008B588A">
          <w:rPr>
            <w:color w:val="1F4E79"/>
            <w:u w:val="single"/>
          </w:rPr>
          <w:t>https://doi.org/10.13140/RG.2.2.17746.11207</w:t>
        </w:r>
      </w:hyperlink>
    </w:p>
    <w:p w14:paraId="6C01A130" w14:textId="77777777" w:rsidR="008B588A" w:rsidRDefault="00000000">
      <w:pPr>
        <w:pStyle w:val="Reference"/>
        <w:rPr>
          <w:rFonts w:hint="eastAsia"/>
        </w:rPr>
      </w:pPr>
      <w:r>
        <w:t xml:space="preserve">Ghosh, D. P. (2026f). Covering Networks: Converting Recurrent Memory into an Audited Causal Cover. </w:t>
      </w:r>
      <w:hyperlink r:id="rId18">
        <w:r w:rsidR="008B588A">
          <w:rPr>
            <w:color w:val="1F4E79"/>
            <w:u w:val="single"/>
          </w:rPr>
          <w:t>https://doi.org/10.13140/RG.2.2.25512.12800</w:t>
        </w:r>
      </w:hyperlink>
    </w:p>
    <w:p w14:paraId="1591A49A" w14:textId="77777777" w:rsidR="008B588A" w:rsidRDefault="00000000">
      <w:pPr>
        <w:pStyle w:val="Reference"/>
        <w:rPr>
          <w:rFonts w:hint="eastAsia"/>
        </w:rPr>
      </w:pPr>
      <w:r>
        <w:t xml:space="preserve">Ghosh, D. P. (2026g). The Restriction Vertex: The Algebra of Restriction, Its Realization as Cortical Feedback, and the Executive Veto. </w:t>
      </w:r>
      <w:hyperlink r:id="rId19">
        <w:r w:rsidR="008B588A">
          <w:rPr>
            <w:color w:val="1F4E79"/>
            <w:u w:val="single"/>
          </w:rPr>
          <w:t>https://doi.org/10.13140/RG.2.2.18717.68323</w:t>
        </w:r>
      </w:hyperlink>
    </w:p>
    <w:p w14:paraId="0F646CA8" w14:textId="77777777" w:rsidR="008B588A" w:rsidRDefault="00000000">
      <w:pPr>
        <w:pStyle w:val="Reference"/>
        <w:rPr>
          <w:rFonts w:hint="eastAsia"/>
        </w:rPr>
      </w:pPr>
      <w:r>
        <w:t xml:space="preserve">Ghosh, D. P. (2026h). Nerve-Attention: The Simplicial Domain of Audit. </w:t>
      </w:r>
      <w:hyperlink r:id="rId20">
        <w:r w:rsidR="008B588A">
          <w:rPr>
            <w:color w:val="1F4E79"/>
            <w:u w:val="single"/>
          </w:rPr>
          <w:t>https://doi.org/10.13140/RG.2.2.27630.57925</w:t>
        </w:r>
      </w:hyperlink>
    </w:p>
    <w:p w14:paraId="1AA9322A" w14:textId="77777777" w:rsidR="008B588A" w:rsidRDefault="00000000">
      <w:pPr>
        <w:pStyle w:val="Reference"/>
        <w:rPr>
          <w:rFonts w:hint="eastAsia"/>
        </w:rPr>
      </w:pPr>
      <w:r>
        <w:t>Ghrist, R. (2014). Elementary applied topology. Createspace.</w:t>
      </w:r>
    </w:p>
    <w:p w14:paraId="67F63385" w14:textId="77777777" w:rsidR="008B588A" w:rsidRDefault="00000000">
      <w:pPr>
        <w:pStyle w:val="Reference"/>
        <w:rPr>
          <w:rFonts w:hint="eastAsia"/>
        </w:rPr>
      </w:pPr>
      <w:r>
        <w:t xml:space="preserve">Hafting, T., Fyhn, M., Molden, S., Moser, M.-B., &amp; Moser, E. I. (2005). Microstructure of a spatial map in the entorhinal cortex. Nature, 436, 801–806. </w:t>
      </w:r>
      <w:hyperlink r:id="rId21">
        <w:r w:rsidR="008B588A">
          <w:rPr>
            <w:color w:val="1F4E79"/>
            <w:u w:val="single"/>
          </w:rPr>
          <w:t>https://doi.org/10.1038/nature03721</w:t>
        </w:r>
      </w:hyperlink>
    </w:p>
    <w:p w14:paraId="6B237358" w14:textId="77777777" w:rsidR="008B588A" w:rsidRDefault="00000000">
      <w:pPr>
        <w:pStyle w:val="Reference"/>
        <w:rPr>
          <w:rFonts w:hint="eastAsia"/>
        </w:rPr>
      </w:pPr>
      <w:r>
        <w:t>Hansen, J., &amp; Ghrist, R. (2019). Toward a spectral theory of cellular sheaves. Journal of Applied and Computational Topology, 3, 315–358.</w:t>
      </w:r>
    </w:p>
    <w:p w14:paraId="4A0CE4BD" w14:textId="77777777" w:rsidR="008B588A" w:rsidRDefault="00000000">
      <w:pPr>
        <w:pStyle w:val="Reference"/>
        <w:rPr>
          <w:rFonts w:hint="eastAsia"/>
        </w:rPr>
      </w:pPr>
      <w:r>
        <w:t>Hatcher, A. (2002). Algebraic topology. Cambridge University Press.</w:t>
      </w:r>
    </w:p>
    <w:p w14:paraId="6BB0048B" w14:textId="77777777" w:rsidR="008B588A" w:rsidRDefault="00000000">
      <w:pPr>
        <w:pStyle w:val="Reference"/>
        <w:rPr>
          <w:rFonts w:hint="eastAsia"/>
        </w:rPr>
      </w:pPr>
      <w:r>
        <w:t xml:space="preserve">Heusser, A. C., Poeppel, D., Ezzyat, Y., &amp; Davachi, L. (2016). Episodic sequence memory is supported by a theta–gamma phase code. Nature Neuroscience, 19, 1374–1380. </w:t>
      </w:r>
      <w:hyperlink r:id="rId22">
        <w:r w:rsidR="008B588A">
          <w:rPr>
            <w:color w:val="1F4E79"/>
            <w:u w:val="single"/>
          </w:rPr>
          <w:t>https://doi.org/10.1038/nn.4374</w:t>
        </w:r>
      </w:hyperlink>
    </w:p>
    <w:p w14:paraId="5AAB3930" w14:textId="77777777" w:rsidR="008B588A" w:rsidRDefault="00000000">
      <w:pPr>
        <w:pStyle w:val="Reference"/>
        <w:rPr>
          <w:rFonts w:hint="eastAsia"/>
        </w:rPr>
      </w:pPr>
      <w:r>
        <w:t>Mac Lane, S. (1963). Homology. Springer.</w:t>
      </w:r>
    </w:p>
    <w:p w14:paraId="75BDC777" w14:textId="77777777" w:rsidR="008B588A" w:rsidRDefault="00000000">
      <w:pPr>
        <w:pStyle w:val="Reference"/>
        <w:rPr>
          <w:rFonts w:hint="eastAsia"/>
        </w:rPr>
      </w:pPr>
      <w:r>
        <w:t xml:space="preserve">Maruoka, H., Nakagawa, N., Tsuruno, S., Sakai, S., Yoneda, T., &amp; Hosoya, T. (2017). Lattice system of functionally distinct cell types in the neocortex. Science, 358(6363), 610–615. </w:t>
      </w:r>
      <w:hyperlink r:id="rId23">
        <w:r w:rsidR="008B588A">
          <w:rPr>
            <w:color w:val="1F4E79"/>
            <w:u w:val="single"/>
          </w:rPr>
          <w:t>https://doi.org/10.1126/science.aam6125</w:t>
        </w:r>
      </w:hyperlink>
    </w:p>
    <w:p w14:paraId="0C9A290E" w14:textId="77777777" w:rsidR="008B588A" w:rsidRDefault="00000000">
      <w:pPr>
        <w:pStyle w:val="Reference"/>
        <w:rPr>
          <w:rFonts w:hint="eastAsia"/>
        </w:rPr>
      </w:pPr>
      <w:r>
        <w:t xml:space="preserve">Stensola, H., Stensola, T., Solstad, T., Frøland, K., Moser, M.-B., &amp; Moser, E. I. (2012). The entorhinal grid map is discretized. Nature, 492, 72–78. </w:t>
      </w:r>
      <w:hyperlink r:id="rId24">
        <w:r w:rsidR="008B588A">
          <w:rPr>
            <w:color w:val="1F4E79"/>
            <w:u w:val="single"/>
          </w:rPr>
          <w:t>https://doi.org/10.1038/nature11649</w:t>
        </w:r>
      </w:hyperlink>
    </w:p>
    <w:p w14:paraId="1125A547" w14:textId="77777777" w:rsidR="008B588A" w:rsidRDefault="00000000">
      <w:pPr>
        <w:pStyle w:val="Reference"/>
        <w:rPr>
          <w:rFonts w:hint="eastAsia"/>
        </w:rPr>
      </w:pPr>
      <w:r>
        <w:t>Weibel, C. A. (1994). An introduction to homological algebra. Cambridge University Press.</w:t>
      </w:r>
    </w:p>
    <w:p w14:paraId="6C424831" w14:textId="77777777" w:rsidR="008B588A" w:rsidRDefault="00000000">
      <w:pPr>
        <w:spacing w:before="240"/>
        <w:jc w:val="center"/>
        <w:rPr>
          <w:rFonts w:hint="eastAsia"/>
        </w:rPr>
      </w:pPr>
      <w:r>
        <w:rPr>
          <w:i/>
          <w:color w:val="5F6B75"/>
          <w:sz w:val="20"/>
        </w:rPr>
        <w:t>Respect science. Import emotion.</w:t>
      </w:r>
    </w:p>
    <w:sectPr w:rsidR="008B588A" w:rsidSect="00034616">
      <w:headerReference w:type="default" r:id="rId25"/>
      <w:footerReference w:type="default" r:id="rId26"/>
      <w:pgSz w:w="11906" w:h="16838"/>
      <w:pgMar w:top="1191" w:right="1304" w:bottom="1134" w:left="1304" w:header="510" w:footer="51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743625" w14:textId="77777777" w:rsidR="006F61C8" w:rsidRDefault="006F61C8">
      <w:pPr>
        <w:spacing w:after="0" w:line="240" w:lineRule="auto"/>
        <w:rPr>
          <w:rFonts w:hint="eastAsia"/>
        </w:rPr>
      </w:pPr>
      <w:r>
        <w:separator/>
      </w:r>
    </w:p>
  </w:endnote>
  <w:endnote w:type="continuationSeparator" w:id="0">
    <w:p w14:paraId="44846006" w14:textId="77777777" w:rsidR="006F61C8" w:rsidRDefault="006F61C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Liberation Serif">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Sans">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60569" w14:textId="77777777" w:rsidR="008B588A" w:rsidRDefault="00000000">
    <w:pPr>
      <w:pStyle w:val="Footer"/>
      <w:jc w:val="center"/>
      <w:rPr>
        <w:rFonts w:hint="eastAsia"/>
      </w:rPr>
    </w:pPr>
    <w:r>
      <w:rPr>
        <w:rFonts w:ascii="Liberation Sans" w:hAnsi="Liberation Sans"/>
        <w:sz w:val="18"/>
      </w:rPr>
      <w:t xml:space="preserve">Page </w:t>
    </w:r>
    <w:r>
      <w:rPr>
        <w:rFonts w:ascii="Liberation Sans" w:hAnsi="Liberation Sans"/>
        <w:sz w:val="18"/>
      </w:rPr>
      <w:fldChar w:fldCharType="begin"/>
    </w:r>
    <w:r>
      <w:rPr>
        <w:rFonts w:ascii="Liberation Sans" w:hAnsi="Liberation Sans"/>
        <w:sz w:val="18"/>
      </w:rPr>
      <w:instrText xml:space="preserve"> PAGE </w:instrText>
    </w:r>
    <w:r>
      <w:rPr>
        <w:rFonts w:ascii="Liberation Sans" w:hAnsi="Liberation Sans"/>
        <w:sz w:val="18"/>
      </w:rPr>
      <w:fldChar w:fldCharType="separate"/>
    </w:r>
    <w:r w:rsidR="00275B59">
      <w:rPr>
        <w:rFonts w:ascii="Liberation Sans" w:hAnsi="Liberation Sans" w:hint="eastAsia"/>
        <w:noProof/>
        <w:sz w:val="18"/>
      </w:rPr>
      <w:t>1</w:t>
    </w:r>
    <w:r>
      <w:rPr>
        <w:rFonts w:ascii="Liberation Sans" w:hAnsi="Liberation Sans"/>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707658" w14:textId="77777777" w:rsidR="006F61C8" w:rsidRDefault="006F61C8">
      <w:pPr>
        <w:spacing w:after="0" w:line="240" w:lineRule="auto"/>
        <w:rPr>
          <w:rFonts w:hint="eastAsia"/>
        </w:rPr>
      </w:pPr>
      <w:r>
        <w:separator/>
      </w:r>
    </w:p>
  </w:footnote>
  <w:footnote w:type="continuationSeparator" w:id="0">
    <w:p w14:paraId="1C91F1A3" w14:textId="77777777" w:rsidR="006F61C8" w:rsidRDefault="006F61C8">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DFAED" w14:textId="77777777" w:rsidR="008B588A" w:rsidRDefault="00000000">
    <w:pPr>
      <w:pStyle w:val="Header"/>
      <w:jc w:val="right"/>
      <w:rPr>
        <w:rFonts w:hint="eastAsia"/>
      </w:rPr>
    </w:pPr>
    <w:r>
      <w:rPr>
        <w:rFonts w:ascii="Liberation Sans" w:hAnsi="Liberation Sans"/>
        <w:b/>
        <w:color w:val="6B7785"/>
        <w:sz w:val="16"/>
      </w:rPr>
      <w:t>THE INTEGRAL AUDIT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2428827">
    <w:abstractNumId w:val="8"/>
  </w:num>
  <w:num w:numId="2" w16cid:durableId="396827367">
    <w:abstractNumId w:val="6"/>
  </w:num>
  <w:num w:numId="3" w16cid:durableId="765006783">
    <w:abstractNumId w:val="5"/>
  </w:num>
  <w:num w:numId="4" w16cid:durableId="1035035415">
    <w:abstractNumId w:val="4"/>
  </w:num>
  <w:num w:numId="5" w16cid:durableId="1672247840">
    <w:abstractNumId w:val="7"/>
  </w:num>
  <w:num w:numId="6" w16cid:durableId="1095639621">
    <w:abstractNumId w:val="3"/>
  </w:num>
  <w:num w:numId="7" w16cid:durableId="1559900666">
    <w:abstractNumId w:val="2"/>
  </w:num>
  <w:num w:numId="8" w16cid:durableId="1505582670">
    <w:abstractNumId w:val="1"/>
  </w:num>
  <w:num w:numId="9" w16cid:durableId="8733474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1740"/>
    <w:rsid w:val="0015074B"/>
    <w:rsid w:val="00275B59"/>
    <w:rsid w:val="0029639D"/>
    <w:rsid w:val="002B42EB"/>
    <w:rsid w:val="00326F90"/>
    <w:rsid w:val="003B03D7"/>
    <w:rsid w:val="0042341F"/>
    <w:rsid w:val="004F2E21"/>
    <w:rsid w:val="00671420"/>
    <w:rsid w:val="006F61C8"/>
    <w:rsid w:val="008B588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B4EE02"/>
  <w14:defaultImageDpi w14:val="300"/>
  <w15:docId w15:val="{6A02825F-9AE6-482E-9CA2-9B27F7018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Liberation Serif" w:hAnsi="Liberation Serif"/>
      <w:sz w:val="21"/>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7365D"/>
      <w:sz w:val="29"/>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b/>
      <w:bCs/>
      <w:color w:val="244A66"/>
      <w:sz w:val="24"/>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b/>
      <w:bCs/>
      <w:color w:val="244A6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647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ind w:firstLine="312"/>
      <w:jc w:val="both"/>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20" w:line="240" w:lineRule="auto"/>
    </w:pPr>
    <w:rPr>
      <w:rFonts w:ascii="Liberation Sans" w:hAnsi="Liberation Sans"/>
      <w:b/>
      <w:bCs/>
      <w:i/>
      <w:color w:val="4A4A4A"/>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pPr>
      <w:spacing w:after="60" w:line="240" w:lineRule="auto"/>
      <w:ind w:left="369" w:hanging="369"/>
    </w:pPr>
    <w:rPr>
      <w:rFonts w:ascii="Liberation Serif" w:hAnsi="Liberation Serif"/>
      <w:sz w:val="18"/>
    </w:rPr>
  </w:style>
  <w:style w:type="character" w:styleId="Hyperlink">
    <w:name w:val="Hyperlink"/>
    <w:basedOn w:val="DefaultParagraphFont"/>
    <w:uiPriority w:val="99"/>
    <w:unhideWhenUsed/>
    <w:rsid w:val="0042341F"/>
    <w:rPr>
      <w:color w:val="0000FF" w:themeColor="hyperlink"/>
      <w:u w:val="single"/>
    </w:rPr>
  </w:style>
  <w:style w:type="character" w:styleId="UnresolvedMention">
    <w:name w:val="Unresolved Mention"/>
    <w:basedOn w:val="DefaultParagraphFont"/>
    <w:uiPriority w:val="99"/>
    <w:semiHidden/>
    <w:unhideWhenUsed/>
    <w:rsid w:val="004234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ebiprasadghosh@gmail.com" TargetMode="External"/><Relationship Id="rId13" Type="http://schemas.openxmlformats.org/officeDocument/2006/relationships/hyperlink" Target="https://doi.org/10.13140/RG.2.2.32223.01445" TargetMode="External"/><Relationship Id="rId18" Type="http://schemas.openxmlformats.org/officeDocument/2006/relationships/hyperlink" Target="https://doi.org/10.13140/RG.2.2.25512.12800"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doi.org/10.1038/nature03721" TargetMode="External"/><Relationship Id="rId7" Type="http://schemas.openxmlformats.org/officeDocument/2006/relationships/endnotes" Target="endnotes.xml"/><Relationship Id="rId12" Type="http://schemas.openxmlformats.org/officeDocument/2006/relationships/hyperlink" Target="https://doi.org/10.1038/s41586-021-04268-7" TargetMode="External"/><Relationship Id="rId17" Type="http://schemas.openxmlformats.org/officeDocument/2006/relationships/hyperlink" Target="https://doi.org/10.13140/RG.2.2.17746.11207" TargetMode="External"/><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doi.org/10.13140/RG.2.2.11035.22561" TargetMode="External"/><Relationship Id="rId20" Type="http://schemas.openxmlformats.org/officeDocument/2006/relationships/hyperlink" Target="https://doi.org/10.13140/RG.2.2.27630.5792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523/JNEUROSCI.5684-07.2008" TargetMode="External"/><Relationship Id="rId24" Type="http://schemas.openxmlformats.org/officeDocument/2006/relationships/hyperlink" Target="https://doi.org/10.1038/nature11649" TargetMode="External"/><Relationship Id="rId5" Type="http://schemas.openxmlformats.org/officeDocument/2006/relationships/webSettings" Target="webSettings.xml"/><Relationship Id="rId15" Type="http://schemas.openxmlformats.org/officeDocument/2006/relationships/hyperlink" Target="https://doi.org/10.13140/RG.2.2.23801.63841" TargetMode="External"/><Relationship Id="rId23" Type="http://schemas.openxmlformats.org/officeDocument/2006/relationships/hyperlink" Target="https://doi.org/10.1126/science.aam6125" TargetMode="External"/><Relationship Id="rId28" Type="http://schemas.openxmlformats.org/officeDocument/2006/relationships/theme" Target="theme/theme1.xml"/><Relationship Id="rId10" Type="http://schemas.openxmlformats.org/officeDocument/2006/relationships/hyperlink" Target="https://doi.org/10.1038/s41593-019-0460-x" TargetMode="External"/><Relationship Id="rId19" Type="http://schemas.openxmlformats.org/officeDocument/2006/relationships/hyperlink" Target="https://doi.org/10.13140/RG.2.2.18717.68323" TargetMode="External"/><Relationship Id="rId4" Type="http://schemas.openxmlformats.org/officeDocument/2006/relationships/settings" Target="settings.xml"/><Relationship Id="rId9" Type="http://schemas.openxmlformats.org/officeDocument/2006/relationships/hyperlink" Target="https://doi.org/10.13140/RG.2.2.29870.27209" TargetMode="External"/><Relationship Id="rId14" Type="http://schemas.openxmlformats.org/officeDocument/2006/relationships/hyperlink" Target="https://doi.org/10.13140/RG.2.2.30512.52486" TargetMode="External"/><Relationship Id="rId22" Type="http://schemas.openxmlformats.org/officeDocument/2006/relationships/hyperlink" Target="https://doi.org/10.1038/nn.4374"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TotalTime>
  <Pages>9</Pages>
  <Words>5127</Words>
  <Characters>29226</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34285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Integral Audit: Torsion, Coefficient False Zeros, and Arithmetic Governance in Defensible Intelligence</dc:title>
  <dc:subject>Conceptual paper on integral cohomological auditing and torsion-aware AI governance</dc:subject>
  <dc:creator>D. P. Ghosh</dc:creator>
  <cp:keywords>integral audit, torsion, coefficient false zero, Smith normal form, Universal Coefficient Theorem, defensible intelligence</cp:keywords>
  <dc:description>Converted and updated from the five-chapter book component The Integral Audit.</dc:description>
  <cp:lastModifiedBy>Debiprasad Ghosh</cp:lastModifiedBy>
  <cp:revision>5</cp:revision>
  <cp:lastPrinted>2026-07-20T17:59:00Z</cp:lastPrinted>
  <dcterms:created xsi:type="dcterms:W3CDTF">2013-12-23T23:15:00Z</dcterms:created>
  <dcterms:modified xsi:type="dcterms:W3CDTF">2026-07-20T18:09:00Z</dcterms:modified>
  <cp:category/>
</cp:coreProperties>
</file>