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AC92" w14:textId="77777777" w:rsidR="00584295" w:rsidRPr="00314975" w:rsidRDefault="00000000" w:rsidP="002E65B2">
      <w:pPr>
        <w:pStyle w:val="AbstractTitle"/>
        <w:rPr>
          <w:sz w:val="32"/>
          <w:szCs w:val="32"/>
        </w:rPr>
      </w:pPr>
      <w:r w:rsidRPr="00314975">
        <w:rPr>
          <w:sz w:val="52"/>
          <w:szCs w:val="52"/>
        </w:rPr>
        <w:t>Topological Metrology of Intelligence</w:t>
      </w:r>
      <w:r w:rsidRPr="00314975">
        <w:rPr>
          <w:sz w:val="32"/>
          <w:szCs w:val="32"/>
        </w:rPr>
        <w:t xml:space="preserve">: </w:t>
      </w:r>
      <w:r w:rsidRPr="00314975">
        <w:t>Persistent, Fractal, and Sheaf-Cohomological Profiles of Transformers and Brain Circuits</w:t>
      </w:r>
    </w:p>
    <w:p w14:paraId="3BFD70F6" w14:textId="77777777" w:rsidR="00314975" w:rsidRDefault="00000000" w:rsidP="00314975">
      <w:pPr>
        <w:pStyle w:val="BodyText"/>
        <w:jc w:val="center"/>
      </w:pPr>
      <w:r>
        <w:t>D. P. Ghosh</w:t>
      </w:r>
      <w:r w:rsidR="00314975">
        <w:t xml:space="preserve">, </w:t>
      </w:r>
      <w:hyperlink r:id="rId7" w:history="1">
        <w:r w:rsidR="00314975" w:rsidRPr="005C3AE6">
          <w:rPr>
            <w:rStyle w:val="Hyperlink"/>
          </w:rPr>
          <w:t>debiprasadghosh@gmail.com</w:t>
        </w:r>
      </w:hyperlink>
      <w:r w:rsidR="00314975">
        <w:t xml:space="preserve"> </w:t>
      </w:r>
    </w:p>
    <w:p w14:paraId="22916244" w14:textId="5D8A803E" w:rsidR="00584295" w:rsidRDefault="002E65B2" w:rsidP="00314975">
      <w:pPr>
        <w:pStyle w:val="BodyText"/>
        <w:jc w:val="center"/>
      </w:pPr>
      <w:hyperlink r:id="rId8" w:history="1">
        <w:r w:rsidRPr="00103C7A">
          <w:rPr>
            <w:rStyle w:val="Hyperlink"/>
          </w:rPr>
          <w:t>https://doi.org/10.13140/RG.2.2.24182.36163</w:t>
        </w:r>
      </w:hyperlink>
      <w:r>
        <w:t xml:space="preserve"> </w:t>
      </w:r>
      <w:r w:rsidR="00314975">
        <w:t xml:space="preserve"> </w:t>
      </w:r>
    </w:p>
    <w:p w14:paraId="3E737CAE" w14:textId="77777777" w:rsidR="00584295" w:rsidRDefault="00000000" w:rsidP="00314975">
      <w:pPr>
        <w:pStyle w:val="BodyText"/>
        <w:jc w:val="center"/>
      </w:pPr>
      <w:r>
        <w:rPr>
          <w:i/>
          <w:iCs/>
        </w:rPr>
        <w:t>Conceptual paper — no experimental results are claimed</w:t>
      </w:r>
    </w:p>
    <w:p w14:paraId="6F82FEF7" w14:textId="77777777" w:rsidR="00584295" w:rsidRPr="003D143F" w:rsidRDefault="00000000" w:rsidP="00314975">
      <w:pPr>
        <w:pStyle w:val="BodyText"/>
        <w:jc w:val="both"/>
        <w:rPr>
          <w:sz w:val="28"/>
          <w:szCs w:val="28"/>
        </w:rPr>
      </w:pPr>
      <w:r w:rsidRPr="003D143F">
        <w:rPr>
          <w:b/>
          <w:bCs/>
          <w:sz w:val="28"/>
          <w:szCs w:val="28"/>
        </w:rPr>
        <w:t>Abstract —</w:t>
      </w:r>
      <w:r w:rsidRPr="003D143F">
        <w:rPr>
          <w:sz w:val="28"/>
          <w:szCs w:val="28"/>
        </w:rPr>
        <w:t xml:space="preserve"> Classical algebraic topology begins with a specified space; a Transformer or brain circuit does not. The same system can be represented as an architectural graph, an input-conditioned effective network, a witnessed higher-order complex, a population-state manifold, or a coefficient-bearing knowledge structure. This paper proposes topological metrology: a protocol for constructing, typing, validating, and comparing those objects before computing invariants. Homology and persistence characterize the carrier; sheaf cohomology characterizes local-to-global compatibility only when stalks and restriction maps encode the carried information. Pairwise attention or correlation supplies a one-skeleton, not a certified nerve, so higher cells require independent witnesses. The system is assigned an indexed profile across task, layer, time, threshold, direction, and resolution rather than one Betti vector. A corrected fractal extension is split into two non-equivalent legs: functorial transport across a resolution ladder, and statistically grounded persistence-scaling exponents. The first is proposed as a multiscale research object; the second has rigorous general dimension recovery mainly in degree zero, with higher-degree claims requiring additional assumptions. The resulting programme defines a path from external topological analysis to an internal AGI audit that can refine, repair, defer, or refuse unsupported global states.</w:t>
      </w:r>
    </w:p>
    <w:p w14:paraId="0F7C4F2E" w14:textId="77777777" w:rsidR="00584295" w:rsidRDefault="00000000" w:rsidP="00314975">
      <w:pPr>
        <w:pStyle w:val="BodyText"/>
        <w:jc w:val="both"/>
      </w:pPr>
      <w:r>
        <w:rPr>
          <w:b/>
          <w:bCs/>
        </w:rPr>
        <w:t>Keywords —</w:t>
      </w:r>
      <w:r>
        <w:t xml:space="preserve"> algebraic topology; persistent homology; fractal dimension; cellular sheaves; Transformer; brain circuits; artificial general intelligence</w:t>
      </w:r>
    </w:p>
    <w:p w14:paraId="2EF65E85" w14:textId="77777777" w:rsidR="00584295" w:rsidRDefault="00000000" w:rsidP="00314975">
      <w:pPr>
        <w:pStyle w:val="Heading1"/>
        <w:jc w:val="both"/>
      </w:pPr>
      <w:bookmarkStart w:id="0" w:name="introduction"/>
      <w:r>
        <w:t>1. Introduction</w:t>
      </w:r>
    </w:p>
    <w:p w14:paraId="3C94E0BE" w14:textId="77777777" w:rsidR="00584295" w:rsidRDefault="00000000" w:rsidP="00314975">
      <w:pPr>
        <w:pStyle w:val="FirstParagraph"/>
        <w:jc w:val="both"/>
      </w:pPr>
      <w:r>
        <w:t xml:space="preserve">For a circle, sphere, or torus, the underlying space is defined before one calculates its fundamental group, homology, or Betti numbers. For an intelligent system, object construction is itself the scientific problem. A Transformer can be read through its fixed computational graph, attention relations, causal contribution paths, hidden-state geometry, or semantic domains. A brain can be read through anatomy, functional or effective </w:t>
      </w:r>
      <w:r>
        <w:lastRenderedPageBreak/>
        <w:t>connectivity, coactivity assemblies, receptive-field overlap, or population dynamics. These constructions answer different questions and need not share a homotopy type.</w:t>
      </w:r>
    </w:p>
    <w:p w14:paraId="367EBD5A" w14:textId="77777777" w:rsidR="00584295" w:rsidRDefault="00000000" w:rsidP="00314975">
      <w:pPr>
        <w:pStyle w:val="BodyText"/>
        <w:jc w:val="both"/>
      </w:pPr>
      <w:r>
        <w:t>Computational topology already supplies persistent, zigzag, multiparameter, directed, and sheaf-based methods (Carlsson, 2009; Carlsson &amp; de Silva, 2010; Carlsson &amp; Zomorodian, 2009; Hansen &amp; Ghrist, 2019). Neuroscience has recovered meaningful topology from coactivity, correlations, directed connectomes, and neural manifolds (Giusti et al., 2015; Reimann et al., 2017; Gardner et al., 2022). Transformer studies have applied topology to attention and hidden representations (Perez &amp; Reinauer, 2022; Gardinazzi et al., 2025). The unresolved gap is not an absence of algorithms, but the absence of a canonical observation-to-object rule.</w:t>
      </w:r>
    </w:p>
    <w:p w14:paraId="373307DA" w14:textId="77777777" w:rsidR="00584295" w:rsidRDefault="00000000" w:rsidP="00314975">
      <w:pPr>
        <w:pStyle w:val="BodyText"/>
        <w:jc w:val="both"/>
      </w:pPr>
      <w:r>
        <w:t>We call the required discipline topological metrology of intelligence. It specifies the vertex type, relation, higher-cell witness, filtration, coefficient system, comparison maps, stability tests, and scope of interpretation. The paper develops a compact conceptual framework; it does not claim a unique construction or experimental validation.</w:t>
      </w:r>
    </w:p>
    <w:p w14:paraId="3BC10E16" w14:textId="77777777" w:rsidR="00584295" w:rsidRDefault="00000000" w:rsidP="00314975">
      <w:pPr>
        <w:pStyle w:val="Heading1"/>
        <w:jc w:val="both"/>
      </w:pPr>
      <w:bookmarkStart w:id="1" w:name="constructing-the-carrier"/>
      <w:bookmarkEnd w:id="0"/>
      <w:r>
        <w:t>2. Constructing the carrier</w:t>
      </w:r>
    </w:p>
    <w:p w14:paraId="78463E4D" w14:textId="77777777" w:rsidR="00584295" w:rsidRDefault="00000000" w:rsidP="00314975">
      <w:pPr>
        <w:pStyle w:val="FirstParagraph"/>
        <w:jc w:val="both"/>
      </w:pPr>
      <w:r>
        <w:t xml:space="preserve">Let </w:t>
      </w:r>
      <m:oMath>
        <m:r>
          <w:rPr>
            <w:rFonts w:ascii="Cambria Math" w:hAnsi="Cambria Math"/>
          </w:rPr>
          <m:t>S</m:t>
        </m:r>
      </m:oMath>
      <w:r>
        <w:t xml:space="preserve"> be a system, </w:t>
      </w:r>
      <m:oMath>
        <m:r>
          <w:rPr>
            <w:rFonts w:ascii="Cambria Math" w:hAnsi="Cambria Math"/>
          </w:rPr>
          <m:t>O</m:t>
        </m:r>
      </m:oMath>
      <w:r>
        <w:t xml:space="preserve"> an observation protocol, and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cr m:val="script"/>
                <m:sty m:val="p"/>
              </m:rPr>
              <w:rPr>
                <w:rFonts w:ascii="Cambria Math" w:hAnsi="Cambria Math"/>
              </w:rPr>
              <m:t>,l,</m:t>
            </m:r>
            <m:r>
              <w:rPr>
                <w:rFonts w:ascii="Cambria Math" w:hAnsi="Cambria Math"/>
              </w:rPr>
              <m:t>α</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τ</m:t>
            </m:r>
          </m:e>
        </m:d>
      </m:oMath>
      <w:r>
        <w:t xml:space="preserve"> an index containing context </w:t>
      </w:r>
      <m:oMath>
        <m:r>
          <w:rPr>
            <w:rFonts w:ascii="Cambria Math" w:hAnsi="Cambria Math"/>
          </w:rPr>
          <m:t>x</m:t>
        </m:r>
      </m:oMath>
      <w:r>
        <w:t xml:space="preserve">, time </w:t>
      </w:r>
      <m:oMath>
        <m:r>
          <w:rPr>
            <w:rFonts w:ascii="Cambria Math" w:hAnsi="Cambria Math"/>
          </w:rPr>
          <m:t>t</m:t>
        </m:r>
      </m:oMath>
      <w:r>
        <w:t xml:space="preserve">, layer or scale </w:t>
      </w:r>
      <m:oMath>
        <m:r>
          <m:rPr>
            <m:scr m:val="script"/>
            <m:sty m:val="p"/>
          </m:rPr>
          <w:rPr>
            <w:rFonts w:ascii="Cambria Math" w:hAnsi="Cambria Math"/>
          </w:rPr>
          <m:t>l</m:t>
        </m:r>
      </m:oMath>
      <w:r>
        <w:t xml:space="preserve">, filtration value </w:t>
      </w:r>
      <m:oMath>
        <m:r>
          <w:rPr>
            <w:rFonts w:ascii="Cambria Math" w:hAnsi="Cambria Math"/>
          </w:rPr>
          <m:t>α</m:t>
        </m:r>
      </m:oMath>
      <w:r>
        <w:t xml:space="preserve">, resolution </w:t>
      </w:r>
      <m:oMath>
        <m:r>
          <w:rPr>
            <w:rFonts w:ascii="Cambria Math" w:hAnsi="Cambria Math"/>
          </w:rPr>
          <m:t>ρ</m:t>
        </m:r>
      </m:oMath>
      <w:r>
        <w:t xml:space="preserve">, and carrier type </w:t>
      </w:r>
      <m:oMath>
        <m:r>
          <w:rPr>
            <w:rFonts w:ascii="Cambria Math" w:hAnsi="Cambria Math"/>
          </w:rPr>
          <m:t>τ</m:t>
        </m:r>
      </m:oMath>
      <w:r>
        <w:t xml:space="preserve">. A construction functor </w:t>
      </w:r>
      <m:oMath>
        <m:r>
          <w:rPr>
            <w:rFonts w:ascii="Cambria Math" w:hAnsi="Cambria Math"/>
          </w:rPr>
          <m:t>Φ</m:t>
        </m:r>
      </m:oMath>
      <w:r>
        <w:t xml:space="preserve"> produces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τ</m:t>
            </m:r>
          </m:sup>
        </m:sSubSup>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Φ</m:t>
        </m:r>
        <m:d>
          <m:dPr>
            <m:begChr m:val="["/>
            <m:endChr m:val="]"/>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λ</m:t>
                </m:r>
              </m:e>
            </m:d>
          </m:e>
        </m:d>
      </m:oMath>
      <w:r>
        <w:t xml:space="preserve">. The type </w:t>
      </w:r>
      <m:oMath>
        <m:r>
          <w:rPr>
            <w:rFonts w:ascii="Cambria Math" w:hAnsi="Cambria Math"/>
          </w:rPr>
          <m:t>τ</m:t>
        </m:r>
      </m:oMath>
      <w:r>
        <w:t xml:space="preserve"> must distinguish at least: architecture, effective interaction, witnessed joint interaction, state-space geometry, and representational domain.</w:t>
      </w:r>
    </w:p>
    <w:p w14:paraId="39D107C9" w14:textId="77777777" w:rsidR="00584295" w:rsidRDefault="00000000" w:rsidP="00314975">
      <w:pPr>
        <w:pStyle w:val="BodyText"/>
        <w:jc w:val="both"/>
      </w:pPr>
      <w:r>
        <w:t xml:space="preserve">If a network is treated only as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then </w:t>
      </w:r>
      <m:oMath>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c</m:t>
        </m:r>
      </m:oMath>
      <w:r>
        <w:t xml:space="preserve">, where </w:t>
      </w:r>
      <m:oMath>
        <m:r>
          <w:rPr>
            <w:rFonts w:ascii="Cambria Math" w:hAnsi="Cambria Math"/>
          </w:rPr>
          <m:t>c</m:t>
        </m:r>
      </m:oMath>
      <w:r>
        <w:t xml:space="preserve"> is the number of connected components. Any higher-dimensional cavity therefore depends on an additional cell rule. This is load-bearing: three pairwise edges form an unfilled 1-cycle, whereas adding the triangular 2-simplex makes that cycle a boundary.</w:t>
      </w:r>
    </w:p>
    <w:p w14:paraId="23246E95" w14:textId="77777777" w:rsidR="00584295" w:rsidRDefault="00000000" w:rsidP="00314975">
      <w:pPr>
        <w:pStyle w:val="BodyText"/>
        <w:jc w:val="both"/>
      </w:pPr>
      <w:r>
        <w:t xml:space="preserve">Pairwise evidence must therefore be separated from joint evidence. Attention, correlation, or anatomical connectivity can propose edges. A simplex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oMath>
      <w:r>
        <w:t xml:space="preserve"> should be admitted only when an independent witness </w:t>
      </w:r>
      <m:oMath>
        <m:r>
          <w:rPr>
            <w:rFonts w:ascii="Cambria Math" w:hAnsi="Cambria Math"/>
          </w:rPr>
          <m:t>W</m:t>
        </m:r>
        <m:d>
          <m:dPr>
            <m:ctrlPr>
              <w:rPr>
                <w:rFonts w:ascii="Cambria Math" w:hAnsi="Cambria Math"/>
              </w:rPr>
            </m:ctrlPr>
          </m:dPr>
          <m:e>
            <m:r>
              <w:rPr>
                <w:rFonts w:ascii="Cambria Math" w:hAnsi="Cambria Math"/>
              </w:rPr>
              <m:t>σ</m:t>
            </m:r>
          </m:e>
        </m:d>
      </m:oMath>
      <w:r>
        <w:t xml:space="preserve"> exists: a common latent feature, joint causal effect, simultaneous event, common receptive domain, or shared task constraint. A clique or Vietoris–Rips completion is justified only when pairwise proximity has a defensible geometric meaning. Otherwise it risks false filling; omitting a real joint witness risks a false hole. Nerves and Dowker complexes are natural for common-domain or bipartite witnesses, path homology for directed routes, and hypercovers for internally structured overlaps (Dowker, 1952; Grigor’yan et al., 2012; Chowdhury &amp; Mémoli, 2018; Ghosh, 2026a, 2026b).</w:t>
      </w:r>
    </w:p>
    <w:tbl>
      <w:tblPr>
        <w:tblStyle w:val="Table"/>
        <w:tblW w:w="0" w:type="auto"/>
        <w:jc w:val="center"/>
        <w:tblLook w:val="0020" w:firstRow="1" w:lastRow="0" w:firstColumn="0" w:lastColumn="0" w:noHBand="0" w:noVBand="0"/>
      </w:tblPr>
      <w:tblGrid>
        <w:gridCol w:w="950"/>
        <w:gridCol w:w="4455"/>
      </w:tblGrid>
      <w:tr w:rsidR="00584295" w14:paraId="6292B54F" w14:textId="77777777" w:rsidTr="003D143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7B30552" w14:textId="77777777" w:rsidR="00584295" w:rsidRDefault="00000000" w:rsidP="00314975">
            <w:pPr>
              <w:pStyle w:val="Compact"/>
              <w:jc w:val="both"/>
            </w:pPr>
            <w:r>
              <w:t>Carrier</w:t>
            </w:r>
          </w:p>
        </w:tc>
        <w:tc>
          <w:tcPr>
            <w:tcW w:w="0" w:type="auto"/>
          </w:tcPr>
          <w:p w14:paraId="39E007A9" w14:textId="77777777" w:rsidR="00584295" w:rsidRDefault="00000000" w:rsidP="00314975">
            <w:pPr>
              <w:pStyle w:val="Compact"/>
              <w:jc w:val="both"/>
            </w:pPr>
            <w:r>
              <w:t>Question measured</w:t>
            </w:r>
          </w:p>
        </w:tc>
      </w:tr>
      <w:tr w:rsidR="00584295" w14:paraId="0BCD7CDE" w14:textId="77777777" w:rsidTr="003D143F">
        <w:trPr>
          <w:jc w:val="center"/>
        </w:trPr>
        <w:tc>
          <w:tcPr>
            <w:tcW w:w="0" w:type="auto"/>
          </w:tcPr>
          <w:p w14:paraId="31428C83" w14:textId="77777777" w:rsidR="00584295" w:rsidRDefault="00000000" w:rsidP="00314975">
            <w:pPr>
              <w:pStyle w:val="Compact"/>
              <w:jc w:val="both"/>
            </w:pPr>
            <m:oMathPara>
              <m:oMath>
                <m:sSub>
                  <m:sSubPr>
                    <m:ctrlPr>
                      <w:rPr>
                        <w:rFonts w:ascii="Cambria Math" w:hAnsi="Cambria Math"/>
                      </w:rPr>
                    </m:ctrlPr>
                  </m:sSubPr>
                  <m:e>
                    <m:r>
                      <w:rPr>
                        <w:rFonts w:ascii="Cambria Math" w:hAnsi="Cambria Math"/>
                      </w:rPr>
                      <m:t>K</m:t>
                    </m:r>
                  </m:e>
                  <m:sub>
                    <m:r>
                      <m:rPr>
                        <m:sty m:val="p"/>
                      </m:rPr>
                      <w:rPr>
                        <w:rFonts w:ascii="Cambria Math" w:hAnsi="Cambria Math"/>
                      </w:rPr>
                      <m:t>arch</m:t>
                    </m:r>
                  </m:sub>
                </m:sSub>
              </m:oMath>
            </m:oMathPara>
          </w:p>
        </w:tc>
        <w:tc>
          <w:tcPr>
            <w:tcW w:w="0" w:type="auto"/>
          </w:tcPr>
          <w:p w14:paraId="61155E3F" w14:textId="77777777" w:rsidR="00584295" w:rsidRDefault="00000000" w:rsidP="00314975">
            <w:pPr>
              <w:pStyle w:val="Compact"/>
              <w:jc w:val="both"/>
            </w:pPr>
            <w:r>
              <w:t>Which routes are possible?</w:t>
            </w:r>
          </w:p>
        </w:tc>
      </w:tr>
      <w:tr w:rsidR="00584295" w14:paraId="48DA8015" w14:textId="77777777" w:rsidTr="003D143F">
        <w:trPr>
          <w:jc w:val="center"/>
        </w:trPr>
        <w:tc>
          <w:tcPr>
            <w:tcW w:w="0" w:type="auto"/>
          </w:tcPr>
          <w:p w14:paraId="653C0C4A" w14:textId="77777777" w:rsidR="00584295" w:rsidRDefault="00000000" w:rsidP="00314975">
            <w:pPr>
              <w:pStyle w:val="Compact"/>
              <w:jc w:val="both"/>
            </w:pPr>
            <m:oMathPara>
              <m:oMath>
                <m:sSub>
                  <m:sSubPr>
                    <m:ctrlPr>
                      <w:rPr>
                        <w:rFonts w:ascii="Cambria Math" w:hAnsi="Cambria Math"/>
                      </w:rPr>
                    </m:ctrlPr>
                  </m:sSubPr>
                  <m:e>
                    <m:r>
                      <w:rPr>
                        <w:rFonts w:ascii="Cambria Math" w:hAnsi="Cambria Math"/>
                      </w:rPr>
                      <m:t>K</m:t>
                    </m:r>
                  </m:e>
                  <m:sub>
                    <m:r>
                      <m:rPr>
                        <m:sty m:val="p"/>
                      </m:rPr>
                      <w:rPr>
                        <w:rFonts w:ascii="Cambria Math" w:hAnsi="Cambria Math"/>
                      </w:rPr>
                      <m:t>eff</m:t>
                    </m:r>
                  </m:sub>
                </m:sSub>
              </m:oMath>
            </m:oMathPara>
          </w:p>
        </w:tc>
        <w:tc>
          <w:tcPr>
            <w:tcW w:w="0" w:type="auto"/>
          </w:tcPr>
          <w:p w14:paraId="4BB06333" w14:textId="77777777" w:rsidR="00584295" w:rsidRDefault="00000000" w:rsidP="00314975">
            <w:pPr>
              <w:pStyle w:val="Compact"/>
              <w:jc w:val="both"/>
            </w:pPr>
            <w:r>
              <w:t>Which influences are active now?</w:t>
            </w:r>
          </w:p>
        </w:tc>
      </w:tr>
      <w:tr w:rsidR="00584295" w14:paraId="6A3DC36E" w14:textId="77777777" w:rsidTr="003D143F">
        <w:trPr>
          <w:jc w:val="center"/>
        </w:trPr>
        <w:tc>
          <w:tcPr>
            <w:tcW w:w="0" w:type="auto"/>
          </w:tcPr>
          <w:p w14:paraId="01707655" w14:textId="77777777" w:rsidR="00584295" w:rsidRDefault="00000000" w:rsidP="00314975">
            <w:pPr>
              <w:pStyle w:val="Compact"/>
              <w:jc w:val="both"/>
            </w:pPr>
            <m:oMathPara>
              <m:oMath>
                <m:sSub>
                  <m:sSubPr>
                    <m:ctrlPr>
                      <w:rPr>
                        <w:rFonts w:ascii="Cambria Math" w:hAnsi="Cambria Math"/>
                      </w:rPr>
                    </m:ctrlPr>
                  </m:sSubPr>
                  <m:e>
                    <m:r>
                      <w:rPr>
                        <w:rFonts w:ascii="Cambria Math" w:hAnsi="Cambria Math"/>
                      </w:rPr>
                      <m:t>K</m:t>
                    </m:r>
                  </m:e>
                  <m:sub>
                    <m:r>
                      <m:rPr>
                        <m:sty m:val="p"/>
                      </m:rPr>
                      <w:rPr>
                        <w:rFonts w:ascii="Cambria Math" w:hAnsi="Cambria Math"/>
                      </w:rPr>
                      <m:t>joint</m:t>
                    </m:r>
                  </m:sub>
                </m:sSub>
              </m:oMath>
            </m:oMathPara>
          </w:p>
        </w:tc>
        <w:tc>
          <w:tcPr>
            <w:tcW w:w="0" w:type="auto"/>
          </w:tcPr>
          <w:p w14:paraId="5278400B" w14:textId="77777777" w:rsidR="00584295" w:rsidRDefault="00000000" w:rsidP="00314975">
            <w:pPr>
              <w:pStyle w:val="Compact"/>
              <w:jc w:val="both"/>
            </w:pPr>
            <w:r>
              <w:t>Which interactions are jointly witnessed?</w:t>
            </w:r>
          </w:p>
        </w:tc>
      </w:tr>
      <w:tr w:rsidR="00584295" w14:paraId="53077DC9" w14:textId="77777777" w:rsidTr="003D143F">
        <w:trPr>
          <w:jc w:val="center"/>
        </w:trPr>
        <w:tc>
          <w:tcPr>
            <w:tcW w:w="0" w:type="auto"/>
          </w:tcPr>
          <w:p w14:paraId="5E7F4BAB" w14:textId="77777777" w:rsidR="00584295" w:rsidRDefault="00000000" w:rsidP="00314975">
            <w:pPr>
              <w:pStyle w:val="Compact"/>
              <w:jc w:val="both"/>
            </w:pPr>
            <m:oMathPara>
              <m:oMath>
                <m:sSub>
                  <m:sSubPr>
                    <m:ctrlPr>
                      <w:rPr>
                        <w:rFonts w:ascii="Cambria Math" w:hAnsi="Cambria Math"/>
                      </w:rPr>
                    </m:ctrlPr>
                  </m:sSubPr>
                  <m:e>
                    <m:r>
                      <w:rPr>
                        <w:rFonts w:ascii="Cambria Math" w:hAnsi="Cambria Math"/>
                      </w:rPr>
                      <m:t>K</m:t>
                    </m:r>
                  </m:e>
                  <m:sub>
                    <m:r>
                      <m:rPr>
                        <m:sty m:val="p"/>
                      </m:rPr>
                      <w:rPr>
                        <w:rFonts w:ascii="Cambria Math" w:hAnsi="Cambria Math"/>
                      </w:rPr>
                      <m:t>state</m:t>
                    </m:r>
                  </m:sub>
                </m:sSub>
              </m:oMath>
            </m:oMathPara>
          </w:p>
        </w:tc>
        <w:tc>
          <w:tcPr>
            <w:tcW w:w="0" w:type="auto"/>
          </w:tcPr>
          <w:p w14:paraId="5486D0DC" w14:textId="77777777" w:rsidR="00584295" w:rsidRDefault="00000000" w:rsidP="00314975">
            <w:pPr>
              <w:pStyle w:val="Compact"/>
              <w:jc w:val="both"/>
            </w:pPr>
            <w:r>
              <w:t>What geometric state is traced?</w:t>
            </w:r>
          </w:p>
        </w:tc>
      </w:tr>
      <w:tr w:rsidR="00584295" w14:paraId="42E8A83E" w14:textId="77777777" w:rsidTr="003D143F">
        <w:trPr>
          <w:jc w:val="center"/>
        </w:trPr>
        <w:tc>
          <w:tcPr>
            <w:tcW w:w="0" w:type="auto"/>
          </w:tcPr>
          <w:p w14:paraId="61715724" w14:textId="77777777" w:rsidR="00584295" w:rsidRDefault="00000000" w:rsidP="00314975">
            <w:pPr>
              <w:pStyle w:val="Compact"/>
              <w:jc w:val="both"/>
            </w:pPr>
            <m:oMathPara>
              <m:oMath>
                <m:d>
                  <m:dPr>
                    <m:ctrlPr>
                      <w:rPr>
                        <w:rFonts w:ascii="Cambria Math" w:hAnsi="Cambria Math"/>
                      </w:rPr>
                    </m:ctrlPr>
                  </m:dPr>
                  <m:e>
                    <m:r>
                      <w:rPr>
                        <w:rFonts w:ascii="Cambria Math" w:hAnsi="Cambria Math"/>
                      </w:rPr>
                      <m:t>K</m:t>
                    </m:r>
                    <m:r>
                      <m:rPr>
                        <m:scr m:val="script"/>
                        <m:sty m:val="p"/>
                      </m:rPr>
                      <w:rPr>
                        <w:rFonts w:ascii="Cambria Math" w:hAnsi="Cambria Math"/>
                      </w:rPr>
                      <m:t>,F</m:t>
                    </m:r>
                  </m:e>
                </m:d>
              </m:oMath>
            </m:oMathPara>
          </w:p>
        </w:tc>
        <w:tc>
          <w:tcPr>
            <w:tcW w:w="0" w:type="auto"/>
          </w:tcPr>
          <w:p w14:paraId="5428F916" w14:textId="77777777" w:rsidR="00584295" w:rsidRDefault="00000000" w:rsidP="00314975">
            <w:pPr>
              <w:pStyle w:val="Compact"/>
              <w:jc w:val="both"/>
            </w:pPr>
            <w:r>
              <w:t>Do local contents cohere?</w:t>
            </w:r>
          </w:p>
        </w:tc>
      </w:tr>
    </w:tbl>
    <w:p w14:paraId="728B37E6" w14:textId="77777777" w:rsidR="00584295" w:rsidRDefault="00000000" w:rsidP="00314975">
      <w:pPr>
        <w:pStyle w:val="Heading1"/>
        <w:jc w:val="both"/>
      </w:pPr>
      <w:bookmarkStart w:id="2" w:name="indexed-persistent-and-fractal-profiles"/>
      <w:bookmarkEnd w:id="1"/>
      <w:r>
        <w:t>3. Indexed, persistent, and fractal profiles</w:t>
      </w:r>
    </w:p>
    <w:p w14:paraId="61EC698A" w14:textId="77777777" w:rsidR="00584295" w:rsidRDefault="00000000" w:rsidP="00314975">
      <w:pPr>
        <w:pStyle w:val="FirstParagraph"/>
        <w:jc w:val="both"/>
      </w:pPr>
      <w:r>
        <w:t xml:space="preserve">The metrological output is not one Betti vector but a diagram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d>
          <m:dPr>
            <m:ctrlPr>
              <w:rPr>
                <w:rFonts w:ascii="Cambria Math" w:hAnsi="Cambria Math"/>
              </w:rPr>
            </m:ctrlPr>
          </m:dPr>
          <m:e>
            <m:r>
              <w:rPr>
                <w:rFonts w:ascii="Cambria Math" w:hAnsi="Cambria Math"/>
              </w:rPr>
              <m:t>λ</m:t>
            </m:r>
          </m:e>
        </m:d>
      </m:oMath>
      <w:r>
        <w:t xml:space="preserve">, together with induced invariants. At a fixed index,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xml:space="preserve"> records non-abelian loop structure and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records </w:t>
      </w:r>
      <m:oMath>
        <m:r>
          <w:rPr>
            <w:rFonts w:ascii="Cambria Math" w:hAnsi="Cambria Math"/>
          </w:rPr>
          <m:t>k</m:t>
        </m:r>
      </m:oMath>
      <w:r>
        <w:t>-cycles modulo boundaries. Across a nested threshold filtration, persistence records births and deaths; across non-nested layers or time windows, zigzag persistence tracks classes through additions and deletions. Directed carriers require direction-preserving methods, while independent parameters such as threshold and resolution require multiparameter summaries rather than a forced scalar ordering (Zomorodian &amp; Carlsson, 2005; Carlsson &amp; de Silva, 2010).</w:t>
      </w:r>
    </w:p>
    <w:p w14:paraId="4599BE0E" w14:textId="77777777" w:rsidR="00584295" w:rsidRDefault="00000000" w:rsidP="00314975">
      <w:pPr>
        <w:pStyle w:val="BodyText"/>
        <w:jc w:val="both"/>
      </w:pPr>
      <m:oMathPara>
        <m:oMathParaPr>
          <m:jc m:val="center"/>
        </m:oMathParaPr>
        <m:oMath>
          <m:r>
            <m:rPr>
              <m:scr m:val="script"/>
              <m:sty m:val="p"/>
            </m:rP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λ</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λ</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Dgm</m:t>
              </m:r>
            </m:e>
            <m:sub>
              <m:r>
                <w:rPr>
                  <w:rFonts w:ascii="Cambria Math" w:hAnsi="Cambria Math"/>
                </w:rPr>
                <m:t>k</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k</m:t>
              </m:r>
            </m:sub>
            <m:sup>
              <m:r>
                <m:rPr>
                  <m:sty m:val="p"/>
                </m:rPr>
                <w:rPr>
                  <w:rFonts w:ascii="Cambria Math" w:hAnsi="Cambria Math"/>
                </w:rPr>
                <m:t>path</m:t>
              </m:r>
            </m:sup>
          </m:sSub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λ</m:t>
                  </m:r>
                </m:sub>
              </m:sSub>
            </m:e>
          </m:d>
          <m:sSub>
            <m:sSubPr>
              <m:ctrlPr>
                <w:rPr>
                  <w:rFonts w:ascii="Cambria Math" w:hAnsi="Cambria Math"/>
                </w:rPr>
              </m:ctrlPr>
            </m:sSubPr>
            <m:e>
              <m:r>
                <m:rPr>
                  <m:sty m:val="p"/>
                </m:rPr>
                <w:rPr>
                  <w:rFonts w:ascii="Cambria Math" w:hAnsi="Cambria Math"/>
                </w:rPr>
                <m:t>}</m:t>
              </m:r>
            </m:e>
            <m:sub>
              <m:r>
                <w:rPr>
                  <w:rFonts w:ascii="Cambria Math" w:hAnsi="Cambria Math"/>
                </w:rPr>
                <m:t>λ</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361D00A5" w14:textId="77777777" w:rsidR="00584295" w:rsidRDefault="00000000" w:rsidP="00314975">
      <w:pPr>
        <w:pStyle w:val="Heading2"/>
        <w:jc w:val="both"/>
      </w:pPr>
      <w:bookmarkStart w:id="3" w:name="corrected-fractal-extension"/>
      <w:r>
        <w:t>3.1 Corrected fractal extension</w:t>
      </w:r>
    </w:p>
    <w:p w14:paraId="11AE8074" w14:textId="77777777" w:rsidR="00584295" w:rsidRDefault="00000000" w:rsidP="00314975">
      <w:pPr>
        <w:pStyle w:val="FirstParagraph"/>
        <w:jc w:val="both"/>
      </w:pPr>
      <w:r>
        <w:t>“Fractal homology” is used here only as a proposed metrological umbrella; it is not the name of one standardized homology functor. It contains two mathematically distinct legs that must not be conflated.</w:t>
      </w:r>
    </w:p>
    <w:p w14:paraId="6E8292B1" w14:textId="77777777" w:rsidR="00584295" w:rsidRDefault="00000000" w:rsidP="00314975">
      <w:pPr>
        <w:pStyle w:val="BodyText"/>
        <w:jc w:val="both"/>
      </w:pPr>
      <w:r>
        <w:rPr>
          <w:b/>
          <w:bCs/>
        </w:rPr>
        <w:t>Leg A — scale transport.</w:t>
      </w:r>
      <w:r>
        <w:t xml:space="preserve"> Let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oMath>
      <w:r>
        <w:t xml:space="preserve"> be carriers at successively finer resolutions, with coarse-graining maps </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Homology is covariant, so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m:t>
                    </m:r>
                  </m:sub>
                </m:sSub>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sub>
            </m:sSub>
          </m:e>
        </m:d>
      </m:oMath>
      <w:r>
        <w:t xml:space="preserve"> records which fine classes survive, merge, or die under coarsening. For sheaf cohomology, arrows reverse only after the coefficient systems are made compatible: a pullback-compatible morphism </w:t>
      </w:r>
      <m:oMath>
        <m:sSubSup>
          <m:sSubSupPr>
            <m:ctrlPr>
              <w:rPr>
                <w:rFonts w:ascii="Cambria Math" w:hAnsi="Cambria Math"/>
              </w:rPr>
            </m:ctrlPr>
          </m:sSubSupPr>
          <m:e>
            <m: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induces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e>
        </m:d>
      </m:oMath>
      <w:r>
        <w:t>. Thus the homology ladder is fine-to-coarse, while the audited cohomology ladder is coarse-to-fine under stated coefficient data. Limits of scalewise homology and homology of a limiting carrier are not interchangeable without additional hypotheses; finite applications should report the groups and transport maps actually computed.</w:t>
      </w:r>
    </w:p>
    <w:p w14:paraId="2242851E" w14:textId="77777777" w:rsidR="00584295" w:rsidRDefault="00000000" w:rsidP="00314975">
      <w:pPr>
        <w:pStyle w:val="BodyText"/>
        <w:jc w:val="both"/>
      </w:pPr>
      <w:r>
        <w:t>Approximate self-similarity is a falsifiable recurrence claim, not visual resemblance. Candidate modules must be chosen by a declared rule, compared by a topological distance, and tested against size-matched random subcomplexes. A fractal false zero occurs when a coarse coefficient system reports no obstruction while a finer compatible system reveals a nonzero class. A recurrent false-zero pattern is stronger: related fine-scale classes repeatedly appear and are repeatedly killed by coarsening. Tracking the whole ladder distinguishes this multiscale loss from one isolated resolution error.</w:t>
      </w:r>
    </w:p>
    <w:p w14:paraId="6CF98A44" w14:textId="77777777" w:rsidR="00584295" w:rsidRDefault="00000000" w:rsidP="00314975">
      <w:pPr>
        <w:pStyle w:val="BodyText"/>
        <w:jc w:val="both"/>
      </w:pPr>
      <w:r>
        <w:rPr>
          <w:b/>
          <w:bCs/>
        </w:rPr>
        <w:t>Leg B — persistence scaling.</w:t>
      </w:r>
      <w:r>
        <w:t xml:space="preserve"> For </w:t>
      </w:r>
      <m:oMath>
        <m:r>
          <w:rPr>
            <w:rFonts w:ascii="Cambria Math" w:hAnsi="Cambria Math"/>
          </w:rPr>
          <m:t>n</m:t>
        </m:r>
      </m:oMath>
      <w:r>
        <w:t xml:space="preserve"> i.i.d. samples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and degree-</w:t>
      </w:r>
      <m:oMath>
        <m:r>
          <w:rPr>
            <w:rFonts w:ascii="Cambria Math" w:hAnsi="Cambria Math"/>
          </w:rPr>
          <m:t>i</m:t>
        </m:r>
      </m:oMath>
      <w:r>
        <w:t xml:space="preserve"> barcode </w:t>
      </w:r>
      <m:oMath>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define total </w:t>
      </w:r>
      <m:oMath>
        <m:r>
          <w:rPr>
            <w:rFonts w:ascii="Cambria Math" w:hAnsi="Cambria Math"/>
          </w:rPr>
          <m:t>q</m:t>
        </m:r>
      </m:oMath>
      <w:r>
        <w:t xml:space="preserve">-persistence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q</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e>
                </m:d>
              </m:e>
              <m:sup>
                <m:r>
                  <w:rPr>
                    <w:rFonts w:ascii="Cambria Math" w:hAnsi="Cambria Math"/>
                  </w:rPr>
                  <m:t>q</m:t>
                </m:r>
              </m:sup>
            </m:sSup>
          </m:e>
        </m:nary>
      </m:oMath>
      <w:r>
        <w:t xml:space="preserve">. If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q</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grows as </w:t>
      </w:r>
      <m:oMath>
        <m:sSup>
          <m:sSupPr>
            <m:ctrlPr>
              <w:rPr>
                <w:rFonts w:ascii="Cambria Math" w:hAnsi="Cambria Math"/>
              </w:rPr>
            </m:ctrlPr>
          </m:sSupPr>
          <m:e>
            <m:r>
              <w:rPr>
                <w:rFonts w:ascii="Cambria Math" w:hAnsi="Cambria Math"/>
              </w:rPr>
              <m:t>n</m:t>
            </m:r>
          </m:e>
          <m:sup>
            <m:r>
              <w:rPr>
                <w:rFonts w:ascii="Cambria Math" w:hAnsi="Cambria Math"/>
              </w:rPr>
              <m:t>γ</m:t>
            </m:r>
          </m:sup>
        </m:sSup>
      </m:oMath>
      <w:r>
        <w:t xml:space="preserve">, the candidate dimension is </w:t>
      </w:r>
      <m:oMath>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oMath>
      <w:r>
        <w:t xml:space="preserve">. For </w:t>
      </w:r>
      <m:oMath>
        <m:r>
          <w:rPr>
            <w:rFonts w:ascii="Cambria Math" w:hAnsi="Cambria Math"/>
          </w:rPr>
          <m:t>i</m:t>
        </m:r>
        <m:r>
          <m:rPr>
            <m:sty m:val="p"/>
          </m:rPr>
          <w:rPr>
            <w:rFonts w:ascii="Cambria Math" w:hAnsi="Cambria Math"/>
          </w:rPr>
          <m:t>=</m:t>
        </m:r>
        <m:r>
          <w:rPr>
            <w:rFonts w:ascii="Cambria Math" w:hAnsi="Cambria Math"/>
          </w:rPr>
          <m:t>0</m:t>
        </m:r>
      </m:oMath>
      <w:r>
        <w:t xml:space="preserve">, persistent intervals correspond to minimum-spanning-tree edges; for </w:t>
      </w:r>
      <m:oMath>
        <m:r>
          <w:rPr>
            <w:rFonts w:ascii="Cambria Math" w:hAnsi="Cambria Math"/>
          </w:rPr>
          <m:t>d</m:t>
        </m:r>
      </m:oMath>
      <w:r>
        <w:t xml:space="preserve">-Ahlfors-regular measures and </w:t>
      </w:r>
      <m:oMath>
        <m:r>
          <w:rPr>
            <w:rFonts w:ascii="Cambria Math" w:hAnsi="Cambria Math"/>
          </w:rPr>
          <m:t>0</m:t>
        </m:r>
        <m:r>
          <m:rPr>
            <m:sty m:val="p"/>
          </m:rPr>
          <w:rPr>
            <w:rFonts w:ascii="Cambria Math" w:hAnsi="Cambria Math"/>
          </w:rPr>
          <m:t>&lt;</m:t>
        </m:r>
        <m:r>
          <w:rPr>
            <w:rFonts w:ascii="Cambria Math" w:hAnsi="Cambria Math"/>
          </w:rPr>
          <m:t>q</m:t>
        </m:r>
        <m:r>
          <m:rPr>
            <m:sty m:val="p"/>
          </m:rPr>
          <w:rPr>
            <w:rFonts w:ascii="Cambria Math" w:hAnsi="Cambria Math"/>
          </w:rPr>
          <m:t>&lt;</m:t>
        </m:r>
        <m:r>
          <w:rPr>
            <w:rFonts w:ascii="Cambria Math" w:hAnsi="Cambria Math"/>
          </w:rPr>
          <m:t>d</m:t>
        </m:r>
      </m:oMath>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0</m:t>
            </m:r>
          </m:sub>
          <m:sup>
            <m:r>
              <w:rPr>
                <w:rFonts w:ascii="Cambria Math" w:hAnsi="Cambria Math"/>
              </w:rPr>
              <m:t>q</m:t>
            </m:r>
          </m:sup>
        </m:sSubSup>
      </m:oMath>
      <w:r>
        <w:t xml:space="preserve"> scales as </w:t>
      </w:r>
      <m:oMath>
        <m:sSup>
          <m:sSupPr>
            <m:ctrlPr>
              <w:rPr>
                <w:rFonts w:ascii="Cambria Math" w:hAnsi="Cambria Math"/>
              </w:rPr>
            </m:ctrlPr>
          </m:sSupPr>
          <m:e>
            <m:r>
              <w:rPr>
                <w:rFonts w:ascii="Cambria Math" w:hAnsi="Cambria Math"/>
              </w:rPr>
              <m:t>n</m:t>
            </m:r>
          </m:e>
          <m:sup>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d</m:t>
            </m:r>
          </m:sup>
        </m:sSup>
      </m:oMath>
      <w:r>
        <w:t xml:space="preserve">, giving rigorous </w:t>
      </w:r>
      <w:r>
        <w:lastRenderedPageBreak/>
        <w:t xml:space="preserve">dimension recovery (Steele, 1988; Adams et al., 2020; Schweinhart, 2020). Higher-degree scaling has rigorous results only under additional hypotheses and is not a universal dimension theorem; empirical exponents must be typed by </w:t>
      </w:r>
      <m:oMath>
        <m:r>
          <w:rPr>
            <w:rFonts w:ascii="Cambria Math" w:hAnsi="Cambria Math"/>
          </w:rPr>
          <m:t>i</m:t>
        </m:r>
      </m:oMath>
      <w:r>
        <w:t xml:space="preserve"> and </w:t>
      </w:r>
      <m:oMath>
        <m:r>
          <w:rPr>
            <w:rFonts w:ascii="Cambria Math" w:hAnsi="Cambria Math"/>
          </w:rPr>
          <m:t>q</m:t>
        </m:r>
      </m:oMath>
      <w:r>
        <w:t>, tested by resampling, and reported as candidate scaling descriptors where assumptions are unmet (Jaquette &amp; Schweinhart, 2020).</w:t>
      </w:r>
    </w:p>
    <w:p w14:paraId="3C3A3FA6" w14:textId="77777777" w:rsidR="00584295" w:rsidRDefault="00000000" w:rsidP="00314975">
      <w:pPr>
        <w:pStyle w:val="BodyText"/>
        <w:jc w:val="both"/>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sub>
              </m:sSub>
            </m:e>
          </m:d>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m:t>
                      </m:r>
                    </m:sub>
                  </m:sSub>
                </m:e>
              </m:d>
            </m:e>
            <m:sub>
              <m:r>
                <m:rPr>
                  <m:sty m:val="p"/>
                </m:rPr>
                <w:rPr>
                  <w:rFonts w:ascii="Cambria Math" w:hAnsi="Cambria Math"/>
                </w:rPr>
                <m:t>*</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sub>
          </m:sSub>
          <m:r>
            <m:rPr>
              <m:sty m:val="p"/>
            </m:rPr>
            <w:rPr>
              <w:rFonts w:ascii="Cambria Math" w:hAnsi="Cambria Math"/>
            </w:rPr>
            <m:t>.</m:t>
          </m:r>
        </m:oMath>
      </m:oMathPara>
    </w:p>
    <w:p w14:paraId="21A8A158" w14:textId="77777777" w:rsidR="00584295" w:rsidRDefault="00000000" w:rsidP="00314975">
      <w:pPr>
        <w:pStyle w:val="Heading1"/>
        <w:jc w:val="both"/>
      </w:pPr>
      <w:bookmarkStart w:id="4" w:name="coefficient-bearing-coherence"/>
      <w:bookmarkEnd w:id="2"/>
      <w:bookmarkEnd w:id="3"/>
      <w:r>
        <w:t>4. Coefficient-bearing coherence</w:t>
      </w:r>
    </w:p>
    <w:p w14:paraId="5D425EDF" w14:textId="77777777" w:rsidR="00584295" w:rsidRDefault="00000000" w:rsidP="00314975">
      <w:pPr>
        <w:pStyle w:val="FirstParagraph"/>
        <w:jc w:val="both"/>
      </w:pPr>
      <w:r>
        <w:t xml:space="preserve">Ordinary cohomology with constant coefficients remains a property of the carrier. To audit distributed knowledge, attach a cellular sheaf </w:t>
      </w:r>
      <m:oMath>
        <m:r>
          <m:rPr>
            <m:scr m:val="script"/>
            <m:sty m:val="p"/>
          </m:rPr>
          <w:rPr>
            <w:rFonts w:ascii="Cambria Math" w:hAnsi="Cambria Math"/>
          </w:rPr>
          <m:t>F</m:t>
        </m:r>
      </m:oMath>
      <w:r>
        <w:t xml:space="preserve">: each cell </w:t>
      </w:r>
      <m:oMath>
        <m:r>
          <w:rPr>
            <w:rFonts w:ascii="Cambria Math" w:hAnsi="Cambria Math"/>
          </w:rPr>
          <m:t>σ</m:t>
        </m:r>
      </m:oMath>
      <w:r>
        <w:t xml:space="preserve"> receives a stalk </w:t>
      </w:r>
      <m:oMath>
        <m:r>
          <m:rPr>
            <m:scr m:val="script"/>
            <m:sty m:val="p"/>
          </m:rPr>
          <w:rPr>
            <w:rFonts w:ascii="Cambria Math" w:hAnsi="Cambria Math"/>
          </w:rPr>
          <m:t>F</m:t>
        </m:r>
        <m:d>
          <m:dPr>
            <m:ctrlPr>
              <w:rPr>
                <w:rFonts w:ascii="Cambria Math" w:hAnsi="Cambria Math"/>
              </w:rPr>
            </m:ctrlPr>
          </m:dPr>
          <m:e>
            <m:r>
              <w:rPr>
                <w:rFonts w:ascii="Cambria Math" w:hAnsi="Cambria Math"/>
              </w:rPr>
              <m:t>σ</m:t>
            </m:r>
          </m:e>
        </m:d>
      </m:oMath>
      <w:r>
        <w:t xml:space="preserve">, and each incidence receives a restriction map. The cochain complex </w:t>
      </w:r>
      <m:oMath>
        <m:sSup>
          <m:sSupPr>
            <m:ctrlPr>
              <w:rPr>
                <w:rFonts w:ascii="Cambria Math" w:hAnsi="Cambria Math"/>
              </w:rPr>
            </m:ctrlPr>
          </m:sSupPr>
          <m:e>
            <m:r>
              <w:rPr>
                <w:rFonts w:ascii="Cambria Math" w:hAnsi="Cambria Math"/>
              </w:rPr>
              <m:t>C</m:t>
            </m:r>
          </m:e>
          <m:sup>
            <m:r>
              <w:rPr>
                <w:rFonts w:ascii="Cambria Math" w:hAnsi="Cambria Math"/>
              </w:rPr>
              <m:t>0</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oMath>
      <w:r>
        <w:t xml:space="preserve"> defines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K</m:t>
            </m:r>
            <m:r>
              <m:rPr>
                <m:scr m:val="script"/>
                <m:sty m:val="p"/>
              </m:rPr>
              <w:rPr>
                <w:rFonts w:ascii="Cambria Math" w:hAnsi="Cambria Math"/>
              </w:rPr>
              <m:t>;F</m:t>
            </m:r>
          </m:e>
        </m:d>
      </m:oMath>
      <w:r>
        <w:t>. Zeroth cohomology is the space of global sections: local assignments that agree after translation to every genuine overlap.</w:t>
      </w:r>
    </w:p>
    <w:p w14:paraId="563E69CD" w14:textId="77777777" w:rsidR="00584295" w:rsidRDefault="00000000" w:rsidP="00314975">
      <w:pPr>
        <w:pStyle w:val="BodyText"/>
        <w:jc w:val="both"/>
      </w:pPr>
      <w:r>
        <w:t xml:space="preserve">A crucial correction is that the residual </w:t>
      </w:r>
      <m:oMath>
        <m:sSup>
          <m:sSupPr>
            <m:ctrlPr>
              <w:rPr>
                <w:rFonts w:ascii="Cambria Math" w:hAnsi="Cambria Math"/>
              </w:rPr>
            </m:ctrlPr>
          </m:sSupPr>
          <m:e>
            <m:r>
              <w:rPr>
                <w:rFonts w:ascii="Cambria Math" w:hAnsi="Cambria Math"/>
              </w:rPr>
              <m:t>δ</m:t>
            </m:r>
          </m:e>
          <m:sup>
            <m:r>
              <w:rPr>
                <w:rFonts w:ascii="Cambria Math" w:hAnsi="Cambria Math"/>
              </w:rPr>
              <m:t>0</m:t>
            </m:r>
          </m:sup>
        </m:sSup>
        <m:r>
          <w:rPr>
            <w:rFonts w:ascii="Cambria Math" w:hAnsi="Cambria Math"/>
          </w:rPr>
          <m:t>x</m:t>
        </m:r>
      </m:oMath>
      <w:r>
        <w:t xml:space="preserve"> of a current 0-cochain </w:t>
      </w:r>
      <m:oMath>
        <m:r>
          <w:rPr>
            <w:rFonts w:ascii="Cambria Math" w:hAnsi="Cambria Math"/>
          </w:rPr>
          <m:t>x</m:t>
        </m:r>
      </m:oMath>
      <w:r>
        <w:t xml:space="preserve"> is exact by definition; a nonzero pairwise disagreement is not itself a nontrivial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class. A genuine first obstruction is a transition cochain </w:t>
      </w:r>
      <m:oMath>
        <m:r>
          <w:rPr>
            <w:rFonts w:ascii="Cambria Math" w:hAnsi="Cambria Math"/>
          </w:rPr>
          <m:t>g</m:t>
        </m:r>
      </m:oMath>
      <w:r>
        <w:t xml:space="preserve"> satisfying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g</m:t>
        </m:r>
        <m:r>
          <m:rPr>
            <m:sty m:val="p"/>
          </m:rPr>
          <w:rPr>
            <w:rFonts w:ascii="Cambria Math" w:hAnsi="Cambria Math"/>
          </w:rPr>
          <m:t>=</m:t>
        </m:r>
        <m:r>
          <w:rPr>
            <w:rFonts w:ascii="Cambria Math" w:hAnsi="Cambria Math"/>
          </w:rPr>
          <m:t>0</m:t>
        </m:r>
      </m:oMath>
      <w:r>
        <w:t xml:space="preserve"> but </w:t>
      </w:r>
      <m:oMath>
        <m:r>
          <w:rPr>
            <w:rFonts w:ascii="Cambria Math" w:hAnsi="Cambria Math"/>
          </w:rPr>
          <m:t>g</m:t>
        </m:r>
        <m:r>
          <m:rPr>
            <m:sty m:val="p"/>
          </m:rPr>
          <w:rPr>
            <w:rFonts w:ascii="Cambria Math" w:hAnsi="Cambria Math"/>
          </w:rPr>
          <m:t>∉im</m:t>
        </m:r>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It is locally closed yet cannot be discharged by any admissible family of local corrections. Approximate computation may use the sheaf Laplacian </w:t>
      </w:r>
      <m:oMath>
        <m:sSubSup>
          <m:sSubSupPr>
            <m:ctrlPr>
              <w:rPr>
                <w:rFonts w:ascii="Cambria Math" w:hAnsi="Cambria Math"/>
              </w:rPr>
            </m:ctrlPr>
          </m:sSubSupPr>
          <m:e>
            <m:r>
              <w:rPr>
                <w:rFonts w:ascii="Cambria Math" w:hAnsi="Cambria Math"/>
              </w:rPr>
              <m:t>L</m:t>
            </m:r>
          </m:e>
          <m:sub>
            <m:r>
              <m:rPr>
                <m:scr m:val="script"/>
                <m:sty m:val="p"/>
              </m:rPr>
              <w:rPr>
                <w:rFonts w:ascii="Cambria Math" w:hAnsi="Cambria Math"/>
              </w:rPr>
              <m:t>F</m:t>
            </m:r>
          </m:sub>
          <m:sup>
            <m:r>
              <w:rPr>
                <w:rFonts w:ascii="Cambria Math" w:hAnsi="Cambria Math"/>
              </w:rPr>
              <m:t>0</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0</m:t>
                    </m:r>
                  </m:sup>
                </m:sSup>
              </m:e>
            </m:d>
          </m:e>
          <m:sup>
            <m:r>
              <m:rPr>
                <m:sty m:val="p"/>
              </m:rPr>
              <w:rPr>
                <w:rFonts w:ascii="Cambria Math" w:hAnsi="Cambria Math"/>
              </w:rPr>
              <m:t>*</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but residual magnitude and cohomological nontriviality must remain separate.</w:t>
      </w:r>
    </w:p>
    <w:p w14:paraId="336DC0AE" w14:textId="77777777" w:rsidR="00584295" w:rsidRDefault="00000000" w:rsidP="00314975">
      <w:pPr>
        <w:pStyle w:val="BodyText"/>
        <w:jc w:val="both"/>
      </w:pPr>
      <w:r>
        <w:t xml:space="preserve">A release veto can be expressed by a lifting problem. From a short exact sequence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oMath>
      <w:r>
        <w:t xml:space="preserve">, a proposed global quotient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Q</m:t>
            </m:r>
          </m:e>
        </m:d>
      </m:oMath>
      <w:r>
        <w:t xml:space="preserve"> has connecting class </w:t>
      </w:r>
      <m:oMath>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m:t>
            </m:r>
          </m:e>
        </m:d>
      </m:oMath>
      <w:r>
        <w:t xml:space="preserve">. If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oMath>
      <w:r>
        <w:t>, the proposal cannot be lifted to a full globally compatible state preserving the hidden kernel. The defensible response is then refine, retrieve, repair, defer, or refuse rather than forced gluing (Hansen &amp; Ghrist, 2019; Ghosh, 2026c).</w:t>
      </w:r>
    </w:p>
    <w:p w14:paraId="14859992" w14:textId="77777777" w:rsidR="00584295" w:rsidRDefault="00000000" w:rsidP="00314975">
      <w:pPr>
        <w:pStyle w:val="Heading1"/>
        <w:jc w:val="both"/>
      </w:pPr>
      <w:bookmarkStart w:id="5" w:name="transformer-and-brain-instantiations"/>
      <w:bookmarkEnd w:id="4"/>
      <w:r>
        <w:t>5. Transformer and brain instantiations</w:t>
      </w:r>
    </w:p>
    <w:p w14:paraId="64613F04" w14:textId="77777777" w:rsidR="00584295" w:rsidRDefault="00000000" w:rsidP="00314975">
      <w:pPr>
        <w:pStyle w:val="FirstParagraph"/>
        <w:jc w:val="both"/>
      </w:pPr>
      <w:r>
        <w:t xml:space="preserve">For a Transformer, </w:t>
      </w:r>
      <m:oMath>
        <m:sSub>
          <m:sSubPr>
            <m:ctrlPr>
              <w:rPr>
                <w:rFonts w:ascii="Cambria Math" w:hAnsi="Cambria Math"/>
              </w:rPr>
            </m:ctrlPr>
          </m:sSubPr>
          <m:e>
            <m:r>
              <w:rPr>
                <w:rFonts w:ascii="Cambria Math" w:hAnsi="Cambria Math"/>
              </w:rPr>
              <m:t>K</m:t>
            </m:r>
          </m:e>
          <m:sub>
            <m:r>
              <m:rPr>
                <m:sty m:val="p"/>
              </m:rPr>
              <w:rPr>
                <w:rFonts w:ascii="Cambria Math" w:hAnsi="Cambria Math"/>
              </w:rPr>
              <m:t>arch</m:t>
            </m:r>
          </m:sub>
        </m:sSub>
      </m:oMath>
      <w:r>
        <w:t xml:space="preserve"> is the fixed block and residual scaffold; </w:t>
      </w:r>
      <m:oMath>
        <m:sSub>
          <m:sSubPr>
            <m:ctrlPr>
              <w:rPr>
                <w:rFonts w:ascii="Cambria Math" w:hAnsi="Cambria Math"/>
              </w:rPr>
            </m:ctrlPr>
          </m:sSubPr>
          <m:e>
            <m:r>
              <w:rPr>
                <w:rFonts w:ascii="Cambria Math" w:hAnsi="Cambria Math"/>
              </w:rPr>
              <m:t>K</m:t>
            </m:r>
          </m:e>
          <m:sub>
            <m:r>
              <m:rPr>
                <m:sty m:val="p"/>
              </m:rPr>
              <w:rPr>
                <w:rFonts w:ascii="Cambria Math" w:hAnsi="Cambria Math"/>
              </w:rPr>
              <m:t>att</m:t>
            </m:r>
          </m:sub>
        </m:sSub>
      </m:oMath>
      <w:r>
        <w:t xml:space="preserve"> is the directed weighted one-skeleton supplied by attention; </w:t>
      </w:r>
      <m:oMath>
        <m:sSub>
          <m:sSubPr>
            <m:ctrlPr>
              <w:rPr>
                <w:rFonts w:ascii="Cambria Math" w:hAnsi="Cambria Math"/>
              </w:rPr>
            </m:ctrlPr>
          </m:sSubPr>
          <m:e>
            <m:r>
              <w:rPr>
                <w:rFonts w:ascii="Cambria Math" w:hAnsi="Cambria Math"/>
              </w:rPr>
              <m:t>K</m:t>
            </m:r>
          </m:e>
          <m:sub>
            <m:r>
              <m:rPr>
                <m:sty m:val="p"/>
              </m:rPr>
              <w:rPr>
                <w:rFonts w:ascii="Cambria Math" w:hAnsi="Cambria Math"/>
              </w:rPr>
              <m:t>cause</m:t>
            </m:r>
          </m:sub>
        </m:sSub>
      </m:oMath>
      <w:r>
        <w:t xml:space="preserve"> is estimated by intervention or contribution; </w:t>
      </w:r>
      <m:oMath>
        <m:sSub>
          <m:sSubPr>
            <m:ctrlPr>
              <w:rPr>
                <w:rFonts w:ascii="Cambria Math" w:hAnsi="Cambria Math"/>
              </w:rPr>
            </m:ctrlPr>
          </m:sSubPr>
          <m:e>
            <m:r>
              <w:rPr>
                <w:rFonts w:ascii="Cambria Math" w:hAnsi="Cambria Math"/>
              </w:rPr>
              <m:t>K</m:t>
            </m:r>
          </m:e>
          <m:sub>
            <m:r>
              <m:rPr>
                <m:sty m:val="p"/>
              </m:rPr>
              <w:rPr>
                <w:rFonts w:ascii="Cambria Math" w:hAnsi="Cambria Math"/>
              </w:rPr>
              <m:t>joint</m:t>
            </m:r>
          </m:sub>
        </m:sSub>
      </m:oMath>
      <w:r>
        <w:t xml:space="preserve"> uses independent common-head, common-feature, common-effect, or semantic witnesses; </w:t>
      </w:r>
      <m:oMath>
        <m:sSub>
          <m:sSubPr>
            <m:ctrlPr>
              <w:rPr>
                <w:rFonts w:ascii="Cambria Math" w:hAnsi="Cambria Math"/>
              </w:rPr>
            </m:ctrlPr>
          </m:sSubPr>
          <m:e>
            <m:r>
              <w:rPr>
                <w:rFonts w:ascii="Cambria Math" w:hAnsi="Cambria Math"/>
              </w:rPr>
              <m:t>K</m:t>
            </m:r>
          </m:e>
          <m:sub>
            <m:r>
              <m:rPr>
                <m:sty m:val="p"/>
              </m:rPr>
              <w:rPr>
                <w:rFonts w:ascii="Cambria Math" w:hAnsi="Cambria Math"/>
              </w:rPr>
              <m:t>state</m:t>
            </m:r>
          </m:sub>
        </m:sSub>
      </m:oMath>
      <w:r>
        <w:t xml:space="preserve"> is a point-cloud or trajectory complex of hidden states; and </w:t>
      </w:r>
      <m:oMath>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joint</m:t>
                </m:r>
              </m:sub>
            </m:sSub>
            <m:r>
              <m:rPr>
                <m:scr m:val="script"/>
                <m:sty m:val="p"/>
              </m:rPr>
              <w:rPr>
                <w:rFonts w:ascii="Cambria Math" w:hAnsi="Cambria Math"/>
              </w:rPr>
              <m:t>,F</m:t>
            </m:r>
          </m:e>
        </m:d>
      </m:oMath>
      <w:r>
        <w:t xml:space="preserve"> is the semantic audit. Attention is therefore a proposal mechanism, not a certified nerve. It can mix values unconditionally without representing the overlap-specific transitions required for a non-vacuous obstruction (Vaswani et al., 2017; Ghosh, 2026b, 2026c).</w:t>
      </w:r>
    </w:p>
    <w:p w14:paraId="01BB7983" w14:textId="77777777" w:rsidR="00584295" w:rsidRDefault="00000000" w:rsidP="00314975">
      <w:pPr>
        <w:pStyle w:val="BodyText"/>
        <w:jc w:val="both"/>
      </w:pPr>
      <w:r>
        <w:t xml:space="preserve">For the brain, the corresponding stack is anatomical connectivity, state-dependent effective connectivity, witnessed coactivity assemblies, receptive-field nerves, population-state manifolds, and distributed neural coefficient systems. Anatomical loops are not dynamical limit cycles, and a toroidal population code is not a toroidal anatomical circuit. Neural results nevertheless show that topology can recover latent geometry and high-order </w:t>
      </w:r>
      <w:r>
        <w:lastRenderedPageBreak/>
        <w:t>organization from activity and connectivity (Giusti et al., 2015; Reimann et al., 2017; Gardner et al., 2022). Brain–Transformer comparison should therefore align structural roles through common tasks, not equate neurons with tokens or cortical layers with Transformer layers.</w:t>
      </w:r>
    </w:p>
    <w:p w14:paraId="10315023" w14:textId="77777777" w:rsidR="00584295" w:rsidRDefault="00000000" w:rsidP="00314975">
      <w:pPr>
        <w:pStyle w:val="BodyText"/>
        <w:jc w:val="both"/>
      </w:pPr>
      <w:r>
        <w:t>The multiscale ladders are also different but comparable in form. Transformer scales may run feature→token→phrase→proposition→document; neural scales may run synapse→neuron→assembly→region→network. The fractal question is not whether either system is geometrically self-similar, but whether homologous carrier motifs or obstruction patterns recur across a declared scale ladder beyond a null baseline.</w:t>
      </w:r>
    </w:p>
    <w:p w14:paraId="4EDC1560" w14:textId="77777777" w:rsidR="00584295" w:rsidRDefault="00000000" w:rsidP="00314975">
      <w:pPr>
        <w:pStyle w:val="Heading1"/>
        <w:jc w:val="both"/>
      </w:pPr>
      <w:bookmarkStart w:id="6" w:name="agi-programme-and-falsifiability"/>
      <w:bookmarkEnd w:id="5"/>
      <w:r>
        <w:t>6. AGI programme and falsifiability</w:t>
      </w:r>
    </w:p>
    <w:p w14:paraId="6C2CD95E" w14:textId="77777777" w:rsidR="00584295" w:rsidRDefault="00000000" w:rsidP="00314975">
      <w:pPr>
        <w:pStyle w:val="FirstParagraph"/>
        <w:jc w:val="both"/>
      </w:pPr>
      <w:r>
        <w:t>A staged programme begins with external instrumentation and ends with internal self-metrology. First compute attention, causal, witnessed, and state-space profiles. Next learn typed stalks and nontrivial restriction maps under reconstruction, rank, intervention, and provenance constraints so that the coefficient system cannot collapse every disagreement. Then add an online monitor and a gate before residual commitment or external action. Persistent unresolved cases become offline repair objects whose carrier, coefficients, obstruction, precision, and provenance are retained.</w:t>
      </w:r>
    </w:p>
    <w:p w14:paraId="0F9BCEA8" w14:textId="77777777" w:rsidR="00584295" w:rsidRDefault="00000000" w:rsidP="00314975">
      <w:pPr>
        <w:pStyle w:val="BodyText"/>
        <w:jc w:val="both"/>
      </w:pPr>
      <w:r>
        <w:t>The minimal operational loop is: Propose → Construct carrier → Witness faces → Profile → Restrict → Audit → Release/repair/refine/refuse → Consolidate. It should classify coverage failure, effective disconnection, false filling, under-resolution, repairable mismatch, nontrivial obstruction, and lift failure rather than compressing them into one confidence score.</w:t>
      </w:r>
    </w:p>
    <w:p w14:paraId="6753BEE6" w14:textId="77777777" w:rsidR="00584295" w:rsidRDefault="00000000" w:rsidP="00314975">
      <w:pPr>
        <w:pStyle w:val="BodyText"/>
        <w:jc w:val="both"/>
      </w:pPr>
      <w:r>
        <w:t>The programme is falsifiable. It should be revised if typed carriers add no predictive value; witnessed complexes do not outperform clique completions; profiles fail to predict task-relevant change; sheaf audits add nothing beyond calibrated uncertainty; obstruction locations do not respond to intervention; or gating harms valid capability without reducing unsupported release. The fractal extension has additional rejection tests: transport maps must add information beyond independent scales; scaling exponents must reproduce under resampling; self-similarity must beat matched nulls; and multiscale auditing must reveal coarse/fine differences that single-resolution audit misses.</w:t>
      </w:r>
    </w:p>
    <w:p w14:paraId="12CF5C6B" w14:textId="77777777" w:rsidR="00584295" w:rsidRDefault="00000000" w:rsidP="00314975">
      <w:pPr>
        <w:pStyle w:val="Heading1"/>
        <w:jc w:val="both"/>
      </w:pPr>
      <w:bookmarkStart w:id="7" w:name="conclusion"/>
      <w:bookmarkEnd w:id="6"/>
      <w:r>
        <w:t>7. Conclusion</w:t>
      </w:r>
    </w:p>
    <w:p w14:paraId="381926B3" w14:textId="77777777" w:rsidR="00584295" w:rsidRDefault="00000000" w:rsidP="00314975">
      <w:pPr>
        <w:pStyle w:val="FirstParagraph"/>
        <w:jc w:val="both"/>
      </w:pPr>
      <w:r>
        <w:t xml:space="preserve">The absence of an easy “Betti number of a Transformer” or “fundamental group of the brain” is not primarily an algorithmic failure. It reflects the fact that an intelligent system does not arrive as one specified space. The scientific problem is to construct and validate the carrier, certify its higher cells, retain direction and scale, attach meaningful coefficients, and provide comparison maps. Homology then reads the reusable structure of the carrier; sheaf cohomology reads the compatibility and obstruction structure of what it carries; persistence and the corrected two-leg fractal profile read how those structures survive </w:t>
      </w:r>
      <w:r>
        <w:lastRenderedPageBreak/>
        <w:t>filtration, transport, and sampling scale. Defensible AGI begins when these measurements influence release: the system must refuse to globalize a state whose domain is invalid or whose obstruction it cannot discharge.</w:t>
      </w:r>
    </w:p>
    <w:p w14:paraId="37EE72DA" w14:textId="77777777" w:rsidR="00584295" w:rsidRDefault="00000000" w:rsidP="00314975">
      <w:pPr>
        <w:pStyle w:val="Heading1"/>
        <w:jc w:val="both"/>
      </w:pPr>
      <w:bookmarkStart w:id="8" w:name="references"/>
      <w:bookmarkEnd w:id="7"/>
      <w:r>
        <w:t>References</w:t>
      </w:r>
    </w:p>
    <w:p w14:paraId="51B8D628" w14:textId="77777777" w:rsidR="00584295" w:rsidRPr="003D143F" w:rsidRDefault="00000000" w:rsidP="003D143F">
      <w:pPr>
        <w:pStyle w:val="FirstParagraph"/>
        <w:numPr>
          <w:ilvl w:val="0"/>
          <w:numId w:val="2"/>
        </w:numPr>
        <w:jc w:val="both"/>
      </w:pPr>
      <w:r w:rsidRPr="003D143F">
        <w:t xml:space="preserve">Adams, H., Aminian, M., Farnell, E., Kirby, M., Peterson, C., Mirth, J., Neville, R., Shipman, P., &amp; Shonkwiler, C. (2020). A fractal dimension for measures via persistent homology. In N. A. Baas et al. (Eds.), </w:t>
      </w:r>
      <w:r w:rsidRPr="003D143F">
        <w:rPr>
          <w:i/>
          <w:iCs/>
        </w:rPr>
        <w:t>Topological data analysis</w:t>
      </w:r>
      <w:r w:rsidRPr="003D143F">
        <w:t xml:space="preserve"> (Abel Symposia, Vol. 15, pp. 1–31). Springer. https://doi.org/10.1007/978-3-030-43408-3_1</w:t>
      </w:r>
    </w:p>
    <w:p w14:paraId="3AFCA8E1" w14:textId="77777777" w:rsidR="00584295" w:rsidRPr="003D143F" w:rsidRDefault="00000000" w:rsidP="003D143F">
      <w:pPr>
        <w:pStyle w:val="BodyText"/>
        <w:numPr>
          <w:ilvl w:val="0"/>
          <w:numId w:val="2"/>
        </w:numPr>
        <w:jc w:val="both"/>
      </w:pPr>
      <w:r w:rsidRPr="003D143F">
        <w:t xml:space="preserve">Carlsson, G. (2009). Topology and data. </w:t>
      </w:r>
      <w:r w:rsidRPr="003D143F">
        <w:rPr>
          <w:i/>
          <w:iCs/>
        </w:rPr>
        <w:t>Bulletin of the American Mathematical Society, 46</w:t>
      </w:r>
      <w:r w:rsidRPr="003D143F">
        <w:t>(2), 255–308. https://doi.org/10.1090/S0273-0979-09-01249-X</w:t>
      </w:r>
    </w:p>
    <w:p w14:paraId="09E78C3E" w14:textId="77777777" w:rsidR="00584295" w:rsidRPr="003D143F" w:rsidRDefault="00000000" w:rsidP="003D143F">
      <w:pPr>
        <w:pStyle w:val="BodyText"/>
        <w:numPr>
          <w:ilvl w:val="0"/>
          <w:numId w:val="2"/>
        </w:numPr>
        <w:jc w:val="both"/>
      </w:pPr>
      <w:r w:rsidRPr="003D143F">
        <w:t xml:space="preserve">Carlsson, G., &amp; de Silva, V. (2010). Zigzag persistence. </w:t>
      </w:r>
      <w:r w:rsidRPr="003D143F">
        <w:rPr>
          <w:i/>
          <w:iCs/>
        </w:rPr>
        <w:t>Foundations of Computational Mathematics, 10</w:t>
      </w:r>
      <w:r w:rsidRPr="003D143F">
        <w:t>, 367–405. https://doi.org/10.1007/s10208-010-9066-0</w:t>
      </w:r>
    </w:p>
    <w:p w14:paraId="12FBEB76" w14:textId="77777777" w:rsidR="00584295" w:rsidRPr="003D143F" w:rsidRDefault="00000000" w:rsidP="003D143F">
      <w:pPr>
        <w:pStyle w:val="BodyText"/>
        <w:numPr>
          <w:ilvl w:val="0"/>
          <w:numId w:val="2"/>
        </w:numPr>
        <w:jc w:val="both"/>
      </w:pPr>
      <w:r w:rsidRPr="003D143F">
        <w:t xml:space="preserve">Carlsson, G., &amp; Zomorodian, A. (2009). The theory of multidimensional persistence. </w:t>
      </w:r>
      <w:r w:rsidRPr="003D143F">
        <w:rPr>
          <w:i/>
          <w:iCs/>
        </w:rPr>
        <w:t>Discrete &amp; Computational Geometry, 42</w:t>
      </w:r>
      <w:r w:rsidRPr="003D143F">
        <w:t>, 71–93. https://doi.org/10.1007/s00454-009-9176-0</w:t>
      </w:r>
    </w:p>
    <w:p w14:paraId="6584C589" w14:textId="77777777" w:rsidR="00584295" w:rsidRPr="003D143F" w:rsidRDefault="00000000" w:rsidP="003D143F">
      <w:pPr>
        <w:pStyle w:val="BodyText"/>
        <w:numPr>
          <w:ilvl w:val="0"/>
          <w:numId w:val="2"/>
        </w:numPr>
        <w:jc w:val="both"/>
      </w:pPr>
      <w:r w:rsidRPr="003D143F">
        <w:t xml:space="preserve">Chowdhury, S., &amp; Mémoli, F. (2018). Persistent path homology of directed networks. In </w:t>
      </w:r>
      <w:r w:rsidRPr="003D143F">
        <w:rPr>
          <w:i/>
          <w:iCs/>
        </w:rPr>
        <w:t>Proceedings of SODA 2018</w:t>
      </w:r>
      <w:r w:rsidRPr="003D143F">
        <w:t xml:space="preserve"> (pp. 1152–1169). SIAM. https://doi.org/10.1137/1.9781611975031.75</w:t>
      </w:r>
    </w:p>
    <w:p w14:paraId="319B1766" w14:textId="77777777" w:rsidR="00584295" w:rsidRPr="003D143F" w:rsidRDefault="00000000" w:rsidP="003D143F">
      <w:pPr>
        <w:pStyle w:val="BodyText"/>
        <w:numPr>
          <w:ilvl w:val="0"/>
          <w:numId w:val="2"/>
        </w:numPr>
        <w:jc w:val="both"/>
      </w:pPr>
      <w:r w:rsidRPr="003D143F">
        <w:t xml:space="preserve">Dowker, C. H. (1952). Homology groups of relations. </w:t>
      </w:r>
      <w:r w:rsidRPr="003D143F">
        <w:rPr>
          <w:i/>
          <w:iCs/>
        </w:rPr>
        <w:t>Annals of Mathematics, 56</w:t>
      </w:r>
      <w:r w:rsidRPr="003D143F">
        <w:t>(1), 84–95. https://doi.org/10.2307/1969768</w:t>
      </w:r>
    </w:p>
    <w:p w14:paraId="25DD7CD9" w14:textId="77777777" w:rsidR="00584295" w:rsidRPr="003D143F" w:rsidRDefault="00000000" w:rsidP="003D143F">
      <w:pPr>
        <w:pStyle w:val="BodyText"/>
        <w:numPr>
          <w:ilvl w:val="0"/>
          <w:numId w:val="2"/>
        </w:numPr>
        <w:jc w:val="both"/>
      </w:pPr>
      <w:r w:rsidRPr="003D143F">
        <w:t xml:space="preserve">Gardinazzi, Y., Viswanathan, K., Panerai, G., Ansuini, A., Cazzaniga, A., &amp; Biagetti, M. (2025). Persistent topological features in large language models. </w:t>
      </w:r>
      <w:r w:rsidRPr="003D143F">
        <w:rPr>
          <w:i/>
          <w:iCs/>
        </w:rPr>
        <w:t>Proceedings of Machine Learning Research, 267</w:t>
      </w:r>
      <w:r w:rsidRPr="003D143F">
        <w:t>, 18811–18830. https://proceedings.mlr.press/v267/gardinazzi25a.html</w:t>
      </w:r>
    </w:p>
    <w:p w14:paraId="3D0B4DAD" w14:textId="77777777" w:rsidR="00584295" w:rsidRPr="003D143F" w:rsidRDefault="00000000" w:rsidP="003D143F">
      <w:pPr>
        <w:pStyle w:val="BodyText"/>
        <w:numPr>
          <w:ilvl w:val="0"/>
          <w:numId w:val="2"/>
        </w:numPr>
        <w:jc w:val="both"/>
      </w:pPr>
      <w:r w:rsidRPr="003D143F">
        <w:t xml:space="preserve">Gardner, R. J., Hermansen, E., Pachitariu, M., Burak, Y., Baas, N. A., Dunn, B. A., Moser, M.-B., &amp; Moser, E. I. (2022). Toroidal topology of population activity in grid cells. </w:t>
      </w:r>
      <w:r w:rsidRPr="003D143F">
        <w:rPr>
          <w:i/>
          <w:iCs/>
        </w:rPr>
        <w:t>Nature, 602</w:t>
      </w:r>
      <w:r w:rsidRPr="003D143F">
        <w:t>, 123–128. https://doi.org/10.1038/s41586-021-04268-7</w:t>
      </w:r>
    </w:p>
    <w:p w14:paraId="75AFAC34" w14:textId="77777777" w:rsidR="00584295" w:rsidRPr="003D143F" w:rsidRDefault="00000000" w:rsidP="003D143F">
      <w:pPr>
        <w:pStyle w:val="BodyText"/>
        <w:numPr>
          <w:ilvl w:val="0"/>
          <w:numId w:val="2"/>
        </w:numPr>
        <w:jc w:val="both"/>
      </w:pPr>
      <w:r w:rsidRPr="003D143F">
        <w:t>Ghosh, D. P. (2026a). Hypercovering and descent: A thalamo-cortical algorithm for defensible multimodal gluing. ResearchGate. https://doi.org/10.13140/RG.2.2.31337.45929</w:t>
      </w:r>
    </w:p>
    <w:p w14:paraId="6F6E363B" w14:textId="77777777" w:rsidR="00584295" w:rsidRPr="003D143F" w:rsidRDefault="00000000" w:rsidP="003D143F">
      <w:pPr>
        <w:pStyle w:val="BodyText"/>
        <w:numPr>
          <w:ilvl w:val="0"/>
          <w:numId w:val="2"/>
        </w:numPr>
        <w:jc w:val="both"/>
      </w:pPr>
      <w:r w:rsidRPr="003D143F">
        <w:t>Ghosh, D. P. (2026b). Nerve-attention: The simplicial domain of audit. ResearchGate. https://doi.org/10.13140/RG.2.2.27630.57925</w:t>
      </w:r>
    </w:p>
    <w:p w14:paraId="722372A3" w14:textId="77777777" w:rsidR="00584295" w:rsidRPr="003D143F" w:rsidRDefault="00000000" w:rsidP="003D143F">
      <w:pPr>
        <w:pStyle w:val="BodyText"/>
        <w:numPr>
          <w:ilvl w:val="0"/>
          <w:numId w:val="2"/>
        </w:numPr>
        <w:jc w:val="both"/>
      </w:pPr>
      <w:r w:rsidRPr="003D143F">
        <w:t>Ghosh, D. P. (2026c). Proximity, uniformity, and provenance: A sheaf-theoretic reading of the Transformer block. ResearchGate. https://doi.org/10.13140/RG.2.2.22726.02889</w:t>
      </w:r>
    </w:p>
    <w:p w14:paraId="54F1C522" w14:textId="77777777" w:rsidR="00584295" w:rsidRPr="003D143F" w:rsidRDefault="00000000" w:rsidP="003D143F">
      <w:pPr>
        <w:pStyle w:val="BodyText"/>
        <w:numPr>
          <w:ilvl w:val="0"/>
          <w:numId w:val="2"/>
        </w:numPr>
        <w:jc w:val="both"/>
      </w:pPr>
      <w:r w:rsidRPr="003D143F">
        <w:lastRenderedPageBreak/>
        <w:t xml:space="preserve">Giusti, C., Pastalkova, E., Curto, C., &amp; Itskov, V. (2015). Clique topology reveals intrinsic geometric structure in neural correlations. </w:t>
      </w:r>
      <w:r w:rsidRPr="003D143F">
        <w:rPr>
          <w:i/>
          <w:iCs/>
        </w:rPr>
        <w:t>Proceedings of the National Academy of Sciences, 112</w:t>
      </w:r>
      <w:r w:rsidRPr="003D143F">
        <w:t>(44), 13455–13460. https://doi.org/10.1073/pnas.1506407112</w:t>
      </w:r>
    </w:p>
    <w:p w14:paraId="5A24952C" w14:textId="77777777" w:rsidR="00584295" w:rsidRPr="003D143F" w:rsidRDefault="00000000" w:rsidP="003D143F">
      <w:pPr>
        <w:pStyle w:val="BodyText"/>
        <w:numPr>
          <w:ilvl w:val="0"/>
          <w:numId w:val="2"/>
        </w:numPr>
        <w:jc w:val="both"/>
      </w:pPr>
      <w:r w:rsidRPr="003D143F">
        <w:t>Grigor’yan, A., Lin, Y., Muranov, Y., &amp; Yau, S.-T. (2012). Homologies of path complexes and digraphs. arXiv. https://doi.org/10.48550/arXiv.1207.2834</w:t>
      </w:r>
    </w:p>
    <w:p w14:paraId="487BA16F" w14:textId="77777777" w:rsidR="00584295" w:rsidRPr="003D143F" w:rsidRDefault="00000000" w:rsidP="003D143F">
      <w:pPr>
        <w:pStyle w:val="BodyText"/>
        <w:numPr>
          <w:ilvl w:val="0"/>
          <w:numId w:val="2"/>
        </w:numPr>
        <w:jc w:val="both"/>
      </w:pPr>
      <w:r w:rsidRPr="003D143F">
        <w:t xml:space="preserve">Hansen, J., &amp; Ghrist, R. (2019). Toward a spectral theory of cellular sheaves. </w:t>
      </w:r>
      <w:r w:rsidRPr="003D143F">
        <w:rPr>
          <w:i/>
          <w:iCs/>
        </w:rPr>
        <w:t>Journal of Applied and Computational Topology, 3</w:t>
      </w:r>
      <w:r w:rsidRPr="003D143F">
        <w:t>, 315–358. https://doi.org/10.1007/s41468-019-00038-7</w:t>
      </w:r>
    </w:p>
    <w:p w14:paraId="49ED011B" w14:textId="77777777" w:rsidR="00584295" w:rsidRPr="003D143F" w:rsidRDefault="00000000" w:rsidP="003D143F">
      <w:pPr>
        <w:pStyle w:val="BodyText"/>
        <w:numPr>
          <w:ilvl w:val="0"/>
          <w:numId w:val="2"/>
        </w:numPr>
        <w:jc w:val="both"/>
      </w:pPr>
      <w:r w:rsidRPr="003D143F">
        <w:t xml:space="preserve">Jaquette, J., &amp; Schweinhart, B. (2020). Fractal dimension estimation with persistent homology: A comparative study. </w:t>
      </w:r>
      <w:r w:rsidRPr="003D143F">
        <w:rPr>
          <w:i/>
          <w:iCs/>
        </w:rPr>
        <w:t>Communications in Nonlinear Science and Numerical Simulation, 84</w:t>
      </w:r>
      <w:r w:rsidRPr="003D143F">
        <w:t>, 105163. https://doi.org/10.1016/j.cnsns.2019.105163</w:t>
      </w:r>
    </w:p>
    <w:p w14:paraId="24504439" w14:textId="77777777" w:rsidR="00584295" w:rsidRPr="003D143F" w:rsidRDefault="00000000" w:rsidP="003D143F">
      <w:pPr>
        <w:pStyle w:val="BodyText"/>
        <w:numPr>
          <w:ilvl w:val="0"/>
          <w:numId w:val="2"/>
        </w:numPr>
        <w:jc w:val="both"/>
      </w:pPr>
      <w:r w:rsidRPr="003D143F">
        <w:t>Perez, I., &amp; Reinauer, R. (2022). The topological BERT: Transforming attention into topology for natural language processing. arXiv. https://doi.org/10.48550/arXiv.2206.15195</w:t>
      </w:r>
    </w:p>
    <w:p w14:paraId="36560943" w14:textId="77777777" w:rsidR="00584295" w:rsidRPr="003D143F" w:rsidRDefault="00000000" w:rsidP="003D143F">
      <w:pPr>
        <w:pStyle w:val="BodyText"/>
        <w:numPr>
          <w:ilvl w:val="0"/>
          <w:numId w:val="2"/>
        </w:numPr>
        <w:jc w:val="both"/>
      </w:pPr>
      <w:r w:rsidRPr="003D143F">
        <w:t xml:space="preserve">Reimann, M. W., Nolte, M., Scolamiero, M., Turner, K., Perin, R., Chindemi, G., Dłotko, P., Levi, R., Hess, K., &amp; Markram, H. (2017). Cliques of neurons bound into cavities provide a missing link between structure and function. </w:t>
      </w:r>
      <w:r w:rsidRPr="003D143F">
        <w:rPr>
          <w:i/>
          <w:iCs/>
        </w:rPr>
        <w:t>Frontiers in Computational Neuroscience, 11</w:t>
      </w:r>
      <w:r w:rsidRPr="003D143F">
        <w:t>, 48. https://doi.org/10.3389/fncom.2017.00048</w:t>
      </w:r>
    </w:p>
    <w:p w14:paraId="1DAE1EEB" w14:textId="77777777" w:rsidR="00584295" w:rsidRPr="003D143F" w:rsidRDefault="00000000" w:rsidP="003D143F">
      <w:pPr>
        <w:pStyle w:val="BodyText"/>
        <w:numPr>
          <w:ilvl w:val="0"/>
          <w:numId w:val="2"/>
        </w:numPr>
        <w:jc w:val="both"/>
      </w:pPr>
      <w:r w:rsidRPr="003D143F">
        <w:t xml:space="preserve">Schweinhart, B. (2020). Fractal dimension and the persistent homology of random geometric complexes. </w:t>
      </w:r>
      <w:r w:rsidRPr="003D143F">
        <w:rPr>
          <w:i/>
          <w:iCs/>
        </w:rPr>
        <w:t>Advances in Mathematics, 372</w:t>
      </w:r>
      <w:r w:rsidRPr="003D143F">
        <w:t>, 107291. https://doi.org/10.1016/j.aim.2020.107291</w:t>
      </w:r>
    </w:p>
    <w:p w14:paraId="3BE4CD1A" w14:textId="77777777" w:rsidR="00584295" w:rsidRPr="003D143F" w:rsidRDefault="00000000" w:rsidP="003D143F">
      <w:pPr>
        <w:pStyle w:val="BodyText"/>
        <w:numPr>
          <w:ilvl w:val="0"/>
          <w:numId w:val="2"/>
        </w:numPr>
        <w:jc w:val="both"/>
      </w:pPr>
      <w:r w:rsidRPr="003D143F">
        <w:t xml:space="preserve">Steele, J. M. (1988). Growth rates of Euclidean minimal spanning trees with power weighted edges. </w:t>
      </w:r>
      <w:r w:rsidRPr="003D143F">
        <w:rPr>
          <w:i/>
          <w:iCs/>
        </w:rPr>
        <w:t>Annals of Probability, 16</w:t>
      </w:r>
      <w:r w:rsidRPr="003D143F">
        <w:t>(4), 1767–1787. https://doi.org/10.1214/aop/1176991596</w:t>
      </w:r>
    </w:p>
    <w:p w14:paraId="539D2CF8" w14:textId="77777777" w:rsidR="00584295" w:rsidRPr="003D143F" w:rsidRDefault="00000000" w:rsidP="003D143F">
      <w:pPr>
        <w:pStyle w:val="BodyText"/>
        <w:numPr>
          <w:ilvl w:val="0"/>
          <w:numId w:val="2"/>
        </w:numPr>
        <w:jc w:val="both"/>
      </w:pPr>
      <w:r w:rsidRPr="003D143F">
        <w:t xml:space="preserve">Vaswani, A., Shazeer, N., Parmar, N., Uszkoreit, J., Jones, L., Gomez, A. N., Kaiser, Ł., &amp; Polosukhin, I. (2017). Attention is all you need. </w:t>
      </w:r>
      <w:r w:rsidRPr="003D143F">
        <w:rPr>
          <w:i/>
          <w:iCs/>
        </w:rPr>
        <w:t>Advances in Neural Information Processing Systems, 30</w:t>
      </w:r>
      <w:r w:rsidRPr="003D143F">
        <w:t>. https://proceedings.neurips.cc/paper/7181-attention-is-all-you-need</w:t>
      </w:r>
    </w:p>
    <w:p w14:paraId="4FD30DB8" w14:textId="77777777" w:rsidR="00584295" w:rsidRPr="003D143F" w:rsidRDefault="00000000" w:rsidP="003D143F">
      <w:pPr>
        <w:pStyle w:val="BodyText"/>
        <w:numPr>
          <w:ilvl w:val="0"/>
          <w:numId w:val="2"/>
        </w:numPr>
        <w:jc w:val="both"/>
      </w:pPr>
      <w:r w:rsidRPr="003D143F">
        <w:t xml:space="preserve">Zomorodian, A., &amp; Carlsson, G. (2005). Computing persistent homology. </w:t>
      </w:r>
      <w:r w:rsidRPr="003D143F">
        <w:rPr>
          <w:i/>
          <w:iCs/>
        </w:rPr>
        <w:t>Discrete &amp; Computational Geometry, 33</w:t>
      </w:r>
      <w:r w:rsidRPr="003D143F">
        <w:t>, 249–274. https://doi.org/10.1007/s00454-004-1146-y</w:t>
      </w:r>
      <w:bookmarkEnd w:id="8"/>
    </w:p>
    <w:sectPr w:rsidR="00584295" w:rsidRPr="003D14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88B21" w14:textId="77777777" w:rsidR="00CE50EE" w:rsidRDefault="00CE50EE">
      <w:pPr>
        <w:spacing w:after="0"/>
      </w:pPr>
      <w:r>
        <w:separator/>
      </w:r>
    </w:p>
  </w:endnote>
  <w:endnote w:type="continuationSeparator" w:id="0">
    <w:p w14:paraId="02A942C7" w14:textId="77777777" w:rsidR="00CE50EE" w:rsidRDefault="00CE50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0310" w14:textId="77777777" w:rsidR="00CE50EE" w:rsidRDefault="00CE50EE">
      <w:r>
        <w:separator/>
      </w:r>
    </w:p>
  </w:footnote>
  <w:footnote w:type="continuationSeparator" w:id="0">
    <w:p w14:paraId="39F2A549" w14:textId="77777777" w:rsidR="00CE50EE" w:rsidRDefault="00CE5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3254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8A0579A"/>
    <w:multiLevelType w:val="hybridMultilevel"/>
    <w:tmpl w:val="EE444052"/>
    <w:lvl w:ilvl="0" w:tplc="58CABE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4254083">
    <w:abstractNumId w:val="0"/>
  </w:num>
  <w:num w:numId="2" w16cid:durableId="1078282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4295"/>
    <w:rsid w:val="002A5CB1"/>
    <w:rsid w:val="002E65B2"/>
    <w:rsid w:val="00314975"/>
    <w:rsid w:val="003A43C4"/>
    <w:rsid w:val="003D143F"/>
    <w:rsid w:val="00584295"/>
    <w:rsid w:val="00CE50EE"/>
    <w:rsid w:val="00DE758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DC12"/>
  <w15:docId w15:val="{773426C5-D97A-4B25-A536-69880866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314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4182.36163"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2795</Words>
  <Characters>15933</Characters>
  <Application>Microsoft Office Word</Application>
  <DocSecurity>0</DocSecurity>
  <Lines>132</Lines>
  <Paragraphs>37</Paragraphs>
  <ScaleCrop>false</ScaleCrop>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4</cp:revision>
  <dcterms:created xsi:type="dcterms:W3CDTF">2026-07-13T18:01:00Z</dcterms:created>
  <dcterms:modified xsi:type="dcterms:W3CDTF">2026-07-22T17:29:00Z</dcterms:modified>
</cp:coreProperties>
</file>