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67464D" w14:textId="77777777" w:rsidR="00993602" w:rsidRPr="00E5743B" w:rsidRDefault="00000000">
      <w:pPr>
        <w:pStyle w:val="Title"/>
        <w:jc w:val="center"/>
        <w:rPr>
          <w:sz w:val="84"/>
          <w:szCs w:val="84"/>
        </w:rPr>
      </w:pPr>
      <w:r w:rsidRPr="00E5743B">
        <w:rPr>
          <w:sz w:val="84"/>
          <w:szCs w:val="84"/>
        </w:rPr>
        <w:t>Witnessed, Not Assumed</w:t>
      </w:r>
    </w:p>
    <w:p w14:paraId="1F99772C" w14:textId="04EF5468" w:rsidR="00993602" w:rsidRDefault="00000000" w:rsidP="00E5743B">
      <w:pPr>
        <w:pStyle w:val="Subtitle"/>
        <w:jc w:val="center"/>
      </w:pPr>
      <w:r w:rsidRPr="00E5743B">
        <w:rPr>
          <w:sz w:val="20"/>
          <w:szCs w:val="20"/>
        </w:rPr>
        <w:t>Spectral Consistency, Staleness Detection, and Safe Consolidation in Fragment Retrieval</w:t>
      </w:r>
      <w:r>
        <w:br/>
      </w:r>
      <w:r w:rsidRPr="00E5743B">
        <w:rPr>
          <w:sz w:val="28"/>
          <w:szCs w:val="28"/>
        </w:rPr>
        <w:t>A CVVC Sheaf-Laplacian Architecture for Independently Audited RAG</w:t>
      </w:r>
    </w:p>
    <w:p w14:paraId="5D7D8DE0" w14:textId="2C33AB40" w:rsidR="00993602" w:rsidRDefault="00000000">
      <w:pPr>
        <w:jc w:val="center"/>
        <w:rPr>
          <w:rFonts w:ascii="Cambria" w:hAnsi="Cambria"/>
          <w:b/>
          <w:sz w:val="24"/>
        </w:rPr>
      </w:pPr>
      <w:r>
        <w:rPr>
          <w:rFonts w:ascii="Cambria" w:hAnsi="Cambria"/>
          <w:b/>
          <w:sz w:val="24"/>
        </w:rPr>
        <w:t>Debi Prasad Ghosh</w:t>
      </w:r>
      <w:r w:rsidR="00E5743B">
        <w:rPr>
          <w:rFonts w:ascii="Cambria" w:hAnsi="Cambria"/>
          <w:b/>
          <w:sz w:val="24"/>
        </w:rPr>
        <w:t xml:space="preserve">, </w:t>
      </w:r>
      <w:hyperlink r:id="rId8" w:history="1">
        <w:r w:rsidR="00E5743B" w:rsidRPr="00EA38C5">
          <w:rPr>
            <w:rStyle w:val="Hyperlink"/>
            <w:rFonts w:ascii="Cambria" w:hAnsi="Cambria"/>
            <w:b/>
            <w:sz w:val="24"/>
          </w:rPr>
          <w:t>debiprasadghosh@gmail.com</w:t>
        </w:r>
      </w:hyperlink>
      <w:r w:rsidR="00E5743B">
        <w:rPr>
          <w:rFonts w:ascii="Cambria" w:hAnsi="Cambria"/>
          <w:b/>
          <w:sz w:val="24"/>
        </w:rPr>
        <w:t xml:space="preserve"> </w:t>
      </w:r>
    </w:p>
    <w:p w14:paraId="1877C098" w14:textId="614961A7" w:rsidR="00E5743B" w:rsidRDefault="006A251C">
      <w:pPr>
        <w:jc w:val="center"/>
      </w:pPr>
      <w:hyperlink r:id="rId9" w:history="1">
        <w:r w:rsidRPr="004B35F7">
          <w:rPr>
            <w:rStyle w:val="Hyperlink"/>
          </w:rPr>
          <w:t>https://doi.org/10.13140/RG.2.2.32479.21927</w:t>
        </w:r>
      </w:hyperlink>
      <w:r>
        <w:t xml:space="preserve"> </w:t>
      </w:r>
    </w:p>
    <w:p w14:paraId="34B8C1BD" w14:textId="77777777" w:rsidR="00993602" w:rsidRDefault="00000000">
      <w:pPr>
        <w:jc w:val="center"/>
      </w:pPr>
      <w:r>
        <w:rPr>
          <w:i/>
          <w:sz w:val="20"/>
        </w:rPr>
        <w:t>Defensible Intelligence Program</w:t>
      </w:r>
    </w:p>
    <w:p w14:paraId="5C720FFA" w14:textId="0FF32E3E" w:rsidR="00993602" w:rsidRDefault="00000000" w:rsidP="00E5743B">
      <w:pPr>
        <w:jc w:val="center"/>
      </w:pPr>
      <w:r>
        <w:rPr>
          <w:color w:val="646464"/>
          <w:sz w:val="18"/>
        </w:rPr>
        <w:t>Conceptual manuscript | July 2026</w:t>
      </w:r>
    </w:p>
    <w:p w14:paraId="1EDBD891" w14:textId="77777777" w:rsidR="00993602" w:rsidRDefault="00000000">
      <w:pPr>
        <w:pStyle w:val="Heading1"/>
      </w:pPr>
      <w:r>
        <w:t>Abstract</w:t>
      </w:r>
    </w:p>
    <w:p w14:paraId="730FF7FB" w14:textId="77777777" w:rsidR="00993602" w:rsidRPr="00172D6C" w:rsidRDefault="00000000">
      <w:pPr>
        <w:rPr>
          <w:sz w:val="24"/>
          <w:szCs w:val="28"/>
        </w:rPr>
      </w:pPr>
      <w:r w:rsidRPr="00172D6C">
        <w:rPr>
          <w:sz w:val="24"/>
          <w:szCs w:val="28"/>
        </w:rPr>
        <w:t>Fragment-based retrieval systems can always produce a weighted fusion, even when the retrieved fragments do not express one compatible state. This paper identifies the precise turning point at which such a system becomes auditable: the introduction of independently witnessed restriction maps. In the Okazaki-RAG sequence, the dual-strand and early validation architectures route and fuse fragments but contain no maps comparing fragment data on common overlap domains; consequently no coboundary operator, global-section test, or obstruction is mathematically defined. The Value-Context strand of CVVC is therefore not merely a third representation stream. It is the component that first makes a cellular-sheaf consistency problem well-posed. The immediate architecture is deliberately limited to a sparse graph with vertex and edge stalks. Its audit is degree-zero spectral linear algebra: a block-sparse coboundary delta^0, a sheaf Laplacian L_F = (delta^0)^* delta^0, and a calibrated Release/Repair/Refuse policy based on distance to ker L_F. The paper names the Independent Witness Principle: an audit is vacuous whenever the two sides of a comparison are derived from one source in a way that enforces agreement by construction. This principle rules out shared-projection restrictions, clique-completed faces, and edge-version maps defined from the very vertex maps they are supposed to test. Two concrete algorithms follow. First, an independently estimated naturality defect orders the regeneration queue for stale fragments after model updates. Second, consolidation is permitted only across independently audited near-isomorphisms or more general sheaf-acyclic reductions; semantic similarity alone licenses no merge. The paper explicitly supersedes earlier higher-cohomological readings of the series. Without independently witnessed 2-cells, the architecture may claim an H^0 consistency audit but not a meaningful higher obstruction. Pairwise-valid but jointly-invalid transition data begin as a degree-two descent defect and belong to a separate, substantially harder frontier. The result is an implementable architecture whose novelty lies in independently witnessed comparison, spectral gating, version-aware scheduling, and content-preserving consolidation rather than in a new algebraic-topology theory.</w:t>
      </w:r>
    </w:p>
    <w:p w14:paraId="46A9590F" w14:textId="77777777" w:rsidR="00993602" w:rsidRDefault="00000000">
      <w:r>
        <w:t>Keywords: retrieval-augmented generation; cellular sheaf; sheaf Laplacian; spectral consistency; CVVC-RAG; independent witnessing; model staleness; naturality defect; safe consolidation; fragment memory</w:t>
      </w:r>
    </w:p>
    <w:p w14:paraId="69CA7E78" w14:textId="77777777" w:rsidR="00993602" w:rsidRDefault="00000000">
      <w:pPr>
        <w:pStyle w:val="Heading1"/>
      </w:pPr>
      <w:r>
        <w:t>1. Introduction</w:t>
      </w:r>
    </w:p>
    <w:p w14:paraId="1862C29F" w14:textId="77777777" w:rsidR="00993602" w:rsidRDefault="00000000">
      <w:r>
        <w:t xml:space="preserve">Retrieval-augmented generation is usually described as a sequence of search, ranking, and fusion. Once fragments have been selected, a language model or attention layer combines them into an answer. Algebraically, some combination always exists. That fact is precisely the problem: existence of a weighted </w:t>
      </w:r>
      <w:r>
        <w:lastRenderedPageBreak/>
        <w:t>sum says nothing about whether the fragments express one compatible state, preserve provenance, or remain valid under the current model version.</w:t>
      </w:r>
    </w:p>
    <w:p w14:paraId="1FD11F5C" w14:textId="77777777" w:rsidR="00993602" w:rsidRDefault="00000000">
      <w:r>
        <w:t>The six-paper Okazaki-RAG sequence progressively separated routing, value storage, bounded fragment manipulation, reverse validation, continual versioning, and sleep-inspired consolidation. A previous topological reading treated the whole sequence as a dynamic local-to-global architecture. Audit shows a sharper division. Before CVVC, the system contains fragment relations and fusion but no restriction maps. Without restriction maps there is no coboundary delta^0 and no global-section test. CVVC is therefore the categorical turning point: it introduces the comparison layer on which compatibility can be computed rather than assumed.</w:t>
      </w:r>
    </w:p>
    <w:p w14:paraId="34ACDED8" w14:textId="77777777" w:rsidR="00993602" w:rsidRDefault="00000000">
      <w:r>
        <w:t>The narrowing changes the mathematical positioning. With an immediate capacity cap at dimension one, the cochain complex is C^0 -&gt; C^1 -&gt; 0. The operational content is a block-sparse linear map and its Laplacian, not a higher-cohomological invariant. This places the paper within the established spectral cellular-sheaf and neural-sheaf literature (Curry, 2014; Hansen &amp; Ghrist, 2019; Bodnar et al., 2022). The contribution is the application-specific contract that turns that machinery into a defensible fragment-retrieval system.</w:t>
      </w:r>
    </w:p>
    <w:p w14:paraId="66EDD6D0" w14:textId="77777777" w:rsidR="00993602" w:rsidRDefault="00000000">
      <w:pPr>
        <w:pStyle w:val="Heading2"/>
      </w:pPr>
      <w:r>
        <w:t>1.1 Contributions</w:t>
      </w:r>
    </w:p>
    <w:p w14:paraId="4D56DB4E" w14:textId="77777777" w:rsidR="00993602" w:rsidRDefault="00000000">
      <w:pPr>
        <w:pStyle w:val="ListNumber"/>
        <w:spacing w:after="40"/>
      </w:pPr>
      <w:r>
        <w:t>CVVC is identified as the first point in the series at which a sheaf audit is well-posed; earlier retrieval-plus-fusion architectures cannot compute an obstruction in principle.</w:t>
      </w:r>
    </w:p>
    <w:p w14:paraId="18280ED6" w14:textId="77777777" w:rsidR="00993602" w:rsidRDefault="00000000">
      <w:pPr>
        <w:pStyle w:val="ListNumber"/>
        <w:spacing w:after="40"/>
      </w:pPr>
      <w:r>
        <w:t>The Independent Witness Principle is stated as the governing anti-circularity contract for restriction maps, model-version transport, and any future higher-order overlap.</w:t>
      </w:r>
    </w:p>
    <w:p w14:paraId="53CDF6DE" w14:textId="77777777" w:rsidR="00993602" w:rsidRDefault="00000000">
      <w:pPr>
        <w:pStyle w:val="ListNumber"/>
        <w:spacing w:after="40"/>
      </w:pPr>
      <w:r>
        <w:t>A sparse graph cellular sheaf and degree-zero sheaf Laplacian define a spectral Release/Repair/Refuse gate with explicit uncertainty and spectral-gap dependence.</w:t>
      </w:r>
    </w:p>
    <w:p w14:paraId="1F84754C" w14:textId="77777777" w:rsidR="00993602" w:rsidRDefault="00000000">
      <w:pPr>
        <w:pStyle w:val="ListNumber"/>
        <w:spacing w:after="40"/>
      </w:pPr>
      <w:r>
        <w:t>An independently estimated naturality defect provides a concrete priority score for stale-fragment regeneration after model updates.</w:t>
      </w:r>
    </w:p>
    <w:p w14:paraId="3794A580" w14:textId="77777777" w:rsidR="00993602" w:rsidRDefault="00000000">
      <w:pPr>
        <w:pStyle w:val="ListNumber"/>
        <w:spacing w:after="40"/>
      </w:pPr>
      <w:r>
        <w:t>A sheaf-aware merge rule replaces semantic deduplication: elementary merges require independently audited near-isomorphism, and general reductions require coefficient-sheaf acyclicity.</w:t>
      </w:r>
    </w:p>
    <w:p w14:paraId="5C9DDE83" w14:textId="77777777" w:rsidR="00993602" w:rsidRDefault="00000000">
      <w:pPr>
        <w:pStyle w:val="ListNumber"/>
        <w:spacing w:after="40"/>
      </w:pPr>
      <w:r>
        <w:t>Earlier higher-cohomological claims are explicitly superseded. Genuine higher topology begins only after an independent face witness exists.</w:t>
      </w:r>
    </w:p>
    <w:p w14:paraId="2F6E3E94" w14:textId="77777777" w:rsidR="00993602" w:rsidRDefault="00000000">
      <w:pPr>
        <w:pStyle w:val="Heading1"/>
      </w:pPr>
      <w:r>
        <w:t>2. Related Work and Explicit Supersession</w:t>
      </w:r>
    </w:p>
    <w:p w14:paraId="33637853" w14:textId="77777777" w:rsidR="00993602" w:rsidRDefault="00000000">
      <w:pPr>
        <w:pStyle w:val="Heading2"/>
      </w:pPr>
      <w:r>
        <w:t>2.1 Spectral cellular sheaves</w:t>
      </w:r>
    </w:p>
    <w:p w14:paraId="0A0BE9B6" w14:textId="77777777" w:rsidR="00993602" w:rsidRDefault="00000000">
      <w:r>
        <w:t>A cellular sheaf assigns vector spaces to cells and linear maps along face relations. On graphs, vertex stalks hold local data, edge stalks hold comparison data, and restriction maps transport vertex data into incident edge stalks. Curry (2014) developed cellular sheaves as computable sheaf models. Hansen and Ghrist (2019) established a spectral theory relating sheaf Laplacians to global sections, approximation, sparsification, and effective resistance. Neural Sheaf Diffusion learns restriction maps from data and uses the resulting sheaf Laplacian as a trainable graph-geometry operator (Bodnar et al., 2022). Discrete Morse methods provide sheaf-aware reductions for cohomology computation (Curry, Ghrist, &amp; Nanda, 2016). The present paper applies these established tools to fragment retrieval, version transport, and consolidation.</w:t>
      </w:r>
    </w:p>
    <w:p w14:paraId="0611B1A1" w14:textId="77777777" w:rsidR="00993602" w:rsidRDefault="00000000">
      <w:pPr>
        <w:pStyle w:val="Heading2"/>
      </w:pPr>
      <w:r>
        <w:t>2.2 The six-paper Okazaki/CVVC sequence</w:t>
      </w:r>
    </w:p>
    <w:p w14:paraId="6FD81E0A" w14:textId="77777777" w:rsidR="00993602" w:rsidRDefault="00000000">
      <w:r>
        <w:t>Attentionlet separates a narrow query-key routing channel from a richer value channel. Dual-strand Okazaki-RAG separates continuous context from cached value fragments. System 2 through Okazaki-RAG introduces bounded Append/Remove/Assemble/Swap manipulation. CVVC adds a Value-Context controller. Continual CVVC introduces versioned fragments and background consolidation. Reverse-LLM validation and sleep-inspired language provide explanatory process metaphors. The present audit retains the routing, bounded-editing, versioning, and controller ideas while revising the mathematical claims attached to them.</w:t>
      </w:r>
    </w:p>
    <w:p w14:paraId="51055A72" w14:textId="77777777" w:rsidR="00993602" w:rsidRDefault="00000000">
      <w:pPr>
        <w:pStyle w:val="Heading2"/>
      </w:pPr>
      <w:r>
        <w:lastRenderedPageBreak/>
        <w:t>2.3 What is superseded</w:t>
      </w:r>
    </w:p>
    <w:tbl>
      <w:tblPr>
        <w:tblStyle w:val="TableGrid"/>
        <w:tblW w:w="0" w:type="auto"/>
        <w:jc w:val="center"/>
        <w:tblLook w:val="04A0" w:firstRow="1" w:lastRow="0" w:firstColumn="1" w:lastColumn="0" w:noHBand="0" w:noVBand="1"/>
      </w:tblPr>
      <w:tblGrid>
        <w:gridCol w:w="3091"/>
        <w:gridCol w:w="5311"/>
      </w:tblGrid>
      <w:tr w:rsidR="00993602" w14:paraId="133033DA" w14:textId="77777777" w:rsidTr="00E5743B">
        <w:trPr>
          <w:tblHeader/>
          <w:jc w:val="center"/>
        </w:trPr>
        <w:tc>
          <w:tcPr>
            <w:tcW w:w="3091" w:type="dxa"/>
            <w:shd w:val="clear" w:color="auto" w:fill="D9E2F3"/>
            <w:tcMar>
              <w:top w:w="80" w:type="dxa"/>
              <w:left w:w="80" w:type="dxa"/>
              <w:bottom w:w="80" w:type="dxa"/>
              <w:right w:w="80" w:type="dxa"/>
            </w:tcMar>
            <w:vAlign w:val="center"/>
          </w:tcPr>
          <w:p w14:paraId="556BA825" w14:textId="77777777" w:rsidR="00993602" w:rsidRDefault="00000000">
            <w:pPr>
              <w:jc w:val="center"/>
            </w:pPr>
            <w:r>
              <w:rPr>
                <w:rFonts w:ascii="Cambria" w:hAnsi="Cambria"/>
                <w:b/>
                <w:sz w:val="17"/>
              </w:rPr>
              <w:t>Earlier reading</w:t>
            </w:r>
          </w:p>
        </w:tc>
        <w:tc>
          <w:tcPr>
            <w:tcW w:w="5311" w:type="dxa"/>
            <w:shd w:val="clear" w:color="auto" w:fill="D9E2F3"/>
            <w:tcMar>
              <w:top w:w="80" w:type="dxa"/>
              <w:left w:w="80" w:type="dxa"/>
              <w:bottom w:w="80" w:type="dxa"/>
              <w:right w:w="80" w:type="dxa"/>
            </w:tcMar>
            <w:vAlign w:val="center"/>
          </w:tcPr>
          <w:p w14:paraId="1E1E8064" w14:textId="77777777" w:rsidR="00993602" w:rsidRDefault="00000000">
            <w:pPr>
              <w:jc w:val="center"/>
            </w:pPr>
            <w:r>
              <w:rPr>
                <w:rFonts w:ascii="Cambria" w:hAnsi="Cambria"/>
                <w:b/>
                <w:sz w:val="17"/>
              </w:rPr>
              <w:t>Audited status</w:t>
            </w:r>
          </w:p>
        </w:tc>
      </w:tr>
      <w:tr w:rsidR="00993602" w14:paraId="1C5A0593" w14:textId="77777777" w:rsidTr="00E5743B">
        <w:trPr>
          <w:jc w:val="center"/>
        </w:trPr>
        <w:tc>
          <w:tcPr>
            <w:tcW w:w="3091" w:type="dxa"/>
            <w:tcMar>
              <w:top w:w="80" w:type="dxa"/>
              <w:left w:w="80" w:type="dxa"/>
              <w:bottom w:w="80" w:type="dxa"/>
              <w:right w:w="80" w:type="dxa"/>
            </w:tcMar>
          </w:tcPr>
          <w:p w14:paraId="3B41FC86" w14:textId="77777777" w:rsidR="00993602" w:rsidRDefault="00000000">
            <w:pPr>
              <w:spacing w:after="20"/>
            </w:pPr>
            <w:r>
              <w:rPr>
                <w:sz w:val="17"/>
              </w:rPr>
              <w:t>Papers 1-3 already perform sheaf gluing.</w:t>
            </w:r>
          </w:p>
        </w:tc>
        <w:tc>
          <w:tcPr>
            <w:tcW w:w="5311" w:type="dxa"/>
            <w:tcMar>
              <w:top w:w="80" w:type="dxa"/>
              <w:left w:w="80" w:type="dxa"/>
              <w:bottom w:w="80" w:type="dxa"/>
              <w:right w:w="80" w:type="dxa"/>
            </w:tcMar>
          </w:tcPr>
          <w:p w14:paraId="6D8181B6" w14:textId="77777777" w:rsidR="00993602" w:rsidRDefault="00000000">
            <w:pPr>
              <w:spacing w:after="20"/>
            </w:pPr>
            <w:r>
              <w:rPr>
                <w:sz w:val="17"/>
              </w:rPr>
              <w:t>Superseded. They perform retrieval, routing, and fusion but contain no independently specified restriction maps; no sheaf audit is defined.</w:t>
            </w:r>
          </w:p>
        </w:tc>
      </w:tr>
      <w:tr w:rsidR="00993602" w14:paraId="03526F7D" w14:textId="77777777" w:rsidTr="00E5743B">
        <w:trPr>
          <w:jc w:val="center"/>
        </w:trPr>
        <w:tc>
          <w:tcPr>
            <w:tcW w:w="3091" w:type="dxa"/>
            <w:tcMar>
              <w:top w:w="80" w:type="dxa"/>
              <w:left w:w="80" w:type="dxa"/>
              <w:bottom w:w="80" w:type="dxa"/>
              <w:right w:w="80" w:type="dxa"/>
            </w:tcMar>
          </w:tcPr>
          <w:p w14:paraId="4494A5F4" w14:textId="77777777" w:rsidR="00993602" w:rsidRDefault="00000000">
            <w:pPr>
              <w:spacing w:after="20"/>
            </w:pPr>
            <w:r>
              <w:rPr>
                <w:sz w:val="17"/>
              </w:rPr>
              <w:t>Reverse validation is cohomological.</w:t>
            </w:r>
          </w:p>
        </w:tc>
        <w:tc>
          <w:tcPr>
            <w:tcW w:w="5311" w:type="dxa"/>
            <w:tcMar>
              <w:top w:w="80" w:type="dxa"/>
              <w:left w:w="80" w:type="dxa"/>
              <w:bottom w:w="80" w:type="dxa"/>
              <w:right w:w="80" w:type="dxa"/>
            </w:tcMar>
          </w:tcPr>
          <w:p w14:paraId="15AF5B68" w14:textId="77777777" w:rsidR="00993602" w:rsidRDefault="00000000">
            <w:pPr>
              <w:spacing w:after="20"/>
            </w:pPr>
            <w:r>
              <w:rPr>
                <w:sz w:val="17"/>
              </w:rPr>
              <w:t>Narrowed. It becomes a genuine H^0 consistency residual only after CVVC supplies comparison stalks and restrictions.</w:t>
            </w:r>
          </w:p>
        </w:tc>
      </w:tr>
      <w:tr w:rsidR="00993602" w14:paraId="108BBABE" w14:textId="77777777" w:rsidTr="00E5743B">
        <w:trPr>
          <w:jc w:val="center"/>
        </w:trPr>
        <w:tc>
          <w:tcPr>
            <w:tcW w:w="3091" w:type="dxa"/>
            <w:tcMar>
              <w:top w:w="80" w:type="dxa"/>
              <w:left w:w="80" w:type="dxa"/>
              <w:bottom w:w="80" w:type="dxa"/>
              <w:right w:w="80" w:type="dxa"/>
            </w:tcMar>
          </w:tcPr>
          <w:p w14:paraId="0C8BC590" w14:textId="77777777" w:rsidR="00993602" w:rsidRDefault="00000000">
            <w:pPr>
              <w:spacing w:after="20"/>
            </w:pPr>
            <w:r>
              <w:rPr>
                <w:sz w:val="17"/>
              </w:rPr>
              <w:t>A triangle in attention supports higher cohomology.</w:t>
            </w:r>
          </w:p>
        </w:tc>
        <w:tc>
          <w:tcPr>
            <w:tcW w:w="5311" w:type="dxa"/>
            <w:tcMar>
              <w:top w:w="80" w:type="dxa"/>
              <w:left w:w="80" w:type="dxa"/>
              <w:bottom w:w="80" w:type="dxa"/>
              <w:right w:w="80" w:type="dxa"/>
            </w:tcMar>
          </w:tcPr>
          <w:p w14:paraId="6926CCCD" w14:textId="77777777" w:rsidR="00993602" w:rsidRDefault="00000000">
            <w:pPr>
              <w:spacing w:after="20"/>
            </w:pPr>
            <w:r>
              <w:rPr>
                <w:sz w:val="17"/>
              </w:rPr>
              <w:t>Superseded. Pairwise edges do not witness a 2-cell. Clique completion cannot license higher-overlap claims.</w:t>
            </w:r>
          </w:p>
        </w:tc>
      </w:tr>
      <w:tr w:rsidR="00993602" w14:paraId="5EBE3316" w14:textId="77777777" w:rsidTr="00E5743B">
        <w:trPr>
          <w:jc w:val="center"/>
        </w:trPr>
        <w:tc>
          <w:tcPr>
            <w:tcW w:w="3091" w:type="dxa"/>
            <w:tcMar>
              <w:top w:w="80" w:type="dxa"/>
              <w:left w:w="80" w:type="dxa"/>
              <w:bottom w:w="80" w:type="dxa"/>
              <w:right w:w="80" w:type="dxa"/>
            </w:tcMar>
          </w:tcPr>
          <w:p w14:paraId="5B87D341" w14:textId="77777777" w:rsidR="00993602" w:rsidRDefault="00000000">
            <w:pPr>
              <w:spacing w:after="20"/>
            </w:pPr>
            <w:r>
              <w:rPr>
                <w:sz w:val="17"/>
              </w:rPr>
              <w:t>NREM/REM terminology supplies consolidation structure.</w:t>
            </w:r>
          </w:p>
        </w:tc>
        <w:tc>
          <w:tcPr>
            <w:tcW w:w="5311" w:type="dxa"/>
            <w:tcMar>
              <w:top w:w="80" w:type="dxa"/>
              <w:left w:w="80" w:type="dxa"/>
              <w:bottom w:w="80" w:type="dxa"/>
              <w:right w:w="80" w:type="dxa"/>
            </w:tcMar>
          </w:tcPr>
          <w:p w14:paraId="04C0425A" w14:textId="77777777" w:rsidR="00993602" w:rsidRDefault="00000000">
            <w:pPr>
              <w:spacing w:after="20"/>
            </w:pPr>
            <w:r>
              <w:rPr>
                <w:sz w:val="17"/>
              </w:rPr>
              <w:t>Interpretive only. The labels schedule two passes but impose no mathematical constraint.</w:t>
            </w:r>
          </w:p>
        </w:tc>
      </w:tr>
      <w:tr w:rsidR="00993602" w14:paraId="1B93B697" w14:textId="77777777" w:rsidTr="00E5743B">
        <w:trPr>
          <w:jc w:val="center"/>
        </w:trPr>
        <w:tc>
          <w:tcPr>
            <w:tcW w:w="3091" w:type="dxa"/>
            <w:tcMar>
              <w:top w:w="80" w:type="dxa"/>
              <w:left w:w="80" w:type="dxa"/>
              <w:bottom w:w="80" w:type="dxa"/>
              <w:right w:w="80" w:type="dxa"/>
            </w:tcMar>
          </w:tcPr>
          <w:p w14:paraId="41BABC44" w14:textId="77777777" w:rsidR="00993602" w:rsidRDefault="00000000">
            <w:pPr>
              <w:spacing w:after="20"/>
            </w:pPr>
            <w:r>
              <w:rPr>
                <w:sz w:val="17"/>
              </w:rPr>
              <w:t>MVVM determines the sheaf architecture.</w:t>
            </w:r>
          </w:p>
        </w:tc>
        <w:tc>
          <w:tcPr>
            <w:tcW w:w="5311" w:type="dxa"/>
            <w:tcMar>
              <w:top w:w="80" w:type="dxa"/>
              <w:left w:w="80" w:type="dxa"/>
              <w:bottom w:w="80" w:type="dxa"/>
              <w:right w:w="80" w:type="dxa"/>
            </w:tcMar>
          </w:tcPr>
          <w:p w14:paraId="33D55E69" w14:textId="77777777" w:rsidR="00993602" w:rsidRDefault="00000000">
            <w:pPr>
              <w:spacing w:after="20"/>
            </w:pPr>
            <w:r>
              <w:rPr>
                <w:sz w:val="17"/>
              </w:rPr>
              <w:t>Interpretive only. The load-bearing objects are stalks, restrictions, independent witnesses, and spectral tests.</w:t>
            </w:r>
          </w:p>
        </w:tc>
      </w:tr>
      <w:tr w:rsidR="00993602" w14:paraId="1E2A38ED" w14:textId="77777777" w:rsidTr="00E5743B">
        <w:trPr>
          <w:jc w:val="center"/>
        </w:trPr>
        <w:tc>
          <w:tcPr>
            <w:tcW w:w="3091" w:type="dxa"/>
            <w:tcMar>
              <w:top w:w="80" w:type="dxa"/>
              <w:left w:w="80" w:type="dxa"/>
              <w:bottom w:w="80" w:type="dxa"/>
              <w:right w:w="80" w:type="dxa"/>
            </w:tcMar>
          </w:tcPr>
          <w:p w14:paraId="0CD08D89" w14:textId="77777777" w:rsidR="00993602" w:rsidRDefault="00000000">
            <w:pPr>
              <w:spacing w:after="20"/>
            </w:pPr>
            <w:r>
              <w:rPr>
                <w:sz w:val="17"/>
              </w:rPr>
              <w:t>Homotopy preservation of the base preserves memory.</w:t>
            </w:r>
          </w:p>
        </w:tc>
        <w:tc>
          <w:tcPr>
            <w:tcW w:w="5311" w:type="dxa"/>
            <w:tcMar>
              <w:top w:w="80" w:type="dxa"/>
              <w:left w:w="80" w:type="dxa"/>
              <w:bottom w:w="80" w:type="dxa"/>
              <w:right w:w="80" w:type="dxa"/>
            </w:tcMar>
          </w:tcPr>
          <w:p w14:paraId="37D2699B" w14:textId="77777777" w:rsidR="00993602" w:rsidRDefault="00000000">
            <w:pPr>
              <w:spacing w:after="20"/>
            </w:pPr>
            <w:r>
              <w:rPr>
                <w:sz w:val="17"/>
              </w:rPr>
              <w:t>Superseded. Knowledge lives in the coefficient sheaf; safe reduction must preserve sheaf information, not merely the graph topology.</w:t>
            </w:r>
          </w:p>
        </w:tc>
      </w:tr>
    </w:tbl>
    <w:p w14:paraId="54D698DD" w14:textId="77777777" w:rsidR="00993602" w:rsidRDefault="00993602"/>
    <w:p w14:paraId="47B33C0A" w14:textId="77777777" w:rsidR="00993602" w:rsidRDefault="00000000">
      <w:r>
        <w:t>This explicit supersession is part of the method rather than an abandonment of the series. The earlier papers supplied architectural components; the present paper states which components survive when every mathematical claim is required to forbid a concrete implementation error.</w:t>
      </w:r>
    </w:p>
    <w:p w14:paraId="421318BC" w14:textId="77777777" w:rsidR="00993602" w:rsidRDefault="00000000">
      <w:pPr>
        <w:pStyle w:val="Heading1"/>
      </w:pPr>
      <w:r>
        <w:t>3. The Independently Witnessed CVVC Sheaf</w:t>
      </w:r>
    </w:p>
    <w:p w14:paraId="71A8BA9D" w14:textId="77777777" w:rsidR="00993602" w:rsidRDefault="00000000">
      <w:pPr>
        <w:pStyle w:val="Heading2"/>
      </w:pPr>
      <w:r>
        <w:t>3.1 Sparse graph and stalks</w:t>
      </w:r>
    </w:p>
    <w:p w14:paraId="710BFC76" w14:textId="77777777" w:rsidR="00993602" w:rsidRDefault="00000000">
      <w:r>
        <w:t>At deliberative step t, let K_t = (V_t, E_t) be the active fragment graph. Each vertex v represents a retrieved fragment. Each edge e = {u, v} represents an independently witnessed comparison domain, not merely a high pairwise attention score. A cellular sheaf F assigns</w:t>
      </w:r>
    </w:p>
    <w:p w14:paraId="73E13C91" w14:textId="77777777" w:rsidR="00993602" w:rsidRDefault="00000000">
      <w:pPr>
        <w:pStyle w:val="Equation"/>
      </w:pPr>
      <w:r>
        <w:t>F(v) to each fragment vertex,     F(e) to each comparison edge,</w:t>
      </w:r>
    </w:p>
    <w:p w14:paraId="22DD70B4" w14:textId="77777777" w:rsidR="00993602" w:rsidRDefault="00000000">
      <w:r>
        <w:t>and face-to-coface restriction maps</w:t>
      </w:r>
    </w:p>
    <w:p w14:paraId="24395DC4" w14:textId="77777777" w:rsidR="00993602" w:rsidRDefault="00000000">
      <w:pPr>
        <w:pStyle w:val="Equation"/>
      </w:pPr>
      <w:r>
        <w:t>rho_{v-&gt;e}: F(v) -&gt; F(e)     for every incidence v &lt;= e.</w:t>
      </w:r>
    </w:p>
    <w:p w14:paraId="47CF00C5" w14:textId="77777777" w:rsidR="00993602" w:rsidRDefault="00000000">
      <w:r>
        <w:t>This direction is load-bearing. The opposite direction defines the cosheaf convention. In the sheaf audit, the two endpoint descriptions are transported into one edge stalk where disagreement is measurable.</w:t>
      </w:r>
    </w:p>
    <w:p w14:paraId="6B5D53DD" w14:textId="77777777" w:rsidR="00993602" w:rsidRDefault="00000000">
      <w:pPr>
        <w:pStyle w:val="Heading2"/>
      </w:pPr>
      <w:r>
        <w:t>3.2 Independent Witness Principle</w:t>
      </w:r>
    </w:p>
    <w:p w14:paraId="76673E5E" w14:textId="77777777" w:rsidR="00993602" w:rsidRDefault="00000000">
      <w:r>
        <w:t>Independent Witness Principle. An audit is vacuous when both sides of the comparison are derived from a common source by a construction that enforces the tested identity. Every restriction, overlap, version-transport square, or future higher-order face must therefore include at least one witness not algebraically generated from the other side of the audit.</w:t>
      </w:r>
    </w:p>
    <w:p w14:paraId="71D08A5E" w14:textId="77777777" w:rsidR="00993602" w:rsidRDefault="00000000">
      <w:r>
        <w:t>Independence here is architectural, not necessarily statistical. It means that the conclusion is not true by definition. The principle rules out three recurring false audits:</w:t>
      </w:r>
    </w:p>
    <w:p w14:paraId="6859197A" w14:textId="77777777" w:rsidR="00993602" w:rsidRDefault="00000000">
      <w:pPr>
        <w:pStyle w:val="ListBullet"/>
        <w:spacing w:after="40"/>
      </w:pPr>
      <w:r>
        <w:t>Shared-projection restriction: both fragments are projected through one map that erases the disagreement the gate is supposed to detect.</w:t>
      </w:r>
    </w:p>
    <w:p w14:paraId="3D335BBA" w14:textId="77777777" w:rsidR="00993602" w:rsidRDefault="00000000">
      <w:pPr>
        <w:pStyle w:val="ListBullet"/>
        <w:spacing w:after="40"/>
      </w:pPr>
      <w:r>
        <w:t>Clique-completed face: a 2-cell is declared solely because all three pairwise edges are strong.</w:t>
      </w:r>
    </w:p>
    <w:p w14:paraId="7652B274" w14:textId="77777777" w:rsidR="00993602" w:rsidRDefault="00000000">
      <w:pPr>
        <w:pStyle w:val="ListBullet"/>
        <w:spacing w:after="40"/>
      </w:pPr>
      <w:r>
        <w:t>Derived edge transport: the edge-version map is defined from a vertex-version map so that the naturality square commutes identically.</w:t>
      </w:r>
    </w:p>
    <w:p w14:paraId="5D94FBB5" w14:textId="77777777" w:rsidR="00993602" w:rsidRDefault="00000000">
      <w:r>
        <w:t>The principle is the most portable result of the paper. It remains valid even in systems that use no explicit sheaf or topology.</w:t>
      </w:r>
    </w:p>
    <w:p w14:paraId="37893A6D" w14:textId="77777777" w:rsidR="00993602" w:rsidRDefault="00000000">
      <w:pPr>
        <w:pStyle w:val="Heading2"/>
      </w:pPr>
      <w:r>
        <w:lastRenderedPageBreak/>
        <w:t>3.3 Capacity contract</w:t>
      </w:r>
    </w:p>
    <w:p w14:paraId="2693421D" w14:textId="77777777" w:rsidR="00993602" w:rsidRDefault="00000000">
      <w:r>
        <w:t>A bound on active fragments alone does not bound the graph. The working-memory contract is</w:t>
      </w:r>
    </w:p>
    <w:p w14:paraId="7A5C1631" w14:textId="77777777" w:rsidR="00993602" w:rsidRDefault="00000000">
      <w:pPr>
        <w:pStyle w:val="Equation"/>
      </w:pPr>
      <w:r>
        <w:t>|V_t| &lt;= C,     |E_t| &lt;= B,     deg(v) &lt;= k where required.</w:t>
      </w:r>
    </w:p>
    <w:p w14:paraId="39CC56D4" w14:textId="77777777" w:rsidR="00993602" w:rsidRDefault="00000000">
      <w:r>
        <w:t>For a top-k sparse comparison policy, B &lt;= kC/2. The system must report vertex count, edge count, stalk dimensions, and restriction-map ranks. A dense graph would require O(C^2) edge stalks and would quietly invalidate the capacity-bounded claim.</w:t>
      </w:r>
    </w:p>
    <w:p w14:paraId="6F2BD4C3" w14:textId="77777777" w:rsidR="00993602" w:rsidRDefault="00000000">
      <w:pPr>
        <w:pStyle w:val="Heading1"/>
      </w:pPr>
      <w:r>
        <w:t>4. H^0 Consistency and the Spectral Gate</w:t>
      </w:r>
    </w:p>
    <w:p w14:paraId="7F8E1D32" w14:textId="77777777" w:rsidR="00993602" w:rsidRDefault="00000000">
      <w:pPr>
        <w:pStyle w:val="Heading2"/>
      </w:pPr>
      <w:r>
        <w:t>4.1 Coboundary and Laplacian</w:t>
      </w:r>
    </w:p>
    <w:p w14:paraId="0A02F7C9" w14:textId="77777777" w:rsidR="00993602" w:rsidRDefault="00000000">
      <w:r>
        <w:t>The degree-zero cochain space is the direct sum of vertex stalks and the degree-one space is the direct sum of edge stalks:</w:t>
      </w:r>
    </w:p>
    <w:p w14:paraId="2EE88DCC" w14:textId="77777777" w:rsidR="00993602" w:rsidRDefault="00000000">
      <w:pPr>
        <w:pStyle w:val="Equation"/>
      </w:pPr>
      <w:r>
        <w:t>C^0(K; F) = direct-sum_{v in V} F(v),     C^1(K; F) = direct-sum_{e in E} F(e).</w:t>
      </w:r>
    </w:p>
    <w:p w14:paraId="2A94924B" w14:textId="77777777" w:rsidR="00993602" w:rsidRDefault="00000000">
      <w:r>
        <w:t>For an orientation of each edge e = (u, v), define</w:t>
      </w:r>
    </w:p>
    <w:p w14:paraId="20BD1027" w14:textId="77777777" w:rsidR="00993602" w:rsidRDefault="00000000">
      <w:pPr>
        <w:pStyle w:val="Equation"/>
      </w:pPr>
      <w:r>
        <w:t>(delta^0 s)_e = rho_{v-&gt;e}(s_v) - rho_{u-&gt;e}(s_u).</w:t>
      </w:r>
    </w:p>
    <w:p w14:paraId="102177E5" w14:textId="77777777" w:rsidR="00993602" w:rsidRDefault="00000000">
      <w:r>
        <w:t>A consistent assembly is a global section:</w:t>
      </w:r>
    </w:p>
    <w:p w14:paraId="6F0149DB" w14:textId="77777777" w:rsidR="00993602" w:rsidRDefault="00000000">
      <w:pPr>
        <w:pStyle w:val="Equation"/>
      </w:pPr>
      <w:r>
        <w:t>H^0(K; F) = ker delta^0.</w:t>
      </w:r>
    </w:p>
    <w:p w14:paraId="1F7B4335" w14:textId="77777777" w:rsidR="00993602" w:rsidRDefault="00000000">
      <w:r>
        <w:t>The degree-zero sheaf Laplacian is</w:t>
      </w:r>
    </w:p>
    <w:p w14:paraId="56CE0A6A" w14:textId="77777777" w:rsidR="00993602" w:rsidRDefault="00000000">
      <w:pPr>
        <w:pStyle w:val="Equation"/>
      </w:pPr>
      <w:r>
        <w:t>L_F = (delta^0)^* delta^0,     ker L_F = H^0(K; F).</w:t>
      </w:r>
    </w:p>
    <w:p w14:paraId="39726D42" w14:textId="77777777" w:rsidR="00993602" w:rsidRDefault="00000000">
      <w:r>
        <w:t>At graph dimension one, the entire cohomological dimension count is determined by rank delta^0 once stalk dimensions are known. Operationally, however, the full operator and spectrum matter: they identify which combinations are inconsistent, how strongly, and along which near-null directions.</w:t>
      </w:r>
    </w:p>
    <w:p w14:paraId="75D65444" w14:textId="77777777" w:rsidR="00993602" w:rsidRDefault="00000000">
      <w:pPr>
        <w:pStyle w:val="Heading2"/>
      </w:pPr>
      <w:r>
        <w:t>4.2 H^0 is the honest ceiling</w:t>
      </w:r>
    </w:p>
    <w:p w14:paraId="3A6BA5FF" w14:textId="77777777" w:rsidR="00993602" w:rsidRDefault="00000000">
      <w:r>
        <w:t>For the graph complex C^0 -&gt; C^1 -&gt; 0, H^1 = coker delta^0. Because no delta^1 exists, every edge 1-cochain is formally closed. Graph-level H^1 therefore counts unexplained edge data but cannot distinguish a genuinely closed obstruction from arbitrary edge disagreement. Moreover, delta^0 s is exact by construction and represents zero in H^1 for every proposed assembly. The immediate gate is a residual test, not a nontrivial H^1 class.</w:t>
      </w:r>
    </w:p>
    <w:p w14:paraId="4ECBF3B0" w14:textId="77777777" w:rsidR="00993602" w:rsidRDefault="00000000">
      <w:r>
        <w:t>This narrowing does not weaken the implementable result. It prevents higher-cohomological language from claiming information the architecture has not witnessed.</w:t>
      </w:r>
    </w:p>
    <w:p w14:paraId="01508ECB" w14:textId="77777777" w:rsidR="00993602" w:rsidRDefault="00000000">
      <w:pPr>
        <w:pStyle w:val="Heading2"/>
      </w:pPr>
      <w:r>
        <w:t>4.3 Consistency energy and distance to release</w:t>
      </w:r>
    </w:p>
    <w:p w14:paraId="0A82ABC9" w14:textId="77777777" w:rsidR="00993602" w:rsidRDefault="00000000">
      <w:r>
        <w:t>For an assembly s, define</w:t>
      </w:r>
    </w:p>
    <w:p w14:paraId="5204EDAD" w14:textId="77777777" w:rsidR="00993602" w:rsidRDefault="00000000">
      <w:pPr>
        <w:pStyle w:val="Equation"/>
      </w:pPr>
      <w:r>
        <w:t>E(s) = ||delta^0 s||^2 = &lt;s, L_F s&gt;.</w:t>
      </w:r>
    </w:p>
    <w:p w14:paraId="221ED8E8" w14:textId="77777777" w:rsidR="00993602" w:rsidRDefault="00000000">
      <w:r>
        <w:t>Let H = ker L_F and P_H be orthogonal projection onto the consistent subspace. If lambda_+ is the smallest positive eigenvalue, then</w:t>
      </w:r>
    </w:p>
    <w:p w14:paraId="1474105B" w14:textId="77777777" w:rsidR="00993602" w:rsidRDefault="00000000">
      <w:pPr>
        <w:pStyle w:val="Equation"/>
      </w:pPr>
      <w:r>
        <w:t>E(s) &gt;= lambda_+ ||s - P_H s||^2,</w:t>
      </w:r>
    </w:p>
    <w:p w14:paraId="43A41EE4" w14:textId="77777777" w:rsidR="00993602" w:rsidRDefault="00000000">
      <w:pPr>
        <w:pStyle w:val="Equation"/>
      </w:pPr>
      <w:r>
        <w:t>||s - P_H s|| &lt;= sqrt(E(s) / lambda_+).</w:t>
      </w:r>
    </w:p>
    <w:p w14:paraId="0A41F4A3" w14:textId="77777777" w:rsidR="00993602" w:rsidRDefault="00000000">
      <w:r>
        <w:t>A small residual has different meaning in a well-constrained graph and a nearly singular one. The spectral gap must therefore participate in any release rule.</w:t>
      </w:r>
    </w:p>
    <w:p w14:paraId="1F52C298" w14:textId="77777777" w:rsidR="00993602" w:rsidRDefault="00000000">
      <w:pPr>
        <w:pStyle w:val="Heading2"/>
      </w:pPr>
      <w:r>
        <w:t>4.4 Release, repair, or refuse</w:t>
      </w:r>
    </w:p>
    <w:p w14:paraId="45000F98" w14:textId="77777777" w:rsidR="00993602" w:rsidRDefault="00000000">
      <w:pPr>
        <w:pStyle w:val="ListBullet"/>
        <w:spacing w:after="40"/>
      </w:pPr>
      <w:r>
        <w:t>Release: the uncertainty set for the assembly and restriction maps lies inside a calibrated tube around ker L_F.</w:t>
      </w:r>
    </w:p>
    <w:p w14:paraId="2E6313E9" w14:textId="77777777" w:rsidR="00993602" w:rsidRDefault="00000000">
      <w:pPr>
        <w:pStyle w:val="ListBullet"/>
        <w:spacing w:after="40"/>
      </w:pPr>
      <w:r>
        <w:lastRenderedPageBreak/>
        <w:t>Repair: a bounded projection, fragment replacement, or edge removal yields a nearby consistent assembly without violating provenance, capacity, or evidence requirements.</w:t>
      </w:r>
    </w:p>
    <w:p w14:paraId="29FF9562" w14:textId="77777777" w:rsidR="00993602" w:rsidRDefault="00000000">
      <w:pPr>
        <w:pStyle w:val="ListBullet"/>
        <w:spacing w:after="40"/>
      </w:pPr>
      <w:r>
        <w:t>Refuse or unresolved: uncertainty straddles the release boundary, the restriction maps are inadequately witnessed, or the required correction exceeds the repair budget.</w:t>
      </w:r>
    </w:p>
    <w:p w14:paraId="4D128BDF" w14:textId="77777777" w:rsidR="00993602" w:rsidRDefault="00000000">
      <w:r>
        <w:t>The calibration must be driven by fragment-encoder noise, overlap-encoder noise, restriction-map uncertainty, retrieval variability, and numerical precision rather than by task reward alone. This paper owns the spectral gate as an architectural contribution, but a statistically valid confidence construction remains an engineering program. The design must abstain when the Laplacian itself is too uncertain for a defensible verdict.</w:t>
      </w:r>
    </w:p>
    <w:p w14:paraId="5B8CB77C" w14:textId="77777777" w:rsidR="00993602" w:rsidRDefault="00000000">
      <w:pPr>
        <w:pStyle w:val="Heading1"/>
      </w:pPr>
      <w:r>
        <w:t>5. Bounded Deliberation and Tested Persistence</w:t>
      </w:r>
    </w:p>
    <w:p w14:paraId="40680935" w14:textId="77777777" w:rsidR="00993602" w:rsidRDefault="00000000">
      <w:r>
        <w:t>Append, Remove, Assemble, and Swap generate a zigzag of active graphs. Cohomology is contravariant, so every inclusion arrow reverses in the induced H^0 diagram. Interval decomposition remains available for finite type-A zigzags, but persistence under system-chosen edits is not automatically evidence of robustness. A long interval may simply mean that no edit challenged the supporting fragments.</w:t>
      </w:r>
    </w:p>
    <w:p w14:paraId="72360513" w14:textId="77777777" w:rsidR="00993602" w:rsidRDefault="00000000">
      <w:r>
        <w:t>Every persistence claim should therefore report edit exposure. The evaluation policy must include class-directed interventions: remove high-leverage fragments, swap a fragment with a semantically close but comparison-incompatible alternative, perturb decisive restrictions, and add evidence designed to distinguish competing global sections. Persistence under self-selected edits measures duration; persistence under adequate adversarial exposure measures robustness.</w:t>
      </w:r>
    </w:p>
    <w:p w14:paraId="1D6DAD67" w14:textId="77777777" w:rsidR="00993602" w:rsidRDefault="00000000">
      <w:pPr>
        <w:pStyle w:val="Heading1"/>
      </w:pPr>
      <w:r>
        <w:t>6. Naturality-Defect Scheduling for Model Staleness</w:t>
      </w:r>
    </w:p>
    <w:p w14:paraId="13A219DE" w14:textId="77777777" w:rsidR="00993602" w:rsidRDefault="00000000">
      <w:pPr>
        <w:pStyle w:val="Heading2"/>
      </w:pPr>
      <w:r>
        <w:t>6.1 Versioned sheaves</w:t>
      </w:r>
    </w:p>
    <w:p w14:paraId="4CC71E22" w14:textId="77777777" w:rsidR="00993602" w:rsidRDefault="00000000">
      <w:r>
        <w:t>Let F^(m) and F^(m+1) denote fragment sheaves under two model versions. A candidate version transport consists of independently estimated maps eta_v on vertex stalks and eta_e on edge stalks. Naturality requires</w:t>
      </w:r>
    </w:p>
    <w:p w14:paraId="0DDBD8F1" w14:textId="77777777" w:rsidR="00993602" w:rsidRDefault="00000000">
      <w:pPr>
        <w:pStyle w:val="Equation"/>
      </w:pPr>
      <w:r>
        <w:t>rho_{v-&gt;e}^{(m+1)} eta_v = eta_e rho_{v-&gt;e}^{(m)}.</w:t>
      </w:r>
    </w:p>
    <w:p w14:paraId="461E602E" w14:textId="77777777" w:rsidR="00993602" w:rsidRDefault="00000000">
      <w:pPr>
        <w:pStyle w:val="Heading2"/>
      </w:pPr>
      <w:r>
        <w:t>6.2 Independent estimation is load-bearing</w:t>
      </w:r>
    </w:p>
    <w:p w14:paraId="165C9B42" w14:textId="77777777" w:rsidR="00993602" w:rsidRDefault="00000000">
      <w:r>
        <w:t>The edge map eta_e must not be defined from eta_v and the two restrictions, because that would make the square commute by construction. A falsifiable design estimates eta_v by re-encoding the whole fragment under the new model and estimates eta_e separately by re-encoding the independently witnessed overlap evidence under the new model. Other implementations are possible, but the two paths must not share a derivation that forces equality.</w:t>
      </w:r>
    </w:p>
    <w:p w14:paraId="79BCDE95" w14:textId="77777777" w:rsidR="00993602" w:rsidRDefault="00000000">
      <w:pPr>
        <w:pStyle w:val="Heading2"/>
      </w:pPr>
      <w:r>
        <w:t>6.3 Defect and scheduling score</w:t>
      </w:r>
    </w:p>
    <w:p w14:paraId="5DB3EF64" w14:textId="77777777" w:rsidR="00993602" w:rsidRDefault="00000000">
      <w:pPr>
        <w:pStyle w:val="Equation"/>
      </w:pPr>
      <w:r>
        <w:t>d_{v,e}(s_v) = rho_{v-&gt;e}^{(m+1)}(eta_v(s_v)) - eta_e(rho_{v-&gt;e}^{(m)}(s_v)).</w:t>
      </w:r>
    </w:p>
    <w:p w14:paraId="5AF3B382" w14:textId="77777777" w:rsidR="00993602" w:rsidRDefault="00000000">
      <w:r>
        <w:t>A standardized fragment score is</w:t>
      </w:r>
    </w:p>
    <w:p w14:paraId="523A5672" w14:textId="77777777" w:rsidR="00993602" w:rsidRDefault="00000000">
      <w:pPr>
        <w:pStyle w:val="Equation"/>
      </w:pPr>
      <w:r>
        <w:t>D_v = sum_{e incident to v} w_{v,e} E[||d_{v,e}(s_v)||^2] / (sigma_{v,e}^2 + epsilon).</w:t>
      </w:r>
    </w:p>
    <w:p w14:paraId="2313338D" w14:textId="77777777" w:rsidR="00993602" w:rsidRDefault="00000000">
      <w:r>
        <w:t>Fragments with large, confidently nonzero defects are regenerated first. Fragments with large but poorly identified defects are marked unresolved rather than overwritten. The scheduler is cochain-level, local, and directly testable: compare its ordering with actual post-regeneration improvement and with recency-, usage-, and random-priority baselines.</w:t>
      </w:r>
    </w:p>
    <w:p w14:paraId="32AD5D6C" w14:textId="77777777" w:rsidR="00993602" w:rsidRDefault="00000000">
      <w:pPr>
        <w:pStyle w:val="Heading1"/>
      </w:pPr>
      <w:r>
        <w:lastRenderedPageBreak/>
        <w:t>7. Safe Fragment Consolidation</w:t>
      </w:r>
    </w:p>
    <w:p w14:paraId="3FE5D0BA" w14:textId="77777777" w:rsidR="00993602" w:rsidRDefault="00000000">
      <w:pPr>
        <w:pStyle w:val="Heading2"/>
      </w:pPr>
      <w:r>
        <w:t>7.1 Why base homotopy is insufficient</w:t>
      </w:r>
    </w:p>
    <w:p w14:paraId="6E8536E6" w14:textId="77777777" w:rsidR="00993602" w:rsidRDefault="00000000">
      <w:r>
        <w:t>Preserving the ordinary homotopy or homology of the fragment graph does not preserve the knowledge stored in the sheaf. A reduction f: K -&gt; K' satisfies a general derived relationship through Rf_*F; replacing the derived pushforward with the ordinary pushforward is lossless only when higher direct images vanish, equivalently when collapsed fibers are F-acyclic in the relevant setting. The architecture has no slot for hidden higher direct-image data, so a non-acyclic collapse silently loses information.</w:t>
      </w:r>
    </w:p>
    <w:p w14:paraId="079812C3" w14:textId="77777777" w:rsidR="00993602" w:rsidRDefault="00000000">
      <w:pPr>
        <w:pStyle w:val="Heading2"/>
      </w:pPr>
      <w:r>
        <w:t>7.2 Elementary merge rule</w:t>
      </w:r>
    </w:p>
    <w:p w14:paraId="70148A65" w14:textId="77777777" w:rsidR="00993602" w:rsidRDefault="00000000">
      <w:r>
        <w:t>For an edge e = {u, v}, a strong sufficient condition for lossless elementary identification is that the two restriction maps into the comparison stalk are isomorphisms, or are independently audited near-isomorphisms within a declared tolerance. Then the induced transport between F(u) and F(v) is invertible and either fragment reconstructs the comparison-relevant content of the other. High semantic similarity alone licenses no merge.</w:t>
      </w:r>
    </w:p>
    <w:p w14:paraId="5F0E3070" w14:textId="77777777" w:rsidR="00993602" w:rsidRDefault="00000000">
      <w:pPr>
        <w:pStyle w:val="Equation"/>
      </w:pPr>
      <w:r>
        <w:t>T_{u-&gt;v} = (rho_{v-&gt;e})^{-1} rho_{u-&gt;e}.</w:t>
      </w:r>
    </w:p>
    <w:p w14:paraId="3E651A52" w14:textId="77777777" w:rsidR="00993602" w:rsidRDefault="00000000">
      <w:r>
        <w:t>A practical consolidation pass should merge only after independent witness validation, condition-number checks, provenance compatibility, and a post-merge comparison of the low-energy eigenspaces of the original and reduced Laplacians.</w:t>
      </w:r>
    </w:p>
    <w:p w14:paraId="47AF8944" w14:textId="77777777" w:rsidR="00993602" w:rsidRDefault="00000000">
      <w:pPr>
        <w:pStyle w:val="Heading2"/>
      </w:pPr>
      <w:r>
        <w:t>7.3 General reductions</w:t>
      </w:r>
    </w:p>
    <w:p w14:paraId="3431C880" w14:textId="77777777" w:rsidR="00993602" w:rsidRDefault="00000000">
      <w:r>
        <w:t>Discrete Morse theory for cellular sheaf cohomology provides a principled reduction mechanism through acyclic matchings compatible with sheaf maps. The immediate paper does not claim a full derived-pushforward implementation. It uses the stronger elementary near-isomorphism rule as the deployable default and treats more general F-acyclic collapse as the mathematical extension.</w:t>
      </w:r>
    </w:p>
    <w:p w14:paraId="74E5A552" w14:textId="77777777" w:rsidR="00993602" w:rsidRDefault="00000000">
      <w:pPr>
        <w:pStyle w:val="Heading1"/>
      </w:pPr>
      <w:r>
        <w:t>8. Where Higher Topology Actually Begins</w:t>
      </w:r>
    </w:p>
    <w:p w14:paraId="29043E4A" w14:textId="77777777" w:rsidR="00993602" w:rsidRDefault="00000000">
      <w:pPr>
        <w:pStyle w:val="Heading2"/>
      </w:pPr>
      <w:r>
        <w:t>8.1 Independent face witness</w:t>
      </w:r>
    </w:p>
    <w:p w14:paraId="22D66E55" w14:textId="77777777" w:rsidR="00993602" w:rsidRDefault="00000000">
      <w:r>
        <w:t>A 2-cell may be added only when a joint witness establishes a common overlap using evidence not reducible to the three pairwise scores. Valid sources include an independently encoded common source passage, a jointly grounded physical event, an executable three-fragment constraint, or a joint reconstruction objective with irreducible higher-order evidence. A function of pairwise attention scores merely completes a clique and does not witness a face.</w:t>
      </w:r>
    </w:p>
    <w:p w14:paraId="1753775E" w14:textId="77777777" w:rsidR="00993602" w:rsidRDefault="00000000">
      <w:r>
        <w:t>Until such a witness exists, the system must remain graph-level and H^0-only. This is the exact boundary between the immediate spectral paper and any future topological paper.</w:t>
      </w:r>
    </w:p>
    <w:p w14:paraId="7817055F" w14:textId="77777777" w:rsidR="00993602" w:rsidRDefault="00000000">
      <w:pPr>
        <w:pStyle w:val="Heading2"/>
      </w:pPr>
      <w:r>
        <w:t>8.2 Triple transport defect is degree two</w:t>
      </w:r>
    </w:p>
    <w:p w14:paraId="2635FE81" w14:textId="77777777" w:rsidR="00993602" w:rsidRDefault="00000000">
      <w:r>
        <w:t>If invertible pairwise transition maps g_ij are independently supplied, the triple condition is g_jk g_ij = g_ik. A family violating this equation is not a nonabelian H^1 class; it fails to be a cocycle. The defect</w:t>
      </w:r>
    </w:p>
    <w:p w14:paraId="00717169" w14:textId="77777777" w:rsidR="00993602" w:rsidRDefault="00000000">
      <w:pPr>
        <w:pStyle w:val="Equation"/>
      </w:pPr>
      <w:r>
        <w:t>Omega_ijk = g_ik^{-1} g_jk g_ij</w:t>
      </w:r>
    </w:p>
    <w:p w14:paraId="1B1874C1" w14:textId="77777777" w:rsidR="00993602" w:rsidRDefault="00000000">
      <w:r>
        <w:t>is degree-two descent data. When central-valued, it may support an abelian H^2 obstruction. In the general nonabelian case the relevant language is gerbes, bands, or nonabelian H^2, with no additive engineer-friendly certificate. The frontier is therefore one degree harder than a graph-sheaf extension and belongs in a separate research program.</w:t>
      </w:r>
    </w:p>
    <w:p w14:paraId="1443DF04" w14:textId="77777777" w:rsidR="00993602" w:rsidRDefault="00000000">
      <w:pPr>
        <w:pStyle w:val="Heading1"/>
      </w:pPr>
      <w:r>
        <w:t>9. Frozen Store as a Relative Repair Constraint</w:t>
      </w:r>
    </w:p>
    <w:p w14:paraId="0ACF65B3" w14:textId="77777777" w:rsidR="00993602" w:rsidRDefault="00000000">
      <w:r>
        <w:t xml:space="preserve">Let L subseteq K denote the protected subgraph whose Value stalks may not be rewritten online. Version repair asks whether compatibility can be restored on K while respecting L. This has the shape of a relative </w:t>
      </w:r>
      <w:r>
        <w:lastRenderedPageBreak/>
        <w:t>problem over (K, L). A future formalization may use a sheaf of admissible local morphisms Hom(F^(m), F^(m+1)) and relative cohomology to test whether a local repair extends while fixed on L. This is a candidate connection, not a theorem: the morphism sheaf and its restrictions must first be defined, especially when the original restrictions are noninvertible.</w:t>
      </w:r>
    </w:p>
    <w:p w14:paraId="517D3990" w14:textId="77777777" w:rsidR="00993602" w:rsidRDefault="00000000">
      <w:pPr>
        <w:pStyle w:val="Heading1"/>
      </w:pPr>
      <w:r>
        <w:t>10. Evaluation Plan</w:t>
      </w:r>
    </w:p>
    <w:p w14:paraId="4C162DFA" w14:textId="77777777" w:rsidR="00993602" w:rsidRDefault="00000000">
      <w:pPr>
        <w:pStyle w:val="Heading2"/>
      </w:pPr>
      <w:r>
        <w:t>10.1 H^0 consistency tasks</w:t>
      </w:r>
    </w:p>
    <w:p w14:paraId="09EEBE1E" w14:textId="77777777" w:rsidR="00993602" w:rsidRDefault="00000000">
      <w:pPr>
        <w:pStyle w:val="ListBullet"/>
        <w:spacing w:after="40"/>
      </w:pPr>
      <w:r>
        <w:t>Locally plausible fragments that disagree after independent transport into shared comparison stalks.</w:t>
      </w:r>
    </w:p>
    <w:p w14:paraId="270046C3" w14:textId="77777777" w:rsidR="00993602" w:rsidRDefault="00000000">
      <w:pPr>
        <w:pStyle w:val="ListBullet"/>
        <w:spacing w:after="40"/>
      </w:pPr>
      <w:r>
        <w:t>Ambiguous cases with small residual but small spectral gap, testing whether the gate avoids false release.</w:t>
      </w:r>
    </w:p>
    <w:p w14:paraId="50A773B7" w14:textId="77777777" w:rsidR="00993602" w:rsidRDefault="00000000">
      <w:pPr>
        <w:pStyle w:val="ListBullet"/>
        <w:spacing w:after="40"/>
      </w:pPr>
      <w:r>
        <w:t>Repairable cases where replacing one fragment yields a nearby global section.</w:t>
      </w:r>
    </w:p>
    <w:p w14:paraId="430F1B42" w14:textId="77777777" w:rsidR="00993602" w:rsidRDefault="00000000">
      <w:pPr>
        <w:pStyle w:val="ListBullet"/>
        <w:spacing w:after="40"/>
      </w:pPr>
      <w:r>
        <w:t>Irreparable or under-witnessed cases where refusal is the correct action.</w:t>
      </w:r>
    </w:p>
    <w:p w14:paraId="35957C68" w14:textId="77777777" w:rsidR="00993602" w:rsidRDefault="00000000">
      <w:pPr>
        <w:pStyle w:val="Heading2"/>
      </w:pPr>
      <w:r>
        <w:t>10.2 Witness ablations</w:t>
      </w:r>
    </w:p>
    <w:p w14:paraId="42D27BEC" w14:textId="77777777" w:rsidR="00993602" w:rsidRDefault="00000000">
      <w:pPr>
        <w:pStyle w:val="ListBullet"/>
        <w:spacing w:after="40"/>
      </w:pPr>
      <w:r>
        <w:t>Shared-projection restrictions versus independently encoded overlaps.</w:t>
      </w:r>
    </w:p>
    <w:p w14:paraId="1FE8D3EB" w14:textId="77777777" w:rsidR="00993602" w:rsidRDefault="00000000">
      <w:pPr>
        <w:pStyle w:val="ListBullet"/>
        <w:spacing w:after="40"/>
      </w:pPr>
      <w:r>
        <w:t>Derived eta_e versus independently estimated edge-version transport.</w:t>
      </w:r>
    </w:p>
    <w:p w14:paraId="4216A747" w14:textId="77777777" w:rsidR="00993602" w:rsidRDefault="00000000">
      <w:pPr>
        <w:pStyle w:val="ListBullet"/>
        <w:spacing w:after="40"/>
      </w:pPr>
      <w:r>
        <w:t>Clique-completed triangles versus independently witnessed joint overlaps.</w:t>
      </w:r>
    </w:p>
    <w:p w14:paraId="7A1C1E83" w14:textId="77777777" w:rsidR="00993602" w:rsidRDefault="00000000">
      <w:pPr>
        <w:pStyle w:val="ListBullet"/>
        <w:spacing w:after="40"/>
      </w:pPr>
      <w:r>
        <w:t>Self-selected fragment edits versus adversarial edit exposure.</w:t>
      </w:r>
    </w:p>
    <w:p w14:paraId="23CB91FC" w14:textId="77777777" w:rsidR="00993602" w:rsidRDefault="00000000">
      <w:pPr>
        <w:pStyle w:val="Heading2"/>
      </w:pPr>
      <w:r>
        <w:t>10.3 Scheduler and consolidation tests</w:t>
      </w:r>
    </w:p>
    <w:p w14:paraId="53AC36E7" w14:textId="77777777" w:rsidR="00993602" w:rsidRDefault="00000000">
      <w:pPr>
        <w:pStyle w:val="ListBullet"/>
        <w:spacing w:after="40"/>
      </w:pPr>
      <w:r>
        <w:t>Compare naturality-defect scheduling with recency, usage count, embedding drift, and random queues.</w:t>
      </w:r>
    </w:p>
    <w:p w14:paraId="10C32B44" w14:textId="77777777" w:rsidR="00993602" w:rsidRDefault="00000000">
      <w:pPr>
        <w:pStyle w:val="ListBullet"/>
        <w:spacing w:after="40"/>
      </w:pPr>
      <w:r>
        <w:t>Measure post-regeneration consistency gain per unit of background compute.</w:t>
      </w:r>
    </w:p>
    <w:p w14:paraId="2A5F8009" w14:textId="77777777" w:rsidR="00993602" w:rsidRDefault="00000000">
      <w:pPr>
        <w:pStyle w:val="ListBullet"/>
        <w:spacing w:after="40"/>
      </w:pPr>
      <w:r>
        <w:t>Compare semantic-similarity merging with independently audited near-isomorphism merging.</w:t>
      </w:r>
    </w:p>
    <w:p w14:paraId="2CBF92D1" w14:textId="77777777" w:rsidR="00993602" w:rsidRDefault="00000000">
      <w:pPr>
        <w:pStyle w:val="ListBullet"/>
        <w:spacing w:after="40"/>
      </w:pPr>
      <w:r>
        <w:t>Test whether merges preserve retrieval accuracy, provenance, and the low-energy sheaf-Laplacian subspace.</w:t>
      </w:r>
    </w:p>
    <w:p w14:paraId="4C702295" w14:textId="77777777" w:rsidR="00993602" w:rsidRDefault="00000000">
      <w:r>
        <w:t>The decisive evidence is selective. Uniform gains on ordinary retrieval tasks may reflect extra capacity or better routing. The proposed machinery earns its place only when it improves decisions on compatibility, model staleness, circular audit controls, and content-preserving consolidation.</w:t>
      </w:r>
    </w:p>
    <w:p w14:paraId="04EB92FC" w14:textId="77777777" w:rsidR="00993602" w:rsidRDefault="00000000">
      <w:pPr>
        <w:pStyle w:val="Heading1"/>
      </w:pPr>
      <w:r>
        <w:t>11. Limitations and Claim Tiers</w:t>
      </w:r>
    </w:p>
    <w:tbl>
      <w:tblPr>
        <w:tblStyle w:val="TableGrid"/>
        <w:tblW w:w="0" w:type="auto"/>
        <w:jc w:val="center"/>
        <w:tblLook w:val="04A0" w:firstRow="1" w:lastRow="0" w:firstColumn="1" w:lastColumn="0" w:noHBand="0" w:noVBand="1"/>
      </w:tblPr>
      <w:tblGrid>
        <w:gridCol w:w="1744"/>
        <w:gridCol w:w="6983"/>
      </w:tblGrid>
      <w:tr w:rsidR="00993602" w14:paraId="073AB141" w14:textId="77777777" w:rsidTr="00E5743B">
        <w:trPr>
          <w:tblHeader/>
          <w:jc w:val="center"/>
        </w:trPr>
        <w:tc>
          <w:tcPr>
            <w:tcW w:w="1744" w:type="dxa"/>
            <w:shd w:val="clear" w:color="auto" w:fill="D9E2F3"/>
            <w:tcMar>
              <w:top w:w="80" w:type="dxa"/>
              <w:left w:w="80" w:type="dxa"/>
              <w:bottom w:w="80" w:type="dxa"/>
              <w:right w:w="80" w:type="dxa"/>
            </w:tcMar>
            <w:vAlign w:val="center"/>
          </w:tcPr>
          <w:p w14:paraId="5C7293C1" w14:textId="77777777" w:rsidR="00993602" w:rsidRDefault="00000000">
            <w:pPr>
              <w:jc w:val="center"/>
            </w:pPr>
            <w:r>
              <w:rPr>
                <w:rFonts w:ascii="Cambria" w:hAnsi="Cambria"/>
                <w:b/>
                <w:sz w:val="17"/>
              </w:rPr>
              <w:t>Tier</w:t>
            </w:r>
          </w:p>
        </w:tc>
        <w:tc>
          <w:tcPr>
            <w:tcW w:w="6983" w:type="dxa"/>
            <w:shd w:val="clear" w:color="auto" w:fill="D9E2F3"/>
            <w:tcMar>
              <w:top w:w="80" w:type="dxa"/>
              <w:left w:w="80" w:type="dxa"/>
              <w:bottom w:w="80" w:type="dxa"/>
              <w:right w:w="80" w:type="dxa"/>
            </w:tcMar>
            <w:vAlign w:val="center"/>
          </w:tcPr>
          <w:p w14:paraId="329B3485" w14:textId="77777777" w:rsidR="00993602" w:rsidRDefault="00000000">
            <w:pPr>
              <w:jc w:val="center"/>
            </w:pPr>
            <w:r>
              <w:rPr>
                <w:rFonts w:ascii="Cambria" w:hAnsi="Cambria"/>
                <w:b/>
                <w:sz w:val="17"/>
              </w:rPr>
              <w:t>Claim</w:t>
            </w:r>
          </w:p>
        </w:tc>
      </w:tr>
      <w:tr w:rsidR="00993602" w14:paraId="760F263E" w14:textId="77777777" w:rsidTr="00E5743B">
        <w:trPr>
          <w:jc w:val="center"/>
        </w:trPr>
        <w:tc>
          <w:tcPr>
            <w:tcW w:w="1744" w:type="dxa"/>
            <w:tcMar>
              <w:top w:w="80" w:type="dxa"/>
              <w:left w:w="80" w:type="dxa"/>
              <w:bottom w:w="80" w:type="dxa"/>
              <w:right w:w="80" w:type="dxa"/>
            </w:tcMar>
          </w:tcPr>
          <w:p w14:paraId="71AEC368" w14:textId="77777777" w:rsidR="00993602" w:rsidRDefault="00000000">
            <w:pPr>
              <w:spacing w:after="20"/>
            </w:pPr>
            <w:r>
              <w:rPr>
                <w:sz w:val="17"/>
              </w:rPr>
              <w:t>[EST] Established machinery</w:t>
            </w:r>
          </w:p>
        </w:tc>
        <w:tc>
          <w:tcPr>
            <w:tcW w:w="6983" w:type="dxa"/>
            <w:tcMar>
              <w:top w:w="80" w:type="dxa"/>
              <w:left w:w="80" w:type="dxa"/>
              <w:bottom w:w="80" w:type="dxa"/>
              <w:right w:w="80" w:type="dxa"/>
            </w:tcMar>
          </w:tcPr>
          <w:p w14:paraId="588B60D8" w14:textId="77777777" w:rsidR="00993602" w:rsidRDefault="00000000">
            <w:pPr>
              <w:spacing w:after="20"/>
            </w:pPr>
            <w:r>
              <w:rPr>
                <w:sz w:val="17"/>
              </w:rPr>
              <w:t>Cellular sheaves on graphs, degree-zero sheaf Laplacians, learned restriction maps, and discrete Morse reduction.</w:t>
            </w:r>
          </w:p>
        </w:tc>
      </w:tr>
      <w:tr w:rsidR="00993602" w14:paraId="1205B2DC" w14:textId="77777777" w:rsidTr="00E5743B">
        <w:trPr>
          <w:jc w:val="center"/>
        </w:trPr>
        <w:tc>
          <w:tcPr>
            <w:tcW w:w="1744" w:type="dxa"/>
            <w:tcMar>
              <w:top w:w="80" w:type="dxa"/>
              <w:left w:w="80" w:type="dxa"/>
              <w:bottom w:w="80" w:type="dxa"/>
              <w:right w:w="80" w:type="dxa"/>
            </w:tcMar>
          </w:tcPr>
          <w:p w14:paraId="3E3B0851" w14:textId="77777777" w:rsidR="00993602" w:rsidRDefault="00000000">
            <w:pPr>
              <w:spacing w:after="20"/>
            </w:pPr>
            <w:r>
              <w:rPr>
                <w:sz w:val="17"/>
              </w:rPr>
              <w:t>[CAND] Architectural contribution</w:t>
            </w:r>
          </w:p>
        </w:tc>
        <w:tc>
          <w:tcPr>
            <w:tcW w:w="6983" w:type="dxa"/>
            <w:tcMar>
              <w:top w:w="80" w:type="dxa"/>
              <w:left w:w="80" w:type="dxa"/>
              <w:bottom w:w="80" w:type="dxa"/>
              <w:right w:w="80" w:type="dxa"/>
            </w:tcMar>
          </w:tcPr>
          <w:p w14:paraId="79BAE590" w14:textId="77777777" w:rsidR="00993602" w:rsidRDefault="00000000">
            <w:pPr>
              <w:spacing w:after="20"/>
            </w:pPr>
            <w:r>
              <w:rPr>
                <w:sz w:val="17"/>
              </w:rPr>
              <w:t>CVVC restriction layer, Independent Witness Principle, spectral Release/Repair/Refuse policy, naturality-defect scheduler, and near-isomorphism merge rule for fragment retrieval.</w:t>
            </w:r>
          </w:p>
        </w:tc>
      </w:tr>
      <w:tr w:rsidR="00993602" w14:paraId="55B8089F" w14:textId="77777777" w:rsidTr="00E5743B">
        <w:trPr>
          <w:jc w:val="center"/>
        </w:trPr>
        <w:tc>
          <w:tcPr>
            <w:tcW w:w="1744" w:type="dxa"/>
            <w:tcMar>
              <w:top w:w="80" w:type="dxa"/>
              <w:left w:w="80" w:type="dxa"/>
              <w:bottom w:w="80" w:type="dxa"/>
              <w:right w:w="80" w:type="dxa"/>
            </w:tcMar>
          </w:tcPr>
          <w:p w14:paraId="7FAB6AF9" w14:textId="77777777" w:rsidR="00993602" w:rsidRDefault="00000000">
            <w:pPr>
              <w:spacing w:after="20"/>
            </w:pPr>
            <w:r>
              <w:rPr>
                <w:sz w:val="17"/>
              </w:rPr>
              <w:t>[DEBT] Statistical engineering</w:t>
            </w:r>
          </w:p>
        </w:tc>
        <w:tc>
          <w:tcPr>
            <w:tcW w:w="6983" w:type="dxa"/>
            <w:tcMar>
              <w:top w:w="80" w:type="dxa"/>
              <w:left w:w="80" w:type="dxa"/>
              <w:bottom w:w="80" w:type="dxa"/>
              <w:right w:w="80" w:type="dxa"/>
            </w:tcMar>
          </w:tcPr>
          <w:p w14:paraId="6E33D67A" w14:textId="77777777" w:rsidR="00993602" w:rsidRDefault="00000000">
            <w:pPr>
              <w:spacing w:after="20"/>
            </w:pPr>
            <w:r>
              <w:rPr>
                <w:sz w:val="17"/>
              </w:rPr>
              <w:t>Calibrated uncertainty sets for learned stalks, restrictions, and spectral gaps.</w:t>
            </w:r>
          </w:p>
        </w:tc>
      </w:tr>
      <w:tr w:rsidR="00993602" w14:paraId="3AEF3BC9" w14:textId="77777777" w:rsidTr="00E5743B">
        <w:trPr>
          <w:jc w:val="center"/>
        </w:trPr>
        <w:tc>
          <w:tcPr>
            <w:tcW w:w="1744" w:type="dxa"/>
            <w:tcMar>
              <w:top w:w="80" w:type="dxa"/>
              <w:left w:w="80" w:type="dxa"/>
              <w:bottom w:w="80" w:type="dxa"/>
              <w:right w:w="80" w:type="dxa"/>
            </w:tcMar>
          </w:tcPr>
          <w:p w14:paraId="102F90CF" w14:textId="77777777" w:rsidR="00993602" w:rsidRDefault="00000000">
            <w:pPr>
              <w:spacing w:after="20"/>
            </w:pPr>
            <w:r>
              <w:rPr>
                <w:sz w:val="17"/>
              </w:rPr>
              <w:t>[FENCE] Topological scope</w:t>
            </w:r>
          </w:p>
        </w:tc>
        <w:tc>
          <w:tcPr>
            <w:tcW w:w="6983" w:type="dxa"/>
            <w:tcMar>
              <w:top w:w="80" w:type="dxa"/>
              <w:left w:w="80" w:type="dxa"/>
              <w:bottom w:w="80" w:type="dxa"/>
              <w:right w:w="80" w:type="dxa"/>
            </w:tcMar>
          </w:tcPr>
          <w:p w14:paraId="0BD30EE6" w14:textId="77777777" w:rsidR="00993602" w:rsidRDefault="00000000">
            <w:pPr>
              <w:spacing w:after="20"/>
            </w:pPr>
            <w:r>
              <w:rPr>
                <w:sz w:val="17"/>
              </w:rPr>
              <w:t>No meaningful higher-cohomological claim without independently witnessed 2-cells; general triple transport inconsistency is a degree-two descent problem.</w:t>
            </w:r>
          </w:p>
        </w:tc>
      </w:tr>
      <w:tr w:rsidR="00993602" w14:paraId="7A61D28F" w14:textId="77777777" w:rsidTr="00E5743B">
        <w:trPr>
          <w:jc w:val="center"/>
        </w:trPr>
        <w:tc>
          <w:tcPr>
            <w:tcW w:w="1744" w:type="dxa"/>
            <w:tcMar>
              <w:top w:w="80" w:type="dxa"/>
              <w:left w:w="80" w:type="dxa"/>
              <w:bottom w:w="80" w:type="dxa"/>
              <w:right w:w="80" w:type="dxa"/>
            </w:tcMar>
          </w:tcPr>
          <w:p w14:paraId="06D56AA2" w14:textId="77777777" w:rsidR="00993602" w:rsidRDefault="00000000">
            <w:pPr>
              <w:spacing w:after="20"/>
            </w:pPr>
            <w:r>
              <w:rPr>
                <w:sz w:val="17"/>
              </w:rPr>
              <w:t>[REV] Supersession</w:t>
            </w:r>
          </w:p>
        </w:tc>
        <w:tc>
          <w:tcPr>
            <w:tcW w:w="6983" w:type="dxa"/>
            <w:tcMar>
              <w:top w:w="80" w:type="dxa"/>
              <w:left w:w="80" w:type="dxa"/>
              <w:bottom w:w="80" w:type="dxa"/>
              <w:right w:w="80" w:type="dxa"/>
            </w:tcMar>
          </w:tcPr>
          <w:p w14:paraId="44688FCF" w14:textId="77777777" w:rsidR="00993602" w:rsidRDefault="00000000">
            <w:pPr>
              <w:spacing w:after="20"/>
            </w:pPr>
            <w:r>
              <w:rPr>
                <w:sz w:val="17"/>
              </w:rPr>
              <w:t>Earlier claims that retrieval-plus-fusion already performed sheaf gluing or higher cohomological validation are withdrawn or narrowed to H^0 spectral consistency after CVVC.</w:t>
            </w:r>
          </w:p>
        </w:tc>
      </w:tr>
    </w:tbl>
    <w:p w14:paraId="15D7BA67" w14:textId="77777777" w:rsidR="00993602" w:rsidRDefault="00993602"/>
    <w:p w14:paraId="1016BE0A" w14:textId="77777777" w:rsidR="00993602" w:rsidRDefault="00000000">
      <w:pPr>
        <w:pStyle w:val="Heading1"/>
      </w:pPr>
      <w:r>
        <w:t>12. Conclusion</w:t>
      </w:r>
    </w:p>
    <w:p w14:paraId="53853716" w14:textId="77777777" w:rsidR="00993602" w:rsidRDefault="00000000">
      <w:r>
        <w:t xml:space="preserve">The Okazaki/CVVC sequence becomes mathematically auditable at one precise point: CVVC introduces comparison domains and restriction maps. Before that point, retrieval and weighted fusion always produce </w:t>
      </w:r>
      <w:r>
        <w:lastRenderedPageBreak/>
        <w:t>an output but cannot compute whether the fragments form one compatible state. After that point, the immediate problem is a sparse graph cellular sheaf and a spectral linear-consistency test.</w:t>
      </w:r>
    </w:p>
    <w:p w14:paraId="389F1C56" w14:textId="77777777" w:rsidR="00993602" w:rsidRDefault="00000000">
      <w:r>
        <w:t>The paper's durable contribution is not higher topology. It is witnessed comparison. Restriction maps must be independently grounded; model-version edge transport must be estimated independently of vertex transport; consolidation must preserve coefficient data rather than only the base graph; and persistence must be tested by edits capable of destroying what they claim to validate. These contracts yield a concrete Laplacian gate, a falsifiable staleness scheduler, and a safe merge rule. Genuine topology resumes only when the system can witness a face rather than complete a triangle. Until then, witnessed H^0 consistency is the honest and useful architecture.</w:t>
      </w:r>
    </w:p>
    <w:p w14:paraId="4B0EE4CF" w14:textId="77777777" w:rsidR="00993602" w:rsidRDefault="00000000">
      <w:pPr>
        <w:pStyle w:val="Heading1"/>
      </w:pPr>
      <w:r>
        <w:t>References</w:t>
      </w:r>
    </w:p>
    <w:p w14:paraId="156CC3AD" w14:textId="77777777" w:rsidR="00993602" w:rsidRDefault="00000000">
      <w:pPr>
        <w:spacing w:after="60"/>
        <w:ind w:left="397" w:hanging="397"/>
      </w:pPr>
      <w:r>
        <w:t>Bodnar, C., Di Giovanni, F., Chamberlain, B. P., Liò, P., &amp; Bronstein, M. M. (2022). Neural sheaf diffusion: A topological perspective on heterophily and oversmoothing in GNNs. Advances in Neural Information Processing Systems, 35. https://arxiv.org/abs/2202.04579</w:t>
      </w:r>
    </w:p>
    <w:p w14:paraId="089B7B99" w14:textId="77777777" w:rsidR="00993602" w:rsidRDefault="00000000">
      <w:pPr>
        <w:spacing w:after="60"/>
        <w:ind w:left="397" w:hanging="397"/>
      </w:pPr>
      <w:r>
        <w:t>Curry, J. M. (2014). Sheaves, cosheaves and applications (Doctoral dissertation, University of Pennsylvania). https://arxiv.org/abs/1303.3255</w:t>
      </w:r>
    </w:p>
    <w:p w14:paraId="4FE15574" w14:textId="77777777" w:rsidR="00993602" w:rsidRDefault="00000000">
      <w:pPr>
        <w:spacing w:after="60"/>
        <w:ind w:left="397" w:hanging="397"/>
      </w:pPr>
      <w:r>
        <w:t>Curry, J., Ghrist, R., &amp; Nanda, V. (2016). Discrete Morse theory for computing cellular sheaf cohomology. Foundations of Computational Mathematics, 16(4), 875-897. https://arxiv.org/abs/1312.6454</w:t>
      </w:r>
    </w:p>
    <w:p w14:paraId="129817D0" w14:textId="77777777" w:rsidR="00993602" w:rsidRDefault="00000000">
      <w:pPr>
        <w:spacing w:after="60"/>
        <w:ind w:left="397" w:hanging="397"/>
      </w:pPr>
      <w:r>
        <w:t>Ghosh, D., Ghosh, D., &amp; Ghosh, D. P. (2025). Attentionlet Is All You Need! ResearchGate. https://doi.org/10.13140/RG.2.2.35155.90404</w:t>
      </w:r>
    </w:p>
    <w:p w14:paraId="6FD643C7" w14:textId="77777777" w:rsidR="00993602" w:rsidRDefault="00000000">
      <w:pPr>
        <w:spacing w:after="60"/>
        <w:ind w:left="397" w:hanging="397"/>
      </w:pPr>
      <w:r>
        <w:t>Ghosh, D., Ghosh, D., &amp; Ghosh, D. P. (2025). Continual CVVC-RAG: A biologically-inspired architecture for lifelong retrieval-augmented generation. ResearchGate. https://doi.org/10.13140/RG.2.2.27009.77923</w:t>
      </w:r>
    </w:p>
    <w:p w14:paraId="09F3127F" w14:textId="77777777" w:rsidR="00993602" w:rsidRDefault="00000000">
      <w:pPr>
        <w:spacing w:after="60"/>
        <w:ind w:left="397" w:hanging="397"/>
      </w:pPr>
      <w:r>
        <w:t>Ghosh, D., Ghosh, D., &amp; Ghosh, D. P. (2025). CVVC-RAG: A three-strand, MVVM-style architecture for deliberative retrieval-augmented generation. ResearchGate. https://doi.org/10.13140/RG.2.2.35568.78086</w:t>
      </w:r>
    </w:p>
    <w:p w14:paraId="4D194683" w14:textId="77777777" w:rsidR="00993602" w:rsidRDefault="00000000">
      <w:pPr>
        <w:spacing w:after="60"/>
        <w:ind w:left="397" w:hanging="397"/>
      </w:pPr>
      <w:r>
        <w:t>Ghosh, D., Ghosh, D., &amp; Ghosh, D. P. (2025). Okazaki-RAG: A dual-strand, parameter-efficient architecture for long-context modeling. ResearchGate. https://doi.org/10.13140/RG.2.2.12473.89444</w:t>
      </w:r>
    </w:p>
    <w:p w14:paraId="5DB2E827" w14:textId="77777777" w:rsidR="00993602" w:rsidRDefault="00000000">
      <w:pPr>
        <w:spacing w:after="60"/>
        <w:ind w:left="397" w:hanging="397"/>
      </w:pPr>
      <w:r>
        <w:t>Ghosh, D., Ghosh, D., &amp; Ghosh, D. P. (2025). Okazaki-RAG: Asymmetric dual-strand cognition with reverse-LLM validation and sleep-inspired consolidation (A conceptual framework). ResearchGate. https://doi.org/10.13140/RG.2.2.18604.78723</w:t>
      </w:r>
    </w:p>
    <w:p w14:paraId="338114D5" w14:textId="77777777" w:rsidR="00993602" w:rsidRDefault="00000000">
      <w:pPr>
        <w:spacing w:after="60"/>
        <w:ind w:left="397" w:hanging="397"/>
      </w:pPr>
      <w:r>
        <w:t>Ghosh, D., Ghosh, D., &amp; Ghosh, D. P. (2025). System 2 through Okazaki-RAG: Capacity-bounded inline fragment manipulation for deliberative reasoning. ResearchGate. https://doi.org/10.13140/RG.2.2.21203.28963</w:t>
      </w:r>
    </w:p>
    <w:p w14:paraId="35021FFB" w14:textId="4E65D11E" w:rsidR="00E5743B" w:rsidRDefault="00E5743B">
      <w:pPr>
        <w:spacing w:after="60"/>
        <w:ind w:left="397" w:hanging="397"/>
      </w:pPr>
      <w:r>
        <w:t>Ghosh, D. P. (2025).</w:t>
      </w:r>
      <w:r>
        <w:t xml:space="preserve"> </w:t>
      </w:r>
      <w:r w:rsidRPr="00E5743B">
        <w:t>Boundary-Visible Cohomology and Memory Export</w:t>
      </w:r>
      <w:r>
        <w:t>.</w:t>
      </w:r>
      <w:r>
        <w:t xml:space="preserve"> ResearchGate.</w:t>
      </w:r>
      <w:r>
        <w:t xml:space="preserve"> </w:t>
      </w:r>
      <w:r w:rsidRPr="00E5743B">
        <w:t>https://doi.org/10.13140/RG.2.2.27865.48484</w:t>
      </w:r>
    </w:p>
    <w:p w14:paraId="7A090219" w14:textId="77777777" w:rsidR="00993602" w:rsidRDefault="00000000">
      <w:pPr>
        <w:spacing w:after="60"/>
        <w:ind w:left="397" w:hanging="397"/>
      </w:pPr>
      <w:r>
        <w:t>Hansen, J., &amp; Ghrist, R. (2019). Toward a spectral theory of cellular sheaves. Journal of Applied and Computational Topology, 3, 315-358. https://doi.org/10.1007/s41468-019-00038-7</w:t>
      </w:r>
    </w:p>
    <w:p w14:paraId="46A2674D" w14:textId="77777777" w:rsidR="00993602" w:rsidRDefault="00000000">
      <w:pPr>
        <w:spacing w:after="60"/>
        <w:ind w:left="397" w:hanging="397"/>
      </w:pPr>
      <w:r>
        <w:t>Robinson, M. (2014). Topological signal processing. Springer. https://doi.org/10.1007/978-3-642-36104-3</w:t>
      </w:r>
    </w:p>
    <w:p w14:paraId="5F61D64E" w14:textId="77777777" w:rsidR="00993602" w:rsidRDefault="00000000">
      <w:pPr>
        <w:spacing w:after="60"/>
        <w:ind w:left="397" w:hanging="397"/>
      </w:pPr>
      <w:r>
        <w:t>Weibel, C. A. (1994). An introduction to homological algebra. Cambridge University Press. https://doi.org/10.1017/CBO9781139644136</w:t>
      </w:r>
    </w:p>
    <w:sectPr w:rsidR="00993602" w:rsidSect="00034616">
      <w:headerReference w:type="default" r:id="rId10"/>
      <w:footerReference w:type="default" r:id="rId11"/>
      <w:pgSz w:w="11906" w:h="16838"/>
      <w:pgMar w:top="1304" w:right="1417" w:bottom="1247" w:left="1417"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9A54E2" w14:textId="77777777" w:rsidR="00CA4253" w:rsidRDefault="00CA4253">
      <w:pPr>
        <w:spacing w:after="0" w:line="240" w:lineRule="auto"/>
      </w:pPr>
      <w:r>
        <w:separator/>
      </w:r>
    </w:p>
  </w:endnote>
  <w:endnote w:type="continuationSeparator" w:id="0">
    <w:p w14:paraId="3E992CC5" w14:textId="77777777" w:rsidR="00CA4253" w:rsidRDefault="00CA42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Vrinda">
    <w:panose1 w:val="00000400000000000000"/>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9F222" w14:textId="77777777" w:rsidR="00993602" w:rsidRDefault="00000000">
    <w:pPr>
      <w:pStyle w:val="Footer"/>
      <w:jc w:val="center"/>
    </w:pPr>
    <w:r>
      <w:fldChar w:fldCharType="begin"/>
    </w:r>
    <w:r>
      <w:instrText xml:space="preserve"> PAGE </w:instrText>
    </w:r>
    <w:r w:rsidR="00E5743B">
      <w:fldChar w:fldCharType="separate"/>
    </w:r>
    <w:r w:rsidR="00E5743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865765" w14:textId="77777777" w:rsidR="00CA4253" w:rsidRDefault="00CA4253">
      <w:pPr>
        <w:spacing w:after="0" w:line="240" w:lineRule="auto"/>
      </w:pPr>
      <w:r>
        <w:separator/>
      </w:r>
    </w:p>
  </w:footnote>
  <w:footnote w:type="continuationSeparator" w:id="0">
    <w:p w14:paraId="03B9B5F9" w14:textId="77777777" w:rsidR="00CA4253" w:rsidRDefault="00CA42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797ED" w14:textId="77777777" w:rsidR="00993602" w:rsidRDefault="00000000">
    <w:pPr>
      <w:pStyle w:val="Header"/>
      <w:jc w:val="center"/>
    </w:pPr>
    <w:r>
      <w:rPr>
        <w:rFonts w:ascii="Cambria" w:hAnsi="Cambria"/>
        <w:i/>
        <w:color w:val="5A5A5A"/>
        <w:sz w:val="16"/>
      </w:rPr>
      <w:t>Witnessed, Not Assumed: CVVC Spectral Retrieval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68191946">
    <w:abstractNumId w:val="8"/>
  </w:num>
  <w:num w:numId="2" w16cid:durableId="1214931044">
    <w:abstractNumId w:val="6"/>
  </w:num>
  <w:num w:numId="3" w16cid:durableId="890766898">
    <w:abstractNumId w:val="5"/>
  </w:num>
  <w:num w:numId="4" w16cid:durableId="1317029253">
    <w:abstractNumId w:val="4"/>
  </w:num>
  <w:num w:numId="5" w16cid:durableId="909928692">
    <w:abstractNumId w:val="7"/>
  </w:num>
  <w:num w:numId="6" w16cid:durableId="81688881">
    <w:abstractNumId w:val="3"/>
  </w:num>
  <w:num w:numId="7" w16cid:durableId="665086756">
    <w:abstractNumId w:val="2"/>
  </w:num>
  <w:num w:numId="8" w16cid:durableId="224727973">
    <w:abstractNumId w:val="1"/>
  </w:num>
  <w:num w:numId="9" w16cid:durableId="4579912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2D6C"/>
    <w:rsid w:val="0023465B"/>
    <w:rsid w:val="0029639D"/>
    <w:rsid w:val="00326F90"/>
    <w:rsid w:val="006A251C"/>
    <w:rsid w:val="00993602"/>
    <w:rsid w:val="00AA1D8D"/>
    <w:rsid w:val="00B47730"/>
    <w:rsid w:val="00CA4253"/>
    <w:rsid w:val="00CB0664"/>
    <w:rsid w:val="00D8101E"/>
    <w:rsid w:val="00E5743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b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9E8D63"/>
  <w14:defaultImageDpi w14:val="300"/>
  <w15:docId w15:val="{548428E7-F08D-47BB-9525-58747971D1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jc w:val="both"/>
    </w:pPr>
    <w:rPr>
      <w:rFonts w:ascii="Times New Roman" w:eastAsia="Times New Roman" w:hAnsi="Times New Roman"/>
      <w:sz w:val="21"/>
    </w:rPr>
  </w:style>
  <w:style w:type="paragraph" w:styleId="Heading1">
    <w:name w:val="heading 1"/>
    <w:basedOn w:val="Normal"/>
    <w:next w:val="Normal"/>
    <w:link w:val="Heading1Char"/>
    <w:uiPriority w:val="9"/>
    <w:qFormat/>
    <w:rsid w:val="00FC693F"/>
    <w:pPr>
      <w:keepNext/>
      <w:keepLines/>
      <w:spacing w:before="2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280"/>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
    <w:name w:val="Equation"/>
    <w:pPr>
      <w:keepLines/>
      <w:spacing w:before="100" w:after="100"/>
      <w:jc w:val="center"/>
    </w:pPr>
    <w:rPr>
      <w:rFonts w:ascii="Cambria Math" w:eastAsia="Cambria Math" w:hAnsi="Cambria Math"/>
      <w:sz w:val="21"/>
    </w:rPr>
  </w:style>
  <w:style w:type="paragraph" w:customStyle="1" w:styleId="CaptionText">
    <w:name w:val="CaptionText"/>
    <w:pPr>
      <w:spacing w:after="120"/>
      <w:jc w:val="center"/>
    </w:pPr>
    <w:rPr>
      <w:rFonts w:ascii="Times New Roman" w:hAnsi="Times New Roman"/>
      <w:i/>
      <w:sz w:val="18"/>
    </w:rPr>
  </w:style>
  <w:style w:type="character" w:styleId="Hyperlink">
    <w:name w:val="Hyperlink"/>
    <w:basedOn w:val="DefaultParagraphFont"/>
    <w:uiPriority w:val="99"/>
    <w:unhideWhenUsed/>
    <w:rsid w:val="00E5743B"/>
    <w:rPr>
      <w:color w:val="0000FF" w:themeColor="hyperlink"/>
      <w:u w:val="single"/>
    </w:rPr>
  </w:style>
  <w:style w:type="character" w:styleId="UnresolvedMention">
    <w:name w:val="Unresolved Mention"/>
    <w:basedOn w:val="DefaultParagraphFont"/>
    <w:uiPriority w:val="99"/>
    <w:semiHidden/>
    <w:unhideWhenUsed/>
    <w:rsid w:val="00E5743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ebiprasadghosh@gmail.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doi.org/10.13140/RG.2.2.32479.2192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8</Pages>
  <Words>3763</Words>
  <Characters>21455</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25168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Witnessed, Not Assumed: Spectral Consistency, Staleness Detection, and Safe Consolidation in Fragment Retrieval</dc:title>
  <dc:subject>Conceptual paper on CVVC-RAG, cellular sheaves, spectral consistency, and fragment consolidation</dc:subject>
  <dc:creator>Debi Prasad Ghosh</dc:creator>
  <cp:keywords>CVVC-RAG, cellular sheaf, sheaf Laplacian, independent witness, retrieval augmented generation</cp:keywords>
  <dc:description>generated by python-docx</dc:description>
  <cp:lastModifiedBy>Debiprasad Ghosh</cp:lastModifiedBy>
  <cp:revision>5</cp:revision>
  <cp:lastPrinted>2026-07-24T14:32:00Z</cp:lastPrinted>
  <dcterms:created xsi:type="dcterms:W3CDTF">2013-12-23T23:15:00Z</dcterms:created>
  <dcterms:modified xsi:type="dcterms:W3CDTF">2026-07-24T14:59:00Z</dcterms:modified>
  <cp:category/>
</cp:coreProperties>
</file>