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F996" w14:textId="77777777" w:rsidR="001F608A" w:rsidRPr="003F7917" w:rsidRDefault="00000000" w:rsidP="003F7917">
      <w:pPr>
        <w:pStyle w:val="Title"/>
        <w:rPr>
          <w:sz w:val="58"/>
          <w:szCs w:val="58"/>
        </w:rPr>
      </w:pPr>
      <w:r>
        <w:rPr>
          <w:sz w:val="58"/>
          <w:szCs w:val="58"/>
        </w:rPr>
        <w:t>Progressive Architectural Mediation</w:t>
      </w:r>
    </w:p>
    <w:p w14:paraId="35F7EA4D" w14:textId="77777777" w:rsidR="001F608A" w:rsidRPr="003F7917" w:rsidRDefault="00000000" w:rsidP="003F7917">
      <w:pPr>
        <w:pStyle w:val="Subtitle"/>
        <w:rPr>
          <w:color w:val="00B0F0"/>
        </w:rPr>
      </w:pPr>
      <w:r>
        <w:rPr>
          <w:color w:val="00B0F0"/>
        </w:rPr>
        <w:t>Comparing MVVM Refactoring, CVVC Migration, and Neocortical Organization</w:t>
      </w:r>
    </w:p>
    <w:p w14:paraId="02E45ABA" w14:textId="77777777" w:rsidR="001F608A" w:rsidRDefault="00000000" w:rsidP="003F7917">
      <w:pPr>
        <w:pStyle w:val="Author"/>
      </w:pPr>
      <w:r>
        <w:t>Debi Prasad Ghosh</w:t>
      </w:r>
    </w:p>
    <w:p w14:paraId="0D794161" w14:textId="77777777" w:rsidR="001F608A" w:rsidRDefault="00000000" w:rsidP="003F7917">
      <w:pPr>
        <w:pStyle w:val="Date"/>
      </w:pPr>
      <w:r>
        <w:t>Conceptual research manuscript • revised 12 October 2026</w:t>
      </w:r>
    </w:p>
    <w:p w14:paraId="7FCDD55E" w14:textId="77777777" w:rsidR="001F608A" w:rsidRDefault="00000000" w:rsidP="003F7917">
      <w:pPr>
        <w:pStyle w:val="Heading1"/>
        <w:jc w:val="both"/>
      </w:pPr>
      <w:bookmarkStart w:id="0" w:name="abstract"/>
      <w:r>
        <w:t>Abstract</w:t>
      </w:r>
    </w:p>
    <w:p w14:paraId="167F71A9" w14:textId="77777777" w:rsidR="00ED1AF7" w:rsidRDefault="00000000">
      <w:pPr>
        <w:pStyle w:val="FirstParagraph"/>
        <w:jc w:val="both"/>
      </w:pPr>
      <w:r>
        <w:t>An established system can acquire more flexible control by reorganizing access to capabilities that already work. We examine this principle across procedural software refactored toward Model–View–ViewModel, a trained Transformer migrated toward Context–Value–Value Context architecture, and the organization of mammalian corticothalamic circuits. The common operation is progressive separation of representation, selection, and output under continuity constraints. The preserved invariant differs: software refactoring targets specified behavioral equivalence, model migration targets retained competence, and biological evolution requires viable descendants rather than unchanged behavior. We introduce a formal migration contract and a necessary condition for lossless mediation, with a Bayes-error form and a sequential form that separates what a bounded working set may drop from what the retained state must keep. For an explicitly gated transition we prove a retention allowance that holds for any mediated branch and an on-policy sequence bound whose terms can be estimated by sampling from the original model. We then develop a bounded analogy in which cortical representations, thalamic coordination, local input transformations, and corticofugal outputs motivate distributed architectural roles. The analogy does not identify layer 4 as an obligatory gateway, layer 2/3 as frozen storage, layer 5 activity as an atomic commit, or layer 6 as a controller with a fixed sign. The central hypothesis is that rapidly adjustable routing over comparatively stable representations reduces interference during changes in task demands. A staged Transformer experiment and complementary circuit perturbations are designed to distinguish this hypothesis from generic modularity, added capacity, retrieval access, and nonspecific suppression. For the last, we show that a crossover in how two interventions rank across tasks is invariant to monotone rescaling of performance and cannot arise from any single shared factor. The contribution is an implementable migration protocol and a testable comparative framework; no model benchmark or evolutionary mechanism is presented as an achieved result.</w:t>
      </w:r>
    </w:p>
    <w:p w14:paraId="32381346" w14:textId="77777777" w:rsidR="001F608A" w:rsidRDefault="00000000" w:rsidP="003F7917">
      <w:pPr>
        <w:pStyle w:val="BodyText"/>
        <w:jc w:val="both"/>
      </w:pPr>
      <w:r>
        <w:rPr>
          <w:b/>
          <w:bCs/>
        </w:rPr>
        <w:t>Keywords</w:t>
      </w:r>
      <w:r>
        <w:t xml:space="preserve"> CVVC; MVVM; architectural mediation; corticothalamic circuits; neocortical evolution; continual learning; capability retention; retention bounds; state-trace analysis.</w:t>
      </w:r>
    </w:p>
    <w:p w14:paraId="2C4824B8" w14:textId="77777777" w:rsidR="001F608A" w:rsidRDefault="00000000" w:rsidP="003F7917">
      <w:pPr>
        <w:pStyle w:val="Heading1"/>
        <w:jc w:val="both"/>
      </w:pPr>
      <w:bookmarkStart w:id="1" w:name="introduction"/>
      <w:bookmarkEnd w:id="0"/>
      <w:r>
        <w:t>1 Introduction</w:t>
      </w:r>
    </w:p>
    <w:p w14:paraId="66B57AD6" w14:textId="77777777" w:rsidR="001F608A" w:rsidRDefault="00000000" w:rsidP="003F7917">
      <w:pPr>
        <w:pStyle w:val="FirstParagraph"/>
        <w:jc w:val="both"/>
      </w:pPr>
      <w:r>
        <w:t>A procedural application may contain a valuable computational core inside a tightly coupled call stack. State updates, decision rules, and presentation logic evolve together until changing one of them risks disturbing all of them. Refactoring can expose interfaces around existing capabilities and transfer responsibility gradually. A trained neural system raises a related question: can we change how information reaches a competent model without repeatedly rewriting the representations that support its competence?</w:t>
      </w:r>
    </w:p>
    <w:p w14:paraId="5B365555" w14:textId="77777777" w:rsidR="001F608A" w:rsidRDefault="00000000" w:rsidP="003F7917">
      <w:pPr>
        <w:pStyle w:val="BodyText"/>
        <w:jc w:val="both"/>
      </w:pPr>
      <w:r>
        <w:t>CVVC-RAG proposes a separation between global Context, a high-fidelity Value component, and a Value-Context mediator that curates a bounded set of fragments [1]. Continual CVVC-RAG extends this proposal with external updates and consolidation, and associates the functional roles with cortical and thalamic organization [2]. The present paper asks what that analogy explains, what it does not establish, and how the architectural claim can be tested.</w:t>
      </w:r>
    </w:p>
    <w:p w14:paraId="4E7485CE" w14:textId="77777777" w:rsidR="001F608A" w:rsidRDefault="00000000" w:rsidP="003F7917">
      <w:pPr>
        <w:pStyle w:val="BodyText"/>
        <w:jc w:val="both"/>
      </w:pPr>
      <w:r>
        <w:lastRenderedPageBreak/>
        <w:t>Our thesis is that mediation can create a new locus of adaptation. Instead of placing every update in the main representation, a system can change access policy, assembly, and release while retaining selected competencies. This is a design claim, not a guarantee. A mediator can also discard a decisive premise, misroute a familiar problem, or become an expensive bottleneck. A retained representation is useful only if the new architecture can still access and use it.</w:t>
      </w:r>
    </w:p>
    <w:p w14:paraId="673E0733" w14:textId="77777777" w:rsidR="001F608A" w:rsidRDefault="00000000" w:rsidP="003F7917">
      <w:pPr>
        <w:pStyle w:val="BodyText"/>
        <w:jc w:val="both"/>
      </w:pPr>
      <w:r>
        <w:t>The biological comparison concerns the diversification and organization of pallial circuits. It does not describe a modern reptile becoming a human, or an unchanged ancestral action system receiving a new cortical wrapper. Comparative molecular evidence supports diversification of ancestral neuronal programs and new combinations of cell types [5]. The correspondence must therefore be stated at the level of functional organization and tested independently of the historical narrative.</w:t>
      </w:r>
    </w:p>
    <w:p w14:paraId="51A727C9" w14:textId="77777777" w:rsidR="00ED1AF7" w:rsidRDefault="00000000">
      <w:pPr>
        <w:pStyle w:val="BodyText"/>
        <w:jc w:val="both"/>
      </w:pPr>
      <w:r>
        <w:t>We make three contributions. First, we distinguish the continuity contracts in software, trained models, and evolution. Second, we formalize progressive mediation as a change in effective access and derive conditions under which behavior can or cannot be preserved: an exact and a Bayes-error form of the information constraint, its sequential extension, and retention guarantees for a gated transition, one of which holds for any mediated branch. Third, we propose matched computational comparisons and causal biological predictions that could reject the framework, including an ordinal crossover criterion that remains valid under any monotone rescaling of task performance. The resulting research program is narrower than an anatomical equivalence and more demanding than a metaphor.</w:t>
      </w:r>
    </w:p>
    <w:p w14:paraId="14AE3851" w14:textId="77777777" w:rsidR="00ED1AF7" w:rsidRDefault="00000000">
      <w:pPr>
        <w:pStyle w:val="BodyText"/>
        <w:jc w:val="both"/>
      </w:pPr>
      <w:r>
        <w:rPr>
          <w:b/>
          <w:bCs/>
        </w:rPr>
        <w:t>Relation to prior work.</w:t>
      </w:r>
      <w:r>
        <w:t xml:space="preserve"> The engineering components are not new individually. Progressive neural networks retain frozen columns and add laterally connected columns for new tasks [12]; adapters insert small trainable modules into a frozen Transformer [13]; Learning without Forgetting regularizes a new model toward the old model’s outputs [14]; elastic weight consolidation penalizes movement of parameters important to earlier tasks [15]; Gradient Episodic Memory constrains updates with stored examples and introduced backward transfer as a retention measure [16]; and retrieval-augmented generation conditions a parametric model on retrieved non-parametric evidence [17]. The present proposal differs in where adaptation is placed and in what is certified. Adaptation is concentrated in the policy that decides what evidence a frozen consumer reads, rather than in new columns, adapters, or protected parameters, and the transition is governed by an explicit retention contract with a fallback route. Whether this placement produces less interference than the alternatives is the empirical question of Section 7, where a generic adapter stands in for this family of baselines.</w:t>
      </w:r>
    </w:p>
    <w:p w14:paraId="7AB33D49" w14:textId="77777777" w:rsidR="001F608A" w:rsidRDefault="00000000" w:rsidP="003F7917">
      <w:pPr>
        <w:pStyle w:val="Heading1"/>
        <w:jc w:val="both"/>
      </w:pPr>
      <w:bookmarkStart w:id="2" w:name="X2c983f9ccbc4ae6b62c3e88cfdba6182966f384"/>
      <w:bookmarkEnd w:id="1"/>
      <w:r>
        <w:t>2 Three transformations and their continuity contracts</w:t>
      </w:r>
    </w:p>
    <w:p w14:paraId="49430CC2" w14:textId="77777777" w:rsidR="001F608A" w:rsidRDefault="00000000" w:rsidP="003F7917">
      <w:pPr>
        <w:pStyle w:val="Heading2"/>
        <w:jc w:val="both"/>
      </w:pPr>
      <w:bookmarkStart w:id="3" w:name="software-refactoring"/>
      <w:r>
        <w:t>2.1 Software refactoring</w:t>
      </w:r>
    </w:p>
    <w:p w14:paraId="2C4D5667" w14:textId="77777777" w:rsidR="001F608A" w:rsidRDefault="00000000" w:rsidP="003F7917">
      <w:pPr>
        <w:pStyle w:val="FirstParagraph"/>
        <w:jc w:val="both"/>
      </w:pPr>
      <w:r>
        <w:t>In MVVM, the Model contains application data and domain responsibilities, the View presents the interface, and the ViewModel exposes presentation state and commands that coordinate the interaction [3]. This separation concerns responsibility and dependencies. It does not require frozen domain code, a fixed-capacity working set, or an immutable View. A gradual replacement strategy, such as the strangler-fig approach, can be used during migration, but it is distinct from MVVM itself [4].</w:t>
      </w:r>
    </w:p>
    <w:p w14:paraId="2DF884C9" w14:textId="77777777" w:rsidR="001F608A" w:rsidRDefault="00000000" w:rsidP="003F7917">
      <w:pPr>
        <w:pStyle w:val="BodyText"/>
        <w:jc w:val="both"/>
      </w:pPr>
      <w:r>
        <w:t>Consider a structural-design application whose existing routine reads a section, evaluates demand and capacity, and writes utilization into a screen widget. A migration first wraps the calculation behind a stable interface. It then moves display state and command availability into a ViewModel. The same engineering facts remain accessible while the interface can evolve independently. This is an illustrative software example, not a report of a deployed system.</w:t>
      </w:r>
    </w:p>
    <w:p w14:paraId="320AE4EB" w14:textId="77777777" w:rsidR="001F608A" w:rsidRDefault="00000000" w:rsidP="003F7917">
      <w:pPr>
        <w:pStyle w:val="BodyText"/>
        <w:jc w:val="both"/>
      </w:pPr>
      <w:r>
        <w:lastRenderedPageBreak/>
        <w:t>The preservation contract includes more than a final number. Units, validation behavior, exception handling, ordering of updates, and user-visible side effects can matter. An application that returns the same utilization but writes it to the wrong load case has not preserved behavior. Tests therefore cover specified traces and invariants, while the legacy implementation can remain available until the relevant paths have migrated.</w:t>
      </w:r>
    </w:p>
    <w:p w14:paraId="66FCD34D" w14:textId="77777777" w:rsidR="001F608A" w:rsidRDefault="00000000" w:rsidP="003F7917">
      <w:pPr>
        <w:pStyle w:val="Heading2"/>
        <w:jc w:val="both"/>
      </w:pPr>
      <w:bookmarkStart w:id="4" w:name="migration-of-a-trained-transformer"/>
      <w:bookmarkEnd w:id="3"/>
      <w:r>
        <w:t>2.2 Migration of a trained Transformer</w:t>
      </w:r>
    </w:p>
    <w:p w14:paraId="0C431934" w14:textId="77777777" w:rsidR="001F608A" w:rsidRDefault="00000000" w:rsidP="003F7917">
      <w:pPr>
        <w:pStyle w:val="FirstParagraph"/>
        <w:jc w:val="both"/>
      </w:pPr>
      <w:r>
        <w:t>The CVVC correspondence associates Context with Model, Value with View, and Value-Context with ViewModel [1]. The analogy is functional: Value is an active reasoning component, not merely a graphical display. The new problem is how to expose a trained model to a curated working set without losing capabilities that depended on its original context and attention patterns.</w:t>
      </w:r>
    </w:p>
    <w:p w14:paraId="052A8668" w14:textId="77777777" w:rsidR="001F608A" w:rsidRDefault="00000000" w:rsidP="003F7917">
      <w:pPr>
        <w:pStyle w:val="BodyText"/>
        <w:jc w:val="both"/>
      </w:pPr>
      <w:r>
        <w:t>Freezing weights eliminates updates to those weights. It does not preserve outputs under changed inputs, attention masks, positional conventions, or fusion layers. A model that remembers a distinction parametrically may still fail when the mediator supplies a contradictory fragment or excludes the necessary disambiguating fact. We therefore define preservation in terms of performance and output behavior on declared task distributions, rather than equality of parameter files.</w:t>
      </w:r>
    </w:p>
    <w:p w14:paraId="4B730531" w14:textId="77777777" w:rsidR="001F608A" w:rsidRDefault="00000000" w:rsidP="003F7917">
      <w:pPr>
        <w:pStyle w:val="Heading2"/>
        <w:jc w:val="both"/>
      </w:pPr>
      <w:bookmarkStart w:id="5" w:name="evolutionary-reorganization"/>
      <w:bookmarkEnd w:id="4"/>
      <w:r>
        <w:t>2.3 Evolutionary reorganization</w:t>
      </w:r>
    </w:p>
    <w:p w14:paraId="169B1899" w14:textId="77777777" w:rsidR="001F608A" w:rsidRDefault="00000000" w:rsidP="003F7917">
      <w:pPr>
        <w:pStyle w:val="FirstParagraph"/>
        <w:jc w:val="both"/>
      </w:pPr>
      <w:r>
        <w:t>Evolution operates across reproduction and development. Each viable organism is a functioning system, but an individual ancestral brain is not progressively converted into the brain of a descendant species. Mammalian and sauropsid lineages diverged from shared ancestry. Transcriptomic studies of reptilian cortex indicate that mammalian neocortical excitatory cell types arose through diversification of ancestral regulatory programs [5]. This supports continuity with transformation, not a literal migration history inferred from present-day lamination.</w:t>
      </w:r>
    </w:p>
    <w:p w14:paraId="570B595B" w14:textId="77777777" w:rsidR="001F608A" w:rsidRDefault="00000000" w:rsidP="003F7917">
      <w:pPr>
        <w:pStyle w:val="BodyText"/>
        <w:jc w:val="both"/>
      </w:pPr>
      <w:r>
        <w:t>The relevant invariant is viability within an ecological setting, not behavioral equivalence to an ancestor. Changed behavior can be the advantage under selection. Developmental mechanisms, circuit organization, energy costs, and interactions with the rest of the nervous system can all change. The analogy is strongest when it concerns continued function during architectural differentiation, and weakest when it assumes that old structures were frozen or that a new controller had an identifiable moment of insertion.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08"/>
        <w:gridCol w:w="2788"/>
        <w:gridCol w:w="2788"/>
        <w:gridCol w:w="2642"/>
      </w:tblGrid>
      <w:tr w:rsidR="001F608A" w14:paraId="410F7784" w14:textId="77777777" w:rsidTr="001F608A">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shd w:val="clear" w:color="auto" w:fill="24364B"/>
            <w:tcMar>
              <w:top w:w="90" w:type="dxa"/>
              <w:left w:w="95" w:type="dxa"/>
              <w:bottom w:w="90" w:type="dxa"/>
              <w:right w:w="95" w:type="dxa"/>
            </w:tcMar>
            <w:vAlign w:val="center"/>
          </w:tcPr>
          <w:p w14:paraId="696FE59A" w14:textId="77777777" w:rsidR="001F608A" w:rsidRDefault="00000000" w:rsidP="003F7917">
            <w:pPr>
              <w:pStyle w:val="Compact"/>
              <w:spacing w:before="0" w:after="0" w:line="252" w:lineRule="auto"/>
              <w:jc w:val="both"/>
            </w:pPr>
            <w:r>
              <w:rPr>
                <w:rFonts w:ascii="Arial" w:hAnsi="Arial"/>
                <w:b/>
                <w:color w:val="FFFFFF"/>
                <w:sz w:val="19"/>
              </w:rPr>
              <w:t>Domain</w:t>
            </w:r>
          </w:p>
        </w:tc>
        <w:tc>
          <w:tcPr>
            <w:tcW w:w="2736" w:type="dxa"/>
            <w:shd w:val="clear" w:color="auto" w:fill="24364B"/>
            <w:tcMar>
              <w:top w:w="90" w:type="dxa"/>
              <w:left w:w="95" w:type="dxa"/>
              <w:bottom w:w="90" w:type="dxa"/>
              <w:right w:w="95" w:type="dxa"/>
            </w:tcMar>
            <w:vAlign w:val="center"/>
          </w:tcPr>
          <w:p w14:paraId="04C83438" w14:textId="77777777" w:rsidR="001F608A" w:rsidRDefault="00000000" w:rsidP="003F7917">
            <w:pPr>
              <w:pStyle w:val="Compact"/>
              <w:spacing w:before="0" w:after="0" w:line="252" w:lineRule="auto"/>
              <w:jc w:val="both"/>
            </w:pPr>
            <w:r>
              <w:rPr>
                <w:rFonts w:ascii="Arial" w:hAnsi="Arial"/>
                <w:b/>
                <w:color w:val="FFFFFF"/>
                <w:sz w:val="19"/>
              </w:rPr>
              <w:t>Preserved requirement</w:t>
            </w:r>
          </w:p>
        </w:tc>
        <w:tc>
          <w:tcPr>
            <w:tcW w:w="2736" w:type="dxa"/>
            <w:shd w:val="clear" w:color="auto" w:fill="24364B"/>
            <w:tcMar>
              <w:top w:w="90" w:type="dxa"/>
              <w:left w:w="95" w:type="dxa"/>
              <w:bottom w:w="90" w:type="dxa"/>
              <w:right w:w="95" w:type="dxa"/>
            </w:tcMar>
            <w:vAlign w:val="center"/>
          </w:tcPr>
          <w:p w14:paraId="0F87F1B5" w14:textId="77777777" w:rsidR="001F608A" w:rsidRDefault="00000000" w:rsidP="003F7917">
            <w:pPr>
              <w:pStyle w:val="Compact"/>
              <w:spacing w:before="0" w:after="0" w:line="252" w:lineRule="auto"/>
              <w:jc w:val="both"/>
            </w:pPr>
            <w:r>
              <w:rPr>
                <w:rFonts w:ascii="Arial" w:hAnsi="Arial"/>
                <w:b/>
                <w:color w:val="FFFFFF"/>
                <w:sz w:val="19"/>
              </w:rPr>
              <w:t>Permitted change</w:t>
            </w:r>
          </w:p>
        </w:tc>
        <w:tc>
          <w:tcPr>
            <w:tcW w:w="2592" w:type="dxa"/>
            <w:shd w:val="clear" w:color="auto" w:fill="24364B"/>
            <w:tcMar>
              <w:top w:w="90" w:type="dxa"/>
              <w:left w:w="95" w:type="dxa"/>
              <w:bottom w:w="90" w:type="dxa"/>
              <w:right w:w="95" w:type="dxa"/>
            </w:tcMar>
            <w:vAlign w:val="center"/>
          </w:tcPr>
          <w:p w14:paraId="6D506A6B" w14:textId="77777777" w:rsidR="001F608A" w:rsidRDefault="00000000" w:rsidP="003F7917">
            <w:pPr>
              <w:pStyle w:val="Compact"/>
              <w:spacing w:before="0" w:after="0" w:line="252" w:lineRule="auto"/>
              <w:jc w:val="both"/>
            </w:pPr>
            <w:r>
              <w:rPr>
                <w:rFonts w:ascii="Arial" w:hAnsi="Arial"/>
                <w:b/>
                <w:color w:val="FFFFFF"/>
                <w:sz w:val="19"/>
              </w:rPr>
              <w:t>Evidence of success</w:t>
            </w:r>
          </w:p>
        </w:tc>
      </w:tr>
      <w:tr w:rsidR="001F608A" w14:paraId="19CB21C1" w14:textId="77777777" w:rsidTr="001F608A">
        <w:trPr>
          <w:cantSplit/>
          <w:jc w:val="center"/>
        </w:trPr>
        <w:tc>
          <w:tcPr>
            <w:tcW w:w="1872" w:type="dxa"/>
            <w:shd w:val="clear" w:color="auto" w:fill="F1F4F7"/>
            <w:tcMar>
              <w:top w:w="90" w:type="dxa"/>
              <w:left w:w="95" w:type="dxa"/>
              <w:bottom w:w="90" w:type="dxa"/>
              <w:right w:w="95" w:type="dxa"/>
            </w:tcMar>
            <w:vAlign w:val="center"/>
          </w:tcPr>
          <w:p w14:paraId="0968EB7B" w14:textId="77777777" w:rsidR="001F608A" w:rsidRDefault="00000000" w:rsidP="003F7917">
            <w:pPr>
              <w:pStyle w:val="Compact"/>
              <w:spacing w:before="0" w:after="0" w:line="252" w:lineRule="auto"/>
              <w:jc w:val="both"/>
            </w:pPr>
            <w:r>
              <w:rPr>
                <w:rFonts w:ascii="Arial" w:hAnsi="Arial"/>
                <w:sz w:val="19"/>
              </w:rPr>
              <w:t>Procedural software to MVVM</w:t>
            </w:r>
          </w:p>
        </w:tc>
        <w:tc>
          <w:tcPr>
            <w:tcW w:w="2736" w:type="dxa"/>
            <w:shd w:val="clear" w:color="auto" w:fill="F1F4F7"/>
            <w:tcMar>
              <w:top w:w="90" w:type="dxa"/>
              <w:left w:w="95" w:type="dxa"/>
              <w:bottom w:w="90" w:type="dxa"/>
              <w:right w:w="95" w:type="dxa"/>
            </w:tcMar>
            <w:vAlign w:val="center"/>
          </w:tcPr>
          <w:p w14:paraId="191E9013" w14:textId="77777777" w:rsidR="001F608A" w:rsidRDefault="00000000" w:rsidP="003F7917">
            <w:pPr>
              <w:pStyle w:val="Compact"/>
              <w:spacing w:before="0" w:after="0" w:line="252" w:lineRule="auto"/>
              <w:jc w:val="both"/>
            </w:pPr>
            <w:r>
              <w:rPr>
                <w:rFonts w:ascii="Arial" w:hAnsi="Arial"/>
                <w:sz w:val="19"/>
              </w:rPr>
              <w:t>Specified behavior and domain invariants</w:t>
            </w:r>
          </w:p>
        </w:tc>
        <w:tc>
          <w:tcPr>
            <w:tcW w:w="2736" w:type="dxa"/>
            <w:shd w:val="clear" w:color="auto" w:fill="F1F4F7"/>
            <w:tcMar>
              <w:top w:w="90" w:type="dxa"/>
              <w:left w:w="95" w:type="dxa"/>
              <w:bottom w:w="90" w:type="dxa"/>
              <w:right w:w="95" w:type="dxa"/>
            </w:tcMar>
            <w:vAlign w:val="center"/>
          </w:tcPr>
          <w:p w14:paraId="4489D9D5" w14:textId="77777777" w:rsidR="001F608A" w:rsidRDefault="00000000" w:rsidP="003F7917">
            <w:pPr>
              <w:pStyle w:val="Compact"/>
              <w:spacing w:before="0" w:after="0" w:line="252" w:lineRule="auto"/>
              <w:jc w:val="both"/>
            </w:pPr>
            <w:r>
              <w:rPr>
                <w:rFonts w:ascii="Arial" w:hAnsi="Arial"/>
                <w:sz w:val="19"/>
              </w:rPr>
              <w:t>Dependency structure and ownership</w:t>
            </w:r>
          </w:p>
        </w:tc>
        <w:tc>
          <w:tcPr>
            <w:tcW w:w="2592" w:type="dxa"/>
            <w:shd w:val="clear" w:color="auto" w:fill="F1F4F7"/>
            <w:tcMar>
              <w:top w:w="90" w:type="dxa"/>
              <w:left w:w="95" w:type="dxa"/>
              <w:bottom w:w="90" w:type="dxa"/>
              <w:right w:w="95" w:type="dxa"/>
            </w:tcMar>
            <w:vAlign w:val="center"/>
          </w:tcPr>
          <w:p w14:paraId="77768B4E" w14:textId="77777777" w:rsidR="001F608A" w:rsidRDefault="00000000" w:rsidP="003F7917">
            <w:pPr>
              <w:pStyle w:val="Compact"/>
              <w:spacing w:before="0" w:after="0" w:line="252" w:lineRule="auto"/>
              <w:jc w:val="both"/>
            </w:pPr>
            <w:r>
              <w:rPr>
                <w:rFonts w:ascii="Arial" w:hAnsi="Arial"/>
                <w:sz w:val="19"/>
              </w:rPr>
              <w:t>Regression and interface tests</w:t>
            </w:r>
          </w:p>
        </w:tc>
      </w:tr>
      <w:tr w:rsidR="001F608A" w14:paraId="4C4FF037" w14:textId="77777777" w:rsidTr="001F608A">
        <w:trPr>
          <w:cantSplit/>
          <w:jc w:val="center"/>
        </w:trPr>
        <w:tc>
          <w:tcPr>
            <w:tcW w:w="1872" w:type="dxa"/>
            <w:shd w:val="clear" w:color="auto" w:fill="FFFFFF"/>
            <w:tcMar>
              <w:top w:w="90" w:type="dxa"/>
              <w:left w:w="95" w:type="dxa"/>
              <w:bottom w:w="90" w:type="dxa"/>
              <w:right w:w="95" w:type="dxa"/>
            </w:tcMar>
            <w:vAlign w:val="center"/>
          </w:tcPr>
          <w:p w14:paraId="20DAAAAE" w14:textId="77777777" w:rsidR="001F608A" w:rsidRDefault="00000000" w:rsidP="003F7917">
            <w:pPr>
              <w:pStyle w:val="Compact"/>
              <w:spacing w:before="0" w:after="0" w:line="252" w:lineRule="auto"/>
              <w:jc w:val="both"/>
            </w:pPr>
            <w:r>
              <w:rPr>
                <w:rFonts w:ascii="Arial" w:hAnsi="Arial"/>
                <w:sz w:val="19"/>
              </w:rPr>
              <w:t>Transformer to CVVC</w:t>
            </w:r>
          </w:p>
        </w:tc>
        <w:tc>
          <w:tcPr>
            <w:tcW w:w="2736" w:type="dxa"/>
            <w:shd w:val="clear" w:color="auto" w:fill="FFFFFF"/>
            <w:tcMar>
              <w:top w:w="90" w:type="dxa"/>
              <w:left w:w="95" w:type="dxa"/>
              <w:bottom w:w="90" w:type="dxa"/>
              <w:right w:w="95" w:type="dxa"/>
            </w:tcMar>
            <w:vAlign w:val="center"/>
          </w:tcPr>
          <w:p w14:paraId="7FD28636" w14:textId="77777777" w:rsidR="001F608A" w:rsidRDefault="00000000" w:rsidP="003F7917">
            <w:pPr>
              <w:pStyle w:val="Compact"/>
              <w:spacing w:before="0" w:after="0" w:line="252" w:lineRule="auto"/>
              <w:jc w:val="both"/>
            </w:pPr>
            <w:r>
              <w:rPr>
                <w:rFonts w:ascii="Arial" w:hAnsi="Arial"/>
                <w:sz w:val="19"/>
              </w:rPr>
              <w:t>Declared competence and output constraints</w:t>
            </w:r>
          </w:p>
        </w:tc>
        <w:tc>
          <w:tcPr>
            <w:tcW w:w="2736" w:type="dxa"/>
            <w:shd w:val="clear" w:color="auto" w:fill="FFFFFF"/>
            <w:tcMar>
              <w:top w:w="90" w:type="dxa"/>
              <w:left w:w="95" w:type="dxa"/>
              <w:bottom w:w="90" w:type="dxa"/>
              <w:right w:w="95" w:type="dxa"/>
            </w:tcMar>
            <w:vAlign w:val="center"/>
          </w:tcPr>
          <w:p w14:paraId="4A73BDE0" w14:textId="77777777" w:rsidR="001F608A" w:rsidRDefault="00000000" w:rsidP="003F7917">
            <w:pPr>
              <w:pStyle w:val="Compact"/>
              <w:spacing w:before="0" w:after="0" w:line="252" w:lineRule="auto"/>
              <w:jc w:val="both"/>
            </w:pPr>
            <w:r>
              <w:rPr>
                <w:rFonts w:ascii="Arial" w:hAnsi="Arial"/>
                <w:sz w:val="19"/>
              </w:rPr>
              <w:t>Routing, memory access, assembly, adaptation</w:t>
            </w:r>
          </w:p>
        </w:tc>
        <w:tc>
          <w:tcPr>
            <w:tcW w:w="2592" w:type="dxa"/>
            <w:shd w:val="clear" w:color="auto" w:fill="FFFFFF"/>
            <w:tcMar>
              <w:top w:w="90" w:type="dxa"/>
              <w:left w:w="95" w:type="dxa"/>
              <w:bottom w:w="90" w:type="dxa"/>
              <w:right w:w="95" w:type="dxa"/>
            </w:tcMar>
            <w:vAlign w:val="center"/>
          </w:tcPr>
          <w:p w14:paraId="554828BE" w14:textId="77777777" w:rsidR="001F608A" w:rsidRDefault="00000000" w:rsidP="003F7917">
            <w:pPr>
              <w:pStyle w:val="Compact"/>
              <w:spacing w:before="0" w:after="0" w:line="252" w:lineRule="auto"/>
              <w:jc w:val="both"/>
            </w:pPr>
            <w:r>
              <w:rPr>
                <w:rFonts w:ascii="Arial" w:hAnsi="Arial"/>
                <w:sz w:val="19"/>
              </w:rPr>
              <w:t>Retention and quality at measured cost</w:t>
            </w:r>
          </w:p>
        </w:tc>
      </w:tr>
      <w:tr w:rsidR="001F608A" w14:paraId="21125BF1" w14:textId="77777777" w:rsidTr="001F608A">
        <w:trPr>
          <w:cantSplit/>
          <w:jc w:val="center"/>
        </w:trPr>
        <w:tc>
          <w:tcPr>
            <w:tcW w:w="1872" w:type="dxa"/>
            <w:shd w:val="clear" w:color="auto" w:fill="F1F4F7"/>
            <w:tcMar>
              <w:top w:w="90" w:type="dxa"/>
              <w:left w:w="95" w:type="dxa"/>
              <w:bottom w:w="90" w:type="dxa"/>
              <w:right w:w="95" w:type="dxa"/>
            </w:tcMar>
            <w:vAlign w:val="center"/>
          </w:tcPr>
          <w:p w14:paraId="31BF5D1A" w14:textId="77777777" w:rsidR="001F608A" w:rsidRDefault="00000000" w:rsidP="003F7917">
            <w:pPr>
              <w:pStyle w:val="Compact"/>
              <w:spacing w:before="0" w:after="0" w:line="252" w:lineRule="auto"/>
              <w:jc w:val="both"/>
            </w:pPr>
            <w:r>
              <w:rPr>
                <w:rFonts w:ascii="Arial" w:hAnsi="Arial"/>
                <w:sz w:val="19"/>
              </w:rPr>
              <w:t>Pallial evolution</w:t>
            </w:r>
          </w:p>
        </w:tc>
        <w:tc>
          <w:tcPr>
            <w:tcW w:w="2736" w:type="dxa"/>
            <w:shd w:val="clear" w:color="auto" w:fill="F1F4F7"/>
            <w:tcMar>
              <w:top w:w="90" w:type="dxa"/>
              <w:left w:w="95" w:type="dxa"/>
              <w:bottom w:w="90" w:type="dxa"/>
              <w:right w:w="95" w:type="dxa"/>
            </w:tcMar>
            <w:vAlign w:val="center"/>
          </w:tcPr>
          <w:p w14:paraId="1563703C" w14:textId="77777777" w:rsidR="001F608A" w:rsidRDefault="00000000" w:rsidP="003F7917">
            <w:pPr>
              <w:pStyle w:val="Compact"/>
              <w:spacing w:before="0" w:after="0" w:line="252" w:lineRule="auto"/>
              <w:jc w:val="both"/>
            </w:pPr>
            <w:r>
              <w:rPr>
                <w:rFonts w:ascii="Arial" w:hAnsi="Arial"/>
                <w:sz w:val="19"/>
              </w:rPr>
              <w:t>Viable development and reproduction</w:t>
            </w:r>
          </w:p>
        </w:tc>
        <w:tc>
          <w:tcPr>
            <w:tcW w:w="2736" w:type="dxa"/>
            <w:shd w:val="clear" w:color="auto" w:fill="F1F4F7"/>
            <w:tcMar>
              <w:top w:w="90" w:type="dxa"/>
              <w:left w:w="95" w:type="dxa"/>
              <w:bottom w:w="90" w:type="dxa"/>
              <w:right w:w="95" w:type="dxa"/>
            </w:tcMar>
            <w:vAlign w:val="center"/>
          </w:tcPr>
          <w:p w14:paraId="22D573B5" w14:textId="77777777" w:rsidR="001F608A" w:rsidRDefault="00000000" w:rsidP="003F7917">
            <w:pPr>
              <w:pStyle w:val="Compact"/>
              <w:spacing w:before="0" w:after="0" w:line="252" w:lineRule="auto"/>
              <w:jc w:val="both"/>
            </w:pPr>
            <w:r>
              <w:rPr>
                <w:rFonts w:ascii="Arial" w:hAnsi="Arial"/>
                <w:sz w:val="19"/>
              </w:rPr>
              <w:t>Cell types, circuits, functions, behavior</w:t>
            </w:r>
          </w:p>
        </w:tc>
        <w:tc>
          <w:tcPr>
            <w:tcW w:w="2592" w:type="dxa"/>
            <w:shd w:val="clear" w:color="auto" w:fill="F1F4F7"/>
            <w:tcMar>
              <w:top w:w="90" w:type="dxa"/>
              <w:left w:w="95" w:type="dxa"/>
              <w:bottom w:w="90" w:type="dxa"/>
              <w:right w:w="95" w:type="dxa"/>
            </w:tcMar>
            <w:vAlign w:val="center"/>
          </w:tcPr>
          <w:p w14:paraId="71C4AC49" w14:textId="77777777" w:rsidR="001F608A" w:rsidRDefault="00000000" w:rsidP="003F7917">
            <w:pPr>
              <w:pStyle w:val="Compact"/>
              <w:spacing w:before="0" w:after="0" w:line="252" w:lineRule="auto"/>
              <w:jc w:val="both"/>
            </w:pPr>
            <w:r>
              <w:rPr>
                <w:rFonts w:ascii="Arial" w:hAnsi="Arial"/>
                <w:sz w:val="19"/>
              </w:rPr>
              <w:t>Comparative, developmental, and ecological evidence</w:t>
            </w:r>
          </w:p>
        </w:tc>
      </w:tr>
    </w:tbl>
    <w:p w14:paraId="585DE3EC" w14:textId="77777777" w:rsidR="001F608A" w:rsidRDefault="00000000" w:rsidP="003F7917">
      <w:pPr>
        <w:pStyle w:val="BodyText"/>
        <w:spacing w:after="160" w:line="252" w:lineRule="auto"/>
        <w:jc w:val="both"/>
      </w:pPr>
      <w:r>
        <w:rPr>
          <w:sz w:val="19"/>
        </w:rPr>
        <w:t>Table 1. The common continuity requirement has different meanings in each domain. Behavioral equivalence is not an evolutionary law.</w:t>
      </w:r>
    </w:p>
    <w:p w14:paraId="24FDB77E" w14:textId="77777777" w:rsidR="001F608A" w:rsidRDefault="00000000" w:rsidP="003F7917">
      <w:pPr>
        <w:pStyle w:val="Heading1"/>
        <w:jc w:val="both"/>
      </w:pPr>
      <w:bookmarkStart w:id="6" w:name="a-formal-model-of-mediation"/>
      <w:bookmarkEnd w:id="2"/>
      <w:bookmarkEnd w:id="5"/>
      <w:r>
        <w:t>3 A formal model of mediation</w:t>
      </w:r>
    </w:p>
    <w:p w14:paraId="34751FAF" w14:textId="77777777" w:rsidR="001F608A" w:rsidRDefault="00000000" w:rsidP="003F7917">
      <w:pPr>
        <w:pStyle w:val="FirstParagraph"/>
        <w:jc w:val="both"/>
      </w:pPr>
      <w:r>
        <w:t xml:space="preserve">Let the original system have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receive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update its state through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and produce output through </w:t>
      </w:r>
      <m:oMath>
        <m:sSub>
          <m:sSubPr>
            <m:ctrlPr>
              <w:rPr>
                <w:rFonts w:ascii="Cambria Math" w:hAnsi="Cambria Math"/>
              </w:rPr>
            </m:ctrlPr>
          </m:sSubPr>
          <m:e>
            <m:r>
              <w:rPr>
                <w:rFonts w:ascii="Cambria Math" w:hAnsi="Cambria Math"/>
              </w:rPr>
              <m:t>P</m:t>
            </m:r>
          </m:e>
          <m:sub>
            <m:r>
              <w:rPr>
                <w:rFonts w:ascii="Cambria Math" w:hAnsi="Cambria Math"/>
              </w:rPr>
              <m:t>0</m:t>
            </m:r>
          </m:sub>
        </m:sSub>
      </m:oMath>
      <w:r>
        <w:t>:</w:t>
      </w:r>
    </w:p>
    <w:p w14:paraId="0C4D5E49" w14:textId="77777777" w:rsidR="001F608A" w:rsidRDefault="00000000" w:rsidP="003F7917">
      <w:pPr>
        <w:pStyle w:val="BodyText"/>
        <w:keepLines/>
        <w:tabs>
          <w:tab w:val="center" w:pos="4968"/>
          <w:tab w:val="right" w:pos="9936"/>
        </w:tabs>
        <w:spacing w:before="80" w:after="160"/>
        <w:jc w:val="both"/>
      </w:pPr>
      <w:r>
        <w:lastRenderedPageBreak/>
        <w:tab/>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oMath>
      <w:r>
        <w:tab/>
        <w:t>(1)</w:t>
      </w:r>
    </w:p>
    <w:p w14:paraId="0F26C49B" w14:textId="77777777" w:rsidR="001F608A" w:rsidRDefault="00000000" w:rsidP="003F7917">
      <w:pPr>
        <w:pStyle w:val="FirstParagraph"/>
        <w:jc w:val="both"/>
      </w:pPr>
      <w:r>
        <w:t xml:space="preserve">Separating state transition from output avoids treating an entire dynamical system as a stateless procedure. A mediated system introduces represented content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routing state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the representation actually made available to the consumer,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oMath>
      <w:r>
        <w:t>:</w:t>
      </w:r>
    </w:p>
    <w:p w14:paraId="5D51169E" w14:textId="77777777" w:rsidR="001F608A" w:rsidRDefault="00000000" w:rsidP="003F7917">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w:r>
        <w:tab/>
        <w:t>(2)</w:t>
      </w:r>
    </w:p>
    <w:p w14:paraId="0ADDA0F7" w14:textId="77777777" w:rsidR="001F608A" w:rsidRDefault="00000000" w:rsidP="003F7917">
      <w:pPr>
        <w:pStyle w:val="FirstParagraph"/>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ω</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w:r>
        <w:tab/>
        <w:t>(3)</w:t>
      </w:r>
    </w:p>
    <w:p w14:paraId="7374D6FB" w14:textId="77777777" w:rsidR="001F608A" w:rsidRDefault="00000000" w:rsidP="003F7917">
      <w:pPr>
        <w:pStyle w:val="FirstParagraph"/>
        <w:jc w:val="both"/>
      </w:pPr>
      <w:r>
        <w:t xml:space="preserve">Here the encoder produces candidate information, the policy changes the access state, the routing operator materializes the selected representation, and the consumer produces an output distribution. These are functional roles. An implementation may distribute each role across recurrent components. Any additional information available to the consumer must be included in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oMath>
      <w:r>
        <w:t xml:space="preserve"> when reasoning about sufficiency.</w:t>
      </w:r>
    </w:p>
    <w:p w14:paraId="64683E50" w14:textId="77777777" w:rsidR="001F608A" w:rsidRDefault="00000000" w:rsidP="003F7917">
      <w:pPr>
        <w:pStyle w:val="BodyText"/>
        <w:jc w:val="both"/>
      </w:pPr>
      <w:r>
        <w:t>An exact software factorization requires more than factoring the output map. A relation between original and new states must preserve the specified outputs and remain valid after every permitted transition; in the terminology of concurrency theory, it must be a bisimulation, or a simulation when only the new system is required to match the old one [18]. Without that requirement, two versions may agree on the current screen and disagree after the next command. For learned systems, exact equivalence is usually too restrictive; a declared error budget is more useful.</w:t>
      </w:r>
    </w:p>
    <w:p w14:paraId="0E2B68E5" w14:textId="77777777" w:rsidR="001F608A" w:rsidRDefault="00000000" w:rsidP="003F7917">
      <w:pPr>
        <w:pStyle w:val="Heading2"/>
        <w:jc w:val="both"/>
      </w:pPr>
      <w:bookmarkStart w:id="7" w:name="a-necessary-information-condition"/>
      <w:r>
        <w:t>3.1 A necessary information condition</w:t>
      </w:r>
    </w:p>
    <w:p w14:paraId="3263C6E6" w14:textId="77777777" w:rsidR="001F608A" w:rsidRDefault="00000000" w:rsidP="003F7917">
      <w:pPr>
        <w:pStyle w:val="FirstParagraph"/>
        <w:jc w:val="both"/>
      </w:pPr>
      <w:r>
        <w:rPr>
          <w:b/>
          <w:bCs/>
        </w:rPr>
        <w:t>Proposition 1 — Mediation cannot recover a discarded distinction.</w:t>
      </w:r>
      <w:r>
        <w:t xml:space="preserve"> Consider a deterministic task with reference answer </w:t>
      </w:r>
      <m:oMath>
        <m:r>
          <w:rPr>
            <w:rFonts w:ascii="Cambria Math" w:hAnsi="Cambria Math"/>
          </w:rPr>
          <m:t>f</m:t>
        </m:r>
        <m:d>
          <m:dPr>
            <m:ctrlPr>
              <w:rPr>
                <w:rFonts w:ascii="Cambria Math" w:hAnsi="Cambria Math"/>
              </w:rPr>
            </m:ctrlPr>
          </m:dPr>
          <m:e>
            <m:r>
              <w:rPr>
                <w:rFonts w:ascii="Cambria Math" w:hAnsi="Cambria Math"/>
              </w:rPr>
              <m:t>u</m:t>
            </m:r>
          </m:e>
        </m:d>
      </m:oMath>
      <w:r>
        <w:t xml:space="preserve"> for input-history state </w:t>
      </w:r>
      <m:oMath>
        <m:r>
          <w:rPr>
            <w:rFonts w:ascii="Cambria Math" w:hAnsi="Cambria Math"/>
          </w:rPr>
          <m:t>u</m:t>
        </m:r>
      </m:oMath>
      <w:r>
        <w:t xml:space="preserve">, and let </w:t>
      </w:r>
      <m:oMath>
        <m:r>
          <w:rPr>
            <w:rFonts w:ascii="Cambria Math" w:hAnsi="Cambria Math"/>
          </w:rPr>
          <m:t>b</m:t>
        </m:r>
        <m:d>
          <m:dPr>
            <m:ctrlPr>
              <w:rPr>
                <w:rFonts w:ascii="Cambria Math" w:hAnsi="Cambria Math"/>
              </w:rPr>
            </m:ctrlPr>
          </m:dPr>
          <m:e>
            <m:r>
              <w:rPr>
                <w:rFonts w:ascii="Cambria Math" w:hAnsi="Cambria Math"/>
              </w:rPr>
              <m:t>u</m:t>
            </m:r>
          </m:e>
        </m:d>
      </m:oMath>
      <w:r>
        <w:t xml:space="preserve"> be everything the mediated consumer receives. A decoder </w:t>
      </w:r>
      <m:oMath>
        <m:r>
          <w:rPr>
            <w:rFonts w:ascii="Cambria Math" w:hAnsi="Cambria Math"/>
          </w:rPr>
          <m:t>g</m:t>
        </m:r>
      </m:oMath>
      <w:r>
        <w:t xml:space="preserve"> satisfying </w:t>
      </w:r>
      <m:oMath>
        <m:r>
          <w:rPr>
            <w:rFonts w:ascii="Cambria Math" w:hAnsi="Cambria Math"/>
          </w:rPr>
          <m:t>g</m:t>
        </m:r>
        <m:d>
          <m:dPr>
            <m:ctrlPr>
              <w:rPr>
                <w:rFonts w:ascii="Cambria Math" w:hAnsi="Cambria Math"/>
              </w:rPr>
            </m:ctrlPr>
          </m:dPr>
          <m:e>
            <m:r>
              <w:rPr>
                <w:rFonts w:ascii="Cambria Math" w:hAnsi="Cambria Math"/>
              </w:rPr>
              <m:t>b</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u</m:t>
            </m:r>
          </m:e>
        </m:d>
      </m:oMath>
      <w:r>
        <w:t xml:space="preserve"> for every </w:t>
      </w:r>
      <m:oMath>
        <m:r>
          <w:rPr>
            <w:rFonts w:ascii="Cambria Math" w:hAnsi="Cambria Math"/>
          </w:rPr>
          <m:t>u</m:t>
        </m:r>
      </m:oMath>
      <w:r>
        <w:t xml:space="preserve"> exists if and only if </w:t>
      </w:r>
      <m:oMath>
        <m:r>
          <w:rPr>
            <w:rFonts w:ascii="Cambria Math" w:hAnsi="Cambria Math"/>
          </w:rPr>
          <m:t>f</m:t>
        </m:r>
      </m:oMath>
      <w:r>
        <w:t xml:space="preserve"> is constant on every set of states that share the same </w:t>
      </w:r>
      <m:oMath>
        <m:r>
          <w:rPr>
            <w:rFonts w:ascii="Cambria Math" w:hAnsi="Cambria Math"/>
          </w:rPr>
          <m:t>b</m:t>
        </m:r>
      </m:oMath>
      <w:r>
        <w:t>.</w:t>
      </w:r>
    </w:p>
    <w:p w14:paraId="38D237C0" w14:textId="77777777" w:rsidR="001F608A" w:rsidRDefault="00000000" w:rsidP="003F7917">
      <w:pPr>
        <w:pStyle w:val="BodyText"/>
        <w:jc w:val="both"/>
      </w:pPr>
      <w:r>
        <w:t xml:space="preserve">Proof. If </w:t>
      </w:r>
      <m:oMath>
        <m:r>
          <w:rPr>
            <w:rFonts w:ascii="Cambria Math" w:hAnsi="Cambria Math"/>
          </w:rPr>
          <m:t>b</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v</m:t>
            </m:r>
          </m:e>
        </m:d>
      </m:oMath>
      <w:r>
        <w:t xml:space="preserve">, the decoder must return the same result on both, so exact recovery requires </w:t>
      </w:r>
      <m:oMath>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m:t>
            </m:r>
          </m:e>
        </m:d>
      </m:oMath>
      <w:r>
        <w:t xml:space="preserve">. Conversely, when this condition holds, define </w:t>
      </w:r>
      <m:oMath>
        <m:r>
          <w:rPr>
            <w:rFonts w:ascii="Cambria Math" w:hAnsi="Cambria Math"/>
          </w:rPr>
          <m:t>g</m:t>
        </m:r>
      </m:oMath>
      <w:r>
        <w:t xml:space="preserve"> on each observed representation as the common reference answer of its preimages. The condition establishes representational possibility; it does not establish that a trained decoder will discover </w:t>
      </w:r>
      <m:oMath>
        <m:r>
          <w:rPr>
            <w:rFonts w:ascii="Cambria Math" w:hAnsi="Cambria Math"/>
          </w:rPr>
          <m:t>g</m:t>
        </m:r>
      </m:oMath>
      <w:r>
        <w:t xml:space="preserve"> or implement it efficiently.</w:t>
      </w:r>
    </w:p>
    <w:p w14:paraId="73B1A48D" w14:textId="77777777" w:rsidR="001F608A" w:rsidRDefault="00000000" w:rsidP="003F7917">
      <w:pPr>
        <w:pStyle w:val="BodyText"/>
        <w:jc w:val="both"/>
      </w:pPr>
      <w:r>
        <w:t>For stochastic reference outputs, the corresponding requirement is equality of the reference conditional output distributions within each representation class. This simple condition is the central constraint on a bounded working set. Reducing the read is safe only relative to the distinctions the task needs. A global summary can help select fragments but cannot justify discarding provenance when the answer depends on provenance.</w:t>
      </w:r>
    </w:p>
    <w:p w14:paraId="0102B355" w14:textId="77777777" w:rsidR="001F608A" w:rsidRDefault="00000000" w:rsidP="003F7917">
      <w:pPr>
        <w:pStyle w:val="BodyText"/>
        <w:jc w:val="both"/>
      </w:pPr>
      <w:r>
        <w:t>As a concrete counterexample, consider two document collections with identical numerical statements but opposite revision status. If the mediator omits which statement is current, both collections can produce the same consumer input while requiring different answers. No amount of confidence in the frozen Value component repairs this missing distinction. The mediator must retain the version, reopen the source, or acknowledge that the task cannot be resolved from its current read.</w:t>
      </w:r>
    </w:p>
    <w:p w14:paraId="5FA66BF7" w14:textId="77777777" w:rsidR="00ED1AF7" w:rsidRDefault="00000000">
      <w:pPr>
        <w:pStyle w:val="BodyText"/>
        <w:jc w:val="both"/>
      </w:pPr>
      <w:r>
        <w:rPr>
          <w:b/>
          <w:bCs/>
        </w:rPr>
        <w:t>Corollary 1 — Quantitative form.</w:t>
      </w:r>
      <w:r>
        <w:t xml:space="preserve"> Let input histories </w:t>
      </w:r>
      <m:oMath>
        <m:r>
          <w:rPr>
            <w:rFonts w:ascii="Cambria Math" w:hAnsi="Cambria Math"/>
          </w:rPr>
          <m:t>u</m:t>
        </m:r>
      </m:oMath>
      <w:r>
        <w:t xml:space="preserve"> be drawn from a task distribution </w:t>
      </w:r>
      <m:oMath>
        <m:r>
          <w:rPr>
            <w:rFonts w:ascii="Cambria Math" w:hAnsi="Cambria Math"/>
          </w:rPr>
          <m:t>μ</m:t>
        </m:r>
      </m:oMath>
      <w:r>
        <w:t xml:space="preserve">, let the answer set </w:t>
      </w:r>
      <m:oMath>
        <m:r>
          <m:rPr>
            <m:scr m:val="script"/>
            <m:sty m:val="p"/>
          </m:rPr>
          <w:rPr>
            <w:rFonts w:ascii="Cambria Math" w:hAnsi="Cambria Math"/>
          </w:rPr>
          <m:t>Y</m:t>
        </m:r>
      </m:oMath>
      <w:r>
        <w:t xml:space="preserve"> be finite, and let </w:t>
      </w:r>
      <m:oMath>
        <m:r>
          <w:rPr>
            <w:rFonts w:ascii="Cambria Math" w:hAnsi="Cambria Math"/>
          </w:rPr>
          <m:t>b</m:t>
        </m:r>
      </m:oMath>
      <w:r>
        <w:t xml:space="preserve"> be the consumer’s input as in Proposition 1. Every decoder, however it is trained, has expected error at least the Bayes error of the representation:</w:t>
      </w:r>
    </w:p>
    <w:p w14:paraId="0E88C364" w14:textId="77777777" w:rsidR="00ED1AF7" w:rsidRDefault="00000000">
      <w:pPr>
        <w:pStyle w:val="BodyText"/>
        <w:keepLines/>
        <w:tabs>
          <w:tab w:val="center" w:pos="4968"/>
          <w:tab w:val="right" w:pos="9936"/>
        </w:tabs>
        <w:spacing w:before="80" w:after="160"/>
        <w:jc w:val="both"/>
      </w:pPr>
      <w:r>
        <w:tab/>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b</m:t>
            </m:r>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max</m:t>
                </m:r>
              </m:e>
              <m:sub>
                <m:r>
                  <w:rPr>
                    <w:rFonts w:ascii="Cambria Math" w:hAnsi="Cambria Math"/>
                  </w:rPr>
                  <m:t>y</m:t>
                </m:r>
                <m:r>
                  <m:rPr>
                    <m:scr m:val="script"/>
                    <m:sty m:val="p"/>
                  </m:rPr>
                  <w:rPr>
                    <w:rFonts w:ascii="Cambria Math" w:hAnsi="Cambria Math"/>
                  </w:rPr>
                  <m:t>∈Y</m:t>
                </m:r>
              </m:sub>
            </m:sSub>
            <m:sSub>
              <m:sSubPr>
                <m:ctrlPr>
                  <w:rPr>
                    <w:rFonts w:ascii="Cambria Math" w:hAnsi="Cambria Math"/>
                  </w:rPr>
                </m:ctrlPr>
              </m:sSubPr>
              <m:e>
                <m:r>
                  <m:rPr>
                    <m:sty m:val="p"/>
                  </m:rPr>
                  <w:rPr>
                    <w:rFonts w:ascii="Cambria Math" w:hAnsi="Cambria Math"/>
                  </w:rPr>
                  <m:t>Pr</m:t>
                </m:r>
              </m:e>
              <m:sub>
                <m:r>
                  <w:rPr>
                    <w:rFonts w:ascii="Cambria Math" w:hAnsi="Cambria Math"/>
                  </w:rPr>
                  <m:t>μ</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e>
            </m:d>
          </m:e>
        </m:d>
        <m:r>
          <m:rPr>
            <m:sty m:val="p"/>
          </m:rP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begChr m:val="|"/>
                <m:endChr m:val="|"/>
                <m:ctrlPr>
                  <w:rPr>
                    <w:rFonts w:ascii="Cambria Math" w:hAnsi="Cambria Math"/>
                  </w:rPr>
                </m:ctrlPr>
              </m:dPr>
              <m:e>
                <m:r>
                  <m:rPr>
                    <m:scr m:val="script"/>
                    <m:sty m:val="p"/>
                  </m:rPr>
                  <w:rPr>
                    <w:rFonts w:ascii="Cambria Math" w:hAnsi="Cambria Math"/>
                  </w:rPr>
                  <m:t>Y</m:t>
                </m:r>
              </m:e>
            </m:d>
          </m:den>
        </m:f>
        <m:r>
          <m:rPr>
            <m:sty m:val="p"/>
          </m:rPr>
          <w:rPr>
            <w:rFonts w:ascii="Cambria Math" w:hAnsi="Cambria Math"/>
          </w:rPr>
          <m:t>.</m:t>
        </m:r>
      </m:oMath>
      <w:r>
        <w:tab/>
        <w:t>(4)</w:t>
      </w:r>
    </w:p>
    <w:p w14:paraId="2FBC9E68" w14:textId="77777777" w:rsidR="00ED1AF7" w:rsidRDefault="00000000">
      <w:pPr>
        <w:pStyle w:val="FirstParagraph"/>
        <w:jc w:val="both"/>
      </w:pPr>
      <w:r>
        <w:lastRenderedPageBreak/>
        <w:t xml:space="preserve">The equality is the error of the maximum-a-posteriori decoder, and the inequality is Fano’s inequality with entropy in bits [19]. Proposition 1 is the case </w:t>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0</m:t>
        </m:r>
      </m:oMath>
      <w:r>
        <w:t xml:space="preserve">. Because </w:t>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oMath>
      <w:r>
        <w:t xml:space="preserve"> depends on </w:t>
      </w:r>
      <m:oMath>
        <m:r>
          <w:rPr>
            <w:rFonts w:ascii="Cambria Math" w:hAnsi="Cambria Math"/>
          </w:rPr>
          <m:t>μ</m:t>
        </m:r>
      </m:oMath>
      <w:r>
        <w:t xml:space="preserve">, a working set can be sufficient for one task distribution and insufficient for another that places more weight on the merged states. In the revision example above, if the two collections are equally probable and the answer is binary, </w:t>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the mediated consumer can do no better than chance on that distinction, whatever its size or training.</w:t>
      </w:r>
    </w:p>
    <w:p w14:paraId="7215D5C4" w14:textId="77777777" w:rsidR="00ED1AF7" w:rsidRDefault="00000000">
      <w:pPr>
        <w:pStyle w:val="BodyText"/>
        <w:jc w:val="both"/>
      </w:pPr>
      <w:r>
        <w:rPr>
          <w:b/>
          <w:bCs/>
        </w:rPr>
        <w:t>Corollary 2 — Sequential form.</w:t>
      </w:r>
      <w:r>
        <w:t xml:space="preserve"> Let </w:t>
      </w:r>
      <m:oMath>
        <m:r>
          <w:rPr>
            <w:rFonts w:ascii="Cambria Math" w:hAnsi="Cambria Math"/>
          </w:rPr>
          <m:t>σ</m:t>
        </m:r>
        <m:d>
          <m:dPr>
            <m:ctrlPr>
              <w:rPr>
                <w:rFonts w:ascii="Cambria Math" w:hAnsi="Cambria Math"/>
              </w:rPr>
            </m:ctrlPr>
          </m:dPr>
          <m:e>
            <m:r>
              <w:rPr>
                <w:rFonts w:ascii="Cambria Math" w:hAnsi="Cambria Math"/>
              </w:rPr>
              <m:t>u</m:t>
            </m:r>
          </m:e>
        </m:d>
      </m:oMath>
      <w:r>
        <w:t xml:space="preserve"> denote the complete retained state of the mediated system after history </w:t>
      </w:r>
      <m:oMath>
        <m:r>
          <w:rPr>
            <w:rFonts w:ascii="Cambria Math" w:hAnsi="Cambria Math"/>
          </w:rPr>
          <m:t>u</m:t>
        </m:r>
      </m:oMath>
      <w:r>
        <w:t xml:space="preserve">: working set, routing state, archive, caches, and any internal state of the consumer. Suppose the state update is deterministic and the output after any history is a function of the state reached. If the system answers </w:t>
      </w:r>
      <m:oMath>
        <m:r>
          <w:rPr>
            <w:rFonts w:ascii="Cambria Math" w:hAnsi="Cambria Math"/>
          </w:rPr>
          <m:t>f</m:t>
        </m:r>
        <m:d>
          <m:dPr>
            <m:ctrlPr>
              <w:rPr>
                <w:rFonts w:ascii="Cambria Math" w:hAnsi="Cambria Math"/>
              </w:rPr>
            </m:ctrlPr>
          </m:dPr>
          <m:e>
            <m:r>
              <w:rPr>
                <w:rFonts w:ascii="Cambria Math" w:hAnsi="Cambria Math"/>
              </w:rPr>
              <m:t>uw</m:t>
            </m:r>
          </m:e>
        </m:d>
      </m:oMath>
      <w:r>
        <w:t xml:space="preserve"> correctly for every history </w:t>
      </w:r>
      <m:oMath>
        <m:r>
          <w:rPr>
            <w:rFonts w:ascii="Cambria Math" w:hAnsi="Cambria Math"/>
          </w:rPr>
          <m:t>u</m:t>
        </m:r>
      </m:oMath>
      <w:r>
        <w:t xml:space="preserve"> and every continuation </w:t>
      </w:r>
      <m:oMath>
        <m:r>
          <w:rPr>
            <w:rFonts w:ascii="Cambria Math" w:hAnsi="Cambria Math"/>
          </w:rPr>
          <m:t>w</m:t>
        </m:r>
      </m:oMath>
      <w:r>
        <w:t xml:space="preserve">, then </w:t>
      </w:r>
      <m:oMath>
        <m:r>
          <w:rPr>
            <w:rFonts w:ascii="Cambria Math" w:hAnsi="Cambria Math"/>
          </w:rPr>
          <m:t>σ</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v</m:t>
            </m:r>
          </m:e>
        </m:d>
      </m:oMath>
      <w:r>
        <w:t xml:space="preserve"> implies </w:t>
      </w:r>
      <m:oMath>
        <m:r>
          <w:rPr>
            <w:rFonts w:ascii="Cambria Math" w:hAnsi="Cambria Math"/>
          </w:rPr>
          <m:t>f</m:t>
        </m:r>
        <m:d>
          <m:dPr>
            <m:ctrlPr>
              <w:rPr>
                <w:rFonts w:ascii="Cambria Math" w:hAnsi="Cambria Math"/>
              </w:rPr>
            </m:ctrlPr>
          </m:dPr>
          <m:e>
            <m:r>
              <w:rPr>
                <w:rFonts w:ascii="Cambria Math" w:hAnsi="Cambria Math"/>
              </w:rPr>
              <m:t>uw</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vw</m:t>
            </m:r>
          </m:e>
        </m:d>
      </m:oMath>
      <w:r>
        <w:t xml:space="preserve"> for all </w:t>
      </w:r>
      <m:oMath>
        <m:r>
          <w:rPr>
            <w:rFonts w:ascii="Cambria Math" w:hAnsi="Cambria Math"/>
          </w:rPr>
          <m:t>w</m:t>
        </m:r>
      </m:oMath>
      <w:r>
        <w:t>.</w:t>
      </w:r>
    </w:p>
    <w:p w14:paraId="4AB6C62D" w14:textId="77777777" w:rsidR="00ED1AF7" w:rsidRDefault="00000000">
      <w:pPr>
        <w:pStyle w:val="BodyText"/>
        <w:jc w:val="both"/>
      </w:pPr>
      <w:r>
        <w:t xml:space="preserve">Proof. Determinism gives </w:t>
      </w:r>
      <m:oMath>
        <m:r>
          <w:rPr>
            <w:rFonts w:ascii="Cambria Math" w:hAnsi="Cambria Math"/>
          </w:rPr>
          <m:t>σ</m:t>
        </m:r>
        <m:d>
          <m:dPr>
            <m:ctrlPr>
              <w:rPr>
                <w:rFonts w:ascii="Cambria Math" w:hAnsi="Cambria Math"/>
              </w:rPr>
            </m:ctrlPr>
          </m:dPr>
          <m:e>
            <m:r>
              <w:rPr>
                <w:rFonts w:ascii="Cambria Math" w:hAnsi="Cambria Math"/>
              </w:rPr>
              <m:t>uw</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vw</m:t>
            </m:r>
          </m:e>
        </m:d>
      </m:oMath>
      <w:r>
        <w:t xml:space="preserve"> for every </w:t>
      </w:r>
      <m:oMath>
        <m:r>
          <w:rPr>
            <w:rFonts w:ascii="Cambria Math" w:hAnsi="Cambria Math"/>
          </w:rPr>
          <m:t>w</m:t>
        </m:r>
      </m:oMath>
      <w:r>
        <w:t xml:space="preserve">, so the two outputs coincide, and correctness of both forces </w:t>
      </w:r>
      <m:oMath>
        <m:r>
          <w:rPr>
            <w:rFonts w:ascii="Cambria Math" w:hAnsi="Cambria Math"/>
          </w:rPr>
          <m:t>f</m:t>
        </m:r>
        <m:d>
          <m:dPr>
            <m:ctrlPr>
              <w:rPr>
                <w:rFonts w:ascii="Cambria Math" w:hAnsi="Cambria Math"/>
              </w:rPr>
            </m:ctrlPr>
          </m:dPr>
          <m:e>
            <m:r>
              <w:rPr>
                <w:rFonts w:ascii="Cambria Math" w:hAnsi="Cambria Math"/>
              </w:rPr>
              <m:t>uw</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vw</m:t>
            </m:r>
          </m:e>
        </m:d>
      </m:oMath>
      <w:r>
        <w:t xml:space="preserve">. In automata-theoretic terms, the partition induced by </w:t>
      </w:r>
      <m:oMath>
        <m:r>
          <w:rPr>
            <w:rFonts w:ascii="Cambria Math" w:hAnsi="Cambria Math"/>
          </w:rPr>
          <m:t>σ</m:t>
        </m:r>
      </m:oMath>
      <w:r>
        <w:t xml:space="preserve"> must refine the Nerode right congruence of the task [20]. The number of distinct retained states reachable on the task’s histories is therefore at least the number of Nerode classes those histories occupy, and its base-2 logarithm is a lower bound, in bits, on the memory the mediated system must keep.</w:t>
      </w:r>
    </w:p>
    <w:p w14:paraId="60DD7D7E" w14:textId="77777777" w:rsidR="00ED1AF7" w:rsidRDefault="00000000">
      <w:pPr>
        <w:pStyle w:val="BodyText"/>
        <w:jc w:val="both"/>
      </w:pPr>
      <w:r>
        <w:t xml:space="preserve">The corollary separates two budgets that Proposition 1 alone conflates. The bounded working set may drop a distinction at time </w:t>
      </w:r>
      <m:oMath>
        <m:r>
          <w:rPr>
            <w:rFonts w:ascii="Cambria Math" w:hAnsi="Cambria Math"/>
          </w:rPr>
          <m:t>t</m:t>
        </m:r>
      </m:oMath>
      <w:r>
        <w:t xml:space="preserve"> without error, provided the answer at </w:t>
      </w:r>
      <m:oMath>
        <m:r>
          <w:rPr>
            <w:rFonts w:ascii="Cambria Math" w:hAnsi="Cambria Math"/>
          </w:rPr>
          <m:t>t</m:t>
        </m:r>
      </m:oMath>
      <w:r>
        <w:t xml:space="preserve"> does not depend on it, the distinction survives in the retained state, for example in the versioned archive, and the policy reopens it before a query needs it. What cannot be dropped from the total state is any distinction on which some future answer depends. Both conditions are necessary, not sufficient: they state what must be kept, not that a learned policy will reopen it in time.</w:t>
      </w:r>
    </w:p>
    <w:p w14:paraId="2C24401D" w14:textId="77777777" w:rsidR="001F608A" w:rsidRDefault="00000000" w:rsidP="003F7917">
      <w:pPr>
        <w:pStyle w:val="Heading2"/>
        <w:jc w:val="both"/>
      </w:pPr>
      <w:bookmarkStart w:id="8" w:name="preservation-during-a-gradual-transition"/>
      <w:bookmarkEnd w:id="7"/>
      <w:r>
        <w:t>3.2 Preservation during a gradual transition</w:t>
      </w:r>
    </w:p>
    <w:p w14:paraId="05BC5D40" w14:textId="77777777" w:rsidR="001F608A" w:rsidRDefault="00000000" w:rsidP="003F7917">
      <w:pPr>
        <w:pStyle w:val="FirstParagraph"/>
        <w:jc w:val="both"/>
      </w:pPr>
      <w:r>
        <w:t xml:space="preserve">Let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be the original next-token distribution and </w:t>
      </w:r>
      <m:oMath>
        <m:r>
          <w:rPr>
            <w:rFonts w:ascii="Cambria Math" w:hAnsi="Cambria Math"/>
          </w:rPr>
          <m:t>Q</m:t>
        </m:r>
      </m:oMath>
      <w:r>
        <w:t xml:space="preserve"> the mediated distribution on a common committed prefix. An explicit output gate can implement</w:t>
      </w:r>
    </w:p>
    <w:p w14:paraId="26520305" w14:textId="77777777" w:rsidR="001F608A" w:rsidRDefault="00000000" w:rsidP="003F7917">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P</m:t>
            </m:r>
          </m:e>
          <m:sub>
            <m:r>
              <w:rPr>
                <w:rFonts w:ascii="Cambria Math" w:hAnsi="Cambria Math"/>
              </w:rPr>
              <m:t>λ</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λQ</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tab/>
        <w:t>(5)</w:t>
      </w:r>
    </w:p>
    <w:p w14:paraId="334A9515" w14:textId="77777777" w:rsidR="00ED1AF7" w:rsidRDefault="00000000">
      <w:pPr>
        <w:pStyle w:val="FirstParagraph"/>
        <w:jc w:val="both"/>
      </w:pPr>
      <w:r>
        <w:t xml:space="preserve">This is interpolation of normalized probabilities, not interpolation of logits or hidden states. Both branches see the same committed history, with separate internal states where their computations differ. At </w:t>
      </w:r>
      <m:oMath>
        <m:r>
          <w:rPr>
            <w:rFonts w:ascii="Cambria Math" w:hAnsi="Cambria Math"/>
          </w:rPr>
          <m:t>λ</m:t>
        </m:r>
        <m:r>
          <m:rPr>
            <m:sty m:val="p"/>
          </m:rPr>
          <w:rPr>
            <w:rFonts w:ascii="Cambria Math" w:hAnsi="Cambria Math"/>
          </w:rPr>
          <m:t>=</m:t>
        </m:r>
        <m:r>
          <w:rPr>
            <w:rFonts w:ascii="Cambria Math" w:hAnsi="Cambria Math"/>
          </w:rPr>
          <m:t>0</m:t>
        </m:r>
      </m:oMath>
      <w:r>
        <w:t xml:space="preserve"> the original behavior is recovered by construction. This supplies a controlled migration baseline, although evaluating both branches can be expensive. The mixture can be sampled exactly by drawing the branch with probability </w:t>
      </w:r>
      <m:oMath>
        <m:r>
          <w:rPr>
            <w:rFonts w:ascii="Cambria Math" w:hAnsi="Cambria Math"/>
          </w:rPr>
          <m:t>λ</m:t>
        </m:r>
      </m:oMath>
      <w:r>
        <w:t xml:space="preserve"> at each token and sampling from that branch alone, but both branches must still process every committed token to keep their states current; for a Transformer the saving is essentially confined to the output projection of the unselected branch.</w:t>
      </w:r>
    </w:p>
    <w:p w14:paraId="4F461E4B" w14:textId="77777777" w:rsidR="001F608A" w:rsidRDefault="00000000" w:rsidP="003F7917">
      <w:pPr>
        <w:pStyle w:val="BodyText"/>
        <w:jc w:val="both"/>
      </w:pPr>
      <w:r>
        <w:rPr>
          <w:b/>
          <w:bCs/>
        </w:rPr>
        <w:t>Proposition 2 — Local distributional deviation.</w:t>
      </w:r>
      <w:r>
        <w:t xml:space="preserve"> At any fixed history,</w:t>
      </w:r>
    </w:p>
    <w:p w14:paraId="50051104" w14:textId="77777777" w:rsidR="001F608A" w:rsidRDefault="00000000" w:rsidP="003F7917">
      <w:pPr>
        <w:pStyle w:val="BodyText"/>
        <w:keepLines/>
        <w:tabs>
          <w:tab w:val="center" w:pos="4968"/>
          <w:tab w:val="right" w:pos="9936"/>
        </w:tabs>
        <w:spacing w:before="80" w:after="160"/>
        <w:jc w:val="both"/>
      </w:pPr>
      <w:r>
        <w:tab/>
      </w: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t>
        </m:r>
        <m:r>
          <w:rPr>
            <w:rFonts w:ascii="Cambria Math" w:hAnsi="Cambria Math"/>
          </w:rPr>
          <m:t>λ</m:t>
        </m:r>
        <m:r>
          <m:rPr>
            <m:sty m:val="p"/>
          </m:rPr>
          <w:rPr>
            <w:rFonts w:ascii="Cambria Math" w:hAnsi="Cambria Math"/>
          </w:rPr>
          <m:t>TV</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t>
        </m:r>
      </m:oMath>
      <w:r>
        <w:tab/>
        <w:t>(6)</w:t>
      </w:r>
    </w:p>
    <w:p w14:paraId="6D6AA443" w14:textId="77777777" w:rsidR="001F608A" w:rsidRDefault="00000000" w:rsidP="003F7917">
      <w:pPr>
        <w:pStyle w:val="FirstParagraph"/>
        <w:jc w:val="both"/>
      </w:pPr>
      <w:r>
        <w:t xml:space="preserve">The identity follows directly from the definition of total variation. For a loss bounded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L</m:t>
            </m:r>
          </m:e>
        </m:d>
      </m:oMath>
      <w:r>
        <w:t xml:space="preserve">, the absolute change in its conditional expectation is at most </w:t>
      </w:r>
      <m:oMath>
        <m:r>
          <w:rPr>
            <w:rFonts w:ascii="Cambria Math" w:hAnsi="Cambria Math"/>
          </w:rPr>
          <m:t>L</m:t>
        </m:r>
      </m:oMath>
      <w:r>
        <w:t xml:space="preserve"> times this deviation. If, for every relevant history at step </w:t>
      </w:r>
      <m:oMath>
        <m:r>
          <w:rPr>
            <w:rFonts w:ascii="Cambria Math" w:hAnsi="Cambria Math"/>
          </w:rPr>
          <m:t>t</m:t>
        </m:r>
      </m:oMath>
      <w:r>
        <w:t xml:space="preserve">, the mediated branch differs from the original by at most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maximal coupling gives the sequence bound</w:t>
      </w:r>
    </w:p>
    <w:p w14:paraId="2F2C8811" w14:textId="77777777" w:rsidR="001F608A" w:rsidRDefault="00000000" w:rsidP="003F7917">
      <w:pPr>
        <w:pStyle w:val="BodyText"/>
        <w:keepLines/>
        <w:tabs>
          <w:tab w:val="center" w:pos="4968"/>
          <w:tab w:val="right" w:pos="9936"/>
        </w:tabs>
        <w:spacing w:before="80" w:after="160"/>
        <w:jc w:val="both"/>
      </w:pPr>
      <w:r>
        <w:tab/>
      </w:r>
      <m:oMath>
        <m:r>
          <m:rPr>
            <m:sty m:val="p"/>
          </m:rPr>
          <w:rPr>
            <w:rFonts w:ascii="Cambria Math" w:hAnsi="Cambria Math"/>
          </w:rPr>
          <m:t>TV</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λ</m:t>
                </m:r>
              </m:sub>
              <m:sup>
                <m:r>
                  <w:rPr>
                    <w:rFonts w:ascii="Cambria Math" w:hAnsi="Cambria Math"/>
                  </w:rPr>
                  <m:t>1</m:t>
                </m:r>
                <m:r>
                  <m:rPr>
                    <m:sty m:val="p"/>
                  </m:rPr>
                  <w:rPr>
                    <w:rFonts w:ascii="Cambria Math" w:hAnsi="Cambria Math"/>
                  </w:rPr>
                  <m:t>:</m:t>
                </m:r>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0</m:t>
                </m:r>
              </m:sub>
              <m:sup>
                <m:r>
                  <w:rPr>
                    <w:rFonts w:ascii="Cambria Math" w:hAnsi="Cambria Math"/>
                  </w:rPr>
                  <m:t>1</m:t>
                </m:r>
                <m:r>
                  <m:rPr>
                    <m:sty m:val="p"/>
                  </m:rPr>
                  <w:rPr>
                    <w:rFonts w:ascii="Cambria Math" w:hAnsi="Cambria Math"/>
                  </w:rPr>
                  <m:t>:</m:t>
                </m:r>
                <m:r>
                  <w:rPr>
                    <w:rFonts w:ascii="Cambria Math" w:hAnsi="Cambria Math"/>
                  </w:rPr>
                  <m:t>T</m:t>
                </m:r>
              </m:sup>
            </m:sSubSup>
          </m:e>
        </m:d>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λ</m:t>
                    </m:r>
                  </m:e>
                  <m:sub>
                    <m:r>
                      <w:rPr>
                        <w:rFonts w:ascii="Cambria Math" w:hAnsi="Cambria Math"/>
                      </w:rPr>
                      <m:t>t</m:t>
                    </m:r>
                  </m:sub>
                </m:sSub>
              </m:e>
            </m:nary>
            <m:sSub>
              <m:sSubPr>
                <m:ctrlPr>
                  <w:rPr>
                    <w:rFonts w:ascii="Cambria Math" w:hAnsi="Cambria Math"/>
                  </w:rPr>
                </m:ctrlPr>
              </m:sSubPr>
              <m:e>
                <m:r>
                  <w:rPr>
                    <w:rFonts w:ascii="Cambria Math" w:hAnsi="Cambria Math"/>
                  </w:rPr>
                  <m:t>δ</m:t>
                </m:r>
              </m:e>
              <m:sub>
                <m:r>
                  <w:rPr>
                    <w:rFonts w:ascii="Cambria Math" w:hAnsi="Cambria Math"/>
                  </w:rPr>
                  <m:t>t</m:t>
                </m:r>
              </m:sub>
            </m:sSub>
          </m:e>
        </m:d>
        <m:r>
          <m:rPr>
            <m:sty m:val="p"/>
          </m:rPr>
          <w:rPr>
            <w:rFonts w:ascii="Cambria Math" w:hAnsi="Cambria Math"/>
          </w:rPr>
          <m:t>.</m:t>
        </m:r>
      </m:oMath>
      <w:r>
        <w:tab/>
        <w:t>(7)</w:t>
      </w:r>
    </w:p>
    <w:p w14:paraId="5A6CB30A" w14:textId="77777777" w:rsidR="00ED1AF7" w:rsidRDefault="00000000">
      <w:pPr>
        <w:pStyle w:val="FirstParagraph"/>
        <w:jc w:val="both"/>
      </w:pPr>
      <w:r>
        <w:t xml:space="preserve">To see this, couple the next-token choices while the prefixes agree. At step </w:t>
      </w:r>
      <m:oMath>
        <m:r>
          <w:rPr>
            <w:rFonts w:ascii="Cambria Math" w:hAnsi="Cambria Math"/>
          </w:rPr>
          <m:t>t</m:t>
        </m:r>
      </m:oMath>
      <w:r>
        <w:t xml:space="preserve"> their mismatch probability is at most </w:t>
      </w:r>
      <m:oMath>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a union bound controls any mismatch in the sequence. The supremum over histories in this statement cannot be estimated from samples, and a small per-token discrepancy can accumulate over a long rollout. </w:t>
      </w:r>
      <w:r>
        <w:lastRenderedPageBreak/>
        <w:t>Propositions 3 and 4 below replace it with a guarantee that requires no estimate at all and a sequence bound whose terms are expectations that can be estimated.</w:t>
      </w:r>
    </w:p>
    <w:p w14:paraId="171D6FAF" w14:textId="77777777" w:rsidR="001F608A" w:rsidRDefault="00000000" w:rsidP="003F7917">
      <w:pPr>
        <w:pStyle w:val="BodyText"/>
        <w:jc w:val="both"/>
      </w:pPr>
      <w:r>
        <w:t xml:space="preserve">An alternative operational contract uses held-out task loss. Let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R</m:t>
            </m:r>
          </m:sub>
        </m:sSub>
      </m:oMath>
      <w:r>
        <w:t xml:space="preserve"> be a declared retention distribution and </w:t>
      </w:r>
      <m:oMath>
        <m:sSub>
          <m:sSubPr>
            <m:ctrlPr>
              <w:rPr>
                <w:rFonts w:ascii="Cambria Math" w:hAnsi="Cambria Math"/>
              </w:rPr>
            </m:ctrlPr>
          </m:sSubPr>
          <m:e>
            <m:r>
              <w:rPr>
                <w:rFonts w:ascii="Cambria Math" w:hAnsi="Cambria Math"/>
              </w:rPr>
              <m:t>ε</m:t>
            </m:r>
          </m:e>
          <m:sub>
            <m:r>
              <w:rPr>
                <w:rFonts w:ascii="Cambria Math" w:hAnsi="Cambria Math"/>
              </w:rPr>
              <m:t>R</m:t>
            </m:r>
          </m:sub>
        </m:sSub>
      </m:oMath>
      <w:r>
        <w:t xml:space="preserve"> its permitted degradation:</w:t>
      </w:r>
    </w:p>
    <w:p w14:paraId="5F525960" w14:textId="77777777" w:rsidR="001F608A" w:rsidRDefault="00000000" w:rsidP="003F7917">
      <w:pPr>
        <w:pStyle w:val="BodyText"/>
        <w:keepLines/>
        <w:tabs>
          <w:tab w:val="center" w:pos="4968"/>
          <w:tab w:val="right" w:pos="9936"/>
        </w:tabs>
        <w:spacing w:before="80" w:after="160"/>
        <w:jc w:val="both"/>
      </w:pPr>
      <w:r>
        <w:tab/>
      </w:r>
      <m:oMath>
        <m:sSub>
          <m:sSubPr>
            <m:ctrlPr>
              <w:rPr>
                <w:rFonts w:ascii="Cambria Math" w:hAnsi="Cambria Math"/>
              </w:rPr>
            </m:ctrlPr>
          </m:sSubPr>
          <m:e>
            <m:r>
              <m:rPr>
                <m:scr m:val="script"/>
                <m:sty m:val="p"/>
              </m:rPr>
              <w:rPr>
                <w:rFonts w:ascii="Cambria Math" w:hAnsi="Cambria Math"/>
              </w:rPr>
              <m:t>L</m:t>
            </m:r>
          </m:e>
          <m:sub>
            <m:sSub>
              <m:sSubPr>
                <m:ctrlPr>
                  <w:rPr>
                    <w:rFonts w:ascii="Cambria Math" w:hAnsi="Cambria Math"/>
                  </w:rPr>
                </m:ctrlPr>
              </m:sSubPr>
              <m:e>
                <m:r>
                  <m:rPr>
                    <m:scr m:val="script"/>
                    <m:sty m:val="p"/>
                  </m:rPr>
                  <w:rPr>
                    <w:rFonts w:ascii="Cambria Math" w:hAnsi="Cambria Math"/>
                  </w:rPr>
                  <m:t>D</m:t>
                </m:r>
              </m:e>
              <m:sub>
                <m:r>
                  <w:rPr>
                    <w:rFonts w:ascii="Cambria Math" w:hAnsi="Cambria Math"/>
                  </w:rPr>
                  <m:t>R</m:t>
                </m:r>
              </m:sub>
            </m:sSub>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λ</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sSub>
              <m:sSubPr>
                <m:ctrlPr>
                  <w:rPr>
                    <w:rFonts w:ascii="Cambria Math" w:hAnsi="Cambria Math"/>
                  </w:rPr>
                </m:ctrlPr>
              </m:sSubPr>
              <m:e>
                <m:r>
                  <m:rPr>
                    <m:scr m:val="script"/>
                    <m:sty m:val="p"/>
                  </m:rPr>
                  <w:rPr>
                    <w:rFonts w:ascii="Cambria Math" w:hAnsi="Cambria Math"/>
                  </w:rPr>
                  <m:t>D</m:t>
                </m:r>
              </m:e>
              <m:sub>
                <m:r>
                  <w:rPr>
                    <w:rFonts w:ascii="Cambria Math" w:hAnsi="Cambria Math"/>
                  </w:rPr>
                  <m:t>R</m:t>
                </m:r>
              </m:sub>
            </m:sSub>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m:rPr>
            <m:sty m:val="p"/>
          </m:rPr>
          <w:rPr>
            <w:rFonts w:ascii="Cambria Math" w:hAnsi="Cambria Math"/>
          </w:rPr>
          <m:t>.</m:t>
        </m:r>
      </m:oMath>
      <w:r>
        <w:tab/>
        <w:t>(8)</w:t>
      </w:r>
    </w:p>
    <w:p w14:paraId="753B98AE" w14:textId="77777777" w:rsidR="001F608A" w:rsidRDefault="00000000" w:rsidP="003F7917">
      <w:pPr>
        <w:pStyle w:val="FirstParagraph"/>
        <w:jc w:val="both"/>
      </w:pPr>
      <w:r>
        <w:t>This is a condition to measure before advancing the migration. It is not implied by frozen weights or by the architecture’s names. Exact regression tests can enforce known symbolic constraints, while empirical confidence intervals describe performance on sampled tasks. The probability gate is a diagnostic tool and fallback route; it becomes an efficiency improvement only if the old branch can eventually be avoided at acceptable risk.</w:t>
      </w:r>
    </w:p>
    <w:p w14:paraId="0A5D3F21" w14:textId="77777777" w:rsidR="00ED1AF7" w:rsidRDefault="00000000">
      <w:pPr>
        <w:pStyle w:val="Heading2"/>
        <w:jc w:val="both"/>
      </w:pPr>
      <w:bookmarkStart w:id="9" w:name="h2-101"/>
      <w:r>
        <w:t>3.3 What the gate certifies</w:t>
      </w:r>
      <w:bookmarkEnd w:id="9"/>
    </w:p>
    <w:p w14:paraId="364B8877" w14:textId="77777777" w:rsidR="00ED1AF7" w:rsidRDefault="00000000">
      <w:pPr>
        <w:pStyle w:val="FirstParagraph"/>
        <w:jc w:val="both"/>
      </w:pPr>
      <w:r>
        <w:rPr>
          <w:b/>
          <w:bCs/>
        </w:rPr>
        <w:t>Proposition 3 — Branch-independent guarantees of the gate.</w:t>
      </w:r>
      <w:r>
        <w:t xml:space="preserve"> Fix a history </w:t>
      </w:r>
      <m:oMath>
        <m:r>
          <w:rPr>
            <w:rFonts w:ascii="Cambria Math" w:hAnsi="Cambria Math"/>
          </w:rPr>
          <m:t>h</m:t>
        </m:r>
      </m:oMath>
      <w:r>
        <w:t xml:space="preserve"> and a gate value </w:t>
      </w:r>
      <m:oMath>
        <m:r>
          <w:rPr>
            <w:rFonts w:ascii="Cambria Math" w:hAnsi="Cambria Math"/>
          </w:rPr>
          <m:t>λ</m:t>
        </m:r>
        <m:r>
          <m:rPr>
            <m:sty m:val="p"/>
          </m:rPr>
          <w:rPr>
            <w:rFonts w:ascii="Cambria Math" w:hAnsi="Cambria Math"/>
          </w:rPr>
          <m:t>&lt;</m:t>
        </m:r>
        <m:r>
          <w:rPr>
            <w:rFonts w:ascii="Cambria Math" w:hAnsi="Cambria Math"/>
          </w:rPr>
          <m:t>1</m:t>
        </m:r>
      </m:oMath>
      <w:r>
        <w:t xml:space="preserve">. For any mediated distribution </w:t>
      </w:r>
      <m:oMath>
        <m:r>
          <w:rPr>
            <w:rFonts w:ascii="Cambria Math" w:hAnsi="Cambria Math"/>
          </w:rPr>
          <m:t>Q</m:t>
        </m:r>
      </m:oMath>
      <w:r>
        <w:t>, including an adversarial one,</w:t>
      </w:r>
    </w:p>
    <w:p w14:paraId="0ABF0EE8" w14:textId="77777777" w:rsidR="00ED1AF7" w:rsidRDefault="00000000">
      <w:pPr>
        <w:pStyle w:val="BodyText"/>
        <w:keepLines/>
        <w:tabs>
          <w:tab w:val="center" w:pos="4968"/>
          <w:tab w:val="right" w:pos="9936"/>
        </w:tabs>
        <w:spacing w:before="80" w:after="160"/>
        <w:jc w:val="both"/>
      </w:pPr>
      <w:r>
        <w:tab/>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λ</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 </m:t>
        </m:r>
        <m:r>
          <m:rPr>
            <m:nor/>
          </m:rPr>
          <m:t xml:space="preserve">for every token </m:t>
        </m:r>
        <m:r>
          <w:rPr>
            <w:rFonts w:ascii="Cambria Math" w:hAnsi="Cambria Math"/>
          </w:rPr>
          <m:t>y</m:t>
        </m:r>
        <m:r>
          <m:rPr>
            <m:sty m:val="p"/>
          </m:rPr>
          <w:rPr>
            <w:rFonts w:ascii="Cambria Math" w:hAnsi="Cambria Math"/>
          </w:rPr>
          <m:t>,</m:t>
        </m:r>
      </m:oMath>
      <w:r>
        <w:tab/>
        <w:t>(9)</w:t>
      </w:r>
    </w:p>
    <w:p w14:paraId="5EAB8D4E" w14:textId="77777777" w:rsidR="00ED1AF7" w:rsidRDefault="00000000">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λ</m:t>
                </m:r>
              </m:sub>
            </m:sSub>
          </m:e>
        </m:d>
        <m:r>
          <m:rPr>
            <m:sty m:val="p"/>
          </m:rPr>
          <w:rPr>
            <w:rFonts w:ascii="Cambria Math" w:hAnsi="Cambria Math"/>
          </w:rPr>
          <m:t>≤min</m:t>
        </m:r>
        <m:d>
          <m:dPr>
            <m:begChr m:val="{"/>
            <m:endChr m:val="}"/>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 </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e>
        </m:d>
        <m:r>
          <m:rPr>
            <m:sty m:val="p"/>
          </m:rPr>
          <w:rPr>
            <w:rFonts w:ascii="Cambria Math" w:hAnsi="Cambria Math"/>
          </w:rPr>
          <m:t>.</m:t>
        </m:r>
      </m:oMath>
      <w:r>
        <w:tab/>
        <w:t>(10)</w:t>
      </w:r>
    </w:p>
    <w:p w14:paraId="7658DDEC" w14:textId="77777777" w:rsidR="00ED1AF7" w:rsidRDefault="00000000">
      <w:pPr>
        <w:pStyle w:val="FirstParagraph"/>
        <w:jc w:val="both"/>
      </w:pPr>
      <w:r>
        <w:t xml:space="preserve">Moreover, if </w:t>
      </w:r>
      <m:oMath>
        <m:r>
          <w:rPr>
            <w:rFonts w:ascii="Cambria Math" w:hAnsi="Cambria Math"/>
          </w:rPr>
          <m:t>m</m:t>
        </m:r>
        <m:d>
          <m:dPr>
            <m:ctrlPr>
              <w:rPr>
                <w:rFonts w:ascii="Cambria Math" w:hAnsi="Cambria Math"/>
              </w:rPr>
            </m:ctrlPr>
          </m:dPr>
          <m:e>
            <m:r>
              <w:rPr>
                <w:rFonts w:ascii="Cambria Math" w:hAnsi="Cambria Math"/>
              </w:rPr>
              <m:t>h</m:t>
            </m:r>
          </m:e>
        </m:d>
      </m:oMath>
      <w:r>
        <w:t xml:space="preserve"> is the margin between the two most probable tokens under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the most probable token is unchanged whenever </w:t>
      </w:r>
      <m:oMath>
        <m:r>
          <w:rPr>
            <w:rFonts w:ascii="Cambria Math" w:hAnsi="Cambria Math"/>
          </w:rPr>
          <m:t>λ</m:t>
        </m:r>
        <m:r>
          <m:rPr>
            <m:sty m:val="p"/>
          </m:rPr>
          <w:rPr>
            <w:rFonts w:ascii="Cambria Math" w:hAnsi="Cambria Math"/>
          </w:rPr>
          <m:t>&lt;</m:t>
        </m:r>
        <m:r>
          <w:rPr>
            <w:rFonts w:ascii="Cambria Math" w:hAnsi="Cambria Math"/>
          </w:rPr>
          <m:t>m</m:t>
        </m:r>
        <m:d>
          <m:dPr>
            <m:ctrlPr>
              <w:rPr>
                <w:rFonts w:ascii="Cambria Math" w:hAnsi="Cambria Math"/>
              </w:rPr>
            </m:ctrlPr>
          </m:dPr>
          <m:e>
            <m:r>
              <w:rPr>
                <w:rFonts w:ascii="Cambria Math" w:hAnsi="Cambria Math"/>
              </w:rPr>
              <m:t>h</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h</m:t>
                </m:r>
              </m:e>
            </m:d>
          </m:e>
        </m:d>
      </m:oMath>
      <w:r>
        <w:t>.</w:t>
      </w:r>
    </w:p>
    <w:p w14:paraId="4A4698DA" w14:textId="77777777" w:rsidR="00ED1AF7" w:rsidRDefault="00000000">
      <w:pPr>
        <w:pStyle w:val="BodyText"/>
        <w:jc w:val="both"/>
      </w:pPr>
      <w:r>
        <w:t xml:space="preserve">Proof. Since </w:t>
      </w:r>
      <m:oMath>
        <m:sSub>
          <m:sSubPr>
            <m:ctrlPr>
              <w:rPr>
                <w:rFonts w:ascii="Cambria Math" w:hAnsi="Cambria Math"/>
              </w:rPr>
            </m:ctrlPr>
          </m:sSubPr>
          <m:e>
            <m:r>
              <w:rPr>
                <w:rFonts w:ascii="Cambria Math" w:hAnsi="Cambria Math"/>
              </w:rPr>
              <m:t>P</m:t>
            </m:r>
          </m:e>
          <m:sub>
            <m:r>
              <w:rPr>
                <w:rFonts w:ascii="Cambria Math" w:hAnsi="Cambria Math"/>
              </w:rPr>
              <m:t>λ</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pointwise, (9) follows by taking logarithms, and its expectation under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gives the second argument of the minimum in (10). The first argument follows from convexity of the Kullback–Leibler divergence in its second argument. For the margin, let </w:t>
      </w:r>
      <m:oMath>
        <m:r>
          <w:rPr>
            <w:rFonts w:ascii="Cambria Math" w:hAnsi="Cambria Math"/>
          </w:rPr>
          <m:t>a</m:t>
        </m:r>
      </m:oMath>
      <w:r>
        <w:t xml:space="preserve"> be the most probable token under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w:t>
      </w:r>
      <m:oMath>
        <m:r>
          <w:rPr>
            <w:rFonts w:ascii="Cambria Math" w:hAnsi="Cambria Math"/>
          </w:rPr>
          <m:t>c</m:t>
        </m:r>
      </m:oMath>
      <w:r>
        <w:t xml:space="preserve"> any other token; then </w:t>
      </w:r>
      <m:oMath>
        <m:sSub>
          <m:sSubPr>
            <m:ctrlPr>
              <w:rPr>
                <w:rFonts w:ascii="Cambria Math" w:hAnsi="Cambria Math"/>
              </w:rPr>
            </m:ctrlPr>
          </m:sSubPr>
          <m:e>
            <m:r>
              <w:rPr>
                <w:rFonts w:ascii="Cambria Math" w:hAnsi="Cambria Math"/>
              </w:rPr>
              <m:t>P</m:t>
            </m:r>
          </m:e>
          <m:sub>
            <m:r>
              <w:rPr>
                <w:rFonts w:ascii="Cambria Math" w:hAnsi="Cambria Math"/>
              </w:rPr>
              <m:t>λ</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λ</m:t>
            </m:r>
          </m:sub>
        </m:sSub>
        <m:d>
          <m:dPr>
            <m:ctrlPr>
              <w:rPr>
                <w:rFonts w:ascii="Cambria Math" w:hAnsi="Cambria Math"/>
              </w:rPr>
            </m:ctrlPr>
          </m:dPr>
          <m:e>
            <m:r>
              <w:rPr>
                <w:rFonts w:ascii="Cambria Math" w:hAnsi="Cambria Math"/>
              </w:rPr>
              <m:t>c</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m</m:t>
        </m:r>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λ</m:t>
        </m:r>
      </m:oMath>
      <w:r>
        <w:t>, which is positive under the stated condition.</w:t>
      </w:r>
    </w:p>
    <w:p w14:paraId="1162AF40" w14:textId="77777777" w:rsidR="00ED1AF7" w:rsidRDefault="00000000">
      <w:pPr>
        <w:pStyle w:val="BodyText"/>
        <w:jc w:val="both"/>
      </w:pPr>
      <w:r>
        <w:t xml:space="preserve">Summed over a sequence, (9) bounds the excess log-loss of every sequence, not only of typical ones, by </w:t>
      </w:r>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log</m:t>
            </m:r>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oMath>
      <w:r>
        <w:t xml:space="preserve">. With </w:t>
      </w:r>
      <m:oMath>
        <m:r>
          <m:rPr>
            <m:scr m:val="script"/>
            <m:sty m:val="p"/>
          </m:rPr>
          <w:rPr>
            <w:rFonts w:ascii="Cambria Math" w:hAnsi="Cambria Math"/>
          </w:rPr>
          <m:t>L</m:t>
        </m:r>
      </m:oMath>
      <w:r>
        <w:t xml:space="preserve"> measured as mean per-token log-loss and a constant gate, the retention contract (8) therefore holds on every retention distribution, including one never sampled, whenever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oMath>
      <w:r>
        <w:t xml:space="preserve">. This is the only guarantee in the paper that requires no measurement, and its scope is narrow in an instructive way. It certifies the beginning of a migration, when </w:t>
      </w:r>
      <m:oMath>
        <m:r>
          <w:rPr>
            <w:rFonts w:ascii="Cambria Math" w:hAnsi="Cambria Math"/>
          </w:rPr>
          <m:t>λ</m:t>
        </m:r>
      </m:oMath>
      <w:r>
        <w:t xml:space="preserve"> is small, and becomes vacuous as </w:t>
      </w:r>
      <m:oMath>
        <m:r>
          <w:rPr>
            <w:rFonts w:ascii="Cambria Math" w:hAnsi="Cambria Math"/>
          </w:rPr>
          <m:t>λ</m:t>
        </m:r>
        <m:r>
          <m:rPr>
            <m:sty m:val="p"/>
          </m:rPr>
          <w:rPr>
            <w:rFonts w:ascii="Cambria Math" w:hAnsi="Cambria Math"/>
          </w:rPr>
          <m:t>→</m:t>
        </m:r>
        <m:r>
          <w:rPr>
            <w:rFonts w:ascii="Cambria Math" w:hAnsi="Cambria Math"/>
          </w:rPr>
          <m:t>1</m:t>
        </m:r>
      </m:oMath>
      <w:r>
        <w:t xml:space="preserve">, which is where the efficiency benefit lies. It does not extend to greedy-decoding accuracy at histories where the original margin is small, and a per-token allowance multiplied by a long horizon can be large. Retention near the end of the migration depends wholly on </w:t>
      </w:r>
      <m:oMath>
        <m:r>
          <w:rPr>
            <w:rFonts w:ascii="Cambria Math" w:hAnsi="Cambria Math"/>
          </w:rPr>
          <m:t>Q</m:t>
        </m:r>
      </m:oMath>
      <w:r>
        <w:t>, which is what the next result measures.</w:t>
      </w:r>
    </w:p>
    <w:p w14:paraId="11E9EBBE" w14:textId="77777777" w:rsidR="00ED1AF7" w:rsidRDefault="00000000">
      <w:pPr>
        <w:pStyle w:val="BodyText"/>
        <w:jc w:val="both"/>
      </w:pPr>
      <w:r>
        <w:rPr>
          <w:b/>
          <w:bCs/>
        </w:rPr>
        <w:t>Proposition 4 — On-policy sequence bound.</w:t>
      </w:r>
      <w:r>
        <w:t xml:space="preserve"> Draw prompts from the deployment prompt distribution and continuations from the original model, and for histories </w:t>
      </w:r>
      <m:oMath>
        <m:r>
          <w:rPr>
            <w:rFonts w:ascii="Cambria Math" w:hAnsi="Cambria Math"/>
          </w:rPr>
          <m:t>h</m:t>
        </m:r>
      </m:oMath>
      <w:r>
        <w:t xml:space="preserve"> of length </w:t>
      </w:r>
      <m:oMath>
        <m:r>
          <w:rPr>
            <w:rFonts w:ascii="Cambria Math" w:hAnsi="Cambria Math"/>
          </w:rPr>
          <m:t>t</m:t>
        </m:r>
        <m:r>
          <m:rPr>
            <m:sty m:val="p"/>
          </m:rPr>
          <w:rPr>
            <w:rFonts w:ascii="Cambria Math" w:hAnsi="Cambria Math"/>
          </w:rPr>
          <m:t>-</m:t>
        </m:r>
        <m:r>
          <w:rPr>
            <w:rFonts w:ascii="Cambria Math" w:hAnsi="Cambria Math"/>
          </w:rPr>
          <m:t>1</m:t>
        </m:r>
      </m:oMath>
      <w:r>
        <w:t xml:space="preserve"> generated in this way define</w:t>
      </w:r>
    </w:p>
    <w:p w14:paraId="5605820F" w14:textId="77777777" w:rsidR="00ED1AF7" w:rsidRDefault="00000000">
      <w:pPr>
        <w:pStyle w:val="BodyText"/>
        <w:keepLines/>
        <w:tabs>
          <w:tab w:val="center" w:pos="4968"/>
          <w:tab w:val="right" w:pos="9936"/>
        </w:tabs>
        <w:spacing w:before="80" w:after="160"/>
        <w:jc w:val="both"/>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ub>
        </m:sSub>
        <m:d>
          <m:dPr>
            <m:begChr m:val="["/>
            <m:endChr m:val="]"/>
            <m:ctrlPr>
              <w:rPr>
                <w:rFonts w:ascii="Cambria Math" w:hAnsi="Cambria Math"/>
              </w:rPr>
            </m:ctrlPr>
          </m:dPr>
          <m:e>
            <m:r>
              <m:rPr>
                <m:sty m:val="p"/>
              </m:rPr>
              <w:rPr>
                <w:rFonts w:ascii="Cambria Math" w:hAnsi="Cambria Math"/>
              </w:rPr>
              <m:t>TV</m:t>
            </m:r>
            <m:d>
              <m:dPr>
                <m:ctrlPr>
                  <w:rPr>
                    <w:rFonts w:ascii="Cambria Math" w:hAnsi="Cambria Math"/>
                  </w:rPr>
                </m:ctrlPr>
              </m:dPr>
              <m:e>
                <m:r>
                  <w:rPr>
                    <w:rFonts w:ascii="Cambria Math" w:hAnsi="Cambria Math"/>
                  </w:rPr>
                  <m:t>Q</m:t>
                </m:r>
                <m:d>
                  <m:dPr>
                    <m:ctrlPr>
                      <w:rPr>
                        <w:rFonts w:ascii="Cambria Math" w:hAnsi="Cambria Math"/>
                      </w:rPr>
                    </m:ctrlPr>
                  </m:dPr>
                  <m:e>
                    <m:r>
                      <m:rPr>
                        <m:sty m:val="p"/>
                      </m:rPr>
                      <w:rPr>
                        <w:rFonts w:ascii="Cambria Math" w:hAnsi="Cambria Math"/>
                      </w:rPr>
                      <m:t>⋅∣</m:t>
                    </m:r>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m:rPr>
                        <m:sty m:val="p"/>
                      </m:rPr>
                      <w:rPr>
                        <w:rFonts w:ascii="Cambria Math" w:hAnsi="Cambria Math"/>
                      </w:rPr>
                      <m:t>⋅∣</m:t>
                    </m:r>
                    <m:r>
                      <w:rPr>
                        <w:rFonts w:ascii="Cambria Math" w:hAnsi="Cambria Math"/>
                      </w:rPr>
                      <m:t>h</m:t>
                    </m:r>
                  </m:e>
                </m:d>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Q</m:t>
                </m:r>
                <m:d>
                  <m:dPr>
                    <m:ctrlPr>
                      <w:rPr>
                        <w:rFonts w:ascii="Cambria Math" w:hAnsi="Cambria Math"/>
                      </w:rPr>
                    </m:ctrlPr>
                  </m:dPr>
                  <m:e>
                    <m:r>
                      <m:rPr>
                        <m:sty m:val="p"/>
                      </m:rPr>
                      <w:rPr>
                        <w:rFonts w:ascii="Cambria Math" w:hAnsi="Cambria Math"/>
                      </w:rPr>
                      <m:t>⋅∣</m:t>
                    </m:r>
                    <m:r>
                      <w:rPr>
                        <w:rFonts w:ascii="Cambria Math" w:hAnsi="Cambria Math"/>
                      </w:rPr>
                      <m:t>h</m:t>
                    </m:r>
                  </m:e>
                </m:d>
              </m:e>
            </m:d>
          </m:e>
        </m:d>
        <m:r>
          <m:rPr>
            <m:sty m:val="p"/>
          </m:rPr>
          <w:rPr>
            <w:rFonts w:ascii="Cambria Math" w:hAnsi="Cambria Math"/>
          </w:rPr>
          <m:t>.</m:t>
        </m:r>
      </m:oMath>
      <w:r>
        <w:tab/>
        <w:t>(11)</w:t>
      </w:r>
    </w:p>
    <w:p w14:paraId="2C5B4F78" w14:textId="77777777" w:rsidR="00ED1AF7" w:rsidRDefault="00000000">
      <w:pPr>
        <w:pStyle w:val="FirstParagraph"/>
        <w:jc w:val="both"/>
      </w:pPr>
      <w:r>
        <w:t>Then</w:t>
      </w:r>
    </w:p>
    <w:p w14:paraId="46047626" w14:textId="77777777" w:rsidR="00ED1AF7" w:rsidRDefault="00000000">
      <w:pPr>
        <w:pStyle w:val="BodyText"/>
        <w:keepLines/>
        <w:tabs>
          <w:tab w:val="center" w:pos="4968"/>
          <w:tab w:val="right" w:pos="9936"/>
        </w:tabs>
        <w:spacing w:before="80" w:after="160"/>
        <w:jc w:val="both"/>
      </w:pPr>
      <w:r>
        <w:tab/>
      </w:r>
      <m:oMath>
        <m:r>
          <m:rPr>
            <m:sty m:val="p"/>
          </m:rPr>
          <w:rPr>
            <w:rFonts w:ascii="Cambria Math" w:hAnsi="Cambria Math"/>
          </w:rPr>
          <m:t>TV</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λ</m:t>
                </m:r>
              </m:sub>
              <m:sup>
                <m:r>
                  <w:rPr>
                    <w:rFonts w:ascii="Cambria Math" w:hAnsi="Cambria Math"/>
                  </w:rPr>
                  <m:t>1</m:t>
                </m:r>
                <m:r>
                  <m:rPr>
                    <m:sty m:val="p"/>
                  </m:rPr>
                  <w:rPr>
                    <w:rFonts w:ascii="Cambria Math" w:hAnsi="Cambria Math"/>
                  </w:rPr>
                  <m:t>:</m:t>
                </m:r>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0</m:t>
                </m:r>
              </m:sub>
              <m:sup>
                <m:r>
                  <w:rPr>
                    <w:rFonts w:ascii="Cambria Math" w:hAnsi="Cambria Math"/>
                  </w:rPr>
                  <m:t>1</m:t>
                </m:r>
                <m:r>
                  <m:rPr>
                    <m:sty m:val="p"/>
                  </m:rPr>
                  <w:rPr>
                    <w:rFonts w:ascii="Cambria Math" w:hAnsi="Cambria Math"/>
                  </w:rPr>
                  <m:t>:</m:t>
                </m:r>
                <m:r>
                  <w:rPr>
                    <w:rFonts w:ascii="Cambria Math" w:hAnsi="Cambria Math"/>
                  </w:rPr>
                  <m:t>T</m:t>
                </m:r>
              </m:sup>
            </m:sSubSup>
          </m:e>
        </m:d>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λ</m:t>
                    </m:r>
                  </m:e>
                  <m:sub>
                    <m:r>
                      <w:rPr>
                        <w:rFonts w:ascii="Cambria Math" w:hAnsi="Cambria Math"/>
                      </w:rPr>
                      <m:t>t</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t</m:t>
                </m:r>
              </m:sub>
            </m:sSub>
            <m:r>
              <m:rPr>
                <m:sty m:val="p"/>
              </m:rPr>
              <w:rPr>
                <w:rFonts w:ascii="Cambria Math" w:hAnsi="Cambria Math"/>
              </w:rPr>
              <m:t>,</m:t>
            </m:r>
            <m:r>
              <w:rPr>
                <w:rFonts w:ascii="Cambria Math" w:hAnsi="Cambria Math"/>
              </w:rPr>
              <m:t>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min</m:t>
                    </m:r>
                  </m:e>
                </m:nary>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e>
                </m:d>
              </m:e>
            </m:rad>
          </m:e>
        </m:d>
        <m:r>
          <m:rPr>
            <m:sty m:val="p"/>
          </m:rPr>
          <w:rPr>
            <w:rFonts w:ascii="Cambria Math" w:hAnsi="Cambria Math"/>
          </w:rPr>
          <m:t>.</m:t>
        </m:r>
      </m:oMath>
      <w:r>
        <w:tab/>
        <w:t>(12)</w:t>
      </w:r>
    </w:p>
    <w:p w14:paraId="34357B8D" w14:textId="77777777" w:rsidR="00ED1AF7" w:rsidRDefault="00000000">
      <w:pPr>
        <w:pStyle w:val="FirstParagraph"/>
        <w:jc w:val="both"/>
      </w:pPr>
      <w:r>
        <w:t xml:space="preserve">Proof. For the second term, interpolate between the two sequence distributions through hybrids that follow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for the first </w:t>
      </w:r>
      <m:oMath>
        <m:r>
          <w:rPr>
            <w:rFonts w:ascii="Cambria Math" w:hAnsi="Cambria Math"/>
          </w:rPr>
          <m:t>k</m:t>
        </m:r>
      </m:oMath>
      <w:r>
        <w:t xml:space="preserve"> tokens and </w:t>
      </w:r>
      <m:oMath>
        <m:sSub>
          <m:sSubPr>
            <m:ctrlPr>
              <w:rPr>
                <w:rFonts w:ascii="Cambria Math" w:hAnsi="Cambria Math"/>
              </w:rPr>
            </m:ctrlPr>
          </m:sSubPr>
          <m:e>
            <m:r>
              <w:rPr>
                <w:rFonts w:ascii="Cambria Math" w:hAnsi="Cambria Math"/>
              </w:rPr>
              <m:t>P</m:t>
            </m:r>
          </m:e>
          <m:sub>
            <m:r>
              <w:rPr>
                <w:rFonts w:ascii="Cambria Math" w:hAnsi="Cambria Math"/>
              </w:rPr>
              <m:t>λ</m:t>
            </m:r>
          </m:sub>
        </m:sSub>
      </m:oMath>
      <w:r>
        <w:t xml:space="preserve"> thereafter. Consecutive hybrids differ only at step </w:t>
      </w:r>
      <m:oMath>
        <m:r>
          <w:rPr>
            <w:rFonts w:ascii="Cambria Math" w:hAnsi="Cambria Math"/>
          </w:rPr>
          <m:t>k</m:t>
        </m:r>
      </m:oMath>
      <w:r>
        <w:t xml:space="preserve">, after a prefix distributed according to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so by Proposition 2 their total variation is at most </w:t>
      </w:r>
      <m:oMath>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oMath>
      <w:r>
        <w:t xml:space="preserve">, and the triangle inequality sums the </w:t>
      </w:r>
      <w:r>
        <w:lastRenderedPageBreak/>
        <w:t xml:space="preserve">steps. For the third term, the chain rule writes </w:t>
      </w:r>
      <m:oMath>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0</m:t>
                </m:r>
              </m:sub>
              <m:sup>
                <m:r>
                  <w:rPr>
                    <w:rFonts w:ascii="Cambria Math" w:hAnsi="Cambria Math"/>
                  </w:rPr>
                  <m:t>1</m:t>
                </m:r>
                <m:r>
                  <m:rPr>
                    <m:sty m:val="p"/>
                  </m:rPr>
                  <w:rPr>
                    <w:rFonts w:ascii="Cambria Math" w:hAnsi="Cambria Math"/>
                  </w:rPr>
                  <m:t>:</m:t>
                </m:r>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λ</m:t>
                </m:r>
              </m:sub>
              <m:sup>
                <m:r>
                  <w:rPr>
                    <w:rFonts w:ascii="Cambria Math" w:hAnsi="Cambria Math"/>
                  </w:rPr>
                  <m:t>1</m:t>
                </m:r>
                <m:r>
                  <m:rPr>
                    <m:sty m:val="p"/>
                  </m:rPr>
                  <w:rPr>
                    <w:rFonts w:ascii="Cambria Math" w:hAnsi="Cambria Math"/>
                  </w:rPr>
                  <m:t>:</m:t>
                </m:r>
                <m:r>
                  <w:rPr>
                    <w:rFonts w:ascii="Cambria Math" w:hAnsi="Cambria Math"/>
                  </w:rPr>
                  <m:t>T</m:t>
                </m:r>
              </m:sup>
            </m:sSubSup>
          </m:e>
        </m:d>
      </m:oMath>
      <w:r>
        <w:t xml:space="preserve"> as the sum over </w:t>
      </w:r>
      <m:oMath>
        <m:r>
          <w:rPr>
            <w:rFonts w:ascii="Cambria Math" w:hAnsi="Cambria Math"/>
          </w:rPr>
          <m:t>t</m:t>
        </m:r>
      </m:oMath>
      <w:r>
        <w:t xml:space="preserve"> of the expected per-step divergence under </w:t>
      </w:r>
      <m:oMath>
        <m:sSub>
          <m:sSubPr>
            <m:ctrlPr>
              <w:rPr>
                <w:rFonts w:ascii="Cambria Math" w:hAnsi="Cambria Math"/>
              </w:rPr>
            </m:ctrlPr>
          </m:sSubPr>
          <m:e>
            <m:r>
              <w:rPr>
                <w:rFonts w:ascii="Cambria Math" w:hAnsi="Cambria Math"/>
              </w:rPr>
              <m:t>P</m:t>
            </m:r>
          </m:e>
          <m:sub>
            <m:r>
              <w:rPr>
                <w:rFonts w:ascii="Cambria Math" w:hAnsi="Cambria Math"/>
              </w:rPr>
              <m:t>0</m:t>
            </m:r>
          </m:sub>
        </m:sSub>
      </m:oMath>
      <w:r>
        <w:t>-generated prefixes; apply (10) inside each expectation and then Pinsker’s inequality [19].</w:t>
      </w:r>
    </w:p>
    <w:p w14:paraId="02D1B1B5" w14:textId="77777777" w:rsidR="00ED1AF7" w:rsidRDefault="00000000">
      <w:pPr>
        <w:pStyle w:val="BodyText"/>
        <w:jc w:val="both"/>
      </w:pPr>
      <w:r>
        <w:t xml:space="preserve">Two features matter in practice. The expectations are taken over histories the original model itself generates, so each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κ</m:t>
            </m:r>
          </m:e>
          <m:sub>
            <m:r>
              <w:rPr>
                <w:rFonts w:ascii="Cambria Math" w:hAnsi="Cambria Math"/>
              </w:rPr>
              <m:t>t</m:t>
            </m:r>
          </m:sub>
        </m:sSub>
      </m:oMath>
      <w:r>
        <w:t xml:space="preserve"> can be estimated without bias by sampling from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the supremum in (7) is not needed. The histories must, however, come from the original model on deployment prompts. Discrepancies estimated on teacher-forced dataset continuations do not enter the bound, because a mediated branch can agree with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everywhere on the dataset and disagree on continuations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would itself produce. The Pinsker form grows with the square root of the summed divergence rather than linearly, and it is controlled by the same divergence that appears as the distillation term of the training objective (13) below. Both bounds concern divergence from the original model, which is what retention means here. Distance from correct answers is a separate matter, addressed by (8) and by the update examples.</w:t>
      </w:r>
    </w:p>
    <w:p w14:paraId="419B2C4B" w14:textId="77777777" w:rsidR="001F608A" w:rsidRDefault="00000000" w:rsidP="003F7917">
      <w:pPr>
        <w:pStyle w:val="Heading1"/>
        <w:jc w:val="both"/>
      </w:pPr>
      <w:bookmarkStart w:id="10" w:name="an-implementable-cvvc-migration"/>
      <w:bookmarkEnd w:id="6"/>
      <w:bookmarkEnd w:id="8"/>
      <w:r>
        <w:t>4 An implementable CVVC migration</w:t>
      </w:r>
    </w:p>
    <w:p w14:paraId="78FF1448" w14:textId="77777777" w:rsidR="001F608A" w:rsidRDefault="00000000" w:rsidP="003F7917">
      <w:pPr>
        <w:pStyle w:val="FirstParagraph"/>
        <w:jc w:val="both"/>
      </w:pPr>
      <w:r>
        <w:t>The reference implementation retains a frozen Transformer as the Value consumer, trains a compact Context encoder and a mediator, and maintains a versioned evidence archive. This paper adds a progressive transition and explicit migration tests to the earlier CVVC proposal. It does not assume that an arbitrary Transformer can be decomposed into preexisting Context and Value subnetworks without retraining.</w:t>
      </w:r>
    </w:p>
    <w:p w14:paraId="6CBA1998" w14:textId="77777777" w:rsidR="001F608A" w:rsidRDefault="00000000" w:rsidP="003F7917">
      <w:pPr>
        <w:pStyle w:val="BodyText"/>
        <w:jc w:val="both"/>
      </w:pPr>
      <w:r>
        <w:t>Each evidence item has an identifier, source, revision, position convention, and representation epoch. The active working set contains a bounded number of items and a bounded total token count. Limiting fragment count alone is insufficient when fragments vary in size. Local generation state, archive storage, retrieval indices, and active evidence remain separate accounting categories.</w:t>
      </w:r>
    </w:p>
    <w:p w14:paraId="3A74DDC5" w14:textId="77777777" w:rsidR="001F608A" w:rsidRDefault="00000000" w:rsidP="003F7917">
      <w:pPr>
        <w:pStyle w:val="BodyText"/>
        <w:jc w:val="both"/>
      </w:pPr>
      <w:r>
        <w:t>For the first experiment, the mediator retrieves and assembles text fragments into a supported input format. This avoids making the architectural test depend on arbitrary insertion of cached hidden states. A later variant may use compatible KV fragments, but must specify which layers receive them, how positions are handled, which boundaries require recomputation, and how encoder changes invalidate caches. Final-layer KV fragments alone do not reproduce every lower-layer computation of a full-context Transformer.</w:t>
      </w:r>
    </w:p>
    <w:p w14:paraId="306CAAA8" w14:textId="77777777" w:rsidR="001F608A" w:rsidRDefault="00000000" w:rsidP="003F7917">
      <w:pPr>
        <w:pStyle w:val="BodyText"/>
        <w:jc w:val="both"/>
      </w:pPr>
      <w:r>
        <w:t>The migration proceeds through five stages. First, establish the original model’s retention suite, evidence-sensitive tasks, and cost measurements. Second, run Context and VC in shadow mode while the original model supplies the response. Third, train the mediator using fragment relevance, task loss, and counterfactual comparisons with alternative working sets. Fourth, increase mediated participation through the probability gate or a separately tested task-level router. Finally, remove the legacy path only on task regions where the retention and resource contracts are satisfied.</w:t>
      </w:r>
    </w:p>
    <w:p w14:paraId="53DBAB93" w14:textId="77777777" w:rsidR="001F608A" w:rsidRDefault="00000000" w:rsidP="003F7917">
      <w:pPr>
        <w:pStyle w:val="BodyText"/>
        <w:jc w:val="both"/>
      </w:pPr>
      <w:r>
        <w:t xml:space="preserve">For supervised examples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one possible training objective is</w:t>
      </w:r>
    </w:p>
    <w:p w14:paraId="2D51F740" w14:textId="77777777" w:rsidR="001F608A" w:rsidRDefault="00000000" w:rsidP="003F7917">
      <w:pPr>
        <w:pStyle w:val="BodyText"/>
        <w:keepLines/>
        <w:tabs>
          <w:tab w:val="center" w:pos="4968"/>
          <w:tab w:val="right" w:pos="9936"/>
        </w:tabs>
        <w:spacing w:before="80" w:after="160"/>
        <w:jc w:val="both"/>
      </w:pPr>
      <w:r>
        <w:tab/>
      </w:r>
      <m:oMath>
        <m:r>
          <m:rPr>
            <m:scr m:val="script"/>
            <m:sty m:val="p"/>
          </m:rPr>
          <w:rPr>
            <w:rFonts w:ascii="Cambria Math" w:hAnsi="Cambria Math"/>
          </w:rPr>
          <m:t>J=</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e>
        </m:d>
        <m:r>
          <m:rPr>
            <m:sty m:val="p"/>
          </m:rPr>
          <w:rPr>
            <w:rFonts w:ascii="Cambria Math" w:hAnsi="Cambria Math"/>
          </w:rPr>
          <m:t>+</m:t>
        </m:r>
        <m:r>
          <w:rPr>
            <w:rFonts w:ascii="Cambria Math" w:hAnsi="Cambria Math"/>
          </w:rPr>
          <m:t>η</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Q</m:t>
                </m:r>
              </m:e>
            </m:d>
          </m:e>
        </m:d>
        <m:r>
          <m:rPr>
            <m:sty m:val="p"/>
          </m:rPr>
          <w:rPr>
            <w:rFonts w:ascii="Cambria Math" w:hAnsi="Cambria Math"/>
          </w:rPr>
          <m:t>+</m:t>
        </m:r>
        <m:r>
          <w:rPr>
            <w:rFonts w:ascii="Cambria Math" w:hAnsi="Cambria Math"/>
          </w:rPr>
          <m:t>β</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total</m:t>
                </m:r>
              </m:sub>
            </m:sSub>
          </m:e>
        </m:d>
        <m:r>
          <m:rPr>
            <m:sty m:val="p"/>
          </m:rPr>
          <w:rPr>
            <w:rFonts w:ascii="Cambria Math" w:hAnsi="Cambria Math"/>
          </w:rPr>
          <m:t>.</m:t>
        </m:r>
      </m:oMath>
      <w:r>
        <w:tab/>
        <w:t>(13)</w:t>
      </w:r>
    </w:p>
    <w:p w14:paraId="3C872BB7" w14:textId="77777777" w:rsidR="00ED1AF7" w:rsidRDefault="00000000">
      <w:pPr>
        <w:pStyle w:val="FirstParagraph"/>
        <w:jc w:val="both"/>
      </w:pPr>
      <w:r>
        <w:t xml:space="preserve">The first term teaches the task, the second discourages undesired drift on selected retention examples, and the third prices the actual mediation cost. The second term is the Learning-without-Forgetting construction [14] applied to output distributions. By Proposition 4 it controls sequence-level divergence from the original model when its expectation is taken over </w:t>
      </w:r>
      <m:oMath>
        <m:sSub>
          <m:sSubPr>
            <m:ctrlPr>
              <w:rPr>
                <w:rFonts w:ascii="Cambria Math" w:hAnsi="Cambria Math"/>
              </w:rPr>
            </m:ctrlPr>
          </m:sSubPr>
          <m:e>
            <m:r>
              <w:rPr>
                <w:rFonts w:ascii="Cambria Math" w:hAnsi="Cambria Math"/>
              </w:rPr>
              <m:t>P</m:t>
            </m:r>
          </m:e>
          <m:sub>
            <m:r>
              <w:rPr>
                <w:rFonts w:ascii="Cambria Math" w:hAnsi="Cambria Math"/>
              </w:rPr>
              <m:t>0</m:t>
            </m:r>
          </m:sub>
        </m:sSub>
      </m:oMath>
      <w:r>
        <w:t>-generated continuations of deployment prompts; taken over dataset continuations alone, it does not. Distillation should not force imitation of a teacher’s known factual errors or superseded evidence. Retention examples and update examples therefore need separate policies. Hard fragment selection can use supervised ranking followed by discrete policy optimization; any relaxed training selector must be evaluated with the hard inference budget.</w:t>
      </w:r>
    </w:p>
    <w:p w14:paraId="28A4E0AD" w14:textId="77777777" w:rsidR="001F608A" w:rsidRDefault="00000000" w:rsidP="003F7917">
      <w:pPr>
        <w:pStyle w:val="BodyText"/>
        <w:jc w:val="both"/>
      </w:pPr>
      <w:r>
        <w:lastRenderedPageBreak/>
        <w:t>Freeze Value initially to isolate adaptation in the access policy. If routing-only adaptation proves insufficient, permit a separate experiment with small Value updates and an explicitly larger state budget. This tests the claimed benefit of separation rather than treating hard freezing as a doctrine. Consolidation may improve the index, deduplicate evidence, and train the controller. Its effects must be measured on retained tasks because routing changes can produce functional forgetting even with an unchanged backbone.</w:t>
      </w:r>
    </w:p>
    <w:p w14:paraId="584C147A" w14:textId="77777777" w:rsidR="001F608A" w:rsidRDefault="00000000" w:rsidP="003F7917">
      <w:pPr>
        <w:pStyle w:val="BodyText"/>
        <w:keepNext/>
        <w:jc w:val="both"/>
      </w:pPr>
      <w:r>
        <w:rPr>
          <w:noProof/>
        </w:rPr>
        <w:drawing>
          <wp:inline distT="0" distB="0" distL="0" distR="0" wp14:anchorId="7964DF39" wp14:editId="2DD47A5B">
            <wp:extent cx="5334000" cy="2667000"/>
            <wp:effectExtent l="0" t="0" r="0" b="0"/>
            <wp:docPr id="30" name="Picture" descr="Functional architecture"/>
            <wp:cNvGraphicFramePr/>
            <a:graphic xmlns:a="http://schemas.openxmlformats.org/drawingml/2006/main">
              <a:graphicData uri="http://schemas.openxmlformats.org/drawingml/2006/picture">
                <pic:pic xmlns:pic="http://schemas.openxmlformats.org/drawingml/2006/picture">
                  <pic:nvPicPr>
                    <pic:cNvPr id="31" name="Picture" descr="architecture.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79BA7F08" w14:textId="77777777" w:rsidR="001F608A" w:rsidRDefault="00000000" w:rsidP="003F7917">
      <w:pPr>
        <w:pStyle w:val="BodyText"/>
        <w:spacing w:after="160" w:line="252" w:lineRule="auto"/>
        <w:jc w:val="both"/>
      </w:pPr>
      <w:r>
        <w:rPr>
          <w:sz w:val="19"/>
        </w:rPr>
        <w:t>Figure 1. A proposed migration architecture. Solid arrows carry candidate evidence or predictions; dashed arrows carry selection policy. The legacy route enables comparison and rollback during migration. This is an engineering diagram, not a literal cortical wiring diagram.</w:t>
      </w:r>
    </w:p>
    <w:p w14:paraId="02A859A2" w14:textId="77777777" w:rsidR="001F608A" w:rsidRDefault="00000000" w:rsidP="003F7917">
      <w:pPr>
        <w:pStyle w:val="Heading1"/>
        <w:jc w:val="both"/>
      </w:pPr>
      <w:bookmarkStart w:id="11" w:name="X23e293c5bd62885ec22f48e84bc7614924f2030"/>
      <w:bookmarkEnd w:id="10"/>
      <w:r>
        <w:t>5 What corticothalamic organization contributes</w:t>
      </w:r>
    </w:p>
    <w:p w14:paraId="0F835BEB" w14:textId="77777777" w:rsidR="001F608A" w:rsidRDefault="00000000" w:rsidP="003F7917">
      <w:pPr>
        <w:pStyle w:val="FirstParagraph"/>
        <w:jc w:val="both"/>
      </w:pPr>
      <w:r>
        <w:t>The biological comparison is useful because it suggests that content transmission and regulation of transmission can be partly differentiated, recurrent, and dependent on timescale. It is not evidence that these operations are exclusive to one layer or that they arose in a particular evolutionary order. We use a limited set of primary studies to constrain the mapping; the discussion is not a systematic review of all thalamic nuclei, species, or developmental stages. The closest classical precedent is the distinction between drivers, which carry the information a relay cell transmits, and modulators, which alter how that information is transmitted [21]. That distinction was drawn on synaptic and physiological criteria in specific thalamic circuits; we borrow its logic, not an assumption that every corticothalamic input falls cleanly into one class.</w:t>
      </w:r>
    </w:p>
    <w:p w14:paraId="3D6A0577" w14:textId="77777777" w:rsidR="001F608A" w:rsidRDefault="00000000" w:rsidP="003F7917">
      <w:pPr>
        <w:pStyle w:val="Heading2"/>
        <w:jc w:val="both"/>
      </w:pPr>
      <w:bookmarkStart w:id="12" w:name="X7c22f5fe9c83a7d9004f41474e74c31ae026ce4"/>
      <w:r>
        <w:t>5.1 Local materialization and the role of layer 4</w:t>
      </w:r>
    </w:p>
    <w:p w14:paraId="27606E77" w14:textId="77777777" w:rsidR="001F608A" w:rsidRDefault="00000000" w:rsidP="003F7917">
      <w:pPr>
        <w:pStyle w:val="FirstParagraph"/>
        <w:jc w:val="both"/>
      </w:pPr>
      <w:r>
        <w:t>Layer 4 provides a useful model for a local transformation of incoming signals, but granularity is not a binary marker of whether a circuit has an interface. Yamawaki and colleagues identified neurons near the L3–L5A boundary of mouse motor cortex with L4-like connectivity, including thalamic input and largely unidirectional excitation of L2/3 [6]. This finding prevents a simple inference from agranular appearance to an incomplete architectural separation.</w:t>
      </w:r>
    </w:p>
    <w:p w14:paraId="397A829A" w14:textId="77777777" w:rsidR="001F608A" w:rsidRDefault="00000000" w:rsidP="003F7917">
      <w:pPr>
        <w:pStyle w:val="BodyText"/>
        <w:jc w:val="both"/>
      </w:pPr>
      <w:r>
        <w:t>Nor is L4 the only legal route into superficial processing. Gambino and colleagues linked higher-order thalamic input to dendritic plateau potentials and sensory-evoked potentiation in L2/3 [7]. The engineering lesson is to make materialization an explicit function without asserting that every biological signal crosses one obligatory boundary. In CVVC, a strict access boundary is a design choice whose benefits and losses can be measured.</w:t>
      </w:r>
    </w:p>
    <w:p w14:paraId="2BF130B4" w14:textId="77777777" w:rsidR="001F608A" w:rsidRDefault="00000000" w:rsidP="003F7917">
      <w:pPr>
        <w:pStyle w:val="Heading2"/>
        <w:jc w:val="both"/>
      </w:pPr>
      <w:bookmarkStart w:id="13" w:name="layer-5-and-publication"/>
      <w:bookmarkEnd w:id="12"/>
      <w:r>
        <w:lastRenderedPageBreak/>
        <w:t>5.2 Layer 5 and publication</w:t>
      </w:r>
    </w:p>
    <w:p w14:paraId="5EE62C4D" w14:textId="77777777" w:rsidR="001F608A" w:rsidRDefault="00000000" w:rsidP="003F7917">
      <w:pPr>
        <w:pStyle w:val="FirstParagraph"/>
        <w:jc w:val="both"/>
      </w:pPr>
      <w:r>
        <w:t>L5B input to the posterior medial thalamic nucleus supplies a tractable example of cortical influence on higher-order thalamus. In anesthetized mice, Mease and colleagues found sparse, state-dependent spike transfer shaped by synaptic depression and cortical activity [8]. The observation supports a dynamically filtered transmission pathway. It does not establish a universal rule that the first spike always transfers, later spikes never transfer, or a burst constitutes an irrevocable decision.</w:t>
      </w:r>
    </w:p>
    <w:p w14:paraId="3F3E67AE" w14:textId="77777777" w:rsidR="001F608A" w:rsidRDefault="00000000" w:rsidP="003F7917">
      <w:pPr>
        <w:pStyle w:val="BodyText"/>
        <w:jc w:val="both"/>
      </w:pPr>
      <w:r>
        <w:t>The term publication is therefore a proposed computational interpretation. A branching axon can distribute a common presynaptic event to several targets, while transmission and interpretation remain target-dependent. In a software system, a commit requires an explicit decision about durable state, ordering, failure handling, and side effects. In this paper no single cortical burst is treated as proof of such a protocol. The distinction also prevents confusing Context as available task state with Context as an already executed action.</w:t>
      </w:r>
    </w:p>
    <w:p w14:paraId="581C52A7" w14:textId="77777777" w:rsidR="001F608A" w:rsidRDefault="00000000" w:rsidP="003F7917">
      <w:pPr>
        <w:pStyle w:val="Heading2"/>
        <w:jc w:val="both"/>
      </w:pPr>
      <w:bookmarkStart w:id="14" w:name="layer-6-and-reticular-regulation"/>
      <w:bookmarkEnd w:id="13"/>
      <w:r>
        <w:t>5.3 Layer 6 and reticular regulation</w:t>
      </w:r>
    </w:p>
    <w:p w14:paraId="519BC5B5" w14:textId="77777777" w:rsidR="001F608A" w:rsidRDefault="00000000" w:rsidP="003F7917">
      <w:pPr>
        <w:pStyle w:val="FirstParagraph"/>
        <w:jc w:val="both"/>
      </w:pPr>
      <w:r>
        <w:t>Crandall and colleagues demonstrated that corticothalamic activity can switch its net influence through the interaction of direct excitation and indirect inhibition involving the thalamic reticular nucleus [9]. This motivates a controller whose effective sign depends on activity and state. It does not motivate a fixed inhibitory gate, nor does it imply that one parameter adequately captures the entire L6 population.</w:t>
      </w:r>
    </w:p>
    <w:p w14:paraId="5FFC7FF4" w14:textId="77777777" w:rsidR="001F608A" w:rsidRDefault="00000000" w:rsidP="003F7917">
      <w:pPr>
        <w:pStyle w:val="BodyText"/>
        <w:jc w:val="both"/>
      </w:pPr>
      <w:r>
        <w:t xml:space="preserve">A minimal engineering analogue uses fast content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a slower control state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a resource state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for history-dependent transmission:</w:t>
      </w:r>
    </w:p>
    <w:p w14:paraId="74C58D41" w14:textId="77777777" w:rsidR="001F608A" w:rsidRDefault="00000000" w:rsidP="003F7917">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αf</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cr m:val="script"/>
            <m:sty m:val="p"/>
          </m:rP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e>
        </m:d>
        <m:r>
          <m:rPr>
            <m:sty m:val="p"/>
          </m:rPr>
          <w:rPr>
            <w:rFonts w:ascii="Cambria Math" w:hAnsi="Cambria Math"/>
          </w:rPr>
          <m:t>.</m:t>
        </m:r>
      </m:oMath>
      <w:r>
        <w:tab/>
        <w:t>(14)</w:t>
      </w:r>
    </w:p>
    <w:p w14:paraId="59C8D9BE" w14:textId="77777777" w:rsidR="001F608A" w:rsidRDefault="00000000" w:rsidP="003F7917">
      <w:pPr>
        <w:pStyle w:val="FirstParagraph"/>
        <w:jc w:val="both"/>
      </w:pPr>
      <w:r>
        <w:t xml:space="preserve">Here </w:t>
      </w:r>
      <m:oMath>
        <m:sSub>
          <m:sSubPr>
            <m:ctrlPr>
              <w:rPr>
                <w:rFonts w:ascii="Cambria Math" w:hAnsi="Cambria Math"/>
              </w:rPr>
            </m:ctrlPr>
          </m:sSubPr>
          <m:e>
            <m:r>
              <w:rPr>
                <w:rFonts w:ascii="Cambria Math" w:hAnsi="Cambria Math"/>
              </w:rPr>
              <m:t>ξ</m:t>
            </m:r>
          </m:e>
          <m:sub>
            <m:r>
              <w:rPr>
                <w:rFonts w:ascii="Cambria Math" w:hAnsi="Cambria Math"/>
              </w:rPr>
              <m:t>t</m:t>
            </m:r>
          </m:sub>
        </m:sSub>
      </m:oMath>
      <w:r>
        <w:t xml:space="preserve"> represents competing demands or contextual inputs. The equation is a proposed abstraction, not a fitted physiological model. It deliberately permits the effect of past control activity to persist after the input ends. Calling the control state an expiring subscription can be useful for software design, provided its decay, renewal, and scope are defined rather than attributed literally to a particular receptor.</w:t>
      </w:r>
    </w:p>
    <w:p w14:paraId="095633DB" w14:textId="77777777" w:rsidR="001F608A" w:rsidRDefault="00000000" w:rsidP="003F7917">
      <w:pPr>
        <w:pStyle w:val="Heading2"/>
        <w:jc w:val="both"/>
      </w:pPr>
      <w:bookmarkStart w:id="15" w:name="Xbc1bb6d9fb574d81a34463992d34db229bdaeb9"/>
      <w:bookmarkEnd w:id="14"/>
      <w:r>
        <w:t>5.4 Thalamic coordination and working representations</w:t>
      </w:r>
    </w:p>
    <w:p w14:paraId="4B100644" w14:textId="77777777" w:rsidR="001F608A" w:rsidRDefault="00000000" w:rsidP="003F7917">
      <w:pPr>
        <w:pStyle w:val="FirstParagraph"/>
        <w:jc w:val="both"/>
      </w:pPr>
      <w:r>
        <w:t>Schmitt and colleagues showed that mediodorsal thalamus can sustain prefrontal rule representations through amplification of functional connectivity rather than simply relaying the categorical rule information [10]. This provides a concrete precedent for distinguishing represented content from a contribution to its effective maintenance. It supports investigating distributed mediation; it does not localize a symbolic fragment buffer or every working-memory operation to thalamus.</w:t>
      </w:r>
    </w:p>
    <w:p w14:paraId="40CD30E6" w14:textId="77777777" w:rsidR="00ED1AF7" w:rsidRDefault="00000000">
      <w:pPr>
        <w:pStyle w:val="BodyText"/>
        <w:jc w:val="both"/>
      </w:pPr>
      <w:r>
        <w:t>A closer precedent for the hypothesis of Section 6 comes from a task in which mice switched between sets of learned cues that directed attention to visual or auditory targets [22]. Mediodorsal activity tracked the statistics of cue presentation and was required for switching between cueing contexts. Some mediodorsal responses sustained context-relevant prefrontal representations while others suppressed irrelevant ones, and the authors’ modeling suggested that this suppression reduces interference and preserves unused cortical traces for later use. This is the biological counterpart of the claim that adapting access can protect representations that are not currently in use. It is evidence from one circuit and one task, and it concerns suppression of competing representations rather than a bounded buffer of selected items.</w:t>
      </w:r>
    </w:p>
    <w:p w14:paraId="1AD9CB5D" w14:textId="77777777" w:rsidR="001F608A" w:rsidRDefault="00000000" w:rsidP="003F7917">
      <w:pPr>
        <w:pStyle w:val="BodyText"/>
        <w:jc w:val="both"/>
      </w:pPr>
      <w:r>
        <w:t xml:space="preserve">A bounded CVVC working set can consequently be viewed as an engineered constraint inspired by selective communication. Its capacity is measured in tokens, fragments, or bytes. Biological working-set capacity must be </w:t>
      </w:r>
      <w:r>
        <w:lastRenderedPageBreak/>
        <w:t>measured behaviorally and physiologically, and cannot be inferred by assigning a fragment to a relay cell or equating reticular inhibition with a literal Remove instruction.</w:t>
      </w:r>
    </w:p>
    <w:p w14:paraId="305B602A" w14:textId="77777777" w:rsidR="001F608A" w:rsidRDefault="00000000" w:rsidP="003F7917">
      <w:pPr>
        <w:pStyle w:val="Heading2"/>
        <w:jc w:val="both"/>
      </w:pPr>
      <w:bookmarkStart w:id="16" w:name="X60ef0366433ff609ba8978e452cd03ac4799d44"/>
      <w:bookmarkEnd w:id="15"/>
      <w:r>
        <w:t>5.5 Action selection is not a binary plan and command split</w:t>
      </w:r>
    </w:p>
    <w:p w14:paraId="3C84F9A2" w14:textId="77777777" w:rsidR="001F608A" w:rsidRDefault="00000000" w:rsidP="003F7917">
      <w:pPr>
        <w:pStyle w:val="FirstParagraph"/>
        <w:jc w:val="both"/>
      </w:pPr>
      <w:r>
        <w:t>Kress and colleagues found functional input from both intratelencephalic and pyramidal-tract cortical populations to both direct- and indirect-pathway striatal projection neurons [11]. This argues against using a strict IT-to-direct and PT-to-indirect separation as the foundation of the architectural mapping. Target-defined cortical classes do not by themselves specify whether a signal means an uncommitted plan or an issued command.</w:t>
      </w:r>
    </w:p>
    <w:p w14:paraId="5469958A" w14:textId="77777777" w:rsidR="001F608A" w:rsidRDefault="00000000" w:rsidP="003F7917">
      <w:pPr>
        <w:pStyle w:val="BodyText"/>
        <w:jc w:val="both"/>
      </w:pPr>
      <w:r>
        <w:t>Basal-ganglia and cerebellar functions should therefore remain outside any claim that the CVVC triple is a complete model of the brain. In an engineering extension, candidate selection, release, prediction of consequences, and calibration can be separate services. Their placement follows the task and measured interactions. The present hypothesis concerns the access–representation relationship and does not require explaining all motor control within three software objects.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348"/>
        <w:gridCol w:w="3522"/>
        <w:gridCol w:w="4256"/>
      </w:tblGrid>
      <w:tr w:rsidR="001F608A" w14:paraId="1F22EC56" w14:textId="77777777" w:rsidTr="001F608A">
        <w:trPr>
          <w:cnfStyle w:val="100000000000" w:firstRow="1" w:lastRow="0" w:firstColumn="0" w:lastColumn="0" w:oddVBand="0" w:evenVBand="0" w:oddHBand="0" w:evenHBand="0" w:firstRowFirstColumn="0" w:firstRowLastColumn="0" w:lastRowFirstColumn="0" w:lastRowLastColumn="0"/>
          <w:cantSplit/>
          <w:tblHeader/>
          <w:jc w:val="center"/>
        </w:trPr>
        <w:tc>
          <w:tcPr>
            <w:tcW w:w="2304" w:type="dxa"/>
            <w:shd w:val="clear" w:color="auto" w:fill="24364B"/>
            <w:tcMar>
              <w:top w:w="90" w:type="dxa"/>
              <w:left w:w="95" w:type="dxa"/>
              <w:bottom w:w="90" w:type="dxa"/>
              <w:right w:w="95" w:type="dxa"/>
            </w:tcMar>
            <w:vAlign w:val="center"/>
          </w:tcPr>
          <w:p w14:paraId="719AB93B" w14:textId="77777777" w:rsidR="001F608A" w:rsidRDefault="00000000" w:rsidP="003F7917">
            <w:pPr>
              <w:pStyle w:val="Compact"/>
              <w:spacing w:before="0" w:after="0" w:line="252" w:lineRule="auto"/>
              <w:jc w:val="both"/>
            </w:pPr>
            <w:r>
              <w:rPr>
                <w:rFonts w:ascii="Arial" w:hAnsi="Arial"/>
                <w:b/>
                <w:color w:val="FFFFFF"/>
                <w:sz w:val="19"/>
              </w:rPr>
              <w:t>Engineering role</w:t>
            </w:r>
          </w:p>
        </w:tc>
        <w:tc>
          <w:tcPr>
            <w:tcW w:w="3456" w:type="dxa"/>
            <w:shd w:val="clear" w:color="auto" w:fill="24364B"/>
            <w:tcMar>
              <w:top w:w="90" w:type="dxa"/>
              <w:left w:w="95" w:type="dxa"/>
              <w:bottom w:w="90" w:type="dxa"/>
              <w:right w:w="95" w:type="dxa"/>
            </w:tcMar>
            <w:vAlign w:val="center"/>
          </w:tcPr>
          <w:p w14:paraId="57C0EE10" w14:textId="77777777" w:rsidR="001F608A" w:rsidRDefault="00000000" w:rsidP="003F7917">
            <w:pPr>
              <w:pStyle w:val="Compact"/>
              <w:spacing w:before="0" w:after="0" w:line="252" w:lineRule="auto"/>
              <w:jc w:val="both"/>
            </w:pPr>
            <w:r>
              <w:rPr>
                <w:rFonts w:ascii="Arial" w:hAnsi="Arial"/>
                <w:b/>
                <w:color w:val="FFFFFF"/>
                <w:sz w:val="19"/>
              </w:rPr>
              <w:t>Biological motivation</w:t>
            </w:r>
          </w:p>
        </w:tc>
        <w:tc>
          <w:tcPr>
            <w:tcW w:w="4176" w:type="dxa"/>
            <w:shd w:val="clear" w:color="auto" w:fill="24364B"/>
            <w:tcMar>
              <w:top w:w="90" w:type="dxa"/>
              <w:left w:w="95" w:type="dxa"/>
              <w:bottom w:w="90" w:type="dxa"/>
              <w:right w:w="95" w:type="dxa"/>
            </w:tcMar>
            <w:vAlign w:val="center"/>
          </w:tcPr>
          <w:p w14:paraId="1F79CFBB" w14:textId="77777777" w:rsidR="001F608A" w:rsidRDefault="00000000" w:rsidP="003F7917">
            <w:pPr>
              <w:pStyle w:val="Compact"/>
              <w:spacing w:before="0" w:after="0" w:line="252" w:lineRule="auto"/>
              <w:jc w:val="both"/>
            </w:pPr>
            <w:r>
              <w:rPr>
                <w:rFonts w:ascii="Arial" w:hAnsi="Arial"/>
                <w:b/>
                <w:color w:val="FFFFFF"/>
                <w:sz w:val="19"/>
              </w:rPr>
              <w:t>Interpretation that is not established</w:t>
            </w:r>
          </w:p>
        </w:tc>
      </w:tr>
      <w:tr w:rsidR="001F608A" w14:paraId="2BF4B80E" w14:textId="77777777" w:rsidTr="001F608A">
        <w:trPr>
          <w:cantSplit/>
          <w:jc w:val="center"/>
        </w:trPr>
        <w:tc>
          <w:tcPr>
            <w:tcW w:w="2304" w:type="dxa"/>
            <w:shd w:val="clear" w:color="auto" w:fill="F1F4F7"/>
            <w:tcMar>
              <w:top w:w="90" w:type="dxa"/>
              <w:left w:w="95" w:type="dxa"/>
              <w:bottom w:w="90" w:type="dxa"/>
              <w:right w:w="95" w:type="dxa"/>
            </w:tcMar>
            <w:vAlign w:val="center"/>
          </w:tcPr>
          <w:p w14:paraId="19D169F3" w14:textId="77777777" w:rsidR="001F608A" w:rsidRDefault="00000000" w:rsidP="003F7917">
            <w:pPr>
              <w:pStyle w:val="Compact"/>
              <w:spacing w:before="0" w:after="0" w:line="252" w:lineRule="auto"/>
              <w:jc w:val="both"/>
            </w:pPr>
            <w:r>
              <w:rPr>
                <w:rFonts w:ascii="Arial" w:hAnsi="Arial"/>
                <w:sz w:val="19"/>
              </w:rPr>
              <w:t>Materialize selected input</w:t>
            </w:r>
          </w:p>
        </w:tc>
        <w:tc>
          <w:tcPr>
            <w:tcW w:w="3456" w:type="dxa"/>
            <w:shd w:val="clear" w:color="auto" w:fill="F1F4F7"/>
            <w:tcMar>
              <w:top w:w="90" w:type="dxa"/>
              <w:left w:w="95" w:type="dxa"/>
              <w:bottom w:w="90" w:type="dxa"/>
              <w:right w:w="95" w:type="dxa"/>
            </w:tcMar>
            <w:vAlign w:val="center"/>
          </w:tcPr>
          <w:p w14:paraId="11DA466D" w14:textId="77777777" w:rsidR="001F608A" w:rsidRDefault="00000000" w:rsidP="003F7917">
            <w:pPr>
              <w:pStyle w:val="Compact"/>
              <w:spacing w:before="0" w:after="0" w:line="252" w:lineRule="auto"/>
              <w:jc w:val="both"/>
            </w:pPr>
            <w:r>
              <w:rPr>
                <w:rFonts w:ascii="Arial" w:hAnsi="Arial"/>
                <w:sz w:val="19"/>
              </w:rPr>
              <w:t>Local input transformations involving L4 and other targets</w:t>
            </w:r>
          </w:p>
        </w:tc>
        <w:tc>
          <w:tcPr>
            <w:tcW w:w="4176" w:type="dxa"/>
            <w:shd w:val="clear" w:color="auto" w:fill="F1F4F7"/>
            <w:tcMar>
              <w:top w:w="90" w:type="dxa"/>
              <w:left w:w="95" w:type="dxa"/>
              <w:bottom w:w="90" w:type="dxa"/>
              <w:right w:w="95" w:type="dxa"/>
            </w:tcMar>
            <w:vAlign w:val="center"/>
          </w:tcPr>
          <w:p w14:paraId="7DCC9172" w14:textId="77777777" w:rsidR="001F608A" w:rsidRDefault="00000000" w:rsidP="003F7917">
            <w:pPr>
              <w:pStyle w:val="Compact"/>
              <w:spacing w:before="0" w:after="0" w:line="252" w:lineRule="auto"/>
              <w:jc w:val="both"/>
            </w:pPr>
            <w:r>
              <w:rPr>
                <w:rFonts w:ascii="Arial" w:hAnsi="Arial"/>
                <w:sz w:val="19"/>
              </w:rPr>
              <w:t>Every cortical object must pass through L4</w:t>
            </w:r>
          </w:p>
        </w:tc>
      </w:tr>
      <w:tr w:rsidR="001F608A" w14:paraId="5036C511" w14:textId="77777777" w:rsidTr="001F608A">
        <w:trPr>
          <w:cantSplit/>
          <w:jc w:val="center"/>
        </w:trPr>
        <w:tc>
          <w:tcPr>
            <w:tcW w:w="2304" w:type="dxa"/>
            <w:shd w:val="clear" w:color="auto" w:fill="FFFFFF"/>
            <w:tcMar>
              <w:top w:w="90" w:type="dxa"/>
              <w:left w:w="95" w:type="dxa"/>
              <w:bottom w:w="90" w:type="dxa"/>
              <w:right w:w="95" w:type="dxa"/>
            </w:tcMar>
            <w:vAlign w:val="center"/>
          </w:tcPr>
          <w:p w14:paraId="6645AB74" w14:textId="77777777" w:rsidR="001F608A" w:rsidRDefault="00000000" w:rsidP="003F7917">
            <w:pPr>
              <w:pStyle w:val="Compact"/>
              <w:spacing w:before="0" w:after="0" w:line="252" w:lineRule="auto"/>
              <w:jc w:val="both"/>
            </w:pPr>
            <w:r>
              <w:rPr>
                <w:rFonts w:ascii="Arial" w:hAnsi="Arial"/>
                <w:sz w:val="19"/>
              </w:rPr>
              <w:t>Maintain learned representations</w:t>
            </w:r>
          </w:p>
        </w:tc>
        <w:tc>
          <w:tcPr>
            <w:tcW w:w="3456" w:type="dxa"/>
            <w:shd w:val="clear" w:color="auto" w:fill="FFFFFF"/>
            <w:tcMar>
              <w:top w:w="90" w:type="dxa"/>
              <w:left w:w="95" w:type="dxa"/>
              <w:bottom w:w="90" w:type="dxa"/>
              <w:right w:w="95" w:type="dxa"/>
            </w:tcMar>
            <w:vAlign w:val="center"/>
          </w:tcPr>
          <w:p w14:paraId="19CF6E17" w14:textId="77777777" w:rsidR="001F608A" w:rsidRDefault="00000000" w:rsidP="003F7917">
            <w:pPr>
              <w:pStyle w:val="Compact"/>
              <w:spacing w:before="0" w:after="0" w:line="252" w:lineRule="auto"/>
              <w:jc w:val="both"/>
            </w:pPr>
            <w:r>
              <w:rPr>
                <w:rFonts w:ascii="Arial" w:hAnsi="Arial"/>
                <w:sz w:val="19"/>
              </w:rPr>
              <w:t>Cortical recurrent processing</w:t>
            </w:r>
          </w:p>
        </w:tc>
        <w:tc>
          <w:tcPr>
            <w:tcW w:w="4176" w:type="dxa"/>
            <w:shd w:val="clear" w:color="auto" w:fill="FFFFFF"/>
            <w:tcMar>
              <w:top w:w="90" w:type="dxa"/>
              <w:left w:w="95" w:type="dxa"/>
              <w:bottom w:w="90" w:type="dxa"/>
              <w:right w:w="95" w:type="dxa"/>
            </w:tcMar>
            <w:vAlign w:val="center"/>
          </w:tcPr>
          <w:p w14:paraId="45BF1FE1" w14:textId="77777777" w:rsidR="001F608A" w:rsidRDefault="00000000" w:rsidP="003F7917">
            <w:pPr>
              <w:pStyle w:val="Compact"/>
              <w:spacing w:before="0" w:after="0" w:line="252" w:lineRule="auto"/>
              <w:jc w:val="both"/>
            </w:pPr>
            <w:r>
              <w:rPr>
                <w:rFonts w:ascii="Arial" w:hAnsi="Arial"/>
                <w:sz w:val="19"/>
              </w:rPr>
              <w:t>L2/3 is frozen or isolated from thalamus</w:t>
            </w:r>
          </w:p>
        </w:tc>
      </w:tr>
      <w:tr w:rsidR="001F608A" w14:paraId="0D114226" w14:textId="77777777" w:rsidTr="001F608A">
        <w:trPr>
          <w:cantSplit/>
          <w:jc w:val="center"/>
        </w:trPr>
        <w:tc>
          <w:tcPr>
            <w:tcW w:w="2304" w:type="dxa"/>
            <w:shd w:val="clear" w:color="auto" w:fill="F1F4F7"/>
            <w:tcMar>
              <w:top w:w="90" w:type="dxa"/>
              <w:left w:w="95" w:type="dxa"/>
              <w:bottom w:w="90" w:type="dxa"/>
              <w:right w:w="95" w:type="dxa"/>
            </w:tcMar>
            <w:vAlign w:val="center"/>
          </w:tcPr>
          <w:p w14:paraId="6032FE35" w14:textId="77777777" w:rsidR="001F608A" w:rsidRDefault="00000000" w:rsidP="003F7917">
            <w:pPr>
              <w:pStyle w:val="Compact"/>
              <w:spacing w:before="0" w:after="0" w:line="252" w:lineRule="auto"/>
              <w:jc w:val="both"/>
            </w:pPr>
            <w:r>
              <w:rPr>
                <w:rFonts w:ascii="Arial" w:hAnsi="Arial"/>
                <w:sz w:val="19"/>
              </w:rPr>
              <w:t>Regulate access and effective coupling</w:t>
            </w:r>
          </w:p>
        </w:tc>
        <w:tc>
          <w:tcPr>
            <w:tcW w:w="3456" w:type="dxa"/>
            <w:shd w:val="clear" w:color="auto" w:fill="F1F4F7"/>
            <w:tcMar>
              <w:top w:w="90" w:type="dxa"/>
              <w:left w:w="95" w:type="dxa"/>
              <w:bottom w:w="90" w:type="dxa"/>
              <w:right w:w="95" w:type="dxa"/>
            </w:tcMar>
            <w:vAlign w:val="center"/>
          </w:tcPr>
          <w:p w14:paraId="1F4F19B6" w14:textId="77777777" w:rsidR="001F608A" w:rsidRDefault="00000000" w:rsidP="003F7917">
            <w:pPr>
              <w:pStyle w:val="Compact"/>
              <w:spacing w:before="0" w:after="0" w:line="252" w:lineRule="auto"/>
              <w:jc w:val="both"/>
            </w:pPr>
            <w:r>
              <w:rPr>
                <w:rFonts w:ascii="Arial" w:hAnsi="Arial"/>
                <w:sz w:val="19"/>
              </w:rPr>
              <w:t>Corticothalamic and reticular interactions</w:t>
            </w:r>
          </w:p>
        </w:tc>
        <w:tc>
          <w:tcPr>
            <w:tcW w:w="4176" w:type="dxa"/>
            <w:shd w:val="clear" w:color="auto" w:fill="F1F4F7"/>
            <w:tcMar>
              <w:top w:w="90" w:type="dxa"/>
              <w:left w:w="95" w:type="dxa"/>
              <w:bottom w:w="90" w:type="dxa"/>
              <w:right w:w="95" w:type="dxa"/>
            </w:tcMar>
            <w:vAlign w:val="center"/>
          </w:tcPr>
          <w:p w14:paraId="389A2885" w14:textId="77777777" w:rsidR="001F608A" w:rsidRDefault="00000000" w:rsidP="003F7917">
            <w:pPr>
              <w:pStyle w:val="Compact"/>
              <w:spacing w:before="0" w:after="0" w:line="252" w:lineRule="auto"/>
              <w:jc w:val="both"/>
            </w:pPr>
            <w:r>
              <w:rPr>
                <w:rFonts w:ascii="Arial" w:hAnsi="Arial"/>
                <w:sz w:val="19"/>
              </w:rPr>
              <w:t>A central thalamic buffer implements literal fragment instructions</w:t>
            </w:r>
          </w:p>
        </w:tc>
      </w:tr>
      <w:tr w:rsidR="001F608A" w14:paraId="4439855A" w14:textId="77777777" w:rsidTr="001F608A">
        <w:trPr>
          <w:cantSplit/>
          <w:jc w:val="center"/>
        </w:trPr>
        <w:tc>
          <w:tcPr>
            <w:tcW w:w="2304" w:type="dxa"/>
            <w:shd w:val="clear" w:color="auto" w:fill="FFFFFF"/>
            <w:tcMar>
              <w:top w:w="90" w:type="dxa"/>
              <w:left w:w="95" w:type="dxa"/>
              <w:bottom w:w="90" w:type="dxa"/>
              <w:right w:w="95" w:type="dxa"/>
            </w:tcMar>
            <w:vAlign w:val="center"/>
          </w:tcPr>
          <w:p w14:paraId="6A235863" w14:textId="77777777" w:rsidR="001F608A" w:rsidRDefault="00000000" w:rsidP="003F7917">
            <w:pPr>
              <w:pStyle w:val="Compact"/>
              <w:spacing w:before="0" w:after="0" w:line="252" w:lineRule="auto"/>
              <w:jc w:val="both"/>
            </w:pPr>
            <w:r>
              <w:rPr>
                <w:rFonts w:ascii="Arial" w:hAnsi="Arial"/>
                <w:sz w:val="19"/>
              </w:rPr>
              <w:t>Distribute a selected signal</w:t>
            </w:r>
          </w:p>
        </w:tc>
        <w:tc>
          <w:tcPr>
            <w:tcW w:w="3456" w:type="dxa"/>
            <w:shd w:val="clear" w:color="auto" w:fill="FFFFFF"/>
            <w:tcMar>
              <w:top w:w="90" w:type="dxa"/>
              <w:left w:w="95" w:type="dxa"/>
              <w:bottom w:w="90" w:type="dxa"/>
              <w:right w:w="95" w:type="dxa"/>
            </w:tcMar>
            <w:vAlign w:val="center"/>
          </w:tcPr>
          <w:p w14:paraId="6902AAB9" w14:textId="77777777" w:rsidR="001F608A" w:rsidRDefault="00000000" w:rsidP="003F7917">
            <w:pPr>
              <w:pStyle w:val="Compact"/>
              <w:spacing w:before="0" w:after="0" w:line="252" w:lineRule="auto"/>
              <w:jc w:val="both"/>
            </w:pPr>
            <w:r>
              <w:rPr>
                <w:rFonts w:ascii="Arial" w:hAnsi="Arial"/>
                <w:sz w:val="19"/>
              </w:rPr>
              <w:t>Some corticofugal and transthalamic projections</w:t>
            </w:r>
          </w:p>
        </w:tc>
        <w:tc>
          <w:tcPr>
            <w:tcW w:w="4176" w:type="dxa"/>
            <w:shd w:val="clear" w:color="auto" w:fill="FFFFFF"/>
            <w:tcMar>
              <w:top w:w="90" w:type="dxa"/>
              <w:left w:w="95" w:type="dxa"/>
              <w:bottom w:w="90" w:type="dxa"/>
              <w:right w:w="95" w:type="dxa"/>
            </w:tcMar>
            <w:vAlign w:val="center"/>
          </w:tcPr>
          <w:p w14:paraId="265C7677" w14:textId="77777777" w:rsidR="001F608A" w:rsidRDefault="00000000" w:rsidP="003F7917">
            <w:pPr>
              <w:pStyle w:val="Compact"/>
              <w:spacing w:before="0" w:after="0" w:line="252" w:lineRule="auto"/>
              <w:jc w:val="both"/>
            </w:pPr>
            <w:r>
              <w:rPr>
                <w:rFonts w:ascii="Arial" w:hAnsi="Arial"/>
                <w:sz w:val="19"/>
              </w:rPr>
              <w:t>Every L5 burst is a globally consistent commit</w:t>
            </w:r>
          </w:p>
        </w:tc>
      </w:tr>
      <w:tr w:rsidR="001F608A" w14:paraId="2BA1D121" w14:textId="77777777" w:rsidTr="001F608A">
        <w:trPr>
          <w:cantSplit/>
          <w:jc w:val="center"/>
        </w:trPr>
        <w:tc>
          <w:tcPr>
            <w:tcW w:w="2304" w:type="dxa"/>
            <w:shd w:val="clear" w:color="auto" w:fill="F1F4F7"/>
            <w:tcMar>
              <w:top w:w="90" w:type="dxa"/>
              <w:left w:w="95" w:type="dxa"/>
              <w:bottom w:w="90" w:type="dxa"/>
              <w:right w:w="95" w:type="dxa"/>
            </w:tcMar>
            <w:vAlign w:val="center"/>
          </w:tcPr>
          <w:p w14:paraId="6DBDAA87" w14:textId="77777777" w:rsidR="001F608A" w:rsidRDefault="00000000" w:rsidP="003F7917">
            <w:pPr>
              <w:pStyle w:val="Compact"/>
              <w:spacing w:before="0" w:after="0" w:line="252" w:lineRule="auto"/>
              <w:jc w:val="both"/>
            </w:pPr>
            <w:r>
              <w:rPr>
                <w:rFonts w:ascii="Arial" w:hAnsi="Arial"/>
                <w:sz w:val="19"/>
              </w:rPr>
              <w:t>Preserve continuing competence</w:t>
            </w:r>
          </w:p>
        </w:tc>
        <w:tc>
          <w:tcPr>
            <w:tcW w:w="3456" w:type="dxa"/>
            <w:shd w:val="clear" w:color="auto" w:fill="F1F4F7"/>
            <w:tcMar>
              <w:top w:w="90" w:type="dxa"/>
              <w:left w:w="95" w:type="dxa"/>
              <w:bottom w:w="90" w:type="dxa"/>
              <w:right w:w="95" w:type="dxa"/>
            </w:tcMar>
            <w:vAlign w:val="center"/>
          </w:tcPr>
          <w:p w14:paraId="2043FF45" w14:textId="77777777" w:rsidR="001F608A" w:rsidRDefault="00000000" w:rsidP="003F7917">
            <w:pPr>
              <w:pStyle w:val="Compact"/>
              <w:spacing w:before="0" w:after="0" w:line="252" w:lineRule="auto"/>
              <w:jc w:val="both"/>
            </w:pPr>
            <w:r>
              <w:rPr>
                <w:rFonts w:ascii="Arial" w:hAnsi="Arial"/>
                <w:sz w:val="19"/>
              </w:rPr>
              <w:t>Functional continuity during reorganization</w:t>
            </w:r>
          </w:p>
        </w:tc>
        <w:tc>
          <w:tcPr>
            <w:tcW w:w="4176" w:type="dxa"/>
            <w:shd w:val="clear" w:color="auto" w:fill="F1F4F7"/>
            <w:tcMar>
              <w:top w:w="90" w:type="dxa"/>
              <w:left w:w="95" w:type="dxa"/>
              <w:bottom w:w="90" w:type="dxa"/>
              <w:right w:w="95" w:type="dxa"/>
            </w:tcMar>
            <w:vAlign w:val="center"/>
          </w:tcPr>
          <w:p w14:paraId="6BA4C837" w14:textId="77777777" w:rsidR="001F608A" w:rsidRDefault="00000000" w:rsidP="003F7917">
            <w:pPr>
              <w:pStyle w:val="Compact"/>
              <w:spacing w:before="0" w:after="0" w:line="252" w:lineRule="auto"/>
              <w:jc w:val="both"/>
            </w:pPr>
            <w:r>
              <w:rPr>
                <w:rFonts w:ascii="Arial" w:hAnsi="Arial"/>
                <w:sz w:val="19"/>
              </w:rPr>
              <w:t>Evolution preserves ancestral behavior or unchanged subcortical modules</w:t>
            </w:r>
          </w:p>
        </w:tc>
      </w:tr>
    </w:tbl>
    <w:p w14:paraId="79E0AF3C" w14:textId="77777777" w:rsidR="001F608A" w:rsidRDefault="00000000" w:rsidP="003F7917">
      <w:pPr>
        <w:pStyle w:val="BodyText"/>
        <w:spacing w:after="160" w:line="252" w:lineRule="auto"/>
        <w:jc w:val="both"/>
      </w:pPr>
      <w:r>
        <w:rPr>
          <w:sz w:val="19"/>
        </w:rPr>
        <w:t>Table 2. The mapping is between operations, with explicit limits on anatomical and historical inference.</w:t>
      </w:r>
    </w:p>
    <w:p w14:paraId="3BAF7F3E" w14:textId="77777777" w:rsidR="001F608A" w:rsidRDefault="00000000" w:rsidP="003F7917">
      <w:pPr>
        <w:pStyle w:val="Heading1"/>
        <w:jc w:val="both"/>
      </w:pPr>
      <w:bookmarkStart w:id="17" w:name="Xb0166b31c61cae344ad64a00daaa69188e06d7e"/>
      <w:bookmarkEnd w:id="11"/>
      <w:bookmarkEnd w:id="16"/>
      <w:r>
        <w:t>6 A hypothesis about selective adaptability</w:t>
      </w:r>
    </w:p>
    <w:p w14:paraId="56B13D79" w14:textId="77777777" w:rsidR="001F608A" w:rsidRDefault="00000000" w:rsidP="003F7917">
      <w:pPr>
        <w:pStyle w:val="FirstParagraph"/>
        <w:jc w:val="both"/>
      </w:pPr>
      <w:r>
        <w:t>The central computational hypothesis is stated in a form that can fail: under sequential changes in task demands that reuse existing representations, a model with a separately adaptable mediator will show less retained-task degradation than an equally resourced model with undifferentiated adaptation, at matched new-task performance. The hypothesis concerns a specified regime. If new tasks require genuinely new representations, routing alone may be insufficient.</w:t>
      </w:r>
    </w:p>
    <w:p w14:paraId="68901D87" w14:textId="77777777" w:rsidR="001F608A" w:rsidRDefault="00000000" w:rsidP="003F7917">
      <w:pPr>
        <w:pStyle w:val="BodyText"/>
        <w:jc w:val="both"/>
      </w:pPr>
      <w:r>
        <w:t xml:space="preserve">Let </w:t>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before</m:t>
            </m:r>
          </m:sup>
        </m:sSubSup>
      </m:oMath>
      <w:r>
        <w:t xml:space="preserve"> and </w:t>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after</m:t>
            </m:r>
          </m:sup>
        </m:sSubSup>
      </m:oMath>
      <w:r>
        <w:t xml:space="preserve"> be accuracy on retained task </w:t>
      </w:r>
      <m:oMath>
        <m:r>
          <w:rPr>
            <w:rFonts w:ascii="Cambria Math" w:hAnsi="Cambria Math"/>
          </w:rPr>
          <m:t>i</m:t>
        </m:r>
      </m:oMath>
      <w:r>
        <w:t>, measured before and after adaptation. Define forgetting as</w:t>
      </w:r>
    </w:p>
    <w:p w14:paraId="7BC9A453" w14:textId="77777777" w:rsidR="001F608A" w:rsidRDefault="00000000" w:rsidP="003F7917">
      <w:pPr>
        <w:pStyle w:val="BodyText"/>
        <w:keepLines/>
        <w:tabs>
          <w:tab w:val="center" w:pos="4968"/>
          <w:tab w:val="right" w:pos="9936"/>
        </w:tabs>
        <w:spacing w:before="80" w:after="160"/>
        <w:jc w:val="both"/>
      </w:pPr>
      <w:r>
        <w:tab/>
      </w: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before</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after</m:t>
                    </m:r>
                  </m:sup>
                </m:sSubSup>
              </m:e>
            </m:d>
          </m:e>
        </m:nary>
        <m:r>
          <m:rPr>
            <m:sty m:val="p"/>
          </m:rPr>
          <w:rPr>
            <w:rFonts w:ascii="Cambria Math" w:hAnsi="Cambria Math"/>
          </w:rPr>
          <m:t>.</m:t>
        </m:r>
      </m:oMath>
      <w:r>
        <w:tab/>
        <w:t>(15)</w:t>
      </w:r>
    </w:p>
    <w:p w14:paraId="01B1EDA8" w14:textId="77777777" w:rsidR="00ED1AF7" w:rsidRDefault="00000000">
      <w:pPr>
        <w:pStyle w:val="FirstParagraph"/>
        <w:jc w:val="both"/>
      </w:pPr>
      <w:r>
        <w:t xml:space="preserve">Negative values indicate improvement. When </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before</m:t>
            </m:r>
          </m:sup>
        </m:sSubSup>
      </m:oMath>
      <w:r>
        <w:t xml:space="preserve"> is measured immediately after task </w:t>
      </w:r>
      <m:oMath>
        <m:r>
          <w:rPr>
            <w:rFonts w:ascii="Cambria Math" w:hAnsi="Cambria Math"/>
          </w:rPr>
          <m:t>i</m:t>
        </m:r>
      </m:oMath>
      <w:r>
        <w:t xml:space="preserve"> was learned, </w:t>
      </w:r>
      <m:oMath>
        <m:r>
          <w:rPr>
            <w:rFonts w:ascii="Cambria Math" w:hAnsi="Cambria Math"/>
          </w:rPr>
          <m:t>F</m:t>
        </m:r>
      </m:oMath>
      <w:r>
        <w:t xml:space="preserve"> is the negative of the backward-transfer statistic of Gradient Episodic Memory [16]. Compare </w:t>
      </w:r>
      <m:oMath>
        <m:r>
          <w:rPr>
            <w:rFonts w:ascii="Cambria Math" w:hAnsi="Cambria Math"/>
          </w:rPr>
          <m:t>F</m:t>
        </m:r>
      </m:oMath>
      <w:r>
        <w:t xml:space="preserve"> at a matched level of new-task accuracy and alongside total cost. Because exact matching is rarely achievable, report the comparison as a frontier: forgetting against new-task accuracy and total cost across a sweep of each method’s adaptation strength. The hypothesis is supported where the adaptive-mediator frontier lies below the others over the matched range, not by a single operating point chosen after the fact. A model that changes nothing and learns </w:t>
      </w:r>
      <w:r>
        <w:lastRenderedPageBreak/>
        <w:t>nothing may have low forgetting but does not satisfy the hypothesis. A larger mediator may win through added capacity, which requires a matched-capacity control.</w:t>
      </w:r>
    </w:p>
    <w:p w14:paraId="21F6EFEB" w14:textId="77777777" w:rsidR="001F608A" w:rsidRDefault="00000000" w:rsidP="003F7917">
      <w:pPr>
        <w:pStyle w:val="BodyText"/>
        <w:jc w:val="both"/>
      </w:pPr>
      <w:r>
        <w:t>The corresponding biological prediction is a partial interaction between perturbation target and task demand. A perturbation affecting coordination should disproportionately impair switching or context-dependent selection, relative to a stable discrimination using similar inputs and outputs. A perturbation affecting the relevant represented distinction should disproportionately impair that discrimination. The effects need not be exclusive, because routing and representation operate in recurrent networks.</w:t>
      </w:r>
    </w:p>
    <w:p w14:paraId="195ED275" w14:textId="77777777" w:rsidR="001F608A" w:rsidRDefault="00000000" w:rsidP="003F7917">
      <w:pPr>
        <w:pStyle w:val="BodyText"/>
        <w:jc w:val="both"/>
      </w:pPr>
      <w:r>
        <w:t>One proposed difference-in-differences statistic is</w:t>
      </w:r>
    </w:p>
    <w:p w14:paraId="65BC92F1" w14:textId="77777777" w:rsidR="001F608A" w:rsidRDefault="00000000" w:rsidP="003F7917">
      <w:pPr>
        <w:pStyle w:val="BodyText"/>
        <w:keepLines/>
        <w:tabs>
          <w:tab w:val="center" w:pos="4968"/>
          <w:tab w:val="right" w:pos="9936"/>
        </w:tabs>
        <w:spacing w:before="80" w:after="160"/>
        <w:jc w:val="both"/>
      </w:pPr>
      <w:r>
        <w:tab/>
      </w:r>
      <m:oMath>
        <m:r>
          <w:rPr>
            <w:rFonts w:ascii="Cambria Math" w:hAnsi="Cambria Math"/>
          </w:rPr>
          <m:t>Δ</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R</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r>
                  <m:rPr>
                    <m:sty m:val="p"/>
                  </m:rPr>
                  <w:rPr>
                    <w:rFonts w:ascii="Cambria Math" w:hAnsi="Cambria Math"/>
                  </w:rPr>
                  <m:t>,</m:t>
                </m:r>
                <m:r>
                  <w:rPr>
                    <w:rFonts w:ascii="Cambria Math" w:hAnsi="Cambria Math"/>
                  </w:rPr>
                  <m:t>D</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D</m:t>
                </m:r>
              </m:sub>
            </m:sSub>
          </m:e>
        </m:d>
        <m:r>
          <m:rPr>
            <m:sty m:val="p"/>
          </m:rPr>
          <w:rPr>
            <w:rFonts w:ascii="Cambria Math" w:hAnsi="Cambria Math"/>
          </w:rPr>
          <m:t>,</m:t>
        </m:r>
      </m:oMath>
      <w:r>
        <w:tab/>
        <w:t>(16)</w:t>
      </w:r>
    </w:p>
    <w:p w14:paraId="0E5E097C" w14:textId="77777777" w:rsidR="001F608A" w:rsidRDefault="00000000" w:rsidP="003F7917">
      <w:pPr>
        <w:pStyle w:val="FirstParagraph"/>
        <w:jc w:val="both"/>
      </w:pPr>
      <w:r>
        <w:t xml:space="preserve">where </w:t>
      </w:r>
      <m:oMath>
        <m:r>
          <w:rPr>
            <w:rFonts w:ascii="Cambria Math" w:hAnsi="Cambria Math"/>
          </w:rPr>
          <m:t>e</m:t>
        </m:r>
      </m:oMath>
      <w:r>
        <w:t xml:space="preserve"> denotes error increase relative to each task’s unperturbed baseline, </w:t>
      </w:r>
      <m:oMath>
        <m:r>
          <w:rPr>
            <w:rFonts w:ascii="Cambria Math" w:hAnsi="Cambria Math"/>
          </w:rPr>
          <m:t>R</m:t>
        </m:r>
      </m:oMath>
      <w:r>
        <w:t xml:space="preserve"> and </w:t>
      </w:r>
      <m:oMath>
        <m:r>
          <w:rPr>
            <w:rFonts w:ascii="Cambria Math" w:hAnsi="Cambria Math"/>
          </w:rPr>
          <m:t>E</m:t>
        </m:r>
      </m:oMath>
      <w:r>
        <w:t xml:space="preserve"> denote independently defined coordination and representation interventions, and </w:t>
      </w:r>
      <m:oMath>
        <m:r>
          <w:rPr>
            <w:rFonts w:ascii="Cambria Math" w:hAnsi="Cambria Math"/>
          </w:rPr>
          <m:t>S</m:t>
        </m:r>
      </m:oMath>
      <w:r>
        <w:t xml:space="preserve"> and </w:t>
      </w:r>
      <m:oMath>
        <m:r>
          <w:rPr>
            <w:rFonts w:ascii="Cambria Math" w:hAnsi="Cambria Math"/>
          </w:rPr>
          <m:t>D</m:t>
        </m:r>
      </m:oMath>
      <w:r>
        <w:t xml:space="preserve"> denote switching and stable discrimination. The hypothesis predicts </w:t>
      </w:r>
      <m:oMath>
        <m:r>
          <w:rPr>
            <w:rFonts w:ascii="Cambria Math" w:hAnsi="Cambria Math"/>
          </w:rPr>
          <m:t>Δ</m:t>
        </m:r>
        <m:r>
          <m:rPr>
            <m:sty m:val="p"/>
          </m:rPr>
          <w:rPr>
            <w:rFonts w:ascii="Cambria Math" w:hAnsi="Cambria Math"/>
          </w:rPr>
          <m:t>&gt;</m:t>
        </m:r>
        <m:r>
          <w:rPr>
            <w:rFonts w:ascii="Cambria Math" w:hAnsi="Cambria Math"/>
          </w:rPr>
          <m:t>0</m:t>
        </m:r>
      </m:oMath>
      <w:r>
        <w:t xml:space="preserve"> under matched intervention severity. The labels must be fixed before seeing the behavioral results; otherwise any dissociation could be redescribed as support.</w:t>
      </w:r>
    </w:p>
    <w:p w14:paraId="489E9D08" w14:textId="77777777" w:rsidR="00ED1AF7" w:rsidRDefault="00000000">
      <w:pPr>
        <w:pStyle w:val="BodyText"/>
        <w:jc w:val="both"/>
      </w:pPr>
      <w:r>
        <w:t xml:space="preserve">The statistic </w:t>
      </w:r>
      <m:oMath>
        <m:r>
          <w:rPr>
            <w:rFonts w:ascii="Cambria Math" w:hAnsi="Cambria Math"/>
          </w:rPr>
          <m:t>Δ</m:t>
        </m:r>
      </m:oMath>
      <w:r>
        <w:t xml:space="preserve"> has a weakness that matched severity does not remove. Error increases on two different tasks are measured on scales the experimenter chooses, such as proportion correct, </w:t>
      </w:r>
      <m:oMath>
        <m:r>
          <w:rPr>
            <w:rFonts w:ascii="Cambria Math" w:hAnsi="Cambria Math"/>
          </w:rPr>
          <m:t>d</m:t>
        </m:r>
        <m:r>
          <m:rPr>
            <m:sty m:val="p"/>
          </m:rPr>
          <w:rPr>
            <w:rFonts w:ascii="Cambria Math" w:hAnsi="Cambria Math"/>
          </w:rPr>
          <m:t>'</m:t>
        </m:r>
      </m:oMath>
      <w:r>
        <w:t>, or log-odds, and an interaction whose sign depends on that choice is called removable [24].</w:t>
      </w:r>
    </w:p>
    <w:p w14:paraId="07FB2496" w14:textId="77777777" w:rsidR="00ED1AF7" w:rsidRDefault="00000000">
      <w:pPr>
        <w:pStyle w:val="BodyText"/>
        <w:jc w:val="both"/>
      </w:pPr>
      <w:r>
        <w:rPr>
          <w:b/>
          <w:bCs/>
        </w:rPr>
        <w:t>Proposition 5 — Which dissociations are scale-free.</w:t>
      </w:r>
      <w:r>
        <w:t xml:space="preserve"> Let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oMath>
      <w:r>
        <w:t xml:space="preserve"> denote performance under intervention </w:t>
      </w:r>
      <m:oMath>
        <m:r>
          <w:rPr>
            <w:rFonts w:ascii="Cambria Math" w:hAnsi="Cambria Math"/>
          </w:rPr>
          <m:t>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on task </w:t>
      </w: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and measure error increases on any strictly increasing task-specific scales </w:t>
      </w:r>
      <m:oMath>
        <m:sSub>
          <m:sSubPr>
            <m:ctrlPr>
              <w:rPr>
                <w:rFonts w:ascii="Cambria Math" w:hAnsi="Cambria Math"/>
              </w:rPr>
            </m:ctrlPr>
          </m:sSubPr>
          <m:e>
            <m:r>
              <w:rPr>
                <w:rFonts w:ascii="Cambria Math" w:hAnsi="Cambria Math"/>
              </w:rPr>
              <m:t>φ</m:t>
            </m:r>
          </m:e>
          <m:sub>
            <m:r>
              <w:rPr>
                <w:rFonts w:ascii="Cambria Math" w:hAnsi="Cambria Math"/>
              </w:rPr>
              <m:t>T</m:t>
            </m:r>
          </m:sub>
        </m:sSub>
      </m:oMath>
      <w:r>
        <w:t xml:space="preserve">, so that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0</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e>
        </m:d>
      </m:oMath>
      <w:r>
        <w:t xml:space="preserve">. (a) If the interventions are ranked oppositely in the two tasks, with </w:t>
      </w:r>
      <m:oMath>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S</m:t>
            </m:r>
          </m:sub>
        </m:sSub>
        <m:r>
          <m:rPr>
            <m:sty m:val="p"/>
          </m:rPr>
          <w:rPr>
            <w:rFonts w:ascii="Cambria Math" w:hAnsi="Cambria Math"/>
          </w:rPr>
          <m:t>&lt;</m:t>
        </m:r>
        <m:sSub>
          <m:sSubPr>
            <m:ctrlPr>
              <w:rPr>
                <w:rFonts w:ascii="Cambria Math" w:hAnsi="Cambria Math"/>
              </w:rPr>
            </m:ctrlPr>
          </m:sSubPr>
          <m:e>
            <m:r>
              <w:rPr>
                <w:rFonts w:ascii="Cambria Math" w:hAnsi="Cambria Math"/>
              </w:rPr>
              <m:t>y</m:t>
            </m:r>
          </m:e>
          <m:sub>
            <m:r>
              <w:rPr>
                <w:rFonts w:ascii="Cambria Math" w:hAnsi="Cambria Math"/>
              </w:rPr>
              <m:t>E</m:t>
            </m:r>
            <m:r>
              <m:rPr>
                <m:sty m:val="p"/>
              </m:rPr>
              <w:rPr>
                <w:rFonts w:ascii="Cambria Math" w:hAnsi="Cambria Math"/>
              </w:rPr>
              <m:t>,</m:t>
            </m:r>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D</m:t>
            </m:r>
          </m:sub>
        </m:sSub>
        <m:r>
          <m:rPr>
            <m:sty m:val="p"/>
          </m:rP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E</m:t>
            </m:r>
            <m:r>
              <m:rPr>
                <m:sty m:val="p"/>
              </m:rPr>
              <w:rPr>
                <w:rFonts w:ascii="Cambria Math" w:hAnsi="Cambria Math"/>
              </w:rPr>
              <m:t>,</m:t>
            </m:r>
            <m:r>
              <w:rPr>
                <w:rFonts w:ascii="Cambria Math" w:hAnsi="Cambria Math"/>
              </w:rPr>
              <m:t>D</m:t>
            </m:r>
          </m:sub>
        </m:sSub>
      </m:oMath>
      <w:r>
        <w:t xml:space="preserve">, then </w:t>
      </w:r>
      <m:oMath>
        <m:r>
          <w:rPr>
            <w:rFonts w:ascii="Cambria Math" w:hAnsi="Cambria Math"/>
          </w:rPr>
          <m:t>Δ</m:t>
        </m:r>
        <m:r>
          <m:rPr>
            <m:sty m:val="p"/>
          </m:rPr>
          <w:rPr>
            <w:rFonts w:ascii="Cambria Math" w:hAnsi="Cambria Math"/>
          </w:rPr>
          <m:t>&gt;</m:t>
        </m:r>
        <m:r>
          <w:rPr>
            <w:rFonts w:ascii="Cambria Math" w:hAnsi="Cambria Math"/>
          </w:rPr>
          <m:t>0</m:t>
        </m:r>
      </m:oMath>
      <w:r>
        <w:t xml:space="preserve"> on every such pair of scales. (b) If the ranking is the same in both tasks, with strict inequalities, there are scales on which </w:t>
      </w:r>
      <m:oMath>
        <m:r>
          <w:rPr>
            <w:rFonts w:ascii="Cambria Math" w:hAnsi="Cambria Math"/>
          </w:rPr>
          <m:t>Δ</m:t>
        </m:r>
        <m:r>
          <m:rPr>
            <m:sty m:val="p"/>
          </m:rPr>
          <w:rPr>
            <w:rFonts w:ascii="Cambria Math" w:hAnsi="Cambria Math"/>
          </w:rPr>
          <m:t>&gt;</m:t>
        </m:r>
        <m:r>
          <w:rPr>
            <w:rFonts w:ascii="Cambria Math" w:hAnsi="Cambria Math"/>
          </w:rPr>
          <m:t>0</m:t>
        </m:r>
      </m:oMath>
      <w:r>
        <w:t xml:space="preserve"> and others on which </w:t>
      </w:r>
      <m:oMath>
        <m:r>
          <w:rPr>
            <w:rFonts w:ascii="Cambria Math" w:hAnsi="Cambria Math"/>
          </w:rPr>
          <m:t>Δ</m:t>
        </m:r>
        <m:r>
          <m:rPr>
            <m:sty m:val="p"/>
          </m:rPr>
          <w:rPr>
            <w:rFonts w:ascii="Cambria Math" w:hAnsi="Cambria Math"/>
          </w:rPr>
          <m:t>&lt;</m:t>
        </m:r>
        <m:r>
          <w:rPr>
            <w:rFonts w:ascii="Cambria Math" w:hAnsi="Cambria Math"/>
          </w:rPr>
          <m:t>0</m:t>
        </m:r>
      </m:oMath>
      <w:r>
        <w:t xml:space="preserve">. (c) If both interventions act through one shared latent quantity,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oMath>
      <w:r>
        <w:t xml:space="preserve"> with every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strictly increasing, the ranking is necessarily the same in both tasks.</w:t>
      </w:r>
    </w:p>
    <w:p w14:paraId="48B73874" w14:textId="77777777" w:rsidR="00ED1AF7" w:rsidRDefault="00000000">
      <w:pPr>
        <w:pStyle w:val="BodyText"/>
        <w:jc w:val="both"/>
      </w:pPr>
      <w:r>
        <w:t xml:space="preserve">Proof. Write </w:t>
      </w: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with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E</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T</m:t>
                </m:r>
              </m:sub>
            </m:sSub>
          </m:e>
        </m:d>
      </m:oMath>
      <w:r>
        <w:t xml:space="preserve">. The sign of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is the within-task ranking and does not depend on </w:t>
      </w:r>
      <m:oMath>
        <m:sSub>
          <m:sSubPr>
            <m:ctrlPr>
              <w:rPr>
                <w:rFonts w:ascii="Cambria Math" w:hAnsi="Cambria Math"/>
              </w:rPr>
            </m:ctrlPr>
          </m:sSubPr>
          <m:e>
            <m:r>
              <w:rPr>
                <w:rFonts w:ascii="Cambria Math" w:hAnsi="Cambria Math"/>
              </w:rPr>
              <m:t>φ</m:t>
            </m:r>
          </m:e>
          <m:sub>
            <m:r>
              <w:rPr>
                <w:rFonts w:ascii="Cambria Math" w:hAnsi="Cambria Math"/>
              </w:rPr>
              <m:t>T</m:t>
            </m:r>
          </m:sub>
        </m:sSub>
      </m:oMath>
      <w:r>
        <w:t xml:space="preserve">. Under (a),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&gt;</m:t>
        </m:r>
        <m:r>
          <w:rPr>
            <w:rFonts w:ascii="Cambria Math" w:hAnsi="Cambria Math"/>
          </w:rPr>
          <m:t>0</m:t>
        </m:r>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Under (b),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share a sign, and multiplying </w:t>
      </w:r>
      <m:oMath>
        <m:sSub>
          <m:sSubPr>
            <m:ctrlPr>
              <w:rPr>
                <w:rFonts w:ascii="Cambria Math" w:hAnsi="Cambria Math"/>
              </w:rPr>
            </m:ctrlPr>
          </m:sSubPr>
          <m:e>
            <m:r>
              <w:rPr>
                <w:rFonts w:ascii="Cambria Math" w:hAnsi="Cambria Math"/>
              </w:rPr>
              <m:t>φ</m:t>
            </m:r>
          </m:e>
          <m:sub>
            <m:r>
              <w:rPr>
                <w:rFonts w:ascii="Cambria Math" w:hAnsi="Cambria Math"/>
              </w:rPr>
              <m:t>S</m:t>
            </m:r>
          </m:sub>
        </m:sSub>
      </m:oMath>
      <w:r>
        <w:t xml:space="preserve"> by a positive constant changes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e>
        </m:d>
      </m:oMath>
      <w:r>
        <w:t xml:space="preserve"> arbitrarily while leaving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fixed. Under (c), </w:t>
      </w:r>
      <m:oMath>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y</m:t>
            </m:r>
          </m:e>
          <m:sub>
            <m:r>
              <w:rPr>
                <w:rFonts w:ascii="Cambria Math" w:hAnsi="Cambria Math"/>
              </w:rPr>
              <m:t>E</m:t>
            </m:r>
            <m:r>
              <m:rPr>
                <m:sty m:val="p"/>
              </m:rPr>
              <w:rPr>
                <w:rFonts w:ascii="Cambria Math" w:hAnsi="Cambria Math"/>
              </w:rPr>
              <m:t>,</m:t>
            </m:r>
            <m:r>
              <w:rPr>
                <w:rFonts w:ascii="Cambria Math" w:hAnsi="Cambria Math"/>
              </w:rPr>
              <m:t>T</m:t>
            </m:r>
          </m:sub>
        </m:sSub>
      </m:oMath>
      <w:r>
        <w:t xml:space="preserve"> holds exactly when </w:t>
      </w:r>
      <m:oMath>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E</m:t>
            </m:r>
          </m:sub>
        </m:sSub>
      </m:oMath>
      <w:r>
        <w:t>, for both tasks.</w:t>
      </w:r>
    </w:p>
    <w:p w14:paraId="37FD8931" w14:textId="77777777" w:rsidR="00ED1AF7" w:rsidRDefault="00000000">
      <w:pPr>
        <w:pStyle w:val="BodyText"/>
        <w:jc w:val="both"/>
      </w:pPr>
      <w:r>
        <w:t xml:space="preserve">Part (c) is the reversed-association logic of state-trace analysis [23]. It gives the claim about nonspecific suppression a precise form: no account in which both interventions merely reduce one common resource, such as arousal, gain, or a global level of suppression, can produce the crossover in (a), whatever the intervention doses. We therefore make the crossover the primary preregistered prediction. The coordination intervention should impair switching more than the representation intervention does, and the representation intervention should impair stable discrimination more than the coordination intervention does. This does not require exclusive effects, since each intervention may impair both tasks. A positive </w:t>
      </w:r>
      <m:oMath>
        <m:r>
          <w:rPr>
            <w:rFonts w:ascii="Cambria Math" w:hAnsi="Cambria Math"/>
          </w:rPr>
          <m:t>Δ</m:t>
        </m:r>
      </m:oMath>
      <w:r>
        <w:t xml:space="preserve"> without crossover remains reportable on a scale fixed in advance with independently calibrated severity, but it cannot by itself exclude a single-factor account. A crossover is still not sufficient for the specific mediation hypothesis. It rejects one-dimensional explanations, and the remaining alternatives must be addressed by the controls of Section 8.</w:t>
      </w:r>
    </w:p>
    <w:p w14:paraId="1484E87B" w14:textId="77777777" w:rsidR="001F608A" w:rsidRDefault="00000000" w:rsidP="003F7917">
      <w:pPr>
        <w:pStyle w:val="BodyText"/>
        <w:jc w:val="both"/>
      </w:pPr>
      <w:r>
        <w:t>This does not identify the evolutionary origin of the circuits. An architectural dissociation in a living animal is evidence about present function. Establishing evolutionary reorganization requires comparative developmental and connectivity evidence in addition to the perturbation result.</w:t>
      </w:r>
    </w:p>
    <w:p w14:paraId="49D77BB1" w14:textId="77777777" w:rsidR="001F608A" w:rsidRDefault="00000000" w:rsidP="003F7917">
      <w:pPr>
        <w:pStyle w:val="Heading1"/>
        <w:jc w:val="both"/>
      </w:pPr>
      <w:bookmarkStart w:id="18" w:name="computational-experiment"/>
      <w:bookmarkEnd w:id="17"/>
      <w:r>
        <w:lastRenderedPageBreak/>
        <w:t>7 Computational experiment</w:t>
      </w:r>
    </w:p>
    <w:p w14:paraId="6AB11A4D" w14:textId="77777777" w:rsidR="001F608A" w:rsidRDefault="00000000" w:rsidP="003F7917">
      <w:pPr>
        <w:pStyle w:val="FirstParagraph"/>
        <w:jc w:val="both"/>
      </w:pPr>
      <w:r>
        <w:t>Use a trained autoregressive model of manageable size and a versioned document collection. Construct tasks in which the correct answer depends on selecting a rule, revision, or relation, while the underlying vocabulary and component facts remain familiar. Interleave retained tasks with new routing demands. Include a second family requiring new concepts so that the limitations of access-only adaptation are visible.</w:t>
      </w:r>
    </w:p>
    <w:p w14:paraId="274AF67B" w14:textId="77777777" w:rsidR="001F608A" w:rsidRDefault="00000000" w:rsidP="003F7917">
      <w:pPr>
        <w:pStyle w:val="BodyText"/>
        <w:jc w:val="both"/>
      </w:pPr>
      <w:r>
        <w:t>The primary comparison includes five systems: the original model with full-context input; conventional retrieval with a fixed assembly policy; a frozen backbone with a generic trainable adapter; CVVC with a fixed mediator; and CVVC with an adaptive mediator. Add a small-backbone-update CVVC variant to test whether hard freezing is necessary. Match trainable parameter counts where meaningful, and also match training exposure, retrieval corpus, inference budget, and available supervision. Parameter matching alone is not a complete resource control.</w:t>
      </w:r>
    </w:p>
    <w:p w14:paraId="01DEA5DA" w14:textId="77777777" w:rsidR="00ED1AF7" w:rsidRDefault="00000000">
      <w:pPr>
        <w:pStyle w:val="BodyText"/>
        <w:jc w:val="both"/>
      </w:pPr>
      <w:r>
        <w:t xml:space="preserve">The migration test first measures each mediated model independently, then sweeps </w:t>
      </w:r>
      <m:oMath>
        <m:r>
          <w:rPr>
            <w:rFonts w:ascii="Cambria Math" w:hAnsi="Cambria Math"/>
          </w:rPr>
          <m:t>λ</m:t>
        </m:r>
      </m:oMath>
      <w:r>
        <w:t xml:space="preserve"> in equation (5). Evaluate both teacher-forced prefixes and freely generated continuations. Separate mistakes in source selection, version eligibility, assembly, and reasoning. The probability gate should recover the original output distribution at zero by construction; any discrepancy there is an implementation defect, not an empirical failure of the hypothesis. The same holds for any violation of the branch-independent allowance (9) at any </w:t>
      </w:r>
      <m:oMath>
        <m:r>
          <w:rPr>
            <w:rFonts w:ascii="Cambria Math" w:hAnsi="Cambria Math"/>
          </w:rPr>
          <m:t>λ</m:t>
        </m:r>
      </m:oMath>
      <w:r>
        <w:t>. Compare the measured sequence divergence from the original model with the on-policy bound (12), estimating its terms from continuations the original model generates on held-out deployment prompts.</w:t>
      </w:r>
    </w:p>
    <w:p w14:paraId="558D5584" w14:textId="77777777" w:rsidR="001F608A" w:rsidRDefault="00000000" w:rsidP="003F7917">
      <w:pPr>
        <w:pStyle w:val="BodyText"/>
        <w:jc w:val="both"/>
      </w:pPr>
      <w:r>
        <w:t>The sequential test alternates the relevance of familiar documents while preserving the documents themselves, then introduces revised facts and new task rules. Record retention after each update and after a delayed return to an earlier task. An important adversarial condition places a highly repeated obsolete rule beside one valid signed revision. The mediator must respect eligibility rather than equating repetition with authority.</w:t>
      </w:r>
    </w:p>
    <w:p w14:paraId="2A168113" w14:textId="77777777" w:rsidR="00ED1AF7" w:rsidRDefault="00000000">
      <w:pPr>
        <w:pStyle w:val="BodyText"/>
        <w:jc w:val="both"/>
      </w:pPr>
      <w:r>
        <w:t xml:space="preserve">The information-loss test deliberately removes a decisive distinction from the working set. Identical bound inputs with different required labels should expose the impossibility in Proposition 1. A second version preserves that distinction but shuffles irrelevant details. This separates failure caused by missing information from failure to use information that was available. Because the merged states are constructed by design, the Bayes error (4) of each working-set policy is known exactly, so observed error can be compared with the lowest error the representation permits. Error well above </w:t>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d>
          <m:dPr>
            <m:ctrlPr>
              <w:rPr>
                <w:rFonts w:ascii="Cambria Math" w:hAnsi="Cambria Math"/>
              </w:rPr>
            </m:ctrlPr>
          </m:dPr>
          <m:e>
            <m:r>
              <w:rPr>
                <w:rFonts w:ascii="Cambria Math" w:hAnsi="Cambria Math"/>
              </w:rPr>
              <m:t>b</m:t>
            </m:r>
          </m:e>
        </m:d>
      </m:oMath>
      <w:r>
        <w:t xml:space="preserve"> indicates failure to use available information; error near a positive </w:t>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d>
          <m:dPr>
            <m:ctrlPr>
              <w:rPr>
                <w:rFonts w:ascii="Cambria Math" w:hAnsi="Cambria Math"/>
              </w:rPr>
            </m:ctrlPr>
          </m:dPr>
          <m:e>
            <m:r>
              <w:rPr>
                <w:rFonts w:ascii="Cambria Math" w:hAnsi="Cambria Math"/>
              </w:rPr>
              <m:t>b</m:t>
            </m:r>
          </m:e>
        </m:d>
      </m:oMath>
      <w:r>
        <w:t xml:space="preserve"> indicates that the mediator discarded it. A sequential variant drops a distinction from the working set while keeping it in the archive and queries it later, testing the reopening condition of Corollary 2.</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21"/>
        <w:gridCol w:w="3816"/>
        <w:gridCol w:w="3889"/>
      </w:tblGrid>
      <w:tr w:rsidR="001F608A" w14:paraId="2E459831" w14:textId="77777777" w:rsidTr="001F608A">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24364B"/>
            <w:tcMar>
              <w:top w:w="90" w:type="dxa"/>
              <w:left w:w="95" w:type="dxa"/>
              <w:bottom w:w="90" w:type="dxa"/>
              <w:right w:w="95" w:type="dxa"/>
            </w:tcMar>
            <w:vAlign w:val="center"/>
          </w:tcPr>
          <w:p w14:paraId="3C627165" w14:textId="77777777" w:rsidR="001F608A" w:rsidRDefault="00000000" w:rsidP="003F7917">
            <w:pPr>
              <w:pStyle w:val="Compact"/>
              <w:spacing w:before="0" w:after="0" w:line="252" w:lineRule="auto"/>
              <w:jc w:val="both"/>
            </w:pPr>
            <w:r>
              <w:rPr>
                <w:rFonts w:ascii="Arial" w:hAnsi="Arial"/>
                <w:b/>
                <w:color w:val="FFFFFF"/>
                <w:sz w:val="19"/>
              </w:rPr>
              <w:t>Question</w:t>
            </w:r>
          </w:p>
        </w:tc>
        <w:tc>
          <w:tcPr>
            <w:tcW w:w="3744" w:type="dxa"/>
            <w:shd w:val="clear" w:color="auto" w:fill="24364B"/>
            <w:tcMar>
              <w:top w:w="90" w:type="dxa"/>
              <w:left w:w="95" w:type="dxa"/>
              <w:bottom w:w="90" w:type="dxa"/>
              <w:right w:w="95" w:type="dxa"/>
            </w:tcMar>
            <w:vAlign w:val="center"/>
          </w:tcPr>
          <w:p w14:paraId="27A51213" w14:textId="77777777" w:rsidR="001F608A" w:rsidRDefault="00000000" w:rsidP="003F7917">
            <w:pPr>
              <w:pStyle w:val="Compact"/>
              <w:spacing w:before="0" w:after="0" w:line="252" w:lineRule="auto"/>
              <w:jc w:val="both"/>
            </w:pPr>
            <w:r>
              <w:rPr>
                <w:rFonts w:ascii="Arial" w:hAnsi="Arial"/>
                <w:b/>
                <w:color w:val="FFFFFF"/>
                <w:sz w:val="19"/>
              </w:rPr>
              <w:t>Primary comparison</w:t>
            </w:r>
          </w:p>
        </w:tc>
        <w:tc>
          <w:tcPr>
            <w:tcW w:w="3816" w:type="dxa"/>
            <w:shd w:val="clear" w:color="auto" w:fill="24364B"/>
            <w:tcMar>
              <w:top w:w="90" w:type="dxa"/>
              <w:left w:w="95" w:type="dxa"/>
              <w:bottom w:w="90" w:type="dxa"/>
              <w:right w:w="95" w:type="dxa"/>
            </w:tcMar>
            <w:vAlign w:val="center"/>
          </w:tcPr>
          <w:p w14:paraId="02B32957" w14:textId="77777777" w:rsidR="001F608A" w:rsidRDefault="00000000" w:rsidP="003F7917">
            <w:pPr>
              <w:pStyle w:val="Compact"/>
              <w:spacing w:before="0" w:after="0" w:line="252" w:lineRule="auto"/>
              <w:jc w:val="both"/>
            </w:pPr>
            <w:r>
              <w:rPr>
                <w:rFonts w:ascii="Arial" w:hAnsi="Arial"/>
                <w:b/>
                <w:color w:val="FFFFFF"/>
                <w:sz w:val="19"/>
              </w:rPr>
              <w:t>Result that rejects the claim</w:t>
            </w:r>
          </w:p>
        </w:tc>
      </w:tr>
      <w:tr w:rsidR="001F608A" w14:paraId="04060493" w14:textId="77777777" w:rsidTr="001F608A">
        <w:trPr>
          <w:cantSplit/>
          <w:jc w:val="center"/>
        </w:trPr>
        <w:tc>
          <w:tcPr>
            <w:tcW w:w="2376" w:type="dxa"/>
            <w:shd w:val="clear" w:color="auto" w:fill="F1F4F7"/>
            <w:tcMar>
              <w:top w:w="90" w:type="dxa"/>
              <w:left w:w="95" w:type="dxa"/>
              <w:bottom w:w="90" w:type="dxa"/>
              <w:right w:w="95" w:type="dxa"/>
            </w:tcMar>
            <w:vAlign w:val="center"/>
          </w:tcPr>
          <w:p w14:paraId="3EEC6260" w14:textId="77777777" w:rsidR="001F608A" w:rsidRDefault="00000000" w:rsidP="003F7917">
            <w:pPr>
              <w:pStyle w:val="Compact"/>
              <w:spacing w:before="0" w:after="0" w:line="252" w:lineRule="auto"/>
              <w:jc w:val="both"/>
            </w:pPr>
            <w:r>
              <w:rPr>
                <w:rFonts w:ascii="Arial" w:hAnsi="Arial"/>
                <w:sz w:val="19"/>
              </w:rPr>
              <w:t>Does mediation reduce interference</w:t>
            </w:r>
          </w:p>
        </w:tc>
        <w:tc>
          <w:tcPr>
            <w:tcW w:w="3744" w:type="dxa"/>
            <w:shd w:val="clear" w:color="auto" w:fill="F1F4F7"/>
            <w:tcMar>
              <w:top w:w="90" w:type="dxa"/>
              <w:left w:w="95" w:type="dxa"/>
              <w:bottom w:w="90" w:type="dxa"/>
              <w:right w:w="95" w:type="dxa"/>
            </w:tcMar>
            <w:vAlign w:val="center"/>
          </w:tcPr>
          <w:p w14:paraId="0D86CDCD" w14:textId="77777777" w:rsidR="001F608A" w:rsidRDefault="00000000" w:rsidP="003F7917">
            <w:pPr>
              <w:pStyle w:val="Compact"/>
              <w:spacing w:before="0" w:after="0" w:line="252" w:lineRule="auto"/>
              <w:jc w:val="both"/>
            </w:pPr>
            <w:r>
              <w:rPr>
                <w:rFonts w:ascii="Arial" w:hAnsi="Arial"/>
                <w:sz w:val="19"/>
              </w:rPr>
              <w:t>Adaptive CVVC versus matched generic adapter</w:t>
            </w:r>
          </w:p>
        </w:tc>
        <w:tc>
          <w:tcPr>
            <w:tcW w:w="3816" w:type="dxa"/>
            <w:shd w:val="clear" w:color="auto" w:fill="F1F4F7"/>
            <w:tcMar>
              <w:top w:w="90" w:type="dxa"/>
              <w:left w:w="95" w:type="dxa"/>
              <w:bottom w:w="90" w:type="dxa"/>
              <w:right w:w="95" w:type="dxa"/>
            </w:tcMar>
            <w:vAlign w:val="center"/>
          </w:tcPr>
          <w:p w14:paraId="0791EB8C" w14:textId="77777777" w:rsidR="001F608A" w:rsidRDefault="00000000" w:rsidP="003F7917">
            <w:pPr>
              <w:pStyle w:val="Compact"/>
              <w:spacing w:before="0" w:after="0" w:line="252" w:lineRule="auto"/>
              <w:jc w:val="both"/>
            </w:pPr>
            <w:r>
              <w:rPr>
                <w:rFonts w:ascii="Arial" w:hAnsi="Arial"/>
                <w:sz w:val="19"/>
              </w:rPr>
              <w:t>Equal or worse retention at matched new-task quality and cost</w:t>
            </w:r>
          </w:p>
        </w:tc>
      </w:tr>
      <w:tr w:rsidR="001F608A" w14:paraId="36E05DBD" w14:textId="77777777" w:rsidTr="001F608A">
        <w:trPr>
          <w:cantSplit/>
          <w:jc w:val="center"/>
        </w:trPr>
        <w:tc>
          <w:tcPr>
            <w:tcW w:w="2376" w:type="dxa"/>
            <w:shd w:val="clear" w:color="auto" w:fill="FFFFFF"/>
            <w:tcMar>
              <w:top w:w="90" w:type="dxa"/>
              <w:left w:w="95" w:type="dxa"/>
              <w:bottom w:w="90" w:type="dxa"/>
              <w:right w:w="95" w:type="dxa"/>
            </w:tcMar>
            <w:vAlign w:val="center"/>
          </w:tcPr>
          <w:p w14:paraId="75EA1D0B" w14:textId="77777777" w:rsidR="001F608A" w:rsidRDefault="00000000" w:rsidP="003F7917">
            <w:pPr>
              <w:pStyle w:val="Compact"/>
              <w:spacing w:before="0" w:after="0" w:line="252" w:lineRule="auto"/>
              <w:jc w:val="both"/>
            </w:pPr>
            <w:r>
              <w:rPr>
                <w:rFonts w:ascii="Arial" w:hAnsi="Arial"/>
                <w:sz w:val="19"/>
              </w:rPr>
              <w:t>Is the access policy responsible</w:t>
            </w:r>
          </w:p>
        </w:tc>
        <w:tc>
          <w:tcPr>
            <w:tcW w:w="3744" w:type="dxa"/>
            <w:shd w:val="clear" w:color="auto" w:fill="FFFFFF"/>
            <w:tcMar>
              <w:top w:w="90" w:type="dxa"/>
              <w:left w:w="95" w:type="dxa"/>
              <w:bottom w:w="90" w:type="dxa"/>
              <w:right w:w="95" w:type="dxa"/>
            </w:tcMar>
            <w:vAlign w:val="center"/>
          </w:tcPr>
          <w:p w14:paraId="31691E31" w14:textId="77777777" w:rsidR="001F608A" w:rsidRDefault="00000000" w:rsidP="003F7917">
            <w:pPr>
              <w:pStyle w:val="Compact"/>
              <w:spacing w:before="0" w:after="0" w:line="252" w:lineRule="auto"/>
              <w:jc w:val="both"/>
            </w:pPr>
            <w:r>
              <w:rPr>
                <w:rFonts w:ascii="Arial" w:hAnsi="Arial"/>
                <w:sz w:val="19"/>
              </w:rPr>
              <w:t>Adaptive versus fixed mediator</w:t>
            </w:r>
          </w:p>
        </w:tc>
        <w:tc>
          <w:tcPr>
            <w:tcW w:w="3816" w:type="dxa"/>
            <w:shd w:val="clear" w:color="auto" w:fill="FFFFFF"/>
            <w:tcMar>
              <w:top w:w="90" w:type="dxa"/>
              <w:left w:w="95" w:type="dxa"/>
              <w:bottom w:w="90" w:type="dxa"/>
              <w:right w:w="95" w:type="dxa"/>
            </w:tcMar>
            <w:vAlign w:val="center"/>
          </w:tcPr>
          <w:p w14:paraId="28B8068F" w14:textId="77777777" w:rsidR="001F608A" w:rsidRDefault="00000000" w:rsidP="003F7917">
            <w:pPr>
              <w:pStyle w:val="Compact"/>
              <w:spacing w:before="0" w:after="0" w:line="252" w:lineRule="auto"/>
              <w:jc w:val="both"/>
            </w:pPr>
            <w:r>
              <w:rPr>
                <w:rFonts w:ascii="Arial" w:hAnsi="Arial"/>
                <w:sz w:val="19"/>
              </w:rPr>
              <w:t>No reliable advantage from adaptation</w:t>
            </w:r>
          </w:p>
        </w:tc>
      </w:tr>
      <w:tr w:rsidR="001F608A" w14:paraId="7B8AB129" w14:textId="77777777" w:rsidTr="001F608A">
        <w:trPr>
          <w:cantSplit/>
          <w:jc w:val="center"/>
        </w:trPr>
        <w:tc>
          <w:tcPr>
            <w:tcW w:w="2376" w:type="dxa"/>
            <w:shd w:val="clear" w:color="auto" w:fill="F1F4F7"/>
            <w:tcMar>
              <w:top w:w="90" w:type="dxa"/>
              <w:left w:w="95" w:type="dxa"/>
              <w:bottom w:w="90" w:type="dxa"/>
              <w:right w:w="95" w:type="dxa"/>
            </w:tcMar>
            <w:vAlign w:val="center"/>
          </w:tcPr>
          <w:p w14:paraId="5878E191" w14:textId="77777777" w:rsidR="001F608A" w:rsidRDefault="00000000" w:rsidP="003F7917">
            <w:pPr>
              <w:pStyle w:val="Compact"/>
              <w:spacing w:before="0" w:after="0" w:line="252" w:lineRule="auto"/>
              <w:jc w:val="both"/>
            </w:pPr>
            <w:r>
              <w:rPr>
                <w:rFonts w:ascii="Arial" w:hAnsi="Arial"/>
                <w:sz w:val="19"/>
              </w:rPr>
              <w:t>Does freezing preserve usable competence</w:t>
            </w:r>
          </w:p>
        </w:tc>
        <w:tc>
          <w:tcPr>
            <w:tcW w:w="3744" w:type="dxa"/>
            <w:shd w:val="clear" w:color="auto" w:fill="F1F4F7"/>
            <w:tcMar>
              <w:top w:w="90" w:type="dxa"/>
              <w:left w:w="95" w:type="dxa"/>
              <w:bottom w:w="90" w:type="dxa"/>
              <w:right w:w="95" w:type="dxa"/>
            </w:tcMar>
            <w:vAlign w:val="center"/>
          </w:tcPr>
          <w:p w14:paraId="30726393" w14:textId="77777777" w:rsidR="001F608A" w:rsidRDefault="00000000" w:rsidP="003F7917">
            <w:pPr>
              <w:pStyle w:val="Compact"/>
              <w:spacing w:before="0" w:after="0" w:line="252" w:lineRule="auto"/>
              <w:jc w:val="both"/>
            </w:pPr>
            <w:r>
              <w:rPr>
                <w:rFonts w:ascii="Arial" w:hAnsi="Arial"/>
                <w:sz w:val="19"/>
              </w:rPr>
              <w:t>Frozen Value with changed routing versus original model</w:t>
            </w:r>
          </w:p>
        </w:tc>
        <w:tc>
          <w:tcPr>
            <w:tcW w:w="3816" w:type="dxa"/>
            <w:shd w:val="clear" w:color="auto" w:fill="F1F4F7"/>
            <w:tcMar>
              <w:top w:w="90" w:type="dxa"/>
              <w:left w:w="95" w:type="dxa"/>
              <w:bottom w:w="90" w:type="dxa"/>
              <w:right w:w="95" w:type="dxa"/>
            </w:tcMar>
            <w:vAlign w:val="center"/>
          </w:tcPr>
          <w:p w14:paraId="2F62C775" w14:textId="77777777" w:rsidR="001F608A" w:rsidRDefault="00000000" w:rsidP="003F7917">
            <w:pPr>
              <w:pStyle w:val="Compact"/>
              <w:spacing w:before="0" w:after="0" w:line="252" w:lineRule="auto"/>
              <w:jc w:val="both"/>
            </w:pPr>
            <w:r>
              <w:rPr>
                <w:rFonts w:ascii="Arial" w:hAnsi="Arial"/>
                <w:sz w:val="19"/>
              </w:rPr>
              <w:t>Large task loss despite unchanged backbone weights</w:t>
            </w:r>
          </w:p>
        </w:tc>
      </w:tr>
      <w:tr w:rsidR="001F608A" w14:paraId="1F9B8D41" w14:textId="77777777" w:rsidTr="001F608A">
        <w:trPr>
          <w:cantSplit/>
          <w:jc w:val="center"/>
        </w:trPr>
        <w:tc>
          <w:tcPr>
            <w:tcW w:w="2376" w:type="dxa"/>
            <w:shd w:val="clear" w:color="auto" w:fill="FFFFFF"/>
            <w:tcMar>
              <w:top w:w="90" w:type="dxa"/>
              <w:left w:w="95" w:type="dxa"/>
              <w:bottom w:w="90" w:type="dxa"/>
              <w:right w:w="95" w:type="dxa"/>
            </w:tcMar>
            <w:vAlign w:val="center"/>
          </w:tcPr>
          <w:p w14:paraId="12BB740C" w14:textId="77777777" w:rsidR="001F608A" w:rsidRDefault="00000000" w:rsidP="003F7917">
            <w:pPr>
              <w:pStyle w:val="Compact"/>
              <w:spacing w:before="0" w:after="0" w:line="252" w:lineRule="auto"/>
              <w:jc w:val="both"/>
            </w:pPr>
            <w:r>
              <w:rPr>
                <w:rFonts w:ascii="Arial" w:hAnsi="Arial"/>
                <w:sz w:val="19"/>
              </w:rPr>
              <w:t>Can migration remove the old path</w:t>
            </w:r>
          </w:p>
        </w:tc>
        <w:tc>
          <w:tcPr>
            <w:tcW w:w="3744" w:type="dxa"/>
            <w:shd w:val="clear" w:color="auto" w:fill="FFFFFF"/>
            <w:tcMar>
              <w:top w:w="90" w:type="dxa"/>
              <w:left w:w="95" w:type="dxa"/>
              <w:bottom w:w="90" w:type="dxa"/>
              <w:right w:w="95" w:type="dxa"/>
            </w:tcMar>
            <w:vAlign w:val="center"/>
          </w:tcPr>
          <w:p w14:paraId="3C5FB778" w14:textId="77777777" w:rsidR="001F608A" w:rsidRDefault="00000000" w:rsidP="003F7917">
            <w:pPr>
              <w:pStyle w:val="Compact"/>
              <w:spacing w:before="0" w:after="0" w:line="252" w:lineRule="auto"/>
              <w:jc w:val="both"/>
            </w:pPr>
            <w:r>
              <w:rPr>
                <w:rFonts w:ascii="Arial" w:hAnsi="Arial"/>
                <w:sz w:val="19"/>
              </w:rPr>
              <w:t>Final mediated route versus gated coexistence</w:t>
            </w:r>
          </w:p>
        </w:tc>
        <w:tc>
          <w:tcPr>
            <w:tcW w:w="3816" w:type="dxa"/>
            <w:shd w:val="clear" w:color="auto" w:fill="FFFFFF"/>
            <w:tcMar>
              <w:top w:w="90" w:type="dxa"/>
              <w:left w:w="95" w:type="dxa"/>
              <w:bottom w:w="90" w:type="dxa"/>
              <w:right w:w="95" w:type="dxa"/>
            </w:tcMar>
            <w:vAlign w:val="center"/>
          </w:tcPr>
          <w:p w14:paraId="3F0E3888" w14:textId="77777777" w:rsidR="001F608A" w:rsidRDefault="00000000" w:rsidP="003F7917">
            <w:pPr>
              <w:pStyle w:val="Compact"/>
              <w:spacing w:before="0" w:after="0" w:line="252" w:lineRule="auto"/>
              <w:jc w:val="both"/>
            </w:pPr>
            <w:r>
              <w:rPr>
                <w:rFonts w:ascii="Arial" w:hAnsi="Arial"/>
                <w:sz w:val="19"/>
              </w:rPr>
              <w:t>Required fallback remains frequent or dominates cost</w:t>
            </w:r>
          </w:p>
        </w:tc>
      </w:tr>
      <w:tr w:rsidR="001F608A" w14:paraId="63B2909C" w14:textId="77777777" w:rsidTr="001F608A">
        <w:trPr>
          <w:cantSplit/>
          <w:jc w:val="center"/>
        </w:trPr>
        <w:tc>
          <w:tcPr>
            <w:tcW w:w="2376" w:type="dxa"/>
            <w:shd w:val="clear" w:color="auto" w:fill="F1F4F7"/>
            <w:tcMar>
              <w:top w:w="90" w:type="dxa"/>
              <w:left w:w="95" w:type="dxa"/>
              <w:bottom w:w="90" w:type="dxa"/>
              <w:right w:w="95" w:type="dxa"/>
            </w:tcMar>
            <w:vAlign w:val="center"/>
          </w:tcPr>
          <w:p w14:paraId="2D86B3E8" w14:textId="77777777" w:rsidR="001F608A" w:rsidRDefault="00000000" w:rsidP="003F7917">
            <w:pPr>
              <w:pStyle w:val="Compact"/>
              <w:spacing w:before="0" w:after="0" w:line="252" w:lineRule="auto"/>
              <w:jc w:val="both"/>
            </w:pPr>
            <w:r>
              <w:rPr>
                <w:rFonts w:ascii="Arial" w:hAnsi="Arial"/>
                <w:sz w:val="19"/>
              </w:rPr>
              <w:t>Does bounded reading remain sufficient</w:t>
            </w:r>
          </w:p>
        </w:tc>
        <w:tc>
          <w:tcPr>
            <w:tcW w:w="3744" w:type="dxa"/>
            <w:shd w:val="clear" w:color="auto" w:fill="F1F4F7"/>
            <w:tcMar>
              <w:top w:w="90" w:type="dxa"/>
              <w:left w:w="95" w:type="dxa"/>
              <w:bottom w:w="90" w:type="dxa"/>
              <w:right w:w="95" w:type="dxa"/>
            </w:tcMar>
            <w:vAlign w:val="center"/>
          </w:tcPr>
          <w:p w14:paraId="23B09516" w14:textId="77777777" w:rsidR="001F608A" w:rsidRDefault="00000000" w:rsidP="003F7917">
            <w:pPr>
              <w:pStyle w:val="Compact"/>
              <w:spacing w:before="0" w:after="0" w:line="252" w:lineRule="auto"/>
              <w:jc w:val="both"/>
            </w:pPr>
            <w:r>
              <w:rPr>
                <w:rFonts w:ascii="Arial" w:hAnsi="Arial"/>
                <w:sz w:val="19"/>
              </w:rPr>
              <w:t>Evidence budget sweep</w:t>
            </w:r>
          </w:p>
        </w:tc>
        <w:tc>
          <w:tcPr>
            <w:tcW w:w="3816" w:type="dxa"/>
            <w:shd w:val="clear" w:color="auto" w:fill="F1F4F7"/>
            <w:tcMar>
              <w:top w:w="90" w:type="dxa"/>
              <w:left w:w="95" w:type="dxa"/>
              <w:bottom w:w="90" w:type="dxa"/>
              <w:right w:w="95" w:type="dxa"/>
            </w:tcMar>
            <w:vAlign w:val="center"/>
          </w:tcPr>
          <w:p w14:paraId="4854439C" w14:textId="77777777" w:rsidR="001F608A" w:rsidRDefault="00000000" w:rsidP="003F7917">
            <w:pPr>
              <w:pStyle w:val="Compact"/>
              <w:spacing w:before="0" w:after="0" w:line="252" w:lineRule="auto"/>
              <w:jc w:val="both"/>
            </w:pPr>
            <w:r>
              <w:rPr>
                <w:rFonts w:ascii="Arial" w:hAnsi="Arial"/>
                <w:sz w:val="19"/>
              </w:rPr>
              <w:t>Reliable answers require nearly full-context access</w:t>
            </w:r>
          </w:p>
        </w:tc>
      </w:tr>
    </w:tbl>
    <w:p w14:paraId="5462A1D0" w14:textId="77777777" w:rsidR="001F608A" w:rsidRDefault="00000000" w:rsidP="003F7917">
      <w:pPr>
        <w:pStyle w:val="BodyText"/>
        <w:spacing w:after="160" w:line="252" w:lineRule="auto"/>
        <w:jc w:val="both"/>
      </w:pPr>
      <w:r>
        <w:rPr>
          <w:sz w:val="19"/>
        </w:rPr>
        <w:t>Table 3. Proposed falsification criteria. These are experiment specifications, not reported outcomes.</w:t>
      </w:r>
    </w:p>
    <w:p w14:paraId="66E68D0A" w14:textId="77777777" w:rsidR="001F608A" w:rsidRDefault="00000000" w:rsidP="003F7917">
      <w:pPr>
        <w:pStyle w:val="BodyText"/>
        <w:jc w:val="both"/>
      </w:pPr>
      <w:r>
        <w:lastRenderedPageBreak/>
        <w:t>Report task accuracy, supported-answer accuracy, calibration, forgetting, latency, peak accelerator memory, host and archive storage, tokens processed, and retraining cost. Count shadow runs, teacher queries, candidate evaluations, validation, and fragment recomputation. Plot retention and adaptation against total cost. A bounded Value read does not imply bounded total work if Context scans the entire archive or deliberation repeats indefinitely.</w:t>
      </w:r>
    </w:p>
    <w:p w14:paraId="35BDA8BA" w14:textId="77777777" w:rsidR="001F608A" w:rsidRDefault="00000000" w:rsidP="003F7917">
      <w:pPr>
        <w:pStyle w:val="BodyText"/>
        <w:jc w:val="both"/>
      </w:pPr>
      <w:r>
        <w:t>Use at least five independent training seeds as an initial design, then justify sample size from pilot variance and a predeclared meaningful effect. Report paired uncertainty intervals across seeds and task families. Tune budgets and thresholds on validation tasks; reserve unseen task combinations and topic transitions for final testing. A routing system that performs well only on its own training partition has not demonstrated general separation of control and competence.</w:t>
      </w:r>
    </w:p>
    <w:p w14:paraId="47FEB738" w14:textId="77777777" w:rsidR="001F608A" w:rsidRDefault="00000000" w:rsidP="003F7917">
      <w:pPr>
        <w:pStyle w:val="Heading1"/>
        <w:jc w:val="both"/>
      </w:pPr>
      <w:bookmarkStart w:id="19" w:name="biological-and-evolutionary-tests"/>
      <w:bookmarkEnd w:id="18"/>
      <w:r>
        <w:t>8 Biological and evolutionary tests</w:t>
      </w:r>
    </w:p>
    <w:p w14:paraId="11C7BC68" w14:textId="77777777" w:rsidR="001F608A" w:rsidRDefault="00000000" w:rsidP="003F7917">
      <w:pPr>
        <w:pStyle w:val="FirstParagraph"/>
        <w:jc w:val="both"/>
      </w:pPr>
      <w:r>
        <w:t>A physiological study should select a circuit with established projections and an experimentally tractable task, rather than beginning from the assumption that all cortex shares one canonical implementation. Compare stable sensory discrimination with switching between rules based on the same sensory alternatives. Measure movement, arousal, sensory drive, and baseline difficulty so that a general reduction in responsiveness is not mistaken for selective disruption of mediation.</w:t>
      </w:r>
    </w:p>
    <w:p w14:paraId="3693AC30" w14:textId="77777777" w:rsidR="001F608A" w:rsidRDefault="00000000" w:rsidP="003F7917">
      <w:pPr>
        <w:pStyle w:val="BodyText"/>
        <w:jc w:val="both"/>
      </w:pPr>
      <w:r>
        <w:t>Interventions can target a defined corticothalamic population, a thalamic projection, or a cortical representation, with timing restricted to cue, delay, or response periods. Readouts should include both task performance and population information. A decrease in switching accompanied by preserved stimulus discriminability is more informative than a decrease in accuracy alone. Conversely, preserved decoding by an external classifier does not prove that downstream circuits can still access the representation.</w:t>
      </w:r>
    </w:p>
    <w:p w14:paraId="5A416F13" w14:textId="77777777" w:rsidR="001F608A" w:rsidRDefault="00000000" w:rsidP="003F7917">
      <w:pPr>
        <w:pStyle w:val="BodyText"/>
        <w:jc w:val="both"/>
      </w:pPr>
      <w:r>
        <w:t>The predicted interaction is weakened or rejected if performance changes are fully explained by sensory loss, motor impairment, global state, or intervention magnitude. A lack of clean dissociation does not establish that no control–representation distinction exists, but it rejects the proposed operationalization in that circuit and task. Claims should remain at that scope rather than being rescued by assigning the mediator to an untested region. A ranking that is the same in both tasks, however large Δ is on the chosen scale, is consistent with a single-factor account by Proposition 5(c) and should be reported as such.</w:t>
      </w:r>
    </w:p>
    <w:p w14:paraId="1B4F0A3D" w14:textId="77777777" w:rsidR="001F608A" w:rsidRDefault="00000000" w:rsidP="003F7917">
      <w:pPr>
        <w:pStyle w:val="BodyText"/>
        <w:jc w:val="both"/>
      </w:pPr>
      <w:r>
        <w:t>The evolutionary component requires a separate design. Compare homologous or explicitly hypothesized corresponding populations across species using developmental origin, molecular identity, connectivity, and physiological function. Test whether changes in recurrent coordination and access control accompany the relevant behavioral flexibility after accounting for brain size, ecology, and shared ancestry. Multiple mammalian and sauropsid lineages are needed; a reptile–human contrast cannot identify a historical sequence.</w:t>
      </w:r>
    </w:p>
    <w:p w14:paraId="424893F0" w14:textId="77777777" w:rsidR="001F608A" w:rsidRDefault="00000000" w:rsidP="003F7917">
      <w:pPr>
        <w:pStyle w:val="BodyText"/>
        <w:jc w:val="both"/>
      </w:pPr>
      <w:r>
        <w:t>Different pallial architectures may implement similar operations. That outcome would support a functional principle while weakening a claim that six-layer lamination is necessary for it. Conversely, demonstrating a specific developmental change that alters coordination while preserving a representation would strengthen a mechanistic account. Software elegance supplies no evidence for either result.</w:t>
      </w:r>
    </w:p>
    <w:p w14:paraId="7560267E" w14:textId="77777777" w:rsidR="001F608A" w:rsidRDefault="00000000" w:rsidP="003F7917">
      <w:pPr>
        <w:pStyle w:val="Heading1"/>
        <w:jc w:val="both"/>
      </w:pPr>
      <w:bookmarkStart w:id="20" w:name="Xadb2c590fbb37dd161bcbee698115883d19869c"/>
      <w:bookmarkEnd w:id="19"/>
      <w:r>
        <w:t>9 Implications for the Attentionlet research line</w:t>
      </w:r>
    </w:p>
    <w:p w14:paraId="04B1947B" w14:textId="77777777" w:rsidR="001F608A" w:rsidRDefault="00000000" w:rsidP="003F7917">
      <w:pPr>
        <w:pStyle w:val="FirstParagraph"/>
        <w:jc w:val="both"/>
      </w:pPr>
      <w:r>
        <w:t xml:space="preserve">The mediator can control both which representation is read and how much detail is recovered. In the Attentionlet and KV Counter line, a coarse aggregate can propose a low-cost read, while an evidence archive permits reopening when identity, chronology, or revision is decisive. In the Same Flower line, the action set can </w:t>
      </w:r>
      <w:r>
        <w:lastRenderedPageBreak/>
        <w:t>additionally include consulting another seeded visitor. These are proposed integrations with the present migration contract, not biological identities.</w:t>
      </w:r>
    </w:p>
    <w:p w14:paraId="2B99EAF5" w14:textId="77777777" w:rsidR="001F608A" w:rsidRDefault="00000000" w:rsidP="003F7917">
      <w:pPr>
        <w:pStyle w:val="BodyText"/>
        <w:jc w:val="both"/>
      </w:pPr>
      <w:r>
        <w:t>A controller should compare the expected value of another viewpoint with that of finer evidence. If every visitor receives the same inadequate summary, more visitors need not recover the missing distinction. If the representation is adequate but interpretations differ, another viewpoint may help. Both decisions should be judged against supported-answer loss and total cost rather than counter mass or agreement alone.</w:t>
      </w:r>
    </w:p>
    <w:p w14:paraId="4AD77C4A" w14:textId="77777777" w:rsidR="001F608A" w:rsidRDefault="00000000" w:rsidP="003F7917">
      <w:pPr>
        <w:pStyle w:val="BodyText"/>
        <w:jc w:val="both"/>
      </w:pPr>
      <w:r>
        <w:t>Mediation therefore has at least two separable meanings in the engineering program: restricting the effective read and adapting the restriction. The first can be implemented with masks, retrieval, or assembly. The second requires evidence about the consequences of changing those choices. Keeping them separate prevents a static compressor from being credited with the benefits of a learned controller, or a controller from hiding the cost of unrestricted retrieval.</w:t>
      </w:r>
    </w:p>
    <w:p w14:paraId="47C80111" w14:textId="77777777" w:rsidR="001F608A" w:rsidRDefault="00000000" w:rsidP="003F7917">
      <w:pPr>
        <w:pStyle w:val="BodyText"/>
        <w:jc w:val="both"/>
      </w:pPr>
      <w:r>
        <w:t>Durable release is a further engineering function. A generated conclusion becomes an archived record only through an explicit commit rule; speculative branches remain distinguishable from accepted evidence. No anatomical assumption about L5 is needed to enforce this contract. Biology motivates questions about coordination, while the implementation can adopt stronger consistency guarantees than a biological circuit has been shown to provide.</w:t>
      </w:r>
    </w:p>
    <w:p w14:paraId="5EDDCF60" w14:textId="77777777" w:rsidR="001F608A" w:rsidRDefault="00000000" w:rsidP="003F7917">
      <w:pPr>
        <w:pStyle w:val="Heading1"/>
        <w:jc w:val="both"/>
      </w:pPr>
      <w:bookmarkStart w:id="21" w:name="limitations-and-conclusion"/>
      <w:bookmarkEnd w:id="20"/>
      <w:r>
        <w:t>10 Limitations and conclusion</w:t>
      </w:r>
    </w:p>
    <w:p w14:paraId="7E698CC8" w14:textId="77777777" w:rsidR="00ED1AF7" w:rsidRDefault="00000000">
      <w:pPr>
        <w:pStyle w:val="FirstParagraph"/>
        <w:jc w:val="both"/>
      </w:pPr>
      <w:r>
        <w:t>This paper establishes a comparison, formal conditions, and experimental designs. It does not show that a trained Transformer can always be migrated without loss, that cortical layers implement software objects, or that thalamic mediation caused the origin of the neocortex. The mathematical results are conditional statements about information and probability; the proposed performance advantage remains empirical. The new guarantees are similarly limited. The branch-independent allowance of Proposition 3 certifies only the early part of a migration. The on-policy bound of Proposition 4 requires sampling from the original model, so certification has a cost that must be counted with the shadow runs. The quantitative information bound depends on a task distribution that must be declared, and the crossover criterion of Proposition 5 rules out single-factor explanations without identifying the correct one.</w:t>
      </w:r>
    </w:p>
    <w:p w14:paraId="324ADEFA" w14:textId="77777777" w:rsidR="001F608A" w:rsidRDefault="00000000" w:rsidP="003F7917">
      <w:pPr>
        <w:pStyle w:val="BodyText"/>
        <w:jc w:val="both"/>
      </w:pPr>
      <w:r>
        <w:t>The strongest common principle is progressive reorganization of access under a continuity constraint. MVVM makes selected dependencies explicit in software. CVVC can create an independently adaptable route between contextual state, evidence, and a trained consumer. Corticothalamic organization supplies examples of differentiated transmission and regulation that motivate this design without determining it.</w:t>
      </w:r>
    </w:p>
    <w:p w14:paraId="7D58DC48" w14:textId="77777777" w:rsidR="001F608A" w:rsidRDefault="00000000" w:rsidP="003F7917">
      <w:pPr>
        <w:pStyle w:val="BodyText"/>
        <w:jc w:val="both"/>
      </w:pPr>
      <w:r>
        <w:t>The next decisive result is not a more detailed layer-to-strand correspondence. It is a controlled demonstration that an adaptive mediator preserves useful competence while improving flexibility at matched total cost. A positive result would establish an architectural benefit even if the biological mapping remained partial. A negative result would identify whether the bottleneck lies in discarded information, policy learning, incompatible representations, or the cost of keeping the original system available during migration.</w:t>
      </w:r>
    </w:p>
    <w:p w14:paraId="5507B097" w14:textId="77777777" w:rsidR="001F608A" w:rsidRDefault="00000000" w:rsidP="003F7917">
      <w:pPr>
        <w:pStyle w:val="Heading1"/>
        <w:pageBreakBefore/>
        <w:jc w:val="both"/>
      </w:pPr>
      <w:bookmarkStart w:id="22" w:name="references"/>
      <w:bookmarkEnd w:id="21"/>
      <w:r>
        <w:lastRenderedPageBreak/>
        <w:t>References</w:t>
      </w:r>
    </w:p>
    <w:p w14:paraId="230E6334" w14:textId="77777777" w:rsidR="001F608A" w:rsidRDefault="00000000" w:rsidP="003F7917">
      <w:pPr>
        <w:pStyle w:val="FirstParagraph"/>
        <w:spacing w:after="160" w:line="252" w:lineRule="auto"/>
        <w:jc w:val="both"/>
      </w:pPr>
      <w:r>
        <w:rPr>
          <w:sz w:val="20"/>
        </w:rPr>
        <w:t>[1] Ghosh, Dyuti, Ghosh, Dibya, and Ghosh, Debi Prasad. (2025). CVVC-RAG: A Three-Strand, MVVM-Style Architecture for Deliberative Retrieval-Augmented Generation. Conceptual manuscript. https://doi.org/10.13140/RG.2.2.35568.78086</w:t>
      </w:r>
    </w:p>
    <w:p w14:paraId="7A008D44" w14:textId="77777777" w:rsidR="001F608A" w:rsidRDefault="00000000" w:rsidP="003F7917">
      <w:pPr>
        <w:pStyle w:val="BodyText"/>
        <w:spacing w:after="160" w:line="252" w:lineRule="auto"/>
        <w:jc w:val="both"/>
      </w:pPr>
      <w:r>
        <w:rPr>
          <w:sz w:val="20"/>
        </w:rPr>
        <w:t>[2] Ghosh, Dyuti, Ghosh, Dibya, and Ghosh, Debi Prasad. (2025). Continual CVVC-RAG: A Biologically-Inspired Architecture for Lifelong Retrieval-Augmented Generation. Conceptual manuscript. https://doi.org/10.13140/RG.2.2.27009.77923</w:t>
      </w:r>
    </w:p>
    <w:p w14:paraId="02385F92" w14:textId="77777777" w:rsidR="001F608A" w:rsidRDefault="00000000" w:rsidP="003F7917">
      <w:pPr>
        <w:pStyle w:val="BodyText"/>
        <w:spacing w:after="160" w:line="252" w:lineRule="auto"/>
        <w:jc w:val="both"/>
      </w:pPr>
      <w:r>
        <w:rPr>
          <w:sz w:val="20"/>
        </w:rPr>
        <w:t>[3] Microsoft. Model-View-ViewModel. Enterprise Application Patterns Using .NET MAUI. Accessed 10 October 2026. https://learn.microsoft.com/en-us/dotnet/architecture/maui/mvvm</w:t>
      </w:r>
    </w:p>
    <w:p w14:paraId="47B70CE0" w14:textId="77777777" w:rsidR="001F608A" w:rsidRDefault="00000000" w:rsidP="003F7917">
      <w:pPr>
        <w:pStyle w:val="BodyText"/>
        <w:spacing w:after="160" w:line="252" w:lineRule="auto"/>
        <w:jc w:val="both"/>
      </w:pPr>
      <w:r>
        <w:rPr>
          <w:sz w:val="20"/>
        </w:rPr>
        <w:t>[4] Fowler, M. Strangler Fig. Accessed 10 October 2026. https://martinfowler.com/bliki/StranglerFigApplication.html</w:t>
      </w:r>
    </w:p>
    <w:p w14:paraId="5475C6FE" w14:textId="77777777" w:rsidR="001F608A" w:rsidRDefault="00000000" w:rsidP="003F7917">
      <w:pPr>
        <w:pStyle w:val="BodyText"/>
        <w:spacing w:after="160" w:line="252" w:lineRule="auto"/>
        <w:jc w:val="both"/>
      </w:pPr>
      <w:r>
        <w:rPr>
          <w:sz w:val="20"/>
        </w:rPr>
        <w:t>[5] Tosches, M. A., Yamawaki, T. M., Naumann, R. K., Jacobi, A., Tushev, G., and Laurent, G. (2018). Evolution of pallium, hippocampus, and cortical cell types revealed by single-cell transcriptomics in reptiles. Science, 360, 881–888. https://pubmed.ncbi.nlm.nih.gov/29724907/</w:t>
      </w:r>
    </w:p>
    <w:p w14:paraId="455FD20B" w14:textId="77777777" w:rsidR="001F608A" w:rsidRDefault="00000000" w:rsidP="003F7917">
      <w:pPr>
        <w:pStyle w:val="BodyText"/>
        <w:spacing w:after="160" w:line="252" w:lineRule="auto"/>
        <w:jc w:val="both"/>
      </w:pPr>
      <w:r>
        <w:rPr>
          <w:sz w:val="20"/>
        </w:rPr>
        <w:t>[6] Yamawaki, N., Borges, K., Suter, B. A., Harris, K. D., and Shepherd, G. M. G. (2014). A genuine layer 4 in motor cortex with prototypical synaptic circuit connectivity. eLife, 3, e05422. https://doi.org/10.7554/eLife.05422</w:t>
      </w:r>
    </w:p>
    <w:p w14:paraId="0809CCB0" w14:textId="77777777" w:rsidR="001F608A" w:rsidRDefault="00000000" w:rsidP="003F7917">
      <w:pPr>
        <w:pStyle w:val="BodyText"/>
        <w:spacing w:after="160" w:line="252" w:lineRule="auto"/>
        <w:jc w:val="both"/>
      </w:pPr>
      <w:r>
        <w:rPr>
          <w:sz w:val="20"/>
        </w:rPr>
        <w:t>[7] Gambino, F., et al. (2014). Sensory-evoked LTP driven by dendritic plateau potentials in vivo. Nature, 515, 116–119. https://doi.org/10.1038/nature13664</w:t>
      </w:r>
    </w:p>
    <w:p w14:paraId="7AFE237F" w14:textId="77777777" w:rsidR="001F608A" w:rsidRDefault="00000000" w:rsidP="003F7917">
      <w:pPr>
        <w:pStyle w:val="BodyText"/>
        <w:spacing w:after="160" w:line="252" w:lineRule="auto"/>
        <w:jc w:val="both"/>
      </w:pPr>
      <w:r>
        <w:rPr>
          <w:sz w:val="20"/>
        </w:rPr>
        <w:t>[8] Mease, R. A., Sumser, A., Sakmann, B., and Groh, A. (2016). Corticothalamic Spike Transfer via the L5B-POm Pathway in vivo. Cerebral Cortex, 26, 3461–3475. https://doi.org/10.1093/cercor/bhw123</w:t>
      </w:r>
    </w:p>
    <w:p w14:paraId="02A4BBBF" w14:textId="77777777" w:rsidR="001F608A" w:rsidRDefault="00000000" w:rsidP="003F7917">
      <w:pPr>
        <w:pStyle w:val="BodyText"/>
        <w:spacing w:after="160" w:line="252" w:lineRule="auto"/>
        <w:jc w:val="both"/>
      </w:pPr>
      <w:r>
        <w:rPr>
          <w:sz w:val="20"/>
        </w:rPr>
        <w:t>[9] Crandall, S. R., Cruikshank, S. J., and Connors, B. W. (2015). A corticothalamic switch: controlling the thalamus with dynamic synapses. Neuron, 86, 768–782. https://doi.org/10.1016/j.neuron.2015.03.040</w:t>
      </w:r>
    </w:p>
    <w:p w14:paraId="04C34490" w14:textId="77777777" w:rsidR="001F608A" w:rsidRDefault="00000000" w:rsidP="003F7917">
      <w:pPr>
        <w:pStyle w:val="BodyText"/>
        <w:spacing w:after="160" w:line="252" w:lineRule="auto"/>
        <w:jc w:val="both"/>
      </w:pPr>
      <w:r>
        <w:rPr>
          <w:sz w:val="20"/>
        </w:rPr>
        <w:t>[10] Schmitt, L. I., Wimmer, R. D., Nakajima, M., Happ, M., Mofakham, S., and Halassa, M. M. (2017). Thalamic amplification of cortical connectivity sustains attentional control. Nature, 545, 219–223. https://doi.org/10.1038/nature22073</w:t>
      </w:r>
    </w:p>
    <w:p w14:paraId="522A084E" w14:textId="77777777" w:rsidR="001F608A" w:rsidRDefault="00000000" w:rsidP="003F7917">
      <w:pPr>
        <w:pStyle w:val="BodyText"/>
        <w:spacing w:after="160" w:line="252" w:lineRule="auto"/>
        <w:jc w:val="both"/>
      </w:pPr>
      <w:r>
        <w:rPr>
          <w:sz w:val="20"/>
        </w:rPr>
        <w:t>[11] Kress, G. J., Yamawaki, N., Wokosin, D. L., Wickersham, I. R., Shepherd, G. M. G., and Surmeier, D. J. (2013). Convergent cortical innervation of striatal projection neurons. Nature Neuroscience, 16, 665–667. https://doi.org/10.1038/nn.3397</w:t>
      </w:r>
      <w:bookmarkEnd w:id="22"/>
    </w:p>
    <w:p w14:paraId="318D6774" w14:textId="77777777" w:rsidR="00ED1AF7" w:rsidRDefault="00000000">
      <w:pPr>
        <w:pStyle w:val="BodyText"/>
        <w:spacing w:after="160" w:line="252" w:lineRule="auto"/>
        <w:jc w:val="both"/>
      </w:pPr>
      <w:r>
        <w:t>[12] Rusu, A. A., Rabinowitz, N. C., Desjardins, G., Soyer, H., Kirkpatrick, J., Kavukcuoglu, K., Pascanu, R., and Hadsell, R. (2016). Progressive Neural Networks. arXiv:1606.04671. https://arxiv.org/abs/1606.04671</w:t>
      </w:r>
    </w:p>
    <w:p w14:paraId="18C69081" w14:textId="77777777" w:rsidR="00ED1AF7" w:rsidRDefault="00000000">
      <w:pPr>
        <w:pStyle w:val="BodyText"/>
        <w:spacing w:after="160" w:line="252" w:lineRule="auto"/>
        <w:jc w:val="both"/>
      </w:pPr>
      <w:r>
        <w:t>[13] Houlsby, N., Giurgiu, A., Jastrzebski, S., Morrone, B., de Laroussilhe, Q., Gesmundo, A., Attariyan, M., and Gelly, S. (2019). Parameter-Efficient Transfer Learning for NLP. Proceedings of the 36th International Conference on Machine Learning, PMLR 97, 2790–2799.</w:t>
      </w:r>
    </w:p>
    <w:p w14:paraId="14A263A8" w14:textId="77777777" w:rsidR="00ED1AF7" w:rsidRDefault="00000000">
      <w:pPr>
        <w:pStyle w:val="BodyText"/>
        <w:spacing w:after="160" w:line="252" w:lineRule="auto"/>
        <w:jc w:val="both"/>
      </w:pPr>
      <w:r>
        <w:t>[14] Li, Z., and Hoiem, D. (2018). Learning without Forgetting. IEEE Transactions on Pattern Analysis and Machine Intelligence, 40(12), 2935–2947. https://doi.org/10.1109/TPAMI.2017.2773081</w:t>
      </w:r>
    </w:p>
    <w:p w14:paraId="34D5DFC0" w14:textId="77777777" w:rsidR="00ED1AF7" w:rsidRDefault="00000000">
      <w:pPr>
        <w:pStyle w:val="BodyText"/>
        <w:spacing w:after="160" w:line="252" w:lineRule="auto"/>
        <w:jc w:val="both"/>
      </w:pPr>
      <w:r>
        <w:t>[15] Kirkpatrick, J., et al. (2017). Overcoming catastrophic forgetting in neural networks. Proceedings of the National Academy of Sciences, 114(13), 3521–3526. https://doi.org/10.1073/pnas.1611835114</w:t>
      </w:r>
    </w:p>
    <w:p w14:paraId="0BF599AD" w14:textId="77777777" w:rsidR="00ED1AF7" w:rsidRDefault="00000000">
      <w:pPr>
        <w:pStyle w:val="BodyText"/>
        <w:spacing w:after="160" w:line="252" w:lineRule="auto"/>
        <w:jc w:val="both"/>
      </w:pPr>
      <w:r>
        <w:t>[16] Lopez-Paz, D., and Ranzato, M. (2017). Gradient Episodic Memory for Continual Learning. Advances in Neural Information Processing Systems 30, 6467–6476.</w:t>
      </w:r>
    </w:p>
    <w:p w14:paraId="68153BEA" w14:textId="77777777" w:rsidR="00ED1AF7" w:rsidRDefault="00000000">
      <w:pPr>
        <w:pStyle w:val="BodyText"/>
        <w:spacing w:after="160" w:line="252" w:lineRule="auto"/>
        <w:jc w:val="both"/>
      </w:pPr>
      <w:r>
        <w:t>[17] Lewis, P., et al. (2020). Retrieval-Augmented Generation for Knowledge-Intensive NLP Tasks. Advances in Neural Information Processing Systems 33, 9459–9474.</w:t>
      </w:r>
    </w:p>
    <w:p w14:paraId="11A87772" w14:textId="77777777" w:rsidR="00ED1AF7" w:rsidRDefault="00000000">
      <w:pPr>
        <w:pStyle w:val="BodyText"/>
        <w:spacing w:after="160" w:line="252" w:lineRule="auto"/>
        <w:jc w:val="both"/>
      </w:pPr>
      <w:r>
        <w:lastRenderedPageBreak/>
        <w:t>[18] Milner, R. (1989). Communication and Concurrency. Prentice Hall.</w:t>
      </w:r>
    </w:p>
    <w:p w14:paraId="06FB186D" w14:textId="77777777" w:rsidR="00ED1AF7" w:rsidRDefault="00000000">
      <w:pPr>
        <w:pStyle w:val="BodyText"/>
        <w:spacing w:after="160" w:line="252" w:lineRule="auto"/>
        <w:jc w:val="both"/>
      </w:pPr>
      <w:r>
        <w:t>[19] Cover, T. M., and Thomas, J. A. (2006). Elements of Information Theory, 2nd edition. Wiley.</w:t>
      </w:r>
    </w:p>
    <w:p w14:paraId="69E4B010" w14:textId="77777777" w:rsidR="00ED1AF7" w:rsidRDefault="00000000">
      <w:pPr>
        <w:pStyle w:val="BodyText"/>
        <w:spacing w:after="160" w:line="252" w:lineRule="auto"/>
        <w:jc w:val="both"/>
      </w:pPr>
      <w:r>
        <w:t>[20] Nerode, A. (1958). Linear automaton transformations. Proceedings of the American Mathematical Society, 9(4), 541–544.</w:t>
      </w:r>
    </w:p>
    <w:p w14:paraId="054344EF" w14:textId="77777777" w:rsidR="00ED1AF7" w:rsidRDefault="00000000">
      <w:pPr>
        <w:pStyle w:val="BodyText"/>
        <w:spacing w:after="160" w:line="252" w:lineRule="auto"/>
        <w:jc w:val="both"/>
      </w:pPr>
      <w:r>
        <w:t>[21] Sherman, S. M., and Guillery, R. W. (1998). On the actions that one nerve cell can have on another: distinguishing “drivers” from “modulators”. Proceedings of the National Academy of Sciences, 95(12), 7121–7126. https://doi.org/10.1073/pnas.95.12.7121</w:t>
      </w:r>
    </w:p>
    <w:p w14:paraId="00B8469E" w14:textId="77777777" w:rsidR="00ED1AF7" w:rsidRDefault="00000000">
      <w:pPr>
        <w:pStyle w:val="BodyText"/>
        <w:spacing w:after="160" w:line="252" w:lineRule="auto"/>
        <w:jc w:val="both"/>
      </w:pPr>
      <w:r>
        <w:t>[22] Rikhye, R. V., Gilra, A., and Halassa, M. M. (2018). Thalamic regulation of switching between cortical representations enables cognitive flexibility. Nature Neuroscience, 21(12), 1753–1763. https://doi.org/10.1038/s41593-018-0269-z</w:t>
      </w:r>
    </w:p>
    <w:p w14:paraId="3879BAF2" w14:textId="77777777" w:rsidR="00ED1AF7" w:rsidRDefault="00000000">
      <w:pPr>
        <w:pStyle w:val="BodyText"/>
        <w:spacing w:after="160" w:line="252" w:lineRule="auto"/>
        <w:jc w:val="both"/>
      </w:pPr>
      <w:r>
        <w:t>[23] Dunn, J. C., and Kirsner, K. (1988). Discovering functionally independent mental processes: the principle of reversed association. Psychological Review, 95(1), 91–101. https://doi.org/10.1037/0033-295X.95.1.91</w:t>
      </w:r>
    </w:p>
    <w:p w14:paraId="31059B73" w14:textId="246C1D04" w:rsidR="00ED1AF7" w:rsidRDefault="00000000">
      <w:pPr>
        <w:pStyle w:val="BodyText"/>
        <w:spacing w:after="160" w:line="252" w:lineRule="auto"/>
        <w:jc w:val="both"/>
      </w:pPr>
      <w:r>
        <w:t xml:space="preserve">[24] Wagenmakers, E.-J., Krypotos, A.-M., Criss, A. H., and Iverson, G. (2012). On the interpretation of removable interactions: a survey of the field 33 years after Loftus. Memory &amp; Cognition, 40(2), 145–160. </w:t>
      </w:r>
      <w:hyperlink r:id="rId8" w:history="1">
        <w:r w:rsidR="00492239" w:rsidRPr="007F1E8F">
          <w:rPr>
            <w:rStyle w:val="Hyperlink"/>
          </w:rPr>
          <w:t>https://doi.org/10.3758/s13421-011-0158-0</w:t>
        </w:r>
      </w:hyperlink>
    </w:p>
    <w:p w14:paraId="46CD4298" w14:textId="7098DFE9" w:rsidR="00492239" w:rsidRDefault="00492239">
      <w:pPr>
        <w:pStyle w:val="BodyText"/>
        <w:spacing w:after="160" w:line="252" w:lineRule="auto"/>
        <w:jc w:val="both"/>
      </w:pPr>
      <w:r w:rsidRPr="00492239">
        <w:t>https://github.com/debiprasadghosh/ResearchOverFlow/tree/main/October2026/NeocortexCVVC</w:t>
      </w:r>
    </w:p>
    <w:sectPr w:rsidR="00492239">
      <w:headerReference w:type="default" r:id="rId9"/>
      <w:footerReference w:type="default" r:id="rId10"/>
      <w:pgSz w:w="12240" w:h="15840"/>
      <w:pgMar w:top="1080" w:right="1152" w:bottom="1080" w:left="1152"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A4A61" w14:textId="77777777" w:rsidR="005F0FA5" w:rsidRDefault="005F0FA5">
      <w:pPr>
        <w:spacing w:after="0" w:line="240" w:lineRule="auto"/>
      </w:pPr>
      <w:r>
        <w:separator/>
      </w:r>
    </w:p>
  </w:endnote>
  <w:endnote w:type="continuationSeparator" w:id="0">
    <w:p w14:paraId="2315D03D" w14:textId="77777777" w:rsidR="005F0FA5" w:rsidRDefault="005F0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CA88" w14:textId="77777777" w:rsidR="001F608A" w:rsidRDefault="00000000">
    <w:pPr>
      <w:jc w:val="right"/>
    </w:pPr>
    <w:r>
      <w:fldChar w:fldCharType="begin"/>
    </w:r>
    <w:r>
      <w:instrText>PAGE</w:instrText>
    </w:r>
    <w:r>
      <w:fldChar w:fldCharType="separate"/>
    </w:r>
    <w:r w:rsidR="003F79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A0F10" w14:textId="77777777" w:rsidR="005F0FA5" w:rsidRDefault="005F0FA5">
      <w:r>
        <w:separator/>
      </w:r>
    </w:p>
  </w:footnote>
  <w:footnote w:type="continuationSeparator" w:id="0">
    <w:p w14:paraId="022C1EF7" w14:textId="77777777" w:rsidR="005F0FA5" w:rsidRDefault="005F0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69013" w14:textId="77777777" w:rsidR="001F608A" w:rsidRDefault="00000000">
    <w:pPr>
      <w:spacing w:after="0"/>
    </w:pPr>
    <w:r>
      <w:rPr>
        <w:rFonts w:ascii="Arial" w:hAnsi="Arial"/>
        <w:sz w:val="16"/>
      </w:rPr>
      <w:t>Progressive Architectural Mediation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3A41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7219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608A"/>
    <w:rsid w:val="001F608A"/>
    <w:rsid w:val="003F7917"/>
    <w:rsid w:val="00492239"/>
    <w:rsid w:val="005B558F"/>
    <w:rsid w:val="005F0FA5"/>
    <w:rsid w:val="00867837"/>
    <w:rsid w:val="00CA00A0"/>
    <w:rsid w:val="00ED1AF7"/>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B9048"/>
  <w15:docId w15:val="{04A94C38-8954-43D3-BA8E-50532F81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Times New Roman" w:hAnsi="Times New Roman"/>
      <w:color w:val="000000"/>
      <w:sz w:val="22"/>
    </w:rPr>
  </w:style>
  <w:style w:type="paragraph" w:styleId="Heading1">
    <w:name w:val="heading 1"/>
    <w:basedOn w:val="Normal"/>
    <w:next w:val="BodyText"/>
    <w:uiPriority w:val="9"/>
    <w:qFormat/>
    <w:pPr>
      <w:keepNext/>
      <w:keepLines/>
      <w:spacing w:before="280" w:after="140"/>
      <w:outlineLvl w:val="0"/>
    </w:pPr>
    <w:rPr>
      <w:rFonts w:ascii="Arial" w:hAnsi="Arial" w:cstheme="majorBidi"/>
      <w:b/>
      <w:bCs/>
      <w:sz w:val="28"/>
      <w:szCs w:val="32"/>
    </w:rPr>
  </w:style>
  <w:style w:type="paragraph" w:styleId="Heading2">
    <w:name w:val="heading 2"/>
    <w:basedOn w:val="Normal"/>
    <w:next w:val="BodyText"/>
    <w:uiPriority w:val="9"/>
    <w:unhideWhenUsed/>
    <w:qFormat/>
    <w:pPr>
      <w:keepNext/>
      <w:keepLines/>
      <w:spacing w:before="280" w:after="140"/>
      <w:outlineLvl w:val="1"/>
    </w:pPr>
    <w:rPr>
      <w:rFonts w:ascii="Arial" w:hAnsi="Arial" w:cstheme="majorBidi"/>
      <w:b/>
      <w:bCs/>
      <w:sz w:val="24"/>
      <w:szCs w:val="28"/>
    </w:rPr>
  </w:style>
  <w:style w:type="paragraph" w:styleId="Heading3">
    <w:name w:val="heading 3"/>
    <w:basedOn w:val="Normal"/>
    <w:next w:val="BodyText"/>
    <w:uiPriority w:val="9"/>
    <w:unhideWhenUsed/>
    <w:qFormat/>
    <w:pPr>
      <w:keepNext/>
      <w:keepLines/>
      <w:spacing w:before="200" w:after="0"/>
      <w:outlineLvl w:val="2"/>
    </w:pPr>
    <w:rPr>
      <w:rFonts w:cstheme="majorBidi"/>
      <w:b/>
      <w:bCs/>
      <w:sz w:val="24"/>
    </w:rPr>
  </w:style>
  <w:style w:type="paragraph" w:styleId="Heading4">
    <w:name w:val="heading 4"/>
    <w:basedOn w:val="Normal"/>
    <w:next w:val="BodyText"/>
    <w:uiPriority w:val="9"/>
    <w:unhideWhenUsed/>
    <w:qFormat/>
    <w:pPr>
      <w:keepNext/>
      <w:keepLines/>
      <w:spacing w:before="200" w:after="0"/>
      <w:outlineLvl w:val="3"/>
    </w:pPr>
    <w:rPr>
      <w:rFonts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cstheme="majorBidi"/>
      <w:iCs/>
      <w:sz w:val="24"/>
    </w:rPr>
  </w:style>
  <w:style w:type="paragraph" w:styleId="Heading6">
    <w:name w:val="heading 6"/>
    <w:basedOn w:val="Normal"/>
    <w:next w:val="BodyText"/>
    <w:uiPriority w:val="9"/>
    <w:unhideWhenUsed/>
    <w:qFormat/>
    <w:pPr>
      <w:keepNext/>
      <w:keepLines/>
      <w:spacing w:before="200" w:after="0"/>
      <w:outlineLvl w:val="5"/>
    </w:pPr>
    <w:rPr>
      <w:rFonts w:cstheme="majorBidi"/>
      <w:sz w:val="24"/>
    </w:rPr>
  </w:style>
  <w:style w:type="paragraph" w:styleId="Heading7">
    <w:name w:val="heading 7"/>
    <w:basedOn w:val="Normal"/>
    <w:next w:val="BodyText"/>
    <w:uiPriority w:val="9"/>
    <w:unhideWhenUsed/>
    <w:qFormat/>
    <w:pPr>
      <w:keepNext/>
      <w:keepLines/>
      <w:spacing w:before="200" w:after="0"/>
      <w:outlineLvl w:val="6"/>
    </w:pPr>
    <w:rPr>
      <w:rFonts w:cstheme="majorBidi"/>
      <w:sz w:val="24"/>
    </w:rPr>
  </w:style>
  <w:style w:type="paragraph" w:styleId="Heading8">
    <w:name w:val="heading 8"/>
    <w:basedOn w:val="Normal"/>
    <w:next w:val="BodyText"/>
    <w:uiPriority w:val="9"/>
    <w:unhideWhenUsed/>
    <w:qFormat/>
    <w:pPr>
      <w:keepNext/>
      <w:keepLines/>
      <w:spacing w:before="200" w:after="0"/>
      <w:outlineLvl w:val="7"/>
    </w:pPr>
    <w:rPr>
      <w:rFonts w:cstheme="majorBidi"/>
      <w:sz w:val="24"/>
    </w:rPr>
  </w:style>
  <w:style w:type="paragraph" w:styleId="Heading9">
    <w:name w:val="heading 9"/>
    <w:basedOn w:val="Normal"/>
    <w:next w:val="BodyText"/>
    <w:uiPriority w:val="9"/>
    <w:unhideWhenUsed/>
    <w:qFormat/>
    <w:pPr>
      <w:keepNext/>
      <w:keepLines/>
      <w:spacing w:before="200" w:after="0"/>
      <w:outlineLvl w:val="8"/>
    </w:pPr>
    <w:rPr>
      <w:rFonts w:cstheme="maj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Normal"/>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40" w:line="252" w:lineRule="auto"/>
      <w:jc w:val="center"/>
    </w:pPr>
    <w:rPr>
      <w:rFonts w:ascii="Arial" w:hAnsi="Arial" w:cstheme="majorBidi"/>
      <w:b/>
      <w:bCs/>
      <w:sz w:val="42"/>
      <w:szCs w:val="36"/>
    </w:rPr>
  </w:style>
  <w:style w:type="paragraph" w:styleId="Subtitle">
    <w:name w:val="Subtitle"/>
    <w:basedOn w:val="Title"/>
    <w:next w:val="BodyText"/>
    <w:qFormat/>
    <w:rPr>
      <w:sz w:val="24"/>
      <w:szCs w:val="30"/>
    </w:rPr>
  </w:style>
  <w:style w:type="paragraph" w:customStyle="1" w:styleId="Author">
    <w:name w:val="Author"/>
    <w:next w:val="BodyText"/>
    <w:qFormat/>
    <w:pPr>
      <w:keepNext/>
      <w:keepLines/>
      <w:jc w:val="center"/>
    </w:pPr>
    <w:rPr>
      <w:rFonts w:ascii="Times New Roman" w:hAnsi="Times New Roman"/>
      <w:color w:val="000000"/>
    </w:rPr>
  </w:style>
  <w:style w:type="paragraph" w:styleId="Date">
    <w:name w:val="Date"/>
    <w:next w:val="BodyText"/>
    <w:qFormat/>
    <w:pPr>
      <w:keepNext/>
      <w:keepLines/>
      <w:jc w:val="center"/>
    </w:pPr>
    <w:rPr>
      <w:rFonts w:ascii="Times New Roman" w:hAnsi="Times New Roman"/>
      <w:color w:val="000000"/>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olor w:val="000000"/>
    </w:rPr>
  </w:style>
  <w:style w:type="character" w:customStyle="1" w:styleId="VerbatimChar">
    <w:name w:val="Verbatim Char"/>
    <w:basedOn w:val="CaptionChar"/>
    <w:link w:val="SourceCode"/>
    <w:rPr>
      <w:rFonts w:ascii="Times New Roman" w:hAnsi="Times New Roman"/>
      <w:color w:val="000000"/>
      <w:sz w:val="22"/>
    </w:rPr>
  </w:style>
  <w:style w:type="character" w:customStyle="1" w:styleId="SectionNumber">
    <w:name w:val="Section Number"/>
    <w:basedOn w:val="CaptionChar"/>
    <w:rPr>
      <w:rFonts w:ascii="Times New Roman" w:hAnsi="Times New Roman"/>
      <w:color w:val="000000"/>
    </w:rPr>
  </w:style>
  <w:style w:type="character" w:styleId="FootnoteReference">
    <w:name w:val="footnote reference"/>
    <w:basedOn w:val="CaptionChar"/>
    <w:rPr>
      <w:rFonts w:ascii="Times New Roman" w:hAnsi="Times New Roman"/>
      <w:color w:val="000000"/>
      <w:vertAlign w:val="superscript"/>
    </w:rPr>
  </w:style>
  <w:style w:type="character" w:styleId="Hyperlink">
    <w:name w:val="Hyperlink"/>
    <w:basedOn w:val="CaptionChar"/>
    <w:rPr>
      <w:rFonts w:ascii="Times New Roman" w:hAnsi="Times New Roman"/>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 w:type="character" w:styleId="UnresolvedMention">
    <w:name w:val="Unresolved Mention"/>
    <w:basedOn w:val="DefaultParagraphFont"/>
    <w:uiPriority w:val="99"/>
    <w:semiHidden/>
    <w:unhideWhenUsed/>
    <w:rsid w:val="00492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758/s13421-011-0158-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8285</Words>
  <Characters>47227</Characters>
  <Application>Microsoft Office Word</Application>
  <DocSecurity>0</DocSecurity>
  <Lines>393</Lines>
  <Paragraphs>110</Paragraphs>
  <ScaleCrop>false</ScaleCrop>
  <Company/>
  <LinksUpToDate>false</LinksUpToDate>
  <CharactersWithSpaces>55402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Progressive Architectural Mediation</dc:title>
  <dc:subject>A conceptual comparison of MVVM refactoring, CVVC migration, and corticothalamic organization</dc:subject>
  <dc:creator>Debi Prasad Ghosh</dc:creator>
  <cp:keywords>MVVM; CVVC; neocortex; corticothalamic; mediation; capability retention</cp:keywords>
  <cp:lastModifiedBy>Debiprasad Ghosh</cp:lastModifiedBy>
  <cp:revision>3</cp:revision>
  <dcterms:created xsi:type="dcterms:W3CDTF">2026-10-10T12:05:00Z</dcterms:created>
  <dcterms:modified xsi:type="dcterms:W3CDTF">2026-10-13T05:41:00Z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Conceptual research manuscript • 10 October 2026</vt:lpwstr>
  </property>
  <property fmtid="{D5CDD505-2E9C-101B-9397-08002B2CF9AE}" pid="3" name="subtitle">
    <vt:lpwstr>Comparing MVVM Refactoring CVVC Migration and Neocortical Organization</vt:lpwstr>
  </property>
</Properties>
</file>