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207D" w14:textId="77777777" w:rsidR="003C5700" w:rsidRPr="006B4CC5" w:rsidRDefault="003C5700" w:rsidP="003C5700">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79610FA5" w14:textId="2F4AFAC7" w:rsidR="00EF477B" w:rsidRDefault="00EF477B" w:rsidP="004D7FC3">
      <w:pPr>
        <w:pStyle w:val="Title"/>
        <w:jc w:val="center"/>
        <w:rPr>
          <w:sz w:val="24"/>
          <w:szCs w:val="24"/>
        </w:rPr>
      </w:pPr>
      <w:r w:rsidRPr="004D7FC3">
        <w:rPr>
          <w:sz w:val="42"/>
          <w:szCs w:val="42"/>
        </w:rPr>
        <w:t>AI is Pretrain → Finetune; Defensible AGI is Audit → Lift</w:t>
      </w:r>
      <w:r w:rsidR="004D7FC3" w:rsidRPr="004D7FC3">
        <w:rPr>
          <w:sz w:val="32"/>
          <w:szCs w:val="32"/>
        </w:rPr>
        <w:t xml:space="preserve">: </w:t>
      </w:r>
      <w:r w:rsidRPr="003C5700">
        <w:rPr>
          <w:sz w:val="28"/>
          <w:szCs w:val="28"/>
        </w:rPr>
        <w:t xml:space="preserve">Generalization as the topological guarantee </w:t>
      </w:r>
      <w:r w:rsidRPr="004D7FC3">
        <w:rPr>
          <w:sz w:val="24"/>
          <w:szCs w:val="24"/>
        </w:rPr>
        <w:t>of offline geometric repair, not a byproduct of scale</w:t>
      </w:r>
    </w:p>
    <w:p w14:paraId="19BFC875" w14:textId="77777777" w:rsidR="003C5700" w:rsidRDefault="003C5700" w:rsidP="003C5700">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CD2884A" wp14:editId="43C35D38">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6D79EC12" w14:textId="77777777" w:rsidR="003C5700" w:rsidRPr="006B4CC5" w:rsidRDefault="003C5700" w:rsidP="003C5700">
      <w:pPr>
        <w:jc w:val="center"/>
      </w:pPr>
      <w:r>
        <w:t>CTO, AI &amp;</w:t>
      </w:r>
      <w:r w:rsidRPr="006B4CC5">
        <w:t xml:space="preserve"> Automation</w:t>
      </w:r>
    </w:p>
    <w:p w14:paraId="796257E3" w14:textId="77777777" w:rsidR="003C5700" w:rsidRDefault="003C5700" w:rsidP="003C5700">
      <w:pPr>
        <w:jc w:val="center"/>
      </w:pPr>
      <w:r w:rsidRPr="00F5609C">
        <w:t>Engineering Design &amp; Research Center, Larsen &amp; Toubro Construction (M&amp;M) Kolkata, India</w:t>
      </w:r>
    </w:p>
    <w:p w14:paraId="4FAAA59F" w14:textId="1099F3F4" w:rsidR="004D7FC3" w:rsidRPr="00EF477B" w:rsidRDefault="00484110" w:rsidP="003C5700">
      <w:pPr>
        <w:jc w:val="center"/>
        <w:rPr>
          <w:b/>
          <w:bCs/>
        </w:rPr>
      </w:pPr>
      <w:hyperlink r:id="rId8" w:history="1">
        <w:r w:rsidRPr="00852147">
          <w:rPr>
            <w:rStyle w:val="Hyperlink"/>
            <w:b/>
            <w:bCs/>
          </w:rPr>
          <w:t>https://doi.org/10.13140/RG.2.2.20183.23205</w:t>
        </w:r>
      </w:hyperlink>
      <w:r>
        <w:rPr>
          <w:b/>
          <w:bCs/>
        </w:rPr>
        <w:t xml:space="preserve"> </w:t>
      </w:r>
    </w:p>
    <w:p w14:paraId="29931AF0" w14:textId="02CC367E" w:rsidR="00EF477B" w:rsidRPr="00EF477B" w:rsidRDefault="00EF477B" w:rsidP="003C5700">
      <w:pPr>
        <w:ind w:left="720"/>
        <w:jc w:val="both"/>
      </w:pPr>
      <w:r w:rsidRPr="00EF477B">
        <w:rPr>
          <w:i/>
          <w:iCs/>
        </w:rPr>
        <w:t>This is a position paper: the build-out of the design rule stated briefly in</w:t>
      </w:r>
      <w:r w:rsidRPr="00EF477B">
        <w:t xml:space="preserve"> Dynamic Predictive Gluing </w:t>
      </w:r>
      <w:r w:rsidRPr="00EF477B">
        <w:rPr>
          <w:i/>
          <w:iCs/>
        </w:rPr>
        <w:t xml:space="preserve">(Ghosh 2026, </w:t>
      </w:r>
      <w:hyperlink r:id="rId9" w:history="1">
        <w:r w:rsidRPr="00EF477B">
          <w:rPr>
            <w:rStyle w:val="Hyperlink"/>
            <w:i/>
            <w:iCs/>
          </w:rPr>
          <w:t>doi.org/10.13140/RG.2.2.19848.99846</w:t>
        </w:r>
      </w:hyperlink>
      <w:r w:rsidRPr="00EF477B">
        <w:rPr>
          <w:i/>
          <w:iCs/>
        </w:rPr>
        <w:t>), which argued that a defensible artificial system requires a genuine offline regime. Here that rule becomes a manufacturing thesis. The argument is an engineering conjecture, offered as falsifiable rather than proven; where it reads biology, it reads structural parallel, not identity.</w:t>
      </w:r>
    </w:p>
    <w:p w14:paraId="5E7BA0FB" w14:textId="3882CA7B" w:rsidR="00EF477B" w:rsidRPr="004D7FC3" w:rsidRDefault="00EF477B" w:rsidP="004D7FC3">
      <w:pPr>
        <w:jc w:val="both"/>
        <w:rPr>
          <w:b/>
          <w:bCs/>
        </w:rPr>
      </w:pPr>
      <w:r w:rsidRPr="00EF477B">
        <w:rPr>
          <w:b/>
          <w:bCs/>
        </w:rPr>
        <w:t>Abstract</w:t>
      </w:r>
      <w:r w:rsidR="004D7FC3">
        <w:rPr>
          <w:b/>
          <w:bCs/>
        </w:rPr>
        <w:t xml:space="preserve">: </w:t>
      </w:r>
      <w:r w:rsidRPr="00EF477B">
        <w:t xml:space="preserve">The prevailing paradigm builds capability by pretraining a monolithic model to approximate a global manifold and then finetuning it to suppress the resulting errors. This pipeline has no step that discharges, in a controlled and non-forgetting way, the topological contradictions it accumulates — anchored alignment masks them while unprotected fine-tuning overwrites prior competence — and this, not a shortage of scale, is what makes such systems brittle at the edges of their training distribution. A defensible Artificial General Intelligence requires a different topology: local-to-global repair across two regimes. A laboratory phase computes a </w:t>
      </w:r>
      <w:r w:rsidRPr="00EF477B">
        <w:rPr>
          <w:b/>
          <w:bCs/>
        </w:rPr>
        <w:t>Coarse H⁰</w:t>
      </w:r>
      <w:r w:rsidRPr="00EF477B">
        <w:t xml:space="preserve"> — a data-heavy initialization of general world structure, accepted as an approximation that still carries unresolved gluing obstructions. A field phase deploys the system into a specific domain, where it operates as a </w:t>
      </w:r>
      <w:r w:rsidRPr="00EF477B">
        <w:rPr>
          <w:b/>
          <w:bCs/>
        </w:rPr>
        <w:t>Presheaf Auditor</w:t>
      </w:r>
      <w:r w:rsidRPr="00EF477B">
        <w:t xml:space="preserve">: it treats its coarse knowledge as a presheaf subject to restriction-map audits, withholds action when a heuristic fractures against domain reality, and tags the fracture rather than acting over it. An offline phase pays the </w:t>
      </w:r>
      <w:r w:rsidRPr="00EF477B">
        <w:rPr>
          <w:b/>
          <w:bCs/>
        </w:rPr>
        <w:t>Polarization Lift</w:t>
      </w:r>
      <w:r w:rsidRPr="00EF477B">
        <w:t xml:space="preserve"> — the norm-preserving re-coordinatization of the representational base that resolves the tagged obstructions by moving to a base on which the previously incompatible sections glue. Generalization, on this account, is not the byproduct of scaling laws; it is the guarantee that a system's data has passed through the offline geometric labor that discharges its contradictions. The thesis is the application of the Dynamic Predictive Gluing lifecycle to the training paradigm, presented as a design conjecture and falsifiable in its parts.</w:t>
      </w:r>
    </w:p>
    <w:p w14:paraId="52A18049" w14:textId="77777777" w:rsidR="00EF477B" w:rsidRPr="001B01D1" w:rsidRDefault="00EF477B" w:rsidP="001B01D1">
      <w:pPr>
        <w:pStyle w:val="Heading1"/>
        <w:rPr>
          <w:sz w:val="32"/>
          <w:szCs w:val="32"/>
        </w:rPr>
      </w:pPr>
      <w:r w:rsidRPr="00EF477B">
        <w:t xml:space="preserve">1. The epistemic error: </w:t>
      </w:r>
      <w:r w:rsidRPr="001B01D1">
        <w:rPr>
          <w:sz w:val="32"/>
          <w:szCs w:val="32"/>
        </w:rPr>
        <w:t>pretraining as premature global forcing</w:t>
      </w:r>
    </w:p>
    <w:p w14:paraId="18C349D6" w14:textId="77777777" w:rsidR="00EF477B" w:rsidRPr="00EF477B" w:rsidRDefault="00EF477B" w:rsidP="004D7FC3">
      <w:pPr>
        <w:jc w:val="both"/>
      </w:pPr>
      <w:r w:rsidRPr="00EF477B">
        <w:t xml:space="preserve">Pretraining asserts a global section — a single set of weights coherent across the entire training manifold — before the compatibility of the underlying local data has been established. To state this precisely, the site on which the obstruction lives must be fixed, since cohomology is defined only relative to one. The base is the cover of </w:t>
      </w:r>
      <w:r w:rsidRPr="00EF477B">
        <w:rPr>
          <w:i/>
          <w:iCs/>
        </w:rPr>
        <w:t>deployment contexts</w:t>
      </w:r>
      <w:r w:rsidRPr="00EF477B">
        <w:t xml:space="preserve"> {U, V, …}; the local sections are the </w:t>
      </w:r>
      <w:r w:rsidRPr="00EF477B">
        <w:rPr>
          <w:i/>
          <w:iCs/>
        </w:rPr>
        <w:t>context-conditional behaviors</w:t>
      </w:r>
      <w:r w:rsidRPr="00EF477B">
        <w:t xml:space="preserve"> the trained weights induce on each context; the restriction maps are the specializations that carry a behavior valid in a broad context down to a narrower one; and the obstruction is the failure of those context-local behaviors to glue into one globally consistent function. The obstruction is thus a property of the </w:t>
      </w:r>
      <w:r w:rsidRPr="00EF477B">
        <w:rPr>
          <w:i/>
          <w:iCs/>
        </w:rPr>
        <w:t>presheaf of context-conditional behaviors the weights induce</w:t>
      </w:r>
      <w:r w:rsidRPr="00EF477B">
        <w:t>, not a quantity stored "in the weights": the weights are the parameters, the presheaf is what they compute across contexts, and it is on that presheaf that a nontrivial first cohomology class can obstruct gluing.</w:t>
      </w:r>
    </w:p>
    <w:p w14:paraId="16F45E00" w14:textId="77777777" w:rsidR="00EF477B" w:rsidRPr="00EF477B" w:rsidRDefault="00EF477B" w:rsidP="004D7FC3">
      <w:pPr>
        <w:jc w:val="both"/>
      </w:pPr>
      <w:r w:rsidRPr="00EF477B">
        <w:lastRenderedPageBreak/>
        <w:t xml:space="preserve">The world is not globally coherent — rules that hold in one context routinely contradict rules in an overlapping one. Where the cover is too coarse to separate two such contexts, the obstruction to gluing them is not resolved during pretraining; it is paved over. The induced presheaf carries a heuristic that holds on average, with the unresolved obstruction surviving as a </w:t>
      </w:r>
      <w:r w:rsidRPr="00EF477B">
        <w:rPr>
          <w:i/>
          <w:iCs/>
        </w:rPr>
        <w:t>false-zero gluing</w:t>
      </w:r>
      <w:r w:rsidRPr="00EF477B">
        <w:t>: a place where the behavior reads coherent because the resolution was too low to see that it is not. At the edge case where the average fails, the system acts confidently on a context where its sections do not in fact glue.</w:t>
      </w:r>
    </w:p>
    <w:p w14:paraId="37C6F5E0" w14:textId="77777777" w:rsidR="00EF477B" w:rsidRPr="00EF477B" w:rsidRDefault="00EF477B" w:rsidP="004D7FC3">
      <w:pPr>
        <w:jc w:val="both"/>
      </w:pPr>
      <w:r w:rsidRPr="00EF477B">
        <w:t xml:space="preserve">The failure is in neither of the two places one might first look. It is not that these architectures cannot represent context: a Transformer performs context-dependent assembly in its forward pass — read elsewhere in this series as a forward-flattened thalamocortical loop — so context-sensitivity is within reach of the existing mechanism. Nor is it that post-training never moves the representational base: full-backpropagation fine-tuning does move it, since re-coordinatizing the representation is what gradient descent on new data does. The failure is in </w:t>
      </w:r>
      <w:r w:rsidRPr="00EF477B">
        <w:rPr>
          <w:i/>
          <w:iCs/>
        </w:rPr>
        <w:t>how</w:t>
      </w:r>
      <w:r w:rsidRPr="00EF477B">
        <w:t xml:space="preserve"> the base is moved. Pretraining's gradient averaging settles contradictions by splitting the difference between incompatible contexts rather than separating them, re-entangling the very factors that must be pulled apart; and reinforcement from human feedback, the standard safety repair, is anchored by a KL penalty to stay close to the reference model (Ouyang et al. 2022), reshaping the output policy while leaving the underlying geometry in place. Neither performs the move the framework requires: a </w:t>
      </w:r>
      <w:r w:rsidRPr="00EF477B">
        <w:rPr>
          <w:i/>
          <w:iCs/>
        </w:rPr>
        <w:t>targeted</w:t>
      </w:r>
      <w:r w:rsidRPr="00EF477B">
        <w:t xml:space="preserve"> re-coordinatization, on a base held still, under a norm-preservation constraint that forbids inventing a coherence the data never supported, aimed by an explicit signal at the specific factors that must be separated. Untargeted base-movement re-averages and forgets; anchored masking does not move the base at all.</w:t>
      </w:r>
    </w:p>
    <w:p w14:paraId="66D35DFA" w14:textId="77777777" w:rsidR="00EF477B" w:rsidRPr="00587AA7" w:rsidRDefault="00EF477B" w:rsidP="00587AA7">
      <w:pPr>
        <w:pStyle w:val="Heading1"/>
        <w:rPr>
          <w:sz w:val="16"/>
          <w:szCs w:val="16"/>
        </w:rPr>
      </w:pPr>
      <w:r w:rsidRPr="00EF477B">
        <w:t xml:space="preserve">2. Two </w:t>
      </w:r>
      <w:r w:rsidRPr="00587AA7">
        <w:t>failure</w:t>
      </w:r>
      <w:r w:rsidRPr="00EF477B">
        <w:t xml:space="preserve"> </w:t>
      </w:r>
      <w:r w:rsidRPr="00587AA7">
        <w:t>modes</w:t>
      </w:r>
      <w:r w:rsidRPr="00EF477B">
        <w:t xml:space="preserve"> </w:t>
      </w:r>
      <w:r w:rsidRPr="00587AA7">
        <w:rPr>
          <w:sz w:val="32"/>
          <w:szCs w:val="32"/>
        </w:rPr>
        <w:t>of post-traini</w:t>
      </w:r>
      <w:r w:rsidRPr="00587AA7">
        <w:rPr>
          <w:sz w:val="32"/>
          <w:szCs w:val="32"/>
        </w:rPr>
        <w:t xml:space="preserve">ng: </w:t>
      </w:r>
      <w:r w:rsidRPr="00587AA7">
        <w:rPr>
          <w:sz w:val="24"/>
          <w:szCs w:val="24"/>
        </w:rPr>
        <w:t>masking and destructive overwrite</w:t>
      </w:r>
    </w:p>
    <w:p w14:paraId="55C92439" w14:textId="77777777" w:rsidR="00EF477B" w:rsidRPr="00EF477B" w:rsidRDefault="00EF477B" w:rsidP="004D7FC3">
      <w:pPr>
        <w:jc w:val="both"/>
      </w:pPr>
      <w:r w:rsidRPr="00EF477B">
        <w:t>When a pretrained model acts unsafely, the most common safety remedy is reinforcement from human feedback. It optimizes the output policy against a learned reward while a KL penalty holds the policy close to the pretrained reference; by design it stays near the base. It therefore does not repair the geometry but teaches the output distribution to route around the holes: the penalized behaviors become less probable while the obstructions that generated them remain in the induced presheaf, behind a mask that holds only across the region of behavior the feedback covered. Push the activations outside that region and the system falls back onto the uncorrected geometry and fails, often confidently. This is masking — the symptom relocated, the contradiction still carried.</w:t>
      </w:r>
    </w:p>
    <w:p w14:paraId="207F87D5" w14:textId="77777777" w:rsidR="00EF477B" w:rsidRPr="00EF477B" w:rsidRDefault="00EF477B" w:rsidP="004D7FC3">
      <w:pPr>
        <w:jc w:val="both"/>
      </w:pPr>
      <w:r w:rsidRPr="00EF477B">
        <w:t>Domain fine-tuning with full backpropagation is a different failure, not a mask. It moves the base, but blindly: trained on a new domain without protection for the old, gradient descent overwrites the parameters that supported prior competence — catastrophic forgetting, the long-documented failure of sequential learning in connectionist networks (McCloskey &amp; Cohen 1989; French 1999). The two standard post-training routes thus fail in two distinct ways — anchored alignment masks without moving the base, unprotected fine-tuning moves the base destructively — and neither separates the conflicting factors while protecting the rest. A pipeline built from these two moves exhibits brittleness as a structural property, not an incidental flaw.</w:t>
      </w:r>
    </w:p>
    <w:p w14:paraId="578ACA26" w14:textId="77777777" w:rsidR="00EF477B" w:rsidRPr="00EF477B" w:rsidRDefault="00EF477B" w:rsidP="00587AA7">
      <w:pPr>
        <w:pStyle w:val="Heading1"/>
      </w:pPr>
      <w:r w:rsidRPr="00EF477B">
        <w:t>3. The laboratory phase: computing the Coarse H⁰</w:t>
      </w:r>
    </w:p>
    <w:p w14:paraId="0279F07F" w14:textId="77777777" w:rsidR="00EF477B" w:rsidRPr="00EF477B" w:rsidRDefault="00EF477B" w:rsidP="004D7FC3">
      <w:pPr>
        <w:jc w:val="both"/>
      </w:pPr>
      <w:r w:rsidRPr="00EF477B">
        <w:t xml:space="preserve">The remedy is not to abandon large-scale pretraining but to demote it to its correct role. One cannot start an agent from an empty matrix and have it learn general world structure from scratch on a job site; the laboratory phase exists to provide a usable prior, and it resembles pretraining in its mechanics. </w:t>
      </w:r>
      <w:r w:rsidRPr="00EF477B">
        <w:lastRenderedPageBreak/>
        <w:t xml:space="preserve">Its architectural role is different: it establishes a </w:t>
      </w:r>
      <w:r w:rsidRPr="00EF477B">
        <w:rPr>
          <w:b/>
          <w:bCs/>
        </w:rPr>
        <w:t>Coarse H⁰</w:t>
      </w:r>
      <w:r w:rsidRPr="00EF477B">
        <w:t xml:space="preserve"> — a broad approximate global section over general knowledge, baseline physics, and language.</w:t>
      </w:r>
    </w:p>
    <w:p w14:paraId="1B0BDFB4" w14:textId="77777777" w:rsidR="00EF477B" w:rsidRPr="00EF477B" w:rsidRDefault="00EF477B" w:rsidP="004D7FC3">
      <w:pPr>
        <w:jc w:val="both"/>
      </w:pPr>
      <w:r w:rsidRPr="00EF477B">
        <w:t xml:space="preserve">The decisive move is in how this artifact is </w:t>
      </w:r>
      <w:r w:rsidRPr="00EF477B">
        <w:rPr>
          <w:i/>
          <w:iCs/>
        </w:rPr>
        <w:t>labelled</w:t>
      </w:r>
      <w:r w:rsidRPr="00EF477B">
        <w:t>. The Coarse H⁰ is accepted, by construction, as containing false-zero gluings and unresolved obstructions. It is sufficient for general reasoning and for orienting in a new domain; it is not certified for high-stakes physical execution. The error of the current paradigm is to ship the approximation as if it were the finished global section. The defensible move is to ship it as what it is — an initialization that has not yet earned domain certification — and to make earning that certification a separate, later, paid process.</w:t>
      </w:r>
    </w:p>
    <w:p w14:paraId="3191AC46" w14:textId="77777777" w:rsidR="00EF477B" w:rsidRPr="00EF477B" w:rsidRDefault="00EF477B" w:rsidP="00587AA7">
      <w:pPr>
        <w:pStyle w:val="Heading1"/>
      </w:pPr>
      <w:r w:rsidRPr="00EF477B">
        <w:t>4. The field phase: waking as the Presheaf Auditor</w:t>
      </w:r>
    </w:p>
    <w:p w14:paraId="3C8AC688" w14:textId="77777777" w:rsidR="00EF477B" w:rsidRPr="00EF477B" w:rsidRDefault="00EF477B" w:rsidP="004D7FC3">
      <w:pPr>
        <w:jc w:val="both"/>
      </w:pPr>
      <w:r w:rsidRPr="00EF477B">
        <w:t xml:space="preserve">Deployed into a specific high-stakes domain, the system enters </w:t>
      </w:r>
      <w:r w:rsidRPr="00EF477B">
        <w:rPr>
          <w:b/>
          <w:bCs/>
        </w:rPr>
        <w:t>presheaf mode</w:t>
      </w:r>
      <w:r w:rsidRPr="00EF477B">
        <w:t>, treating its Coarse H⁰ not as an oracle but as a presheaf: a body of local sections subject to restriction-map audits. The audit is cheap and local — the system does not compute global cohomology but measures whether a heuristic that held in a broad context fractures into high variance when restricted to the present narrow one. Three things follow on a fracture, and they are the same three the underlying theory specifies.</w:t>
      </w:r>
    </w:p>
    <w:p w14:paraId="32EF25BA" w14:textId="77777777" w:rsidR="00EF477B" w:rsidRPr="00EF477B" w:rsidRDefault="00EF477B" w:rsidP="004D7FC3">
      <w:pPr>
        <w:jc w:val="both"/>
      </w:pPr>
      <w:r w:rsidRPr="00EF477B">
        <w:rPr>
          <w:b/>
          <w:bCs/>
        </w:rPr>
        <w:t>Detection.</w:t>
      </w:r>
      <w:r w:rsidRPr="00EF477B">
        <w:t xml:space="preserve"> A coarse heuristic — "structural steel is rigid and predictable" — is restricted to a narrow domain context: a ten-tonne beam, rain-wet, lifted off-center. The restriction-map variance exceeds the precision tolerance ε(Π), and an obstruction is flagged. No global computation is required; the local fracture is the signal.</w:t>
      </w:r>
    </w:p>
    <w:p w14:paraId="1B870DA4" w14:textId="77777777" w:rsidR="00EF477B" w:rsidRPr="00EF477B" w:rsidRDefault="00EF477B" w:rsidP="004D7FC3">
      <w:pPr>
        <w:jc w:val="both"/>
      </w:pPr>
      <w:r w:rsidRPr="00EF477B">
        <w:rPr>
          <w:b/>
          <w:bCs/>
        </w:rPr>
        <w:t>Withhold.</w:t>
      </w:r>
      <w:r w:rsidRPr="00EF477B">
        <w:t xml:space="preserve"> Because the variance exceeds tolerance, the system refuses to execute over the obstruction. In the biological reading this is the medial-frontal conflict signal recruiting the subthalamic nucleus through the hyperdirect pathway, raising the release threshold — a proportional brake that buys time, not a binary stop. In the engineered system it is a hard chassis interrupt that halts the actuator before commitment. This is one of three distinct withholds the architecture keeps separate — a local semantic veto at the binding gate, this global motor brake on release, and a survival-level interrupt — and the field auditor's withhold is the motor brake: the robot holds before the crane moves rather than acting on a false-zero gluing.</w:t>
      </w:r>
    </w:p>
    <w:p w14:paraId="2723017B" w14:textId="77777777" w:rsidR="00EF477B" w:rsidRPr="00EF477B" w:rsidRDefault="00EF477B" w:rsidP="004D7FC3">
      <w:pPr>
        <w:jc w:val="both"/>
      </w:pPr>
      <w:r w:rsidRPr="00EF477B">
        <w:rPr>
          <w:b/>
          <w:bCs/>
        </w:rPr>
        <w:t>Tag.</w:t>
      </w:r>
      <w:r w:rsidRPr="00EF477B">
        <w:t xml:space="preserve"> The fracture produces a prediction error, and the error tags the units responsible — a chemical capture-tag in the biological reading, a metadata flag on the implicated parameters in the engineered one. The tag fires on the </w:t>
      </w:r>
      <w:r w:rsidRPr="00EF477B">
        <w:rPr>
          <w:i/>
          <w:iCs/>
        </w:rPr>
        <w:t>magnitude</w:t>
      </w:r>
      <w:r w:rsidRPr="00EF477B">
        <w:t xml:space="preserve"> of the surprise, so an unexpected success is tagged as strongly as an unexpected failure; it is a routing flag for later repair, not a reward signal, and it updates no weights in real time. The field phase audits and defers; it does not learn online.</w:t>
      </w:r>
    </w:p>
    <w:p w14:paraId="04FC884E" w14:textId="77777777" w:rsidR="00EF477B" w:rsidRPr="00EF477B" w:rsidRDefault="00EF477B" w:rsidP="004D7FC3">
      <w:pPr>
        <w:jc w:val="both"/>
      </w:pPr>
      <w:r w:rsidRPr="00EF477B">
        <w:rPr>
          <w:b/>
          <w:bCs/>
        </w:rPr>
        <w:t>The limit of the audit.</w:t>
      </w:r>
      <w:r w:rsidRPr="00EF477B">
        <w:t xml:space="preserve"> The auditor withholds on fractures it detects — restriction-map variance exceeding tolerance — but the most dangerous obstructions are the false-zero gluings, which raise no variance precisely because the current cover is too coarse to resolve the conflict. Against these the auditor is blind: it cannot withhold over a fracture that does not register. The field phase is therefore safe with respect to </w:t>
      </w:r>
      <w:r w:rsidRPr="00EF477B">
        <w:rPr>
          <w:i/>
          <w:iCs/>
        </w:rPr>
        <w:t>detected</w:t>
      </w:r>
      <w:r w:rsidRPr="00EF477B">
        <w:t xml:space="preserve"> obstructions, not safe absolutely, and the residual risk is exactly the unresolved false-zero set. Its only remedy is a finer cover, which makes cover-refinement a permanent requirement of deployment rather than a one-time clearance: the audit's resolution must keep rising against a domain that will keep presenting conflicts the previous resolution could not see. The audit converts confident catastrophic failure into detected withholding wherever it has the resolution to see the conflict, and the standing engineering task is to keep widening where it can see.</w:t>
      </w:r>
    </w:p>
    <w:p w14:paraId="6705C9C9" w14:textId="77777777" w:rsidR="00EF477B" w:rsidRPr="00EF477B" w:rsidRDefault="00EF477B" w:rsidP="00BE097E">
      <w:pPr>
        <w:pStyle w:val="Heading1"/>
      </w:pPr>
      <w:r w:rsidRPr="00EF477B">
        <w:lastRenderedPageBreak/>
        <w:t>5. The offline phase: the Polarization Lift</w:t>
      </w:r>
    </w:p>
    <w:p w14:paraId="641B1FB9" w14:textId="77777777" w:rsidR="00EF477B" w:rsidRPr="00EF477B" w:rsidRDefault="00EF477B" w:rsidP="004D7FC3">
      <w:pPr>
        <w:jc w:val="both"/>
      </w:pPr>
      <w:r w:rsidRPr="00EF477B">
        <w:t xml:space="preserve">An agent that only audits and withholds would be safe and permanently incompetent, frozen by every domain contradiction it correctly detects. To gain expertise it must </w:t>
      </w:r>
      <w:r w:rsidRPr="00EF477B">
        <w:rPr>
          <w:i/>
          <w:iCs/>
        </w:rPr>
        <w:t>resolve</w:t>
      </w:r>
      <w:r w:rsidRPr="00EF477B">
        <w:t xml:space="preserve"> the obstructions, and resolution cannot be had cheaply. It is not a free formal operation and not a real-time learning-rate nudge: it is paid geometric work, performed offline, on a base held still.</w:t>
      </w:r>
    </w:p>
    <w:p w14:paraId="7F9CF823" w14:textId="77777777" w:rsidR="00EF477B" w:rsidRPr="00EF477B" w:rsidRDefault="00EF477B" w:rsidP="004D7FC3">
      <w:pPr>
        <w:jc w:val="both"/>
      </w:pPr>
      <w:r w:rsidRPr="00EF477B">
        <w:rPr>
          <w:b/>
          <w:bCs/>
        </w:rPr>
        <w:t>The operation.</w:t>
      </w:r>
      <w:r w:rsidRPr="00EF477B">
        <w:t xml:space="preserve"> During dedicated offline cycles — decoupled from live input, the engineered analogue of sleep, run on local domain servers — the system works the tagged priority queue. It executes the Polarization Lift: an expensive, norm-preserving re-coordinatization that re-orthogonalizes the representational base until the general concept ("metal") is structurally separated from the domain-specific one ("wet, load-bearing, off-center construction steel"). The obstruction is not destroyed in place; it is resolved by moving to a base on which the formerly incompatible sections glue. Norm-preservation keeps the lift honest, forbidding the fabrication of a coherence the data did not contain — which would be hallucination dressed as learning.</w:t>
      </w:r>
    </w:p>
    <w:p w14:paraId="43E84130" w14:textId="77777777" w:rsidR="00EF477B" w:rsidRPr="00EF477B" w:rsidRDefault="00EF477B" w:rsidP="004D7FC3">
      <w:pPr>
        <w:jc w:val="both"/>
      </w:pPr>
      <w:r w:rsidRPr="00EF477B">
        <w:rPr>
          <w:b/>
          <w:bCs/>
        </w:rPr>
        <w:t>Liftable and irreducible obstructions.</w:t>
      </w:r>
      <w:r w:rsidRPr="00EF477B">
        <w:t xml:space="preserve"> Not every obstruction yields to the lift. Some are artifacts of coarseness — a conflict that looks irreducible at low resolution but is clean once the base is refined or enlarged, the way a self-crossing in two dimensions has no crossing in three. These are </w:t>
      </w:r>
      <w:r w:rsidRPr="00EF477B">
        <w:rPr>
          <w:i/>
          <w:iCs/>
        </w:rPr>
        <w:t>liftable</w:t>
      </w:r>
      <w:r w:rsidRPr="00EF477B">
        <w:t xml:space="preserve">: re-coordinatizing or expanding the base discharges them. Others are </w:t>
      </w:r>
      <w:r w:rsidRPr="00EF477B">
        <w:rPr>
          <w:i/>
          <w:iCs/>
        </w:rPr>
        <w:t>genuine</w:t>
      </w:r>
      <w:r w:rsidRPr="00EF477B">
        <w:t xml:space="preserve"> — a true incompatibility intrinsic to the domain, irreducible at any dimension, the analogue of a Möbius twist that no choice of chart removes; for these there is no base on which the sections glue, and the only defensible response is to keep withholding, carrying the obstruction as a permanent no-go region rather than manufacturing a coherence that is not there. The lift's promise is bounded accordingly: it resolves the liftable obstructions and exposes the irreducible ones as standing constraints. A lift claimed to dissolve </w:t>
      </w:r>
      <w:r w:rsidRPr="00EF477B">
        <w:rPr>
          <w:i/>
          <w:iCs/>
        </w:rPr>
        <w:t>any</w:t>
      </w:r>
      <w:r w:rsidRPr="00EF477B">
        <w:t xml:space="preserve"> domain contradiction would merely relocate the "learning is free" error from a formal functor to base-expansion; the architecture distinguishes the contradiction it can pay to resolve from the one it must permanently respect.</w:t>
      </w:r>
    </w:p>
    <w:p w14:paraId="4019AC9F" w14:textId="77777777" w:rsidR="00EF477B" w:rsidRPr="00EF477B" w:rsidRDefault="00EF477B" w:rsidP="004D7FC3">
      <w:pPr>
        <w:jc w:val="both"/>
      </w:pPr>
      <w:r w:rsidRPr="00EF477B">
        <w:rPr>
          <w:b/>
          <w:bCs/>
        </w:rPr>
        <w:t>Why the audit must come first.</w:t>
      </w:r>
      <w:r w:rsidRPr="00EF477B">
        <w:t xml:space="preserve"> The lift orthogonalizes a base but does not, on its own, discover the correct factorization. Unsupervised disentanglement is fundamentally impossible without inductive biases on both the model and the data (Locatello et al. 2019): for any dataset, many equally good representations differ wildly in how they entangle the factors, and nothing in an unsupervised objective selects the disentangled one. The lift must be told where to cut, and the field audit supplies exactly that — the localized obstruction, with its capture-tag, is the inductive bias that points the lift at the axis along which the conflicting concepts must be separated. The ordering is forced, not stylistic: a system that lifted without first auditing would re-coordinatize blindly. The bias is </w:t>
      </w:r>
      <w:r w:rsidRPr="00EF477B">
        <w:rPr>
          <w:i/>
          <w:iCs/>
        </w:rPr>
        <w:t>local</w:t>
      </w:r>
      <w:r w:rsidRPr="00EF477B">
        <w:t>, however: the tag localizes that two factors conflicted in a particular instance, not the global factorization. Recovering the right axis from sparse local tags is itself underdetermined — a beam that slipped does not by itself say which factor was responsible — so the audit makes each local lift well-posed without guaranteeing that the accumulated lifts compose into a globally optimal base. What the audit buys is a principled local direction to cut; whether many cuts assemble into one clean global factorization is left open, a credit-assignment problem the architecture does not claim to have solved.</w:t>
      </w:r>
    </w:p>
    <w:p w14:paraId="340035F7" w14:textId="77777777" w:rsidR="00EF477B" w:rsidRPr="00EF477B" w:rsidRDefault="00EF477B" w:rsidP="004D7FC3">
      <w:pPr>
        <w:jc w:val="both"/>
      </w:pPr>
      <w:r w:rsidRPr="00EF477B">
        <w:rPr>
          <w:b/>
          <w:bCs/>
        </w:rPr>
        <w:t>What the lift earns.</w:t>
      </w:r>
      <w:r w:rsidRPr="00EF477B">
        <w:t xml:space="preserve"> After the offline cycle the agent has discharged the specific audited obstructions of its domain and is cleared for that domain — for the contexts it has actually audited and resolved. It is not globally contradiction-free; certification is bounded to the audited domain, as throughout this series. Within that domain the agent now glues where it previously fractured, having converted a coarse prior into domain expertise by paying for it rather than masking the places it had not.</w:t>
      </w:r>
    </w:p>
    <w:p w14:paraId="07231548" w14:textId="77777777" w:rsidR="00EF477B" w:rsidRPr="00EF477B" w:rsidRDefault="00EF477B" w:rsidP="004D7FC3">
      <w:pPr>
        <w:jc w:val="both"/>
      </w:pPr>
      <w:r w:rsidRPr="00EF477B">
        <w:lastRenderedPageBreak/>
        <w:t xml:space="preserve">The non-interference this requires — lifting the new domain's factors without overwriting the old — is the central, only-partially-solved problem of continual learning, and the lift's orthogonalization sits in an established lineage of partial solutions: the gradient-projection family, which confines new-task updates to directions orthogonal to the subspace carrying old competence (Lopez-Paz &amp; Ranzato 2017; Farajtabar et al. 2020; Saha et al. 2021), and the regularization family, which protects important parameters from drift (elastic weight consolidation, Kirkpatrick et al. 2017, framed there as artificial synaptic consolidation). The lift is the representation-space analogue of the gradient-projection family — orthogonalize the base so new factors do not collide with old — a structural kinship rather than an identity, since those methods orthogonalize gradient-update directions across tasks while the lift orthogonalizes the representational base to disentangle concepts. It therefore </w:t>
      </w:r>
      <w:r w:rsidRPr="00EF477B">
        <w:rPr>
          <w:i/>
          <w:iCs/>
        </w:rPr>
        <w:t>bounds</w:t>
      </w:r>
      <w:r w:rsidRPr="00EF477B">
        <w:t xml:space="preserve"> forgetting in that lineage rather than eliminating it; these methods are known to degrade over long task sequences. And they buy non-interference at a measurable cost — storage and per-update orthogonalization that scale with what must be protected — which is the thermodynamic spine of this series in the continual-learning literature's own terms: non-interfering consolidation is paid, and the price scales. The lift does not escape that cost; it is that cost, named and scheduled.</w:t>
      </w:r>
    </w:p>
    <w:p w14:paraId="67F428BF" w14:textId="77777777" w:rsidR="00EF477B" w:rsidRPr="00EF477B" w:rsidRDefault="00EF477B" w:rsidP="00BE097E">
      <w:pPr>
        <w:pStyle w:val="Heading1"/>
      </w:pPr>
      <w:r w:rsidRPr="00EF477B">
        <w:t>6. The design rule for AGI</w:t>
      </w:r>
    </w:p>
    <w:p w14:paraId="1CCC0D11" w14:textId="77777777" w:rsidR="00EF477B" w:rsidRPr="00EF477B" w:rsidRDefault="00EF477B" w:rsidP="004D7FC3">
      <w:pPr>
        <w:jc w:val="both"/>
      </w:pPr>
      <w:r w:rsidRPr="00EF477B">
        <w:t>Pretrain-then-finetune is a compression strategy with no discharge step, and a system that averages its contradictions and masks the residue will fail at the edges of its distribution — predictably, and in proportion to how far the deployment context exceeds the finetuned band. The defensible alternative manufactures capability in three phases that mirror the two regimes of Dynamic Predictive Gluing: a laboratory phase that computes a Coarse H⁰ and labels it as the unfinished approximation it is; a field phase that operates as a Presheaf Auditor, withholding action over detected obstructions and tagging them rather than acting through them; and an offline phase that pays the Polarization Lift to resolve the tagged obstructions on a held-still base, under norm-preservation, guided by the audit's inductive bias.</w:t>
      </w:r>
    </w:p>
    <w:p w14:paraId="5B1E0B4F" w14:textId="77777777" w:rsidR="00EF477B" w:rsidRPr="00EF477B" w:rsidRDefault="00EF477B" w:rsidP="004D7FC3">
      <w:pPr>
        <w:jc w:val="both"/>
      </w:pPr>
      <w:r w:rsidRPr="00EF477B">
        <w:t>Generalization, on this account, is not the emergent reward of scale but the topological guarantee that a system's deployment data has undergone the offline geometric labor that discharges its contradictions — that where the system acts coherently, it does so over a base it has paid to make coherent rather than over a hole it has learned to step around. The thesis is a design conjecture, falsifiable in its parts: the audit's withhold, the surprise-gated tag, the lift's dependence on a held-still base and an inductive bias, and the claim — bounded, not absolute — that under a real-time budget against a domain presenting conflicts faster than online updating can hold the base still to resolve them, a system cannot reach defensible domain competence by anchored masking alone.</w:t>
      </w:r>
    </w:p>
    <w:p w14:paraId="2AA4B024" w14:textId="77777777" w:rsidR="00EF477B" w:rsidRPr="00EF477B" w:rsidRDefault="00EF477B" w:rsidP="004D7FC3">
      <w:pPr>
        <w:jc w:val="both"/>
      </w:pPr>
      <w:r w:rsidRPr="00EF477B">
        <w:t xml:space="preserve">The condition is worth naming, because it is also a mechanism. The lift is substrate-exclusive: the base cannot be re-coordinatized while it is actively gluing against a moving world, so a single-substrate agent must preempt operation to run it, batching the necessary lift into whatever window carries the lowest opportunity cost — the economics by which a low-demand phase is the natural time to go offline. A shardable cloud fleet escapes the constraint, running the lift on a replica while the live model keeps serving, and so need never sleep; what closes that escape hatch is data sovereignty, since a privacy boundary forbidding the export of domain data forces the agent back onto one local substrate and reinstates the exclusivity. The prediction follows: an always-on, un-shardable, privacy-bounded agent under continuous demand has neither a window to batch the lift into nor a replica to offload it onto, and the framework predicts it degrades as a sleep-deprived system does — accumulating unresolved obstruction, widening tolerance, and acting confidently across contradictions it can no longer afford </w:t>
      </w:r>
      <w:r w:rsidRPr="00EF477B">
        <w:lastRenderedPageBreak/>
        <w:t>to resolve. That class of system — embodied, on-site, data-sovereign — is precisely the deployment this series targets, and is where the bounded necessity bites hardest.</w:t>
      </w:r>
    </w:p>
    <w:p w14:paraId="0B0611C6" w14:textId="77777777" w:rsidR="00EF477B" w:rsidRPr="00EF477B" w:rsidRDefault="00EF477B" w:rsidP="004D7FC3">
      <w:pPr>
        <w:jc w:val="both"/>
      </w:pPr>
      <w:r w:rsidRPr="00EF477B">
        <w:t>A design conjecture earns its keep by a differential prediction. Take a strong fine-tune-then-deploy baseline and an audit-then-lift agent matched on total compute, and evaluate both on held-out edge cases of an audited domain — contexts inside the domain but outside the fine-tuning distribution. The prediction is a dissociation: at those edges the baseline produces confident errors, the high-confidence high-error signature of acting over an unresolved false-zero gluing, while the audit-then-lift agent produces detected withholdings that convert, after an offline cycle, into correct actions — and it retains its general competence where the fine-tuned baseline shows catastrophic forgetting. Should the audited agent fail to separate confident-error from withhold-then-resolve at the edges, or should its offline lift fail to reduce edge-case confident error beyond what matched additional fine-tuning achieves, the central claim is false. The experiment is runnable with current methods, and the framework stakes itself on its outcome.</w:t>
      </w:r>
    </w:p>
    <w:p w14:paraId="15A8FAEC" w14:textId="77777777" w:rsidR="00EF477B" w:rsidRPr="00EF477B" w:rsidRDefault="00EF477B" w:rsidP="00BE097E">
      <w:pPr>
        <w:pStyle w:val="Heading1"/>
      </w:pPr>
      <w:r w:rsidRPr="00EF477B">
        <w:t>Appendix A — The engineering blueprint</w:t>
      </w:r>
    </w:p>
    <w:p w14:paraId="0EAEDF52" w14:textId="77777777" w:rsidR="00EF477B" w:rsidRPr="00EF477B" w:rsidRDefault="00EF477B" w:rsidP="004D7FC3">
      <w:pPr>
        <w:jc w:val="both"/>
      </w:pPr>
      <w:r w:rsidRPr="00EF477B">
        <w:t>The thesis maps to a factory-to-field manufacturing pipeline.</w:t>
      </w:r>
    </w:p>
    <w:p w14:paraId="65B9FE04" w14:textId="77777777" w:rsidR="00EF477B" w:rsidRPr="00EF477B" w:rsidRDefault="00EF477B" w:rsidP="004D7FC3">
      <w:pPr>
        <w:jc w:val="both"/>
      </w:pPr>
      <w:r w:rsidRPr="00EF477B">
        <w:rPr>
          <w:b/>
          <w:bCs/>
        </w:rPr>
        <w:t>Phase 1 — The factory (centralized initialization).</w:t>
      </w:r>
      <w:r w:rsidRPr="00EF477B">
        <w:t xml:space="preserve"> Ingest large general datasets — language, baseline physics, spatial structure — on centralized clusters. The output is the </w:t>
      </w:r>
      <w:r w:rsidRPr="00EF477B">
        <w:rPr>
          <w:b/>
          <w:bCs/>
        </w:rPr>
        <w:t>Coarse H⁰</w:t>
      </w:r>
      <w:r w:rsidRPr="00EF477B">
        <w:t xml:space="preserve">: an advanced initialization, accepted to contain unresolved obstructions and false-zero gluings, and explicitly not a deployment-ready oracle. The deliverable is as much the </w:t>
      </w:r>
      <w:r w:rsidRPr="00EF477B">
        <w:rPr>
          <w:i/>
          <w:iCs/>
        </w:rPr>
        <w:t>label</w:t>
      </w:r>
      <w:r w:rsidRPr="00EF477B">
        <w:t xml:space="preserve"> as the weights: the artifact ships marked as uncertified for high-stakes execution.</w:t>
      </w:r>
    </w:p>
    <w:p w14:paraId="2B52C642" w14:textId="77777777" w:rsidR="00EF477B" w:rsidRPr="00EF477B" w:rsidRDefault="00EF477B" w:rsidP="004D7FC3">
      <w:pPr>
        <w:jc w:val="both"/>
      </w:pPr>
      <w:r w:rsidRPr="00EF477B">
        <w:rPr>
          <w:b/>
          <w:bCs/>
        </w:rPr>
        <w:t>Phase 2 — The field auditor (edge deployment).</w:t>
      </w:r>
      <w:r w:rsidRPr="00EF477B">
        <w:t xml:space="preserve"> Deploy the model into a specific physical or logical domain, operating strictly as a Presheaf Auditor. As the Coarse H⁰ meets domain reality, restriction-map variance is measured against ε(Π); where it exceeds tolerance, an engineered conflict-to-interrupt circuit (the functional analogue of the medial-frontal → subthalamic withhold) raises the release threshold and halts unsafe action, and the implicated parameters are tagged on the magnitude of the prediction error. No weights are updated in real time. The phase is safe with respect to detected obstructions — they produce withholding, not action — but blind to the false-zero obstructions the current cover cannot resolve (§4); cover-refinement is a standing requirement, not a one-time clearance.</w:t>
      </w:r>
    </w:p>
    <w:p w14:paraId="218C8D8C" w14:textId="77777777" w:rsidR="00EF477B" w:rsidRPr="00EF477B" w:rsidRDefault="00EF477B" w:rsidP="004D7FC3">
      <w:pPr>
        <w:jc w:val="both"/>
      </w:pPr>
      <w:r w:rsidRPr="00EF477B">
        <w:rPr>
          <w:b/>
          <w:bCs/>
        </w:rPr>
        <w:t>Phase 3 — The local offline engine (domain resolution).</w:t>
      </w:r>
      <w:r w:rsidRPr="00EF477B">
        <w:t xml:space="preserve"> The deployed agent runs dedicated offline cycles, decoupled from live input, on local edge servers, processing the tagged priority queue. It executes the Polarization Lift — re-orthogonalizing the base to separate the conflicting sections, paying the compute cost to move the base rather than to mask the output — guided by the audit's tags as the inductive bias that selects the factorization. The agent returns to service having resolved the specific audited obstructions of its domain, cleared for the contexts it has audited. Because resolution proceeds on a held-still base under norm-preservation and is targeted by tags rather than applied globally, the update aims to extend competence while </w:t>
      </w:r>
      <w:r w:rsidRPr="00EF477B">
        <w:rPr>
          <w:i/>
          <w:iCs/>
        </w:rPr>
        <w:t>bounding</w:t>
      </w:r>
      <w:r w:rsidRPr="00EF477B">
        <w:t xml:space="preserve"> interference with prior structure — the representation-space analogue of orthogonal-projection continual learning (§5), which mitigates but does not abolish forgetting and pays a cost that scales with what it protects. This phase, not Phase 1, is where domain expertise is actually earned.</w:t>
      </w:r>
    </w:p>
    <w:p w14:paraId="281EF6D9" w14:textId="77777777" w:rsidR="00EF477B" w:rsidRPr="00EF477B" w:rsidRDefault="00EF477B" w:rsidP="004D7FC3">
      <w:pPr>
        <w:jc w:val="both"/>
      </w:pPr>
      <w:r w:rsidRPr="00EF477B">
        <w:t xml:space="preserve">The pipeline's discipline is a single inversion of the current one: certification is not granted at the factory and defended by masking in the field; it is withheld at the factory and </w:t>
      </w:r>
      <w:r w:rsidRPr="00EF477B">
        <w:rPr>
          <w:i/>
          <w:iCs/>
        </w:rPr>
        <w:t>earned</w:t>
      </w:r>
      <w:r w:rsidRPr="00EF477B">
        <w:t xml:space="preserve"> in the field, one audited-and-lifted obstruction at a time.</w:t>
      </w:r>
    </w:p>
    <w:p w14:paraId="18FC4CC4" w14:textId="77777777" w:rsidR="00EF477B" w:rsidRPr="00EF477B" w:rsidRDefault="00EF477B" w:rsidP="00961795">
      <w:pPr>
        <w:pStyle w:val="Heading1"/>
      </w:pPr>
      <w:r w:rsidRPr="00EF477B">
        <w:lastRenderedPageBreak/>
        <w:t>Bibliography</w:t>
      </w:r>
    </w:p>
    <w:p w14:paraId="2219CA41" w14:textId="77777777" w:rsidR="00EF477B" w:rsidRPr="00EF477B" w:rsidRDefault="00EF477B" w:rsidP="00961795">
      <w:pPr>
        <w:pStyle w:val="Heading2"/>
      </w:pPr>
      <w:r w:rsidRPr="00EF477B">
        <w:t>Companion papers (this series).</w:t>
      </w:r>
    </w:p>
    <w:p w14:paraId="5270EB4A" w14:textId="77777777" w:rsidR="00EF477B" w:rsidRPr="00EF477B" w:rsidRDefault="00EF477B" w:rsidP="004D7FC3">
      <w:pPr>
        <w:numPr>
          <w:ilvl w:val="0"/>
          <w:numId w:val="1"/>
        </w:numPr>
        <w:jc w:val="both"/>
      </w:pPr>
      <w:r w:rsidRPr="00EF477B">
        <w:t xml:space="preserve">Ghosh, D. P. (2026). </w:t>
      </w:r>
      <w:r w:rsidRPr="00EF477B">
        <w:rPr>
          <w:i/>
          <w:iCs/>
        </w:rPr>
        <w:t>Dynamic Predictive Gluing: A sheaf-theoretic theory of consciousness and the necessity of sleep, as the online and offline regimes of coherence maintenance.</w:t>
      </w:r>
      <w:r w:rsidRPr="00EF477B">
        <w:t xml:space="preserve"> doi:10.13140/RG.2.2.19848.99846. (The two-regime lifecycle; prediction error as gluing obstruction; the presheaf auditor and the polarization lift; the design rule this paper builds out.)</w:t>
      </w:r>
    </w:p>
    <w:p w14:paraId="50FF6141" w14:textId="77777777" w:rsidR="00EF477B" w:rsidRPr="00EF477B" w:rsidRDefault="00EF477B" w:rsidP="004D7FC3">
      <w:pPr>
        <w:numPr>
          <w:ilvl w:val="0"/>
          <w:numId w:val="1"/>
        </w:numPr>
        <w:jc w:val="both"/>
      </w:pPr>
      <w:r w:rsidRPr="00EF477B">
        <w:t xml:space="preserve">Ghosh, D. P. </w:t>
      </w:r>
      <w:r w:rsidRPr="00EF477B">
        <w:rPr>
          <w:i/>
          <w:iCs/>
        </w:rPr>
        <w:t>The Geometry of Defensible Action</w:t>
      </w:r>
      <w:r w:rsidRPr="00EF477B">
        <w:t xml:space="preserve"> (Paper 1). doi:10.13140/RG.2.2.24454.54080. (The enrichment ladder; the offline norm-preserving polarization lift; Hahn–Banach norm-preservation as the no-fabrication guarantee.)</w:t>
      </w:r>
    </w:p>
    <w:p w14:paraId="7042DF9D" w14:textId="77777777" w:rsidR="00EF477B" w:rsidRPr="00EF477B" w:rsidRDefault="00EF477B" w:rsidP="004D7FC3">
      <w:pPr>
        <w:numPr>
          <w:ilvl w:val="0"/>
          <w:numId w:val="1"/>
        </w:numPr>
        <w:jc w:val="both"/>
      </w:pPr>
      <w:r w:rsidRPr="00EF477B">
        <w:t xml:space="preserve">Ghosh, D. P. (2026). </w:t>
      </w:r>
      <w:r w:rsidRPr="00EF477B">
        <w:rPr>
          <w:i/>
          <w:iCs/>
        </w:rPr>
        <w:t>The Categorical Foundations of the Thermodynamic–Electric Coupling</w:t>
      </w:r>
      <w:r w:rsidRPr="00EF477B">
        <w:t xml:space="preserve"> (Paper 2). doi:10.13140/RG.2.2.11096.66566. (The precision tolerance ε(Π) read against restriction-map variance.)</w:t>
      </w:r>
    </w:p>
    <w:p w14:paraId="5089848B" w14:textId="77777777" w:rsidR="00EF477B" w:rsidRPr="00EF477B" w:rsidRDefault="00EF477B" w:rsidP="004D7FC3">
      <w:pPr>
        <w:numPr>
          <w:ilvl w:val="0"/>
          <w:numId w:val="1"/>
        </w:numPr>
        <w:jc w:val="both"/>
      </w:pPr>
      <w:r w:rsidRPr="00EF477B">
        <w:t xml:space="preserve">Ghosh, D. P. </w:t>
      </w:r>
      <w:r w:rsidRPr="00EF477B">
        <w:rPr>
          <w:i/>
          <w:iCs/>
        </w:rPr>
        <w:t>The Algorithm of the 3→6-Layer Cortex.</w:t>
      </w:r>
      <w:r w:rsidRPr="00EF477B">
        <w:t xml:space="preserve"> (The cup-product gate; the restriction-map / hypercovering treatment of false-zero gluing; the layer-5 integrate-and-gate hardware.)</w:t>
      </w:r>
    </w:p>
    <w:p w14:paraId="46AEA1BC" w14:textId="77777777" w:rsidR="00EF477B" w:rsidRPr="00EF477B" w:rsidRDefault="00EF477B" w:rsidP="004D7FC3">
      <w:pPr>
        <w:numPr>
          <w:ilvl w:val="0"/>
          <w:numId w:val="1"/>
        </w:numPr>
        <w:jc w:val="both"/>
      </w:pPr>
      <w:r w:rsidRPr="00EF477B">
        <w:t xml:space="preserve">Ghosh, D. P. </w:t>
      </w:r>
      <w:r w:rsidRPr="00EF477B">
        <w:rPr>
          <w:i/>
          <w:iCs/>
        </w:rPr>
        <w:t>The Transformer as a forward-flattened thalamocortical loop.</w:t>
      </w:r>
      <w:r w:rsidRPr="00EF477B">
        <w:t xml:space="preserve"> (The reading of attention as context-dependent forward-pass gluing, on which §1's critique depends.)</w:t>
      </w:r>
    </w:p>
    <w:p w14:paraId="347F8FF3" w14:textId="77777777" w:rsidR="00EF477B" w:rsidRPr="00EF477B" w:rsidRDefault="00EF477B" w:rsidP="00961795">
      <w:pPr>
        <w:pStyle w:val="Heading2"/>
      </w:pPr>
      <w:r w:rsidRPr="00EF477B">
        <w:t>The disentanglement prerequisite.</w:t>
      </w:r>
    </w:p>
    <w:p w14:paraId="1CC23146" w14:textId="77777777" w:rsidR="00EF477B" w:rsidRPr="00EF477B" w:rsidRDefault="00EF477B" w:rsidP="004D7FC3">
      <w:pPr>
        <w:numPr>
          <w:ilvl w:val="0"/>
          <w:numId w:val="2"/>
        </w:numPr>
        <w:jc w:val="both"/>
      </w:pPr>
      <w:r w:rsidRPr="00EF477B">
        <w:t xml:space="preserve">Locatello, F., Bauer, S., Lucic, M., Rätsch, G., Gelly, S., Schölkopf, B., &amp; Bachem, O. (2019). Challenging common assumptions in the unsupervised learning of disentangled representations. </w:t>
      </w:r>
      <w:r w:rsidRPr="00EF477B">
        <w:rPr>
          <w:i/>
          <w:iCs/>
        </w:rPr>
        <w:t>Proceedings of the 36th International Conference on Machine Learning</w:t>
      </w:r>
      <w:r w:rsidRPr="00EF477B">
        <w:t>, PMLR 97:4114–4124. arXiv:1811.12359. (Unsupervised disentanglement is fundamentally impossible without inductive biases on both the model and the data — the result that forces the audit-before-lift ordering.)</w:t>
      </w:r>
    </w:p>
    <w:p w14:paraId="60E915A8" w14:textId="77777777" w:rsidR="00EF477B" w:rsidRPr="00EF477B" w:rsidRDefault="00EF477B" w:rsidP="00961795">
      <w:pPr>
        <w:pStyle w:val="Heading2"/>
      </w:pPr>
      <w:r w:rsidRPr="00EF477B">
        <w:t>Machine learning: forgetting, continual learning, and alignment.</w:t>
      </w:r>
    </w:p>
    <w:p w14:paraId="68F0B5F4" w14:textId="77777777" w:rsidR="00EF477B" w:rsidRPr="00EF477B" w:rsidRDefault="00EF477B" w:rsidP="004D7FC3">
      <w:pPr>
        <w:numPr>
          <w:ilvl w:val="0"/>
          <w:numId w:val="3"/>
        </w:numPr>
        <w:jc w:val="both"/>
      </w:pPr>
      <w:r w:rsidRPr="00EF477B">
        <w:t xml:space="preserve">McCloskey, M., &amp; Cohen, N. J. (1989). Catastrophic interference in connectionist networks: the sequential learning problem. </w:t>
      </w:r>
      <w:r w:rsidRPr="00EF477B">
        <w:rPr>
          <w:i/>
          <w:iCs/>
        </w:rPr>
        <w:t>The Psychology of Learning and Motivation</w:t>
      </w:r>
      <w:r w:rsidRPr="00EF477B">
        <w:t xml:space="preserve"> 24, 109–165.</w:t>
      </w:r>
    </w:p>
    <w:p w14:paraId="75814F5E" w14:textId="77777777" w:rsidR="00EF477B" w:rsidRPr="00EF477B" w:rsidRDefault="00EF477B" w:rsidP="004D7FC3">
      <w:pPr>
        <w:numPr>
          <w:ilvl w:val="0"/>
          <w:numId w:val="3"/>
        </w:numPr>
        <w:jc w:val="both"/>
      </w:pPr>
      <w:r w:rsidRPr="00EF477B">
        <w:t xml:space="preserve">French, R. M. (1999). Catastrophic forgetting in connectionist networks. </w:t>
      </w:r>
      <w:r w:rsidRPr="00EF477B">
        <w:rPr>
          <w:i/>
          <w:iCs/>
        </w:rPr>
        <w:t>Trends in Cognitive Sciences</w:t>
      </w:r>
      <w:r w:rsidRPr="00EF477B">
        <w:t xml:space="preserve"> 3(4), 128–135.</w:t>
      </w:r>
    </w:p>
    <w:p w14:paraId="7CCEC168" w14:textId="77777777" w:rsidR="00EF477B" w:rsidRPr="00EF477B" w:rsidRDefault="00EF477B" w:rsidP="004D7FC3">
      <w:pPr>
        <w:numPr>
          <w:ilvl w:val="0"/>
          <w:numId w:val="3"/>
        </w:numPr>
        <w:jc w:val="both"/>
      </w:pPr>
      <w:r w:rsidRPr="00EF477B">
        <w:t xml:space="preserve">Kirkpatrick, J., et al. (2017). Overcoming catastrophic forgetting in neural networks. </w:t>
      </w:r>
      <w:r w:rsidRPr="00EF477B">
        <w:rPr>
          <w:i/>
          <w:iCs/>
        </w:rPr>
        <w:t>PNAS</w:t>
      </w:r>
      <w:r w:rsidRPr="00EF477B">
        <w:t xml:space="preserve"> 114(13), 3521–3526. doi:10.1073/pnas.1611835114. (Elastic weight consolidation; the regularization family, framed as artificial synaptic consolidation.)</w:t>
      </w:r>
    </w:p>
    <w:p w14:paraId="22DEA127" w14:textId="77777777" w:rsidR="00EF477B" w:rsidRPr="00EF477B" w:rsidRDefault="00EF477B" w:rsidP="004D7FC3">
      <w:pPr>
        <w:numPr>
          <w:ilvl w:val="0"/>
          <w:numId w:val="3"/>
        </w:numPr>
        <w:jc w:val="both"/>
      </w:pPr>
      <w:r w:rsidRPr="00EF477B">
        <w:t xml:space="preserve">Lopez-Paz, D., &amp; Ranzato, M. (2017). Gradient episodic memory for continual learning. </w:t>
      </w:r>
      <w:r w:rsidRPr="00EF477B">
        <w:rPr>
          <w:i/>
          <w:iCs/>
        </w:rPr>
        <w:t>NeurIPS.</w:t>
      </w:r>
      <w:r w:rsidRPr="00EF477B">
        <w:t xml:space="preserve"> arXiv:1706.08840.</w:t>
      </w:r>
    </w:p>
    <w:p w14:paraId="51D91E13" w14:textId="77777777" w:rsidR="00EF477B" w:rsidRPr="00EF477B" w:rsidRDefault="00EF477B" w:rsidP="004D7FC3">
      <w:pPr>
        <w:numPr>
          <w:ilvl w:val="0"/>
          <w:numId w:val="3"/>
        </w:numPr>
        <w:jc w:val="both"/>
      </w:pPr>
      <w:r w:rsidRPr="00EF477B">
        <w:t xml:space="preserve">Farajtabar, M., Azizan, N., Mott, A., &amp; Li, A. (2020). Orthogonal gradient descent for continual learning. </w:t>
      </w:r>
      <w:r w:rsidRPr="00EF477B">
        <w:rPr>
          <w:i/>
          <w:iCs/>
        </w:rPr>
        <w:t>AISTATS.</w:t>
      </w:r>
      <w:r w:rsidRPr="00EF477B">
        <w:t xml:space="preserve"> arXiv:1910.07104. (New-task updates projected into the orthogonal complement of past-task gradient directions — the orthogonalization-for-non-interference mechanism the lift is the representation-space analogue of.)</w:t>
      </w:r>
    </w:p>
    <w:p w14:paraId="11638EA1" w14:textId="77777777" w:rsidR="00EF477B" w:rsidRPr="00EF477B" w:rsidRDefault="00EF477B" w:rsidP="004D7FC3">
      <w:pPr>
        <w:numPr>
          <w:ilvl w:val="0"/>
          <w:numId w:val="3"/>
        </w:numPr>
        <w:jc w:val="both"/>
      </w:pPr>
      <w:r w:rsidRPr="00EF477B">
        <w:lastRenderedPageBreak/>
        <w:t xml:space="preserve">Saha, G., Garg, I., &amp; Roy, K. (2021). Gradient projection memory for continual learning. </w:t>
      </w:r>
      <w:r w:rsidRPr="00EF477B">
        <w:rPr>
          <w:i/>
          <w:iCs/>
        </w:rPr>
        <w:t>ICLR.</w:t>
      </w:r>
      <w:r w:rsidRPr="00EF477B">
        <w:t xml:space="preserve"> arXiv:2103.09762. (The cost that scales with what is protected is the continual-learning statement of this paper's thermodynamic spine.)</w:t>
      </w:r>
    </w:p>
    <w:p w14:paraId="33637428" w14:textId="77777777" w:rsidR="00EF477B" w:rsidRPr="00EF477B" w:rsidRDefault="00EF477B" w:rsidP="004D7FC3">
      <w:pPr>
        <w:numPr>
          <w:ilvl w:val="0"/>
          <w:numId w:val="3"/>
        </w:numPr>
        <w:jc w:val="both"/>
      </w:pPr>
      <w:r w:rsidRPr="00EF477B">
        <w:t xml:space="preserve">Ouyang, L., et al. (2022). Training language models to follow instructions with human feedback. </w:t>
      </w:r>
      <w:r w:rsidRPr="00EF477B">
        <w:rPr>
          <w:i/>
          <w:iCs/>
        </w:rPr>
        <w:t>NeurIPS.</w:t>
      </w:r>
      <w:r w:rsidRPr="00EF477B">
        <w:t xml:space="preserve"> arXiv:2203.02155. (Reinforcement from human feedback with a KL penalty anchoring the policy to the reference model — the anchored masking of §2.)</w:t>
      </w:r>
    </w:p>
    <w:p w14:paraId="096BE8D1" w14:textId="77777777" w:rsidR="00EF477B" w:rsidRPr="00EF477B" w:rsidRDefault="00EF477B" w:rsidP="00961795">
      <w:pPr>
        <w:pStyle w:val="Heading2"/>
      </w:pPr>
      <w:r w:rsidRPr="00EF477B">
        <w:t>The physical withhold and the routing tag.</w:t>
      </w:r>
    </w:p>
    <w:p w14:paraId="0BCF5BF1" w14:textId="77777777" w:rsidR="00EF477B" w:rsidRPr="00EF477B" w:rsidRDefault="00EF477B" w:rsidP="004D7FC3">
      <w:pPr>
        <w:numPr>
          <w:ilvl w:val="0"/>
          <w:numId w:val="4"/>
        </w:numPr>
        <w:jc w:val="both"/>
      </w:pPr>
      <w:r w:rsidRPr="00EF477B">
        <w:t xml:space="preserve">Frank, M. J. (2006). Hold your horses: a dynamic computational role for the subthalamic nucleus in decision making. </w:t>
      </w:r>
      <w:r w:rsidRPr="00EF477B">
        <w:rPr>
          <w:i/>
          <w:iCs/>
        </w:rPr>
        <w:t>Neural Networks</w:t>
      </w:r>
      <w:r w:rsidRPr="00EF477B">
        <w:t xml:space="preserve"> 19(8), 1120–1136.</w:t>
      </w:r>
    </w:p>
    <w:p w14:paraId="2D06E101" w14:textId="77777777" w:rsidR="00EF477B" w:rsidRPr="00EF477B" w:rsidRDefault="00EF477B" w:rsidP="004D7FC3">
      <w:pPr>
        <w:numPr>
          <w:ilvl w:val="0"/>
          <w:numId w:val="4"/>
        </w:numPr>
        <w:jc w:val="both"/>
      </w:pPr>
      <w:r w:rsidRPr="00EF477B">
        <w:t xml:space="preserve">Aron, A. R., &amp; Poldrack, R. A. (2006). Cortical and subcortical contributions to stop signal response inhibition: role of the subthalamic nucleus. </w:t>
      </w:r>
      <w:r w:rsidRPr="00EF477B">
        <w:rPr>
          <w:i/>
          <w:iCs/>
        </w:rPr>
        <w:t>Journal of Neuroscience</w:t>
      </w:r>
      <w:r w:rsidRPr="00EF477B">
        <w:t xml:space="preserve"> 26(9), 2424–2433.</w:t>
      </w:r>
    </w:p>
    <w:p w14:paraId="7BF29C88" w14:textId="77777777" w:rsidR="00EF477B" w:rsidRPr="00EF477B" w:rsidRDefault="00EF477B" w:rsidP="004D7FC3">
      <w:pPr>
        <w:numPr>
          <w:ilvl w:val="0"/>
          <w:numId w:val="4"/>
        </w:numPr>
        <w:jc w:val="both"/>
      </w:pPr>
      <w:r w:rsidRPr="00EF477B">
        <w:t xml:space="preserve">Cavanagh, J. F., Wiecki, T. V., Cohen, M. X., Figueroa, C. M., Samanta, J., Sherman, S. J., &amp; Frank, M. J. (2011). Subthalamic nucleus stimulation reverses mediofrontal influence over decision threshold. </w:t>
      </w:r>
      <w:r w:rsidRPr="00EF477B">
        <w:rPr>
          <w:i/>
          <w:iCs/>
        </w:rPr>
        <w:t>Nature Neuroscience</w:t>
      </w:r>
      <w:r w:rsidRPr="00EF477B">
        <w:t xml:space="preserve"> 14(11), 1462–1467.</w:t>
      </w:r>
    </w:p>
    <w:p w14:paraId="256BFDF3" w14:textId="77777777" w:rsidR="00EF477B" w:rsidRPr="00EF477B" w:rsidRDefault="00EF477B" w:rsidP="004D7FC3">
      <w:pPr>
        <w:numPr>
          <w:ilvl w:val="0"/>
          <w:numId w:val="4"/>
        </w:numPr>
        <w:jc w:val="both"/>
      </w:pPr>
      <w:r w:rsidRPr="00EF477B">
        <w:t xml:space="preserve">Frey, U., &amp; Morris, R. G. M. (1997). Synaptic tagging and long-term potentiation. </w:t>
      </w:r>
      <w:r w:rsidRPr="00EF477B">
        <w:rPr>
          <w:i/>
          <w:iCs/>
        </w:rPr>
        <w:t>Nature</w:t>
      </w:r>
      <w:r w:rsidRPr="00EF477B">
        <w:t xml:space="preserve"> 385, 533–536. (The surprise-gated capture-tag.)</w:t>
      </w:r>
    </w:p>
    <w:p w14:paraId="3AFA2686" w14:textId="77777777" w:rsidR="00EF477B" w:rsidRPr="00EF477B" w:rsidRDefault="00EF477B" w:rsidP="00961795">
      <w:pPr>
        <w:pStyle w:val="Heading2"/>
      </w:pPr>
      <w:r w:rsidRPr="00EF477B">
        <w:t>Adjacent work (context, not load-bearing).</w:t>
      </w:r>
    </w:p>
    <w:p w14:paraId="29A4B4F4" w14:textId="77777777" w:rsidR="00EF477B" w:rsidRPr="00EF477B" w:rsidRDefault="00EF477B" w:rsidP="004D7FC3">
      <w:pPr>
        <w:numPr>
          <w:ilvl w:val="0"/>
          <w:numId w:val="5"/>
        </w:numPr>
        <w:jc w:val="both"/>
      </w:pPr>
      <w:r w:rsidRPr="00EF477B">
        <w:t xml:space="preserve">Bodnar, C., et al. (2022). Neural sheaf diffusion: a topological perspective on heterophily and oversmoothing in GNNs. </w:t>
      </w:r>
      <w:r w:rsidRPr="00EF477B">
        <w:rPr>
          <w:i/>
          <w:iCs/>
        </w:rPr>
        <w:t>NeurIPS.</w:t>
      </w:r>
      <w:r w:rsidRPr="00EF477B">
        <w:t xml:space="preserve"> (An adjacent use of sheaf structure in learning, not support for the H¹-resolution claim, which it does not address.)</w:t>
      </w:r>
    </w:p>
    <w:p w14:paraId="2EBEB90D" w14:textId="77777777" w:rsidR="00EF477B" w:rsidRPr="00EF477B" w:rsidRDefault="00EF477B" w:rsidP="004D7FC3">
      <w:pPr>
        <w:numPr>
          <w:ilvl w:val="0"/>
          <w:numId w:val="5"/>
        </w:numPr>
        <w:jc w:val="both"/>
      </w:pPr>
      <w:r w:rsidRPr="00EF477B">
        <w:t xml:space="preserve">Hoel, E. (2021). The overfitted brain: dreams evolved to assist generalization. </w:t>
      </w:r>
      <w:r w:rsidRPr="00EF477B">
        <w:rPr>
          <w:i/>
          <w:iCs/>
        </w:rPr>
        <w:t>Patterns</w:t>
      </w:r>
      <w:r w:rsidRPr="00EF477B">
        <w:t xml:space="preserve"> 2(5), 100244. (A parallel intuition linking offline processing to generalization, not evidence for the present mechanism.)</w:t>
      </w:r>
    </w:p>
    <w:p w14:paraId="1885E23D" w14:textId="77777777" w:rsidR="00DC1523" w:rsidRDefault="00DC1523" w:rsidP="004D7FC3">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310E"/>
    <w:multiLevelType w:val="multilevel"/>
    <w:tmpl w:val="405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35200"/>
    <w:multiLevelType w:val="multilevel"/>
    <w:tmpl w:val="3CC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9284A"/>
    <w:multiLevelType w:val="multilevel"/>
    <w:tmpl w:val="C40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C7BD5"/>
    <w:multiLevelType w:val="multilevel"/>
    <w:tmpl w:val="EB7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C0CF4"/>
    <w:multiLevelType w:val="multilevel"/>
    <w:tmpl w:val="55C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7922">
    <w:abstractNumId w:val="3"/>
  </w:num>
  <w:num w:numId="2" w16cid:durableId="1900939985">
    <w:abstractNumId w:val="4"/>
  </w:num>
  <w:num w:numId="3" w16cid:durableId="1119879805">
    <w:abstractNumId w:val="2"/>
  </w:num>
  <w:num w:numId="4" w16cid:durableId="1868983637">
    <w:abstractNumId w:val="0"/>
  </w:num>
  <w:num w:numId="5" w16cid:durableId="1153984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4E"/>
    <w:rsid w:val="001B01D1"/>
    <w:rsid w:val="002C3F9C"/>
    <w:rsid w:val="003C5700"/>
    <w:rsid w:val="00446A4E"/>
    <w:rsid w:val="00451892"/>
    <w:rsid w:val="00484110"/>
    <w:rsid w:val="004D7FC3"/>
    <w:rsid w:val="00587AA7"/>
    <w:rsid w:val="008B08B7"/>
    <w:rsid w:val="00961795"/>
    <w:rsid w:val="00997E89"/>
    <w:rsid w:val="00BE097E"/>
    <w:rsid w:val="00C24516"/>
    <w:rsid w:val="00DC1523"/>
    <w:rsid w:val="00EF477B"/>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3D9C"/>
  <w15:chartTrackingRefBased/>
  <w15:docId w15:val="{D7F1773F-B303-48D0-A903-9A0E8FD7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6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6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A4E"/>
    <w:rPr>
      <w:rFonts w:eastAsiaTheme="majorEastAsia" w:cstheme="majorBidi"/>
      <w:color w:val="272727" w:themeColor="text1" w:themeTint="D8"/>
    </w:rPr>
  </w:style>
  <w:style w:type="paragraph" w:styleId="Title">
    <w:name w:val="Title"/>
    <w:basedOn w:val="Normal"/>
    <w:next w:val="Normal"/>
    <w:link w:val="TitleChar"/>
    <w:uiPriority w:val="10"/>
    <w:qFormat/>
    <w:rsid w:val="00446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A4E"/>
    <w:pPr>
      <w:spacing w:before="160"/>
      <w:jc w:val="center"/>
    </w:pPr>
    <w:rPr>
      <w:i/>
      <w:iCs/>
      <w:color w:val="404040" w:themeColor="text1" w:themeTint="BF"/>
    </w:rPr>
  </w:style>
  <w:style w:type="character" w:customStyle="1" w:styleId="QuoteChar">
    <w:name w:val="Quote Char"/>
    <w:basedOn w:val="DefaultParagraphFont"/>
    <w:link w:val="Quote"/>
    <w:uiPriority w:val="29"/>
    <w:rsid w:val="00446A4E"/>
    <w:rPr>
      <w:i/>
      <w:iCs/>
      <w:color w:val="404040" w:themeColor="text1" w:themeTint="BF"/>
    </w:rPr>
  </w:style>
  <w:style w:type="paragraph" w:styleId="ListParagraph">
    <w:name w:val="List Paragraph"/>
    <w:basedOn w:val="Normal"/>
    <w:uiPriority w:val="34"/>
    <w:qFormat/>
    <w:rsid w:val="00446A4E"/>
    <w:pPr>
      <w:ind w:left="720"/>
      <w:contextualSpacing/>
    </w:pPr>
  </w:style>
  <w:style w:type="character" w:styleId="IntenseEmphasis">
    <w:name w:val="Intense Emphasis"/>
    <w:basedOn w:val="DefaultParagraphFont"/>
    <w:uiPriority w:val="21"/>
    <w:qFormat/>
    <w:rsid w:val="00446A4E"/>
    <w:rPr>
      <w:i/>
      <w:iCs/>
      <w:color w:val="2F5496" w:themeColor="accent1" w:themeShade="BF"/>
    </w:rPr>
  </w:style>
  <w:style w:type="paragraph" w:styleId="IntenseQuote">
    <w:name w:val="Intense Quote"/>
    <w:basedOn w:val="Normal"/>
    <w:next w:val="Normal"/>
    <w:link w:val="IntenseQuoteChar"/>
    <w:uiPriority w:val="30"/>
    <w:qFormat/>
    <w:rsid w:val="00446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A4E"/>
    <w:rPr>
      <w:i/>
      <w:iCs/>
      <w:color w:val="2F5496" w:themeColor="accent1" w:themeShade="BF"/>
    </w:rPr>
  </w:style>
  <w:style w:type="character" w:styleId="IntenseReference">
    <w:name w:val="Intense Reference"/>
    <w:basedOn w:val="DefaultParagraphFont"/>
    <w:uiPriority w:val="32"/>
    <w:qFormat/>
    <w:rsid w:val="00446A4E"/>
    <w:rPr>
      <w:b/>
      <w:bCs/>
      <w:smallCaps/>
      <w:color w:val="2F5496" w:themeColor="accent1" w:themeShade="BF"/>
      <w:spacing w:val="5"/>
    </w:rPr>
  </w:style>
  <w:style w:type="character" w:styleId="Hyperlink">
    <w:name w:val="Hyperlink"/>
    <w:basedOn w:val="DefaultParagraphFont"/>
    <w:uiPriority w:val="99"/>
    <w:unhideWhenUsed/>
    <w:rsid w:val="00EF477B"/>
    <w:rPr>
      <w:color w:val="0563C1" w:themeColor="hyperlink"/>
      <w:u w:val="single"/>
    </w:rPr>
  </w:style>
  <w:style w:type="character" w:styleId="UnresolvedMention">
    <w:name w:val="Unresolved Mention"/>
    <w:basedOn w:val="DefaultParagraphFont"/>
    <w:uiPriority w:val="99"/>
    <w:semiHidden/>
    <w:unhideWhenUsed/>
    <w:rsid w:val="00EF4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0183.23205"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theme" Target="theme/theme1.xml"/><Relationship Id="rId5" Type="http://schemas.openxmlformats.org/officeDocument/2006/relationships/hyperlink" Target="mailto:debiprasadghosh@lntecc.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3140/RG.2.2.19848.99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4244</Words>
  <Characters>24196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7</cp:revision>
  <cp:lastPrinted>2026-06-16T02:38:00Z</cp:lastPrinted>
  <dcterms:created xsi:type="dcterms:W3CDTF">2026-06-16T01:51:00Z</dcterms:created>
  <dcterms:modified xsi:type="dcterms:W3CDTF">2026-06-16T02:40:00Z</dcterms:modified>
</cp:coreProperties>
</file>