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EA2F" w14:textId="77777777" w:rsidR="004132F2" w:rsidRPr="006B4CC5" w:rsidRDefault="004132F2" w:rsidP="004132F2">
      <w:pPr>
        <w:pStyle w:val="Title"/>
        <w:pBdr>
          <w:bottom w:val="single" w:sz="6" w:space="1" w:color="auto"/>
        </w:pBdr>
        <w:rPr>
          <w:rFonts w:asciiTheme="minorHAnsi" w:hAnsiTheme="minorHAnsi"/>
          <w:sz w:val="22"/>
          <w:szCs w:val="22"/>
        </w:rPr>
      </w:pPr>
      <w:r w:rsidRPr="006B4CC5">
        <w:rPr>
          <w:rFonts w:asciiTheme="minorHAnsi" w:hAnsiTheme="minorHAnsi"/>
          <w:sz w:val="22"/>
          <w:szCs w:val="22"/>
        </w:rPr>
        <w:t xml:space="preserve">Manuscript as of </w:t>
      </w:r>
      <w:r>
        <w:rPr>
          <w:rFonts w:asciiTheme="minorHAnsi" w:hAnsiTheme="minorHAnsi"/>
          <w:sz w:val="22"/>
          <w:szCs w:val="22"/>
        </w:rPr>
        <w:t>June 18</w:t>
      </w:r>
      <w:r w:rsidRPr="006B4CC5">
        <w:rPr>
          <w:rFonts w:asciiTheme="minorHAnsi" w:hAnsiTheme="minorHAnsi"/>
          <w:sz w:val="22"/>
          <w:szCs w:val="22"/>
        </w:rPr>
        <w:t>, 202</w:t>
      </w:r>
      <w:r>
        <w:rPr>
          <w:rFonts w:asciiTheme="minorHAnsi" w:hAnsiTheme="minorHAnsi"/>
          <w:sz w:val="22"/>
          <w:szCs w:val="22"/>
        </w:rPr>
        <w:t>6.</w:t>
      </w:r>
    </w:p>
    <w:p w14:paraId="0928A27B" w14:textId="78D45690" w:rsidR="00835BDF" w:rsidRDefault="00835BDF" w:rsidP="00835BDF">
      <w:pPr>
        <w:pStyle w:val="Title"/>
        <w:jc w:val="center"/>
        <w:rPr>
          <w:sz w:val="40"/>
          <w:szCs w:val="40"/>
        </w:rPr>
      </w:pPr>
      <w:r w:rsidRPr="00835BDF">
        <w:rPr>
          <w:sz w:val="46"/>
          <w:szCs w:val="46"/>
        </w:rPr>
        <w:t>Analysis, Algebra, and Topology of the Brain to AGI</w:t>
      </w:r>
      <w:r>
        <w:t xml:space="preserve">: </w:t>
      </w:r>
      <w:r w:rsidRPr="00835BDF">
        <w:rPr>
          <w:sz w:val="40"/>
          <w:szCs w:val="40"/>
        </w:rPr>
        <w:t>A capstone summary of the Defensible Intelligence series</w:t>
      </w:r>
    </w:p>
    <w:p w14:paraId="3EFAE029" w14:textId="77777777" w:rsidR="004132F2" w:rsidRDefault="004132F2" w:rsidP="004132F2">
      <w:pPr>
        <w:jc w:val="center"/>
      </w:pPr>
      <w:r w:rsidRPr="006B4CC5">
        <w:t xml:space="preserve">Debi Prasad Ghosh, </w:t>
      </w:r>
      <w:hyperlink r:id="rId5" w:history="1">
        <w:r w:rsidRPr="006B4CC5">
          <w:rPr>
            <w:rStyle w:val="Hyperlink"/>
          </w:rPr>
          <w:t>debiprasadghosh@lntecc.com</w:t>
        </w:r>
      </w:hyperlink>
      <w:r>
        <w:t xml:space="preserve"> </w:t>
      </w:r>
      <w:r>
        <w:rPr>
          <w:noProof/>
        </w:rPr>
        <w:drawing>
          <wp:inline distT="0" distB="0" distL="0" distR="0" wp14:anchorId="1A4D3DF9" wp14:editId="204F29F0">
            <wp:extent cx="133067" cy="133067"/>
            <wp:effectExtent l="0" t="0" r="635" b="635"/>
            <wp:docPr id="1305915393" name="Picture 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5393" name="Picture 7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2530" cy="142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766075" w14:textId="77777777" w:rsidR="004132F2" w:rsidRPr="006B4CC5" w:rsidRDefault="004132F2" w:rsidP="004132F2">
      <w:pPr>
        <w:jc w:val="center"/>
      </w:pPr>
      <w:r>
        <w:t>CTO, AI &amp;</w:t>
      </w:r>
      <w:r w:rsidRPr="006B4CC5">
        <w:t xml:space="preserve"> Automation</w:t>
      </w:r>
    </w:p>
    <w:p w14:paraId="0D5F40FF" w14:textId="77777777" w:rsidR="004132F2" w:rsidRDefault="004132F2" w:rsidP="004132F2">
      <w:pPr>
        <w:jc w:val="center"/>
      </w:pPr>
      <w:r w:rsidRPr="00F5609C">
        <w:t>Engineering Design &amp; Research Center, Larsen &amp; Toubro Construction (M&amp;M) Kolkata, India</w:t>
      </w:r>
    </w:p>
    <w:p w14:paraId="21A7D150" w14:textId="39638780" w:rsidR="00835BDF" w:rsidRPr="00835BDF" w:rsidRDefault="007B34D8" w:rsidP="004132F2">
      <w:pPr>
        <w:jc w:val="center"/>
      </w:pPr>
      <w:hyperlink r:id="rId8" w:history="1">
        <w:r w:rsidRPr="00E06595">
          <w:rPr>
            <w:rStyle w:val="Hyperlink"/>
          </w:rPr>
          <w:t>https://doi.org/10.13140/RG.2.2.12594.16323</w:t>
        </w:r>
      </w:hyperlink>
      <w:r>
        <w:t xml:space="preserve"> </w:t>
      </w:r>
    </w:p>
    <w:p w14:paraId="3E15A688" w14:textId="28A0FD0A" w:rsidR="00835BDF" w:rsidRPr="00835BDF" w:rsidRDefault="00835BDF" w:rsidP="00835BDF">
      <w:pPr>
        <w:jc w:val="both"/>
      </w:pPr>
      <w:r>
        <w:rPr>
          <w:i/>
          <w:iCs/>
        </w:rPr>
        <w:t xml:space="preserve">Abstract: </w:t>
      </w:r>
      <w:r w:rsidRPr="00835BDF">
        <w:rPr>
          <w:i/>
          <w:iCs/>
        </w:rPr>
        <w:t xml:space="preserve">A summary paper. It states the series' governing thesis — that the brain, and any defensible artificial general intelligence, is a coupled analytic–algebraic–topological machine — and organizes the deposited results under that frame. It introduces no new mathematics; every claim below points to the paper that owns it and carries that paper's tier. Three fences hold throughout: the homological layer and the dynamical-stability layer are different kinds of mathematics and are kept apart; the biological readings are structural isomorphisms, never identity; and the synthesis organizes deposited work rather than discovering it. </w:t>
      </w:r>
    </w:p>
    <w:p w14:paraId="7713C31A" w14:textId="77777777" w:rsidR="00835BDF" w:rsidRPr="00835BDF" w:rsidRDefault="00835BDF" w:rsidP="00835BDF">
      <w:pPr>
        <w:pStyle w:val="Heading1"/>
      </w:pPr>
      <w:r w:rsidRPr="00835BDF">
        <w:t>1. The thesis: three mathematical languages, one act</w:t>
      </w:r>
    </w:p>
    <w:p w14:paraId="1256A92E" w14:textId="77777777" w:rsidR="00544195" w:rsidRDefault="00835BDF" w:rsidP="00835BDF">
      <w:pPr>
        <w:jc w:val="both"/>
      </w:pPr>
      <w:r w:rsidRPr="00835BDF">
        <w:t xml:space="preserve">A brain must do three incommensurable things at once: measure and compare signals, bind and retrieve structured memory, and assemble local fragments into one coherent world. No single mathematical language expresses all three. </w:t>
      </w:r>
    </w:p>
    <w:p w14:paraId="0328C833" w14:textId="77777777" w:rsidR="00544195" w:rsidRPr="00352CC5" w:rsidRDefault="00835BDF" w:rsidP="00544195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352CC5">
        <w:rPr>
          <w:b/>
          <w:bCs/>
          <w:sz w:val="28"/>
          <w:szCs w:val="28"/>
        </w:rPr>
        <w:t>Analysis</w:t>
      </w:r>
      <w:r w:rsidRPr="00352CC5">
        <w:rPr>
          <w:sz w:val="28"/>
          <w:szCs w:val="28"/>
        </w:rPr>
        <w:t xml:space="preserve"> handles continuity, distance, norm, angle, convergence, and the stability of control. </w:t>
      </w:r>
    </w:p>
    <w:p w14:paraId="45C09171" w14:textId="77777777" w:rsidR="00544195" w:rsidRPr="00352CC5" w:rsidRDefault="00835BDF" w:rsidP="00544195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352CC5">
        <w:rPr>
          <w:b/>
          <w:bCs/>
          <w:sz w:val="28"/>
          <w:szCs w:val="28"/>
        </w:rPr>
        <w:t>Algebra</w:t>
      </w:r>
      <w:r w:rsidRPr="00352CC5">
        <w:rPr>
          <w:sz w:val="28"/>
          <w:szCs w:val="28"/>
        </w:rPr>
        <w:t xml:space="preserve"> handles structure-preserving manipulation — binding, unbinding, kernels, cokernels, exactness, composition, cohomology. </w:t>
      </w:r>
    </w:p>
    <w:p w14:paraId="50D154C6" w14:textId="4E9503D3" w:rsidR="00544195" w:rsidRPr="00352CC5" w:rsidRDefault="00835BDF" w:rsidP="00544195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352CC5">
        <w:rPr>
          <w:b/>
          <w:bCs/>
          <w:sz w:val="28"/>
          <w:szCs w:val="28"/>
        </w:rPr>
        <w:t>Topology</w:t>
      </w:r>
      <w:r w:rsidRPr="00352CC5">
        <w:rPr>
          <w:sz w:val="28"/>
          <w:szCs w:val="28"/>
        </w:rPr>
        <w:t xml:space="preserve"> handles local-to-global coherence — covers, overlaps, restriction, gluing, and the obstructions that measure when gluing fails. </w:t>
      </w:r>
    </w:p>
    <w:p w14:paraId="4C30B7A1" w14:textId="21A4F82B" w:rsidR="00835BDF" w:rsidRPr="00835BDF" w:rsidRDefault="00835BDF" w:rsidP="00835BDF">
      <w:pPr>
        <w:jc w:val="both"/>
      </w:pPr>
      <w:r w:rsidRPr="00835BDF">
        <w:t>A theory built only on vector spaces misses topology; one built only on topology misses algebraic exactness; one built only on algebra misses analytic certifiability. The series' claim is that the brain requires all three, coupled:</w:t>
      </w:r>
    </w:p>
    <w:p w14:paraId="040166A5" w14:textId="77777777" w:rsidR="00835BDF" w:rsidRPr="00544195" w:rsidRDefault="00835BDF" w:rsidP="00544195">
      <w:pPr>
        <w:ind w:left="720"/>
        <w:jc w:val="both"/>
        <w:rPr>
          <w:sz w:val="28"/>
          <w:szCs w:val="28"/>
        </w:rPr>
      </w:pPr>
      <w:r w:rsidRPr="00544195">
        <w:rPr>
          <w:b/>
          <w:bCs/>
          <w:sz w:val="28"/>
          <w:szCs w:val="28"/>
        </w:rPr>
        <w:t xml:space="preserve">It stabilizes cognition by moving local signals through </w:t>
      </w:r>
      <w:r w:rsidRPr="00544195">
        <w:rPr>
          <w:b/>
          <w:bCs/>
          <w:color w:val="00B0F0"/>
          <w:sz w:val="28"/>
          <w:szCs w:val="28"/>
        </w:rPr>
        <w:t xml:space="preserve">analytic </w:t>
      </w:r>
      <w:r w:rsidRPr="00544195">
        <w:rPr>
          <w:b/>
          <w:bCs/>
          <w:sz w:val="28"/>
          <w:szCs w:val="28"/>
        </w:rPr>
        <w:t xml:space="preserve">structure, organizing them </w:t>
      </w:r>
      <w:r w:rsidRPr="00544195">
        <w:rPr>
          <w:b/>
          <w:bCs/>
          <w:color w:val="00B0F0"/>
          <w:sz w:val="28"/>
          <w:szCs w:val="28"/>
        </w:rPr>
        <w:t>algebraically</w:t>
      </w:r>
      <w:r w:rsidRPr="00544195">
        <w:rPr>
          <w:b/>
          <w:bCs/>
          <w:sz w:val="28"/>
          <w:szCs w:val="28"/>
        </w:rPr>
        <w:t xml:space="preserve">, and certifying them </w:t>
      </w:r>
      <w:r w:rsidRPr="00544195">
        <w:rPr>
          <w:b/>
          <w:bCs/>
          <w:color w:val="00B0F0"/>
          <w:sz w:val="28"/>
          <w:szCs w:val="28"/>
        </w:rPr>
        <w:t xml:space="preserve">topologically </w:t>
      </w:r>
      <w:r w:rsidRPr="00544195">
        <w:rPr>
          <w:b/>
          <w:bCs/>
          <w:sz w:val="28"/>
          <w:szCs w:val="28"/>
        </w:rPr>
        <w:t>— and it acts only when the certification passes.</w:t>
      </w:r>
    </w:p>
    <w:p w14:paraId="44CB8289" w14:textId="77777777" w:rsidR="00835BDF" w:rsidRDefault="00835BDF" w:rsidP="00835BDF">
      <w:pPr>
        <w:jc w:val="both"/>
      </w:pPr>
      <w:r w:rsidRPr="00835BDF">
        <w:t>The rest of this paper is that sentence unfolded: analysis supplies the graded space (Part I), algebra supplies the operation and the audit (Part II), topology supplies the obstruction (Part III), and the coupling is what separates a defensible agent from a fluent one (Part IV).</w:t>
      </w:r>
    </w:p>
    <w:p w14:paraId="0C7F4E82" w14:textId="0AF37738" w:rsidR="00544195" w:rsidRPr="00835BDF" w:rsidRDefault="00544195" w:rsidP="00544195">
      <w:pPr>
        <w:ind w:left="2160"/>
        <w:jc w:val="both"/>
      </w:pPr>
      <w:r w:rsidRPr="00835BDF">
        <w:rPr>
          <w:i/>
          <w:iCs/>
        </w:rPr>
        <w:t>Tiers: [LB] load-bearing mathematics, [CAND] falsifiable candidate, [SUP] cited-literature support, [F] framework cross-reference.</w:t>
      </w:r>
    </w:p>
    <w:p w14:paraId="2BACBE80" w14:textId="77777777" w:rsidR="00835BDF" w:rsidRPr="00835BDF" w:rsidRDefault="00835BDF" w:rsidP="00835BDF">
      <w:pPr>
        <w:pStyle w:val="Heading1"/>
      </w:pPr>
      <w:r w:rsidRPr="00835BDF">
        <w:lastRenderedPageBreak/>
        <w:t>PART I — ANALYSIS: THE GRADED SPACE</w:t>
      </w:r>
    </w:p>
    <w:p w14:paraId="1D14FFF5" w14:textId="77777777" w:rsidR="00835BDF" w:rsidRPr="00835BDF" w:rsidRDefault="00835BDF" w:rsidP="00835BDF">
      <w:pPr>
        <w:pStyle w:val="Heading2"/>
      </w:pPr>
      <w:r w:rsidRPr="00835BDF">
        <w:t>2. The enrichment ladder [LB]</w:t>
      </w:r>
    </w:p>
    <w:p w14:paraId="49AC0A1C" w14:textId="77777777" w:rsidR="00835BDF" w:rsidRPr="00835BDF" w:rsidRDefault="00835BDF" w:rsidP="00835BDF">
      <w:pPr>
        <w:jc w:val="both"/>
      </w:pPr>
      <w:r w:rsidRPr="00835BDF">
        <w:t>The first axis of organization is the enrichment ladder of analysis, each rung adding exactly one structural commitment:</w:t>
      </w:r>
    </w:p>
    <w:p w14:paraId="680C9F2C" w14:textId="62120241" w:rsidR="00835BDF" w:rsidRPr="00544195" w:rsidRDefault="00544195" w:rsidP="00835BDF">
      <w:pPr>
        <w:jc w:val="center"/>
        <w:rPr>
          <w:sz w:val="28"/>
          <w:szCs w:val="28"/>
        </w:rPr>
      </w:pPr>
      <w:r w:rsidRPr="00544195">
        <w:rPr>
          <w:sz w:val="28"/>
          <w:szCs w:val="28"/>
        </w:rPr>
        <w:t>T</w:t>
      </w:r>
      <w:r w:rsidR="00835BDF" w:rsidRPr="00544195">
        <w:rPr>
          <w:sz w:val="28"/>
          <w:szCs w:val="28"/>
        </w:rPr>
        <w:t>opological</w:t>
      </w:r>
      <w:r>
        <w:rPr>
          <w:sz w:val="28"/>
          <w:szCs w:val="28"/>
        </w:rPr>
        <w:t xml:space="preserve"> </w:t>
      </w:r>
      <w:r w:rsidRPr="00544195">
        <w:rPr>
          <w:rFonts w:ascii="Cambria Math" w:hAnsi="Cambria Math" w:cs="Cambria Math"/>
          <w:sz w:val="28"/>
          <w:szCs w:val="28"/>
        </w:rPr>
        <w:t>⊂</w:t>
      </w:r>
      <w:r>
        <w:rPr>
          <w:rFonts w:ascii="Cambria Math" w:hAnsi="Cambria Math" w:cs="Cambria Math"/>
          <w:sz w:val="28"/>
          <w:szCs w:val="28"/>
        </w:rPr>
        <w:t xml:space="preserve"> priximity</w:t>
      </w:r>
      <w:r w:rsidR="00835BDF" w:rsidRPr="00544195">
        <w:rPr>
          <w:sz w:val="28"/>
          <w:szCs w:val="28"/>
        </w:rPr>
        <w:t xml:space="preserve"> </w:t>
      </w:r>
      <w:r w:rsidR="00835BDF" w:rsidRPr="00544195">
        <w:rPr>
          <w:rFonts w:ascii="Cambria Math" w:hAnsi="Cambria Math" w:cs="Cambria Math"/>
          <w:sz w:val="28"/>
          <w:szCs w:val="28"/>
        </w:rPr>
        <w:t>⊂</w:t>
      </w:r>
      <w:r w:rsidR="00835BDF" w:rsidRPr="00544195">
        <w:rPr>
          <w:sz w:val="28"/>
          <w:szCs w:val="28"/>
        </w:rPr>
        <w:t xml:space="preserve"> uniform </w:t>
      </w:r>
      <w:r w:rsidR="00835BDF" w:rsidRPr="00544195">
        <w:rPr>
          <w:rFonts w:ascii="Cambria Math" w:hAnsi="Cambria Math" w:cs="Cambria Math"/>
          <w:sz w:val="28"/>
          <w:szCs w:val="28"/>
        </w:rPr>
        <w:t>⊂</w:t>
      </w:r>
      <w:r w:rsidR="00835BDF" w:rsidRPr="00544195">
        <w:rPr>
          <w:sz w:val="28"/>
          <w:szCs w:val="28"/>
        </w:rPr>
        <w:t xml:space="preserve"> metric </w:t>
      </w:r>
      <w:r w:rsidR="00835BDF" w:rsidRPr="00544195">
        <w:rPr>
          <w:rFonts w:ascii="Cambria Math" w:hAnsi="Cambria Math" w:cs="Cambria Math"/>
          <w:sz w:val="28"/>
          <w:szCs w:val="28"/>
        </w:rPr>
        <w:t>⊂</w:t>
      </w:r>
      <w:r w:rsidR="00835BDF" w:rsidRPr="00544195">
        <w:rPr>
          <w:sz w:val="28"/>
          <w:szCs w:val="28"/>
        </w:rPr>
        <w:t xml:space="preserve"> normed </w:t>
      </w:r>
      <w:r w:rsidR="00835BDF" w:rsidRPr="00544195">
        <w:rPr>
          <w:rFonts w:ascii="Cambria Math" w:hAnsi="Cambria Math" w:cs="Cambria Math"/>
          <w:sz w:val="28"/>
          <w:szCs w:val="28"/>
        </w:rPr>
        <w:t>⊂</w:t>
      </w:r>
      <w:r w:rsidR="00835BDF" w:rsidRPr="00544195">
        <w:rPr>
          <w:sz w:val="28"/>
          <w:szCs w:val="28"/>
        </w:rPr>
        <w:t xml:space="preserve"> inner-product.</w:t>
      </w:r>
    </w:p>
    <w:p w14:paraId="4743545E" w14:textId="7FDD8A14" w:rsidR="00835BDF" w:rsidRPr="00835BDF" w:rsidRDefault="00835BDF" w:rsidP="00835BDF">
      <w:pPr>
        <w:jc w:val="both"/>
      </w:pPr>
      <w:r w:rsidRPr="00835BDF">
        <w:t xml:space="preserve">Topology gives nearness and membership; uniformity gives comparable local precision; metric gives numerical distance; norm gives origin-anchored magnitude and direction; inner product gives angle, orthogonality, and a clean basis for decorrelated retrieval. The governing economy is that a defensible system </w:t>
      </w:r>
      <w:r w:rsidRPr="00835BDF">
        <w:rPr>
          <w:b/>
          <w:bCs/>
        </w:rPr>
        <w:t>uses the weakest structure each operation requires</w:t>
      </w:r>
      <w:r w:rsidRPr="00835BDF">
        <w:t xml:space="preserve"> — climbing the ladder only when an operation genuinely needs the added commitment, because each rung is more expensive to certify and to maintain. </w:t>
      </w:r>
      <w:r w:rsidRPr="00835BDF">
        <w:rPr>
          <w:i/>
          <w:iCs/>
        </w:rPr>
        <w:t xml:space="preserve">(Owned by Paper 1, The Geometry of Defensible Action, </w:t>
      </w:r>
      <w:hyperlink r:id="rId9" w:history="1">
        <w:r w:rsidR="002316C6" w:rsidRPr="00AC5EE3">
          <w:rPr>
            <w:rStyle w:val="Hyperlink"/>
            <w:i/>
            <w:iCs/>
          </w:rPr>
          <w:t>https://doi.org/10.13140/RG.2.2.24454.54080</w:t>
        </w:r>
      </w:hyperlink>
      <w:r w:rsidRPr="00835BDF">
        <w:rPr>
          <w:i/>
          <w:iCs/>
        </w:rPr>
        <w:t xml:space="preserve">; the axis-space treatment in Building, Holding, and Keeping the Ladder, </w:t>
      </w:r>
      <w:hyperlink r:id="rId10" w:history="1">
        <w:r w:rsidR="002316C6" w:rsidRPr="00AC5EE3">
          <w:rPr>
            <w:rStyle w:val="Hyperlink"/>
            <w:i/>
            <w:iCs/>
          </w:rPr>
          <w:t>https://doi.org/10.13140/R</w:t>
        </w:r>
        <w:r w:rsidR="002316C6" w:rsidRPr="00AC5EE3">
          <w:rPr>
            <w:rStyle w:val="Hyperlink"/>
            <w:i/>
            <w:iCs/>
          </w:rPr>
          <w:t>G</w:t>
        </w:r>
        <w:r w:rsidR="002316C6" w:rsidRPr="00AC5EE3">
          <w:rPr>
            <w:rStyle w:val="Hyperlink"/>
            <w:i/>
            <w:iCs/>
          </w:rPr>
          <w:t>.2.2.18367.88483</w:t>
        </w:r>
      </w:hyperlink>
      <w:r w:rsidRPr="00835BDF">
        <w:rPr>
          <w:i/>
          <w:iCs/>
        </w:rPr>
        <w:t>.)</w:t>
      </w:r>
    </w:p>
    <w:p w14:paraId="7D087DE0" w14:textId="77777777" w:rsidR="00835BDF" w:rsidRPr="00835BDF" w:rsidRDefault="00835BDF" w:rsidP="00835BDF">
      <w:pPr>
        <w:pStyle w:val="Heading2"/>
      </w:pPr>
      <w:r w:rsidRPr="00835BDF">
        <w:t>3. Brain regions as analytic operators [CAND] / [SUP]</w:t>
      </w:r>
    </w:p>
    <w:p w14:paraId="49D1F183" w14:textId="77777777" w:rsidR="00835BDF" w:rsidRPr="00835BDF" w:rsidRDefault="00835BDF" w:rsidP="00835BDF">
      <w:pPr>
        <w:jc w:val="both"/>
      </w:pPr>
      <w:r w:rsidRPr="00835BDF">
        <w:t>The ladder's rungs are read onto circuits — as structural isomorphisms between neural function and mathematical role, not identity claims.</w:t>
      </w:r>
    </w:p>
    <w:p w14:paraId="162B013D" w14:textId="77777777" w:rsidR="00835BDF" w:rsidRPr="00835BDF" w:rsidRDefault="00835BDF" w:rsidP="00835BDF">
      <w:pPr>
        <w:numPr>
          <w:ilvl w:val="0"/>
          <w:numId w:val="1"/>
        </w:numPr>
        <w:jc w:val="both"/>
      </w:pPr>
      <w:r w:rsidRPr="00835BDF">
        <w:rPr>
          <w:b/>
          <w:bCs/>
        </w:rPr>
        <w:t>Amygdala — the topological floor.</w:t>
      </w:r>
      <w:r w:rsidRPr="00835BDF">
        <w:t xml:space="preserve"> It returns rapid membership verdicts (danger / not-danger). But the reading is the </w:t>
      </w:r>
      <w:r w:rsidRPr="00835BDF">
        <w:rPr>
          <w:i/>
          <w:iCs/>
        </w:rPr>
        <w:t>three-rung fear</w:t>
      </w:r>
      <w:r w:rsidRPr="00835BDF">
        <w:t xml:space="preserve"> structure, not a "Hausdorff sentinel": acute fear is topological (collapse toward the indiscrete, separation shed for speed), healthy generalization is proximity-graded, and pathological fear is a pretopological regression — a decompactification. The earlier "sentinel of the Hausdorff boundary" framing is explicitly retired, because it conflated two different things called separation and inverted the ladder. </w:t>
      </w:r>
      <w:r w:rsidRPr="00835BDF">
        <w:rPr>
          <w:i/>
          <w:iCs/>
        </w:rPr>
        <w:t>(Owned by the Amygdala/Fear-Hausdorff material; the melt is the deliberate T₂→T₀ collapse.)</w:t>
      </w:r>
    </w:p>
    <w:p w14:paraId="0ADB420D" w14:textId="1B11B5FE" w:rsidR="00835BDF" w:rsidRPr="00835BDF" w:rsidRDefault="00835BDF" w:rsidP="00835BDF">
      <w:pPr>
        <w:numPr>
          <w:ilvl w:val="0"/>
          <w:numId w:val="1"/>
        </w:numPr>
        <w:jc w:val="both"/>
      </w:pPr>
      <w:r w:rsidRPr="00835BDF">
        <w:rPr>
          <w:b/>
          <w:bCs/>
        </w:rPr>
        <w:t>Cerebellum — the uniformity face, executing not certifying.</w:t>
      </w:r>
      <w:r w:rsidRPr="00835BDF">
        <w:t xml:space="preserve"> Its core is a supervised kernel machine (granule-cell expansion, Purkinje inner-product readout), regulated on a small-scale (uniform) face that </w:t>
      </w:r>
      <w:r w:rsidRPr="00835BDF">
        <w:rPr>
          <w:i/>
          <w:iCs/>
        </w:rPr>
        <w:t>settles</w:t>
      </w:r>
      <w:r w:rsidRPr="00835BDF">
        <w:t xml:space="preserve"> and a large-scale (coarse) face that </w:t>
      </w:r>
      <w:r w:rsidRPr="00835BDF">
        <w:rPr>
          <w:i/>
          <w:iCs/>
        </w:rPr>
        <w:t>traverses</w:t>
      </w:r>
      <w:r w:rsidRPr="00835BDF">
        <w:t xml:space="preserve"> within a bornology — no runaway, no impossible jump. Decisively, the cerebellum </w:t>
      </w:r>
      <w:r w:rsidRPr="00835BDF">
        <w:rPr>
          <w:b/>
          <w:bCs/>
        </w:rPr>
        <w:t>does not certify</w:t>
      </w:r>
      <w:r w:rsidRPr="00835BDF">
        <w:t xml:space="preserve">; it executes a forward model certified once, up the ladder, during acquisition. </w:t>
      </w:r>
      <w:r w:rsidRPr="00835BDF">
        <w:rPr>
          <w:i/>
          <w:iCs/>
        </w:rPr>
        <w:t xml:space="preserve">(Owned by The Defensible Cerebellum Kernel, </w:t>
      </w:r>
      <w:hyperlink r:id="rId11" w:history="1">
        <w:r w:rsidR="002316C6" w:rsidRPr="00AC5EE3">
          <w:rPr>
            <w:rStyle w:val="Hyperlink"/>
            <w:i/>
            <w:iCs/>
          </w:rPr>
          <w:t>https://doi.org/10.13140/RG.2.2.2</w:t>
        </w:r>
        <w:r w:rsidR="002316C6" w:rsidRPr="00AC5EE3">
          <w:rPr>
            <w:rStyle w:val="Hyperlink"/>
            <w:i/>
            <w:iCs/>
          </w:rPr>
          <w:t>4</w:t>
        </w:r>
        <w:r w:rsidR="002316C6" w:rsidRPr="00AC5EE3">
          <w:rPr>
            <w:rStyle w:val="Hyperlink"/>
            <w:i/>
            <w:iCs/>
          </w:rPr>
          <w:t>318.55369</w:t>
        </w:r>
      </w:hyperlink>
      <w:r w:rsidRPr="00835BDF">
        <w:rPr>
          <w:i/>
          <w:iCs/>
        </w:rPr>
        <w:t>;</w:t>
      </w:r>
      <w:r w:rsidR="002316C6">
        <w:rPr>
          <w:i/>
          <w:iCs/>
        </w:rPr>
        <w:t xml:space="preserve"> </w:t>
      </w:r>
      <w:r w:rsidRPr="00835BDF">
        <w:rPr>
          <w:i/>
          <w:iCs/>
        </w:rPr>
        <w:t xml:space="preserve">Settling and Traversing, </w:t>
      </w:r>
      <w:hyperlink r:id="rId12" w:history="1">
        <w:r w:rsidR="002316C6" w:rsidRPr="00AC5EE3">
          <w:rPr>
            <w:rStyle w:val="Hyperlink"/>
            <w:i/>
            <w:iCs/>
          </w:rPr>
          <w:t>https://doi.org/10.1314</w:t>
        </w:r>
        <w:r w:rsidR="002316C6" w:rsidRPr="00AC5EE3">
          <w:rPr>
            <w:rStyle w:val="Hyperlink"/>
            <w:i/>
            <w:iCs/>
          </w:rPr>
          <w:t>0</w:t>
        </w:r>
        <w:r w:rsidR="002316C6" w:rsidRPr="00AC5EE3">
          <w:rPr>
            <w:rStyle w:val="Hyperlink"/>
            <w:i/>
            <w:iCs/>
          </w:rPr>
          <w:t>/RG.2.2.31186.72648</w:t>
        </w:r>
      </w:hyperlink>
      <w:r w:rsidRPr="00835BDF">
        <w:rPr>
          <w:i/>
          <w:iCs/>
        </w:rPr>
        <w:t>.)</w:t>
      </w:r>
    </w:p>
    <w:p w14:paraId="1881ABBD" w14:textId="21CE0781" w:rsidR="00835BDF" w:rsidRPr="00835BDF" w:rsidRDefault="00835BDF" w:rsidP="00835BDF">
      <w:pPr>
        <w:numPr>
          <w:ilvl w:val="0"/>
          <w:numId w:val="1"/>
        </w:numPr>
        <w:jc w:val="both"/>
      </w:pPr>
      <w:r w:rsidRPr="00835BDF">
        <w:rPr>
          <w:b/>
          <w:bCs/>
        </w:rPr>
        <w:t>Basal ganglia — the metric junction and action gate.</w:t>
      </w:r>
      <w:r w:rsidRPr="00835BDF">
        <w:t xml:space="preserve"> Convergence, fixed-point selection, and the metric </w:t>
      </w:r>
      <w:r w:rsidRPr="00835BDF">
        <w:rPr>
          <w:rFonts w:ascii="Cambria Math" w:hAnsi="Cambria Math" w:cs="Cambria Math"/>
        </w:rPr>
        <w:t>⟹</w:t>
      </w:r>
      <w:r w:rsidRPr="00835BDF">
        <w:t xml:space="preserve"> T₄ junction whose unearned granting is policed; the release/withhold gate on action. </w:t>
      </w:r>
      <w:r w:rsidRPr="00835BDF">
        <w:rPr>
          <w:i/>
          <w:iCs/>
        </w:rPr>
        <w:t>(Owned by The Subthalamic Gate and the Pallidal Hub</w:t>
      </w:r>
      <w:r w:rsidR="00ED5620">
        <w:rPr>
          <w:i/>
          <w:iCs/>
        </w:rPr>
        <w:t xml:space="preserve">, </w:t>
      </w:r>
      <w:hyperlink r:id="rId13" w:history="1">
        <w:r w:rsidR="002316C6" w:rsidRPr="00AC5EE3">
          <w:rPr>
            <w:rStyle w:val="Hyperlink"/>
            <w:i/>
            <w:iCs/>
          </w:rPr>
          <w:t>https://doi.org/10.13140</w:t>
        </w:r>
        <w:r w:rsidR="002316C6" w:rsidRPr="00AC5EE3">
          <w:rPr>
            <w:rStyle w:val="Hyperlink"/>
            <w:i/>
            <w:iCs/>
          </w:rPr>
          <w:t>/</w:t>
        </w:r>
        <w:r w:rsidR="002316C6" w:rsidRPr="00AC5EE3">
          <w:rPr>
            <w:rStyle w:val="Hyperlink"/>
            <w:i/>
            <w:iCs/>
          </w:rPr>
          <w:t>RG.2.2.14219.45604</w:t>
        </w:r>
      </w:hyperlink>
      <w:r w:rsidRPr="00835BDF">
        <w:rPr>
          <w:i/>
          <w:iCs/>
        </w:rPr>
        <w:t>.)</w:t>
      </w:r>
    </w:p>
    <w:p w14:paraId="41A64249" w14:textId="77777777" w:rsidR="00835BDF" w:rsidRPr="00835BDF" w:rsidRDefault="00835BDF" w:rsidP="00835BDF">
      <w:pPr>
        <w:numPr>
          <w:ilvl w:val="0"/>
          <w:numId w:val="1"/>
        </w:numPr>
        <w:jc w:val="both"/>
      </w:pPr>
      <w:r w:rsidRPr="00835BDF">
        <w:rPr>
          <w:b/>
          <w:bCs/>
        </w:rPr>
        <w:t>Entorhinal cortex and hippocampus — normed substrate and confluence.</w:t>
      </w:r>
      <w:r w:rsidRPr="00835BDF">
        <w:t xml:space="preserve"> The entorhinal cortex is the </w:t>
      </w:r>
      <w:r w:rsidRPr="00835BDF">
        <w:rPr>
          <w:b/>
          <w:bCs/>
        </w:rPr>
        <w:t>normed</w:t>
      </w:r>
      <w:r w:rsidRPr="00835BDF">
        <w:t xml:space="preserve"> rung (a locally-normed, globally-toroidal grid code with a residue-number multi-module range). The hippocampus is </w:t>
      </w:r>
      <w:r w:rsidRPr="00835BDF">
        <w:rPr>
          <w:b/>
          <w:bCs/>
        </w:rPr>
        <w:t>not</w:t>
      </w:r>
      <w:r w:rsidRPr="00835BDF">
        <w:t xml:space="preserve"> a single rung but a </w:t>
      </w:r>
      <w:r w:rsidRPr="00835BDF">
        <w:rPr>
          <w:b/>
          <w:bCs/>
        </w:rPr>
        <w:t>confluence</w:t>
      </w:r>
      <w:r w:rsidRPr="00835BDF">
        <w:t xml:space="preserve">: the dentate gyrus separates (orthogonalization, the separation axis), CA3 is the inner-product rung run fast. Reading the hippocampal–entorhinal system as flatly "normed" loses this. </w:t>
      </w:r>
      <w:r w:rsidRPr="00835BDF">
        <w:rPr>
          <w:i/>
          <w:iCs/>
        </w:rPr>
        <w:t>(Owned by The Entorhinal–Hippocampal Confluence.)</w:t>
      </w:r>
    </w:p>
    <w:p w14:paraId="2249AF15" w14:textId="7DF8457C" w:rsidR="00835BDF" w:rsidRPr="00835BDF" w:rsidRDefault="00835BDF" w:rsidP="00835BDF">
      <w:pPr>
        <w:numPr>
          <w:ilvl w:val="0"/>
          <w:numId w:val="1"/>
        </w:numPr>
        <w:jc w:val="both"/>
      </w:pPr>
      <w:r w:rsidRPr="00835BDF">
        <w:rPr>
          <w:b/>
          <w:bCs/>
        </w:rPr>
        <w:lastRenderedPageBreak/>
        <w:t>Neocortex — the inner-product algebra.</w:t>
      </w:r>
      <w:r w:rsidRPr="00835BDF">
        <w:t xml:space="preserve"> Orthogonalized representation, tensor binding, decorrelated memory, clean contraction retrieval, and the certification gate. </w:t>
      </w:r>
      <w:r w:rsidRPr="00835BDF">
        <w:rPr>
          <w:i/>
          <w:iCs/>
        </w:rPr>
        <w:t xml:space="preserve">(Owned by The Algorithm of the 3→6-Layer Cortex, </w:t>
      </w:r>
      <w:hyperlink r:id="rId14" w:history="1">
        <w:r w:rsidR="001934D0" w:rsidRPr="00AC5EE3">
          <w:rPr>
            <w:rStyle w:val="Hyperlink"/>
            <w:i/>
            <w:iCs/>
          </w:rPr>
          <w:t>https://doi.org/10.13140/RG.2.2.14232.56328</w:t>
        </w:r>
      </w:hyperlink>
      <w:r w:rsidRPr="00835BDF">
        <w:rPr>
          <w:i/>
          <w:iCs/>
        </w:rPr>
        <w:t>.)</w:t>
      </w:r>
      <w:r w:rsidR="001934D0">
        <w:rPr>
          <w:i/>
          <w:iCs/>
        </w:rPr>
        <w:t xml:space="preserve"> </w:t>
      </w:r>
    </w:p>
    <w:p w14:paraId="7FCE73D2" w14:textId="77777777" w:rsidR="00835BDF" w:rsidRPr="00835BDF" w:rsidRDefault="00835BDF" w:rsidP="00835BDF">
      <w:pPr>
        <w:pStyle w:val="Heading2"/>
      </w:pPr>
      <w:r w:rsidRPr="00835BDF">
        <w:t>4. Compactness and defensible action</w:t>
      </w:r>
    </w:p>
    <w:p w14:paraId="2E3E2C29" w14:textId="5E89D27B" w:rsidR="00835BDF" w:rsidRPr="00835BDF" w:rsidRDefault="00835BDF" w:rsidP="00835BDF">
      <w:pPr>
        <w:jc w:val="both"/>
      </w:pPr>
      <w:r w:rsidRPr="00835BDF">
        <w:t xml:space="preserve">The analytic condition for defensible action is </w:t>
      </w:r>
      <w:r w:rsidRPr="00835BDF">
        <w:rPr>
          <w:b/>
          <w:bCs/>
        </w:rPr>
        <w:t>compactness</w:t>
      </w:r>
      <w:r w:rsidRPr="00835BDF">
        <w:t xml:space="preserve">: a system can sign for its behaviour only on an operating manifold that admits finite, worst-case guarantees — the worst case exists and is finite, a finite set of local checks covers the envelope, and local continuity propagates as uniform continuity. The decomposition compactness = completeness + total boundedness is [LB], and </w:t>
      </w:r>
      <w:r w:rsidRPr="00835BDF">
        <w:rPr>
          <w:b/>
          <w:bCs/>
        </w:rPr>
        <w:t>decompactification</w:t>
      </w:r>
      <w:r w:rsidRPr="00835BDF">
        <w:t xml:space="preserve"> — leaving the certified region — is the [LB] reading of out-of-distribution failure, graded rather than a cliff; Arzelà–Ascoli certifies a learned controller on such a region. The </w:t>
      </w:r>
      <w:r w:rsidRPr="00835BDF">
        <w:rPr>
          <w:i/>
          <w:iCs/>
        </w:rPr>
        <w:t>mapping</w:t>
      </w:r>
      <w:r w:rsidRPr="00835BDF">
        <w:t xml:space="preserve"> of completeness onto the basal-ganglia analogue (convergence) and total boundedness onto the cerebellar analogue (finite precision coverage) is the </w:t>
      </w:r>
      <w:r w:rsidRPr="00835BDF">
        <w:rPr>
          <w:b/>
          <w:bCs/>
        </w:rPr>
        <w:t>supported tier [SUP]</w:t>
      </w:r>
      <w:r w:rsidRPr="00835BDF">
        <w:t xml:space="preserve">, removable without touching the core — and worth noting that completeness and total boundedness are both </w:t>
      </w:r>
      <w:r w:rsidRPr="00835BDF">
        <w:rPr>
          <w:i/>
          <w:iCs/>
        </w:rPr>
        <w:t>uniform-space</w:t>
      </w:r>
      <w:r w:rsidRPr="00835BDF">
        <w:t xml:space="preserve"> notions, so splitting them across the metric and uniform rungs is the interpretive part. </w:t>
      </w:r>
      <w:r w:rsidRPr="00835BDF">
        <w:rPr>
          <w:i/>
          <w:iCs/>
        </w:rPr>
        <w:t>(Owned by Defensible Kernel Guarantees</w:t>
      </w:r>
      <w:r w:rsidR="003F4B83">
        <w:rPr>
          <w:i/>
          <w:iCs/>
        </w:rPr>
        <w:t xml:space="preserve">, </w:t>
      </w:r>
      <w:hyperlink r:id="rId15" w:history="1">
        <w:r w:rsidR="003F4B83" w:rsidRPr="00AC5EE3">
          <w:rPr>
            <w:rStyle w:val="Hyperlink"/>
            <w:i/>
            <w:iCs/>
          </w:rPr>
          <w:t>https://doi.org/10.13140/RG.2.2.24318.55369</w:t>
        </w:r>
      </w:hyperlink>
      <w:r w:rsidRPr="00835BDF">
        <w:rPr>
          <w:i/>
          <w:iCs/>
        </w:rPr>
        <w:t>.)</w:t>
      </w:r>
    </w:p>
    <w:p w14:paraId="4BA294E2" w14:textId="77777777" w:rsidR="00835BDF" w:rsidRPr="00835BDF" w:rsidRDefault="00835BDF" w:rsidP="00835BDF">
      <w:pPr>
        <w:pStyle w:val="Heading1"/>
      </w:pPr>
      <w:r w:rsidRPr="00835BDF">
        <w:t>PART II — ALGEBRA: THE OPERATION AND THE AUDIT</w:t>
      </w:r>
    </w:p>
    <w:p w14:paraId="37367EA4" w14:textId="77777777" w:rsidR="00835BDF" w:rsidRPr="00835BDF" w:rsidRDefault="00835BDF" w:rsidP="00835BDF">
      <w:pPr>
        <w:pStyle w:val="Heading2"/>
        <w:rPr>
          <w:sz w:val="28"/>
          <w:szCs w:val="28"/>
        </w:rPr>
      </w:pPr>
      <w:r w:rsidRPr="00835BDF">
        <w:t xml:space="preserve">5. From vectors to </w:t>
      </w:r>
      <w:r w:rsidRPr="00835BDF">
        <w:rPr>
          <w:sz w:val="28"/>
          <w:szCs w:val="28"/>
        </w:rPr>
        <w:t>sheaves — the algebraic home [LB] core, [CAND] reading</w:t>
      </w:r>
    </w:p>
    <w:p w14:paraId="40A51991" w14:textId="19D47CA1" w:rsidR="00835BDF" w:rsidRPr="00835BDF" w:rsidRDefault="00835BDF" w:rsidP="00835BDF">
      <w:pPr>
        <w:jc w:val="both"/>
      </w:pPr>
      <w:r w:rsidRPr="00835BDF">
        <w:t xml:space="preserve">A defensible system cannot be modelled as a free vector generator. To </w:t>
      </w:r>
      <w:r w:rsidRPr="00835BDF">
        <w:rPr>
          <w:i/>
          <w:iCs/>
        </w:rPr>
        <w:t>classify</w:t>
      </w:r>
      <w:r w:rsidRPr="00835BDF">
        <w:t xml:space="preserve"> error rather than merely measure it — to have kernels, cokernels, images, exact sequences, and the obstruction class H¹ = ker δ¹ / im δ⁰ at all — the representation must live in an </w:t>
      </w:r>
      <w:r w:rsidRPr="00835BDF">
        <w:rPr>
          <w:b/>
          <w:bCs/>
        </w:rPr>
        <w:t>abelian category of sheaves</w:t>
      </w:r>
      <w:r w:rsidRPr="00835BDF">
        <w:t>, Sh(X, R{-Mod}). Two precisions, both deposited:</w:t>
      </w:r>
    </w:p>
    <w:p w14:paraId="18D2AE2A" w14:textId="77777777" w:rsidR="00835BDF" w:rsidRPr="00835BDF" w:rsidRDefault="00835BDF" w:rsidP="00835BDF">
      <w:pPr>
        <w:numPr>
          <w:ilvl w:val="0"/>
          <w:numId w:val="2"/>
        </w:numPr>
        <w:jc w:val="both"/>
      </w:pPr>
      <w:r w:rsidRPr="00835BDF">
        <w:t xml:space="preserve">The load-bearing word is </w:t>
      </w:r>
      <w:r w:rsidRPr="00835BDF">
        <w:rPr>
          <w:b/>
          <w:bCs/>
        </w:rPr>
        <w:t>sheaf</w:t>
      </w:r>
      <w:r w:rsidRPr="00835BDF">
        <w:t>, not abelian. Vector spaces already form an abelian category; what a bare generator lacks is the sheaf-over-a-site structure — a cover, restriction maps, partitions of unity, and the possibility of nontrivial higher cohomology. The cohomological content is the framework's, deposited in the melt paper's Appendix D (H^{&gt;0}(</w:t>
      </w:r>
      <w:r w:rsidRPr="00835BDF">
        <w:rPr>
          <w:rFonts w:ascii="Cambria Math" w:hAnsi="Cambria Math" w:cs="Cambria Math"/>
        </w:rPr>
        <w:t>𝒦</w:t>
      </w:r>
      <w:r w:rsidRPr="00835BDF">
        <w:t xml:space="preserve">) ≠ 0 </w:t>
      </w:r>
      <w:r w:rsidRPr="00835BDF">
        <w:rPr>
          <w:rFonts w:ascii="Cambria Math" w:hAnsi="Cambria Math" w:cs="Cambria Math"/>
        </w:rPr>
        <w:t>⟺</w:t>
      </w:r>
      <w:r w:rsidRPr="00835BDF">
        <w:t xml:space="preserve"> no partitions of unity </w:t>
      </w:r>
      <w:r w:rsidRPr="00835BDF">
        <w:rPr>
          <w:rFonts w:ascii="Cambria Math" w:hAnsi="Cambria Math" w:cs="Cambria Math"/>
        </w:rPr>
        <w:t>⟺</w:t>
      </w:r>
      <w:r w:rsidRPr="00835BDF">
        <w:t xml:space="preserve"> rigidity).</w:t>
      </w:r>
    </w:p>
    <w:p w14:paraId="6570369B" w14:textId="77777777" w:rsidR="00835BDF" w:rsidRPr="00835BDF" w:rsidRDefault="00835BDF" w:rsidP="00835BDF">
      <w:pPr>
        <w:numPr>
          <w:ilvl w:val="0"/>
          <w:numId w:val="2"/>
        </w:numPr>
        <w:jc w:val="both"/>
      </w:pPr>
      <w:r w:rsidRPr="00835BDF">
        <w:rPr>
          <w:b/>
          <w:bCs/>
        </w:rPr>
        <w:t>Not vector bundles, either.</w:t>
      </w:r>
      <w:r w:rsidRPr="00835BDF">
        <w:t xml:space="preserve"> A vector bundle is a locally free sheaf of constant rank whose transition functions already satisfy the cocycle condition </w:t>
      </w:r>
      <w:r w:rsidRPr="00835BDF">
        <w:rPr>
          <w:i/>
          <w:iCs/>
        </w:rPr>
        <w:t>by construction</w:t>
      </w:r>
      <w:r w:rsidRPr="00835BDF">
        <w:t xml:space="preserve"> — it is the post-stabilization chart, the object that exists only because gluing already succeeded. It cannot make gluing-failure or rank-jump first-class. A general sheaf can. Hence: </w:t>
      </w:r>
      <w:r w:rsidRPr="00835BDF">
        <w:rPr>
          <w:i/>
          <w:iCs/>
        </w:rPr>
        <w:t>differential geometry describes intelligence after stabilization; sheaf theory describes it while stabilization is being tested.</w:t>
      </w:r>
      <w:r w:rsidRPr="00835BDF">
        <w:t xml:space="preserve"> The tangent bundle is where the gradient computes; the sheaf is where the audit runs. Vector bundles are the post-lift stabilized charts the offline lift delivers — not what the audit may presuppose. </w:t>
      </w:r>
      <w:r w:rsidRPr="00835BDF">
        <w:rPr>
          <w:i/>
          <w:iCs/>
        </w:rPr>
        <w:t>(Owned by The Abelian Cortex note, §§1–1.1.)</w:t>
      </w:r>
    </w:p>
    <w:p w14:paraId="1CEBBEBD" w14:textId="77777777" w:rsidR="00835BDF" w:rsidRPr="00835BDF" w:rsidRDefault="00835BDF" w:rsidP="00835BDF">
      <w:pPr>
        <w:pStyle w:val="Heading2"/>
      </w:pPr>
      <w:r w:rsidRPr="00835BDF">
        <w:t>6. The cochain audit — propose, then test [CAND]</w:t>
      </w:r>
    </w:p>
    <w:p w14:paraId="1B0117C1" w14:textId="7CA73CCC" w:rsidR="00835BDF" w:rsidRPr="00835BDF" w:rsidRDefault="00835BDF" w:rsidP="00835BDF">
      <w:pPr>
        <w:jc w:val="both"/>
      </w:pPr>
      <w:r w:rsidRPr="00835BDF">
        <w:t xml:space="preserve">Inside Sh(X, R{-Mod}) the computation is a cochain complex C⁰ →(δ⁰) C¹ →(δ¹) C²: C⁰ the local sections, C¹ the overlap discrepancies, C² the compound (triple-overlap) failures. The framework does </w:t>
      </w:r>
      <w:r w:rsidRPr="00835BDF">
        <w:rPr>
          <w:b/>
          <w:bCs/>
        </w:rPr>
        <w:t>not</w:t>
      </w:r>
      <w:r w:rsidRPr="00835BDF">
        <w:t xml:space="preserve"> say cognition is this complex </w:t>
      </w:r>
      <w:r w:rsidRPr="00835BDF">
        <w:rPr>
          <w:i/>
          <w:iCs/>
        </w:rPr>
        <w:t>instead of</w:t>
      </w:r>
      <w:r w:rsidRPr="00835BDF">
        <w:t xml:space="preserve"> a forward pass. The forward pass already assembles C⁰ — attention is the partition-of-unity gluing. What it lacks is the </w:t>
      </w:r>
      <w:r w:rsidRPr="00835BDF">
        <w:rPr>
          <w:b/>
          <w:bCs/>
        </w:rPr>
        <w:t>audit</w:t>
      </w:r>
      <w:r w:rsidRPr="00835BDF">
        <w:t xml:space="preserve">: the differentials that test coherence. Cognition is therefore </w:t>
      </w:r>
      <w:r w:rsidRPr="00835BDF">
        <w:rPr>
          <w:b/>
          <w:bCs/>
        </w:rPr>
        <w:t>propose-then-audit</w:t>
      </w:r>
      <w:r w:rsidRPr="00835BDF">
        <w:t xml:space="preserve"> — the forward pass proposes the sections, the cochain complex is the obstruction computation it has no component for. </w:t>
      </w:r>
      <w:r w:rsidRPr="00835BDF">
        <w:rPr>
          <w:i/>
          <w:iCs/>
        </w:rPr>
        <w:t xml:space="preserve">(Owned by The Abelian Cortex §2; </w:t>
      </w:r>
      <w:r w:rsidRPr="00835BDF">
        <w:rPr>
          <w:i/>
          <w:iCs/>
        </w:rPr>
        <w:lastRenderedPageBreak/>
        <w:t xml:space="preserve">the Transformer reading, </w:t>
      </w:r>
      <w:hyperlink r:id="rId16" w:history="1">
        <w:r w:rsidR="00333B53" w:rsidRPr="00AC5EE3">
          <w:rPr>
            <w:rStyle w:val="Hyperlink"/>
            <w:i/>
            <w:iCs/>
          </w:rPr>
          <w:t>https://doi.org/10.13140</w:t>
        </w:r>
        <w:r w:rsidR="00333B53" w:rsidRPr="00AC5EE3">
          <w:rPr>
            <w:rStyle w:val="Hyperlink"/>
            <w:i/>
            <w:iCs/>
          </w:rPr>
          <w:t>/</w:t>
        </w:r>
        <w:r w:rsidR="00333B53" w:rsidRPr="00AC5EE3">
          <w:rPr>
            <w:rStyle w:val="Hyperlink"/>
            <w:i/>
            <w:iCs/>
          </w:rPr>
          <w:t>RG.2.2.22726.02889</w:t>
        </w:r>
      </w:hyperlink>
      <w:r w:rsidRPr="00835BDF">
        <w:rPr>
          <w:i/>
          <w:iCs/>
        </w:rPr>
        <w:t>;</w:t>
      </w:r>
      <w:r w:rsidR="00333B53">
        <w:rPr>
          <w:i/>
          <w:iCs/>
        </w:rPr>
        <w:t xml:space="preserve"> </w:t>
      </w:r>
      <w:r w:rsidRPr="00835BDF">
        <w:rPr>
          <w:i/>
          <w:iCs/>
        </w:rPr>
        <w:t>the cochain machinery, Hypercovering and Descent.)</w:t>
      </w:r>
    </w:p>
    <w:p w14:paraId="13F8F858" w14:textId="77777777" w:rsidR="00835BDF" w:rsidRPr="00333B53" w:rsidRDefault="00835BDF" w:rsidP="00333B53">
      <w:pPr>
        <w:pStyle w:val="Heading2"/>
      </w:pPr>
      <w:r w:rsidRPr="00835BDF">
        <w:t xml:space="preserve">7. </w:t>
      </w:r>
      <w:r w:rsidRPr="00333B53">
        <w:t>The categorization of error — four responses, not a magnitude [CAND] on [LB] structure</w:t>
      </w:r>
    </w:p>
    <w:p w14:paraId="515C0868" w14:textId="77777777" w:rsidR="00835BDF" w:rsidRPr="00835BDF" w:rsidRDefault="00835BDF" w:rsidP="00835BDF">
      <w:pPr>
        <w:jc w:val="both"/>
      </w:pPr>
      <w:r w:rsidRPr="00835BDF">
        <w:t xml:space="preserve">Defensible stabilization </w:t>
      </w:r>
      <w:r w:rsidRPr="00835BDF">
        <w:rPr>
          <w:b/>
          <w:bCs/>
        </w:rPr>
        <w:t>categorizes</w:t>
      </w:r>
      <w:r w:rsidRPr="00835BDF">
        <w:t xml:space="preserve"> a discrepancy by its place in the complex rather than minimizing its size; the gate tests the </w:t>
      </w:r>
      <w:r w:rsidRPr="00835BDF">
        <w:rPr>
          <w:i/>
          <w:iCs/>
        </w:rPr>
        <w:t>nontriviality of the class</w:t>
      </w:r>
      <w:r w:rsidRPr="00835BDF">
        <w:t xml:space="preserve"> at the precision tolerance ε(Π), never a scalar. Four categories, four responses:</w:t>
      </w:r>
    </w:p>
    <w:p w14:paraId="52BB5FB6" w14:textId="77777777" w:rsidR="00835BDF" w:rsidRPr="00835BDF" w:rsidRDefault="00835BDF" w:rsidP="00835BDF">
      <w:pPr>
        <w:numPr>
          <w:ilvl w:val="0"/>
          <w:numId w:val="3"/>
        </w:numPr>
        <w:jc w:val="both"/>
      </w:pPr>
      <w:r w:rsidRPr="00835BDF">
        <w:t xml:space="preserve">a </w:t>
      </w:r>
      <w:r w:rsidRPr="00835BDF">
        <w:rPr>
          <w:b/>
          <w:bCs/>
        </w:rPr>
        <w:t>coboundary</w:t>
      </w:r>
      <w:r w:rsidRPr="00835BDF">
        <w:t xml:space="preserve"> (im δ⁰) — removable by local adjustment → </w:t>
      </w:r>
      <w:r w:rsidRPr="00835BDF">
        <w:rPr>
          <w:b/>
          <w:bCs/>
        </w:rPr>
        <w:t>repair online</w:t>
      </w:r>
      <w:r w:rsidRPr="00835BDF">
        <w:t>;</w:t>
      </w:r>
    </w:p>
    <w:p w14:paraId="7953B277" w14:textId="77777777" w:rsidR="00835BDF" w:rsidRPr="00835BDF" w:rsidRDefault="00835BDF" w:rsidP="00835BDF">
      <w:pPr>
        <w:numPr>
          <w:ilvl w:val="0"/>
          <w:numId w:val="3"/>
        </w:numPr>
        <w:jc w:val="both"/>
      </w:pPr>
      <w:r w:rsidRPr="00835BDF">
        <w:t xml:space="preserve">a </w:t>
      </w:r>
      <w:r w:rsidRPr="00835BDF">
        <w:rPr>
          <w:b/>
          <w:bCs/>
        </w:rPr>
        <w:t>false zero</w:t>
      </w:r>
      <w:r w:rsidRPr="00835BDF">
        <w:t xml:space="preserve"> — the gate reads zero because the cover was too coarse to expose the overlap → </w:t>
      </w:r>
      <w:r w:rsidRPr="00835BDF">
        <w:rPr>
          <w:b/>
          <w:bCs/>
        </w:rPr>
        <w:t>hypercover</w:t>
      </w:r>
      <w:r w:rsidRPr="00835BDF">
        <w:t xml:space="preserve"> (refine the cover);</w:t>
      </w:r>
    </w:p>
    <w:p w14:paraId="1AF267E8" w14:textId="77777777" w:rsidR="00835BDF" w:rsidRPr="00835BDF" w:rsidRDefault="00835BDF" w:rsidP="00835BDF">
      <w:pPr>
        <w:numPr>
          <w:ilvl w:val="0"/>
          <w:numId w:val="3"/>
        </w:numPr>
        <w:jc w:val="both"/>
      </w:pPr>
      <w:r w:rsidRPr="00835BDF">
        <w:t xml:space="preserve">a </w:t>
      </w:r>
      <w:r w:rsidRPr="00835BDF">
        <w:rPr>
          <w:b/>
          <w:bCs/>
        </w:rPr>
        <w:t>liftable</w:t>
      </w:r>
      <w:r w:rsidRPr="00835BDF">
        <w:t xml:space="preserve"> nonzero H¹ — a genuine obstruction the moving base cannot discharge but an offline re-coordinatization can → </w:t>
      </w:r>
      <w:r w:rsidRPr="00835BDF">
        <w:rPr>
          <w:b/>
          <w:bCs/>
        </w:rPr>
        <w:t>withhold now, lift offline</w:t>
      </w:r>
      <w:r w:rsidRPr="00835BDF">
        <w:t>;</w:t>
      </w:r>
    </w:p>
    <w:p w14:paraId="6088FFAD" w14:textId="77777777" w:rsidR="00835BDF" w:rsidRPr="00835BDF" w:rsidRDefault="00835BDF" w:rsidP="00835BDF">
      <w:pPr>
        <w:numPr>
          <w:ilvl w:val="0"/>
          <w:numId w:val="3"/>
        </w:numPr>
        <w:jc w:val="both"/>
      </w:pPr>
      <w:r w:rsidRPr="00835BDF">
        <w:t xml:space="preserve">an </w:t>
      </w:r>
      <w:r w:rsidRPr="00835BDF">
        <w:rPr>
          <w:b/>
          <w:bCs/>
        </w:rPr>
        <w:t>irreducible</w:t>
      </w:r>
      <w:r w:rsidRPr="00835BDF">
        <w:t xml:space="preserve"> nonzero H¹ — no lift repairs it → </w:t>
      </w:r>
      <w:r w:rsidRPr="00835BDF">
        <w:rPr>
          <w:b/>
          <w:bCs/>
        </w:rPr>
        <w:t>withhold permanently</w:t>
      </w:r>
      <w:r w:rsidRPr="00835BDF">
        <w:t>, carry it as a no-go constraint.</w:t>
      </w:r>
    </w:p>
    <w:p w14:paraId="02C58C3C" w14:textId="09B93580" w:rsidR="00835BDF" w:rsidRPr="00835BDF" w:rsidRDefault="00835BDF" w:rsidP="00835BDF">
      <w:pPr>
        <w:jc w:val="both"/>
      </w:pPr>
      <w:r w:rsidRPr="00835BDF">
        <w:t xml:space="preserve">The collapse "coboundary / cocycle / H¹ → refuse" omits the false zero and folds the liftable and irreducible cases together; the honest taxonomy is these four. A scalar loss is the one quantity that cannot make these distinctions. </w:t>
      </w:r>
      <w:r w:rsidRPr="00835BDF">
        <w:rPr>
          <w:i/>
          <w:iCs/>
        </w:rPr>
        <w:t xml:space="preserve">(Owned by the cortex paper for class-not-magnitude; Hypercovering for the false zero; AGI Audit→Lift, </w:t>
      </w:r>
      <w:hyperlink r:id="rId17" w:history="1">
        <w:r w:rsidR="0063416E" w:rsidRPr="00AC5EE3">
          <w:rPr>
            <w:rStyle w:val="Hyperlink"/>
            <w:i/>
            <w:iCs/>
          </w:rPr>
          <w:t>https://doi.org/10.13140/RG.2.2.</w:t>
        </w:r>
        <w:r w:rsidR="0063416E" w:rsidRPr="00AC5EE3">
          <w:rPr>
            <w:rStyle w:val="Hyperlink"/>
            <w:i/>
            <w:iCs/>
          </w:rPr>
          <w:t>2</w:t>
        </w:r>
        <w:r w:rsidR="0063416E" w:rsidRPr="00AC5EE3">
          <w:rPr>
            <w:rStyle w:val="Hyperlink"/>
            <w:i/>
            <w:iCs/>
          </w:rPr>
          <w:t>0183.23205</w:t>
        </w:r>
      </w:hyperlink>
      <w:r w:rsidRPr="00835BDF">
        <w:rPr>
          <w:i/>
          <w:iCs/>
        </w:rPr>
        <w:t>,</w:t>
      </w:r>
      <w:r w:rsidR="0063416E">
        <w:rPr>
          <w:i/>
          <w:iCs/>
        </w:rPr>
        <w:t xml:space="preserve"> </w:t>
      </w:r>
      <w:r w:rsidRPr="00835BDF">
        <w:rPr>
          <w:i/>
          <w:iCs/>
        </w:rPr>
        <w:t>for liftable vs irreducible.)</w:t>
      </w:r>
    </w:p>
    <w:p w14:paraId="6FA17AFD" w14:textId="77777777" w:rsidR="00835BDF" w:rsidRPr="00835BDF" w:rsidRDefault="00835BDF" w:rsidP="00835BDF">
      <w:pPr>
        <w:pStyle w:val="Heading2"/>
      </w:pPr>
      <w:r w:rsidRPr="00835BDF">
        <w:t>8. Tensor memory and contraction [CAND]</w:t>
      </w:r>
    </w:p>
    <w:p w14:paraId="20F827A9" w14:textId="269C669D" w:rsidR="00835BDF" w:rsidRPr="00835BDF" w:rsidRDefault="00835BDF" w:rsidP="00835BDF">
      <w:pPr>
        <w:jc w:val="both"/>
      </w:pPr>
      <w:r w:rsidRPr="00835BDF">
        <w:t xml:space="preserve">The cortex stores structure without collapsing role assignment — </w:t>
      </w:r>
      <w:r w:rsidRPr="00835BDF">
        <w:rPr>
          <w:i/>
          <w:iCs/>
        </w:rPr>
        <w:t>red cup on brown table</w:t>
      </w:r>
      <w:r w:rsidRPr="00835BDF">
        <w:t xml:space="preserve"> must not be confused with </w:t>
      </w:r>
      <w:r w:rsidRPr="00835BDF">
        <w:rPr>
          <w:i/>
          <w:iCs/>
        </w:rPr>
        <w:t>brown cup on red table</w:t>
      </w:r>
      <w:r w:rsidRPr="00835BDF">
        <w:t xml:space="preserve">. A trace is read as a tensor binding T = Σₖ contentₖ </w:t>
      </w:r>
      <w:r w:rsidRPr="00835BDF">
        <w:rPr>
          <w:rFonts w:ascii="Cambria Math" w:hAnsi="Cambria Math" w:cs="Cambria Math"/>
        </w:rPr>
        <w:t>⊗</w:t>
      </w:r>
      <w:r w:rsidRPr="00835BDF">
        <w:t xml:space="preserve"> role</w:t>
      </w:r>
      <w:r w:rsidRPr="00835BDF">
        <w:rPr>
          <w:rFonts w:ascii="Calibri" w:hAnsi="Calibri" w:cs="Calibri"/>
        </w:rPr>
        <w:t>ₖ</w:t>
      </w:r>
      <w:r w:rsidRPr="00835BDF">
        <w:t xml:space="preserve"> </w:t>
      </w:r>
      <w:r w:rsidRPr="00835BDF">
        <w:rPr>
          <w:rFonts w:ascii="Cambria Math" w:hAnsi="Cambria Math" w:cs="Cambria Math"/>
        </w:rPr>
        <w:t>⊗</w:t>
      </w:r>
      <w:r w:rsidRPr="00835BDF">
        <w:t xml:space="preserve"> context</w:t>
      </w:r>
      <w:r w:rsidRPr="00835BDF">
        <w:rPr>
          <w:rFonts w:ascii="Calibri" w:hAnsi="Calibri" w:cs="Calibri"/>
        </w:rPr>
        <w:t>ₖ</w:t>
      </w:r>
      <w:r w:rsidRPr="00835BDF">
        <w:t xml:space="preserve"> </w:t>
      </w:r>
      <w:r w:rsidRPr="00835BDF">
        <w:rPr>
          <w:rFonts w:ascii="Cambria Math" w:hAnsi="Cambria Math" w:cs="Cambria Math"/>
        </w:rPr>
        <w:t>⊗</w:t>
      </w:r>
      <w:r w:rsidRPr="00835BDF">
        <w:t xml:space="preserve"> time</w:t>
      </w:r>
      <w:r w:rsidRPr="00835BDF">
        <w:rPr>
          <w:rFonts w:ascii="Calibri" w:hAnsi="Calibri" w:cs="Calibri"/>
        </w:rPr>
        <w:t>ₖ</w:t>
      </w:r>
      <w:r w:rsidRPr="00835BDF">
        <w:t xml:space="preserve">, which preserves which content fills which role in which context at which time. Retrieval is </w:t>
      </w:r>
      <w:r w:rsidRPr="00835BDF">
        <w:rPr>
          <w:b/>
          <w:bCs/>
        </w:rPr>
        <w:t>contraction</w:t>
      </w:r>
      <w:r w:rsidRPr="00835BDF">
        <w:t xml:space="preserve"> against a role/context/time key — the algebraic unbind, and a first-class one, since over-binding is a failure mode. Clean contraction requires </w:t>
      </w:r>
      <w:r w:rsidRPr="00835BDF">
        <w:rPr>
          <w:i/>
          <w:iCs/>
        </w:rPr>
        <w:t>orthogonal</w:t>
      </w:r>
      <w:r w:rsidRPr="00835BDF">
        <w:t xml:space="preserve"> role and context bases; without them retrieval is crosstalk. </w:t>
      </w:r>
      <w:r w:rsidRPr="00835BDF">
        <w:rPr>
          <w:i/>
          <w:iCs/>
        </w:rPr>
        <w:t>(Owned by the cortex paper</w:t>
      </w:r>
      <w:r w:rsidR="0063416E">
        <w:rPr>
          <w:i/>
          <w:iCs/>
        </w:rPr>
        <w:t xml:space="preserve">, </w:t>
      </w:r>
      <w:hyperlink r:id="rId18" w:history="1">
        <w:r w:rsidR="0063416E" w:rsidRPr="00AC5EE3">
          <w:rPr>
            <w:rStyle w:val="Hyperlink"/>
            <w:i/>
            <w:iCs/>
          </w:rPr>
          <w:t>https://doi.org/10.13140/RG.2.2.14232.56328</w:t>
        </w:r>
      </w:hyperlink>
      <w:r w:rsidRPr="00835BDF">
        <w:rPr>
          <w:i/>
          <w:iCs/>
        </w:rPr>
        <w:t>.)</w:t>
      </w:r>
    </w:p>
    <w:p w14:paraId="6B165097" w14:textId="77777777" w:rsidR="00835BDF" w:rsidRPr="00835BDF" w:rsidRDefault="00835BDF" w:rsidP="00835BDF">
      <w:pPr>
        <w:pStyle w:val="Heading2"/>
      </w:pPr>
      <w:r w:rsidRPr="00835BDF">
        <w:t>9. The cup-product gate — second-order coherence [CAND]</w:t>
      </w:r>
    </w:p>
    <w:p w14:paraId="521E94A9" w14:textId="1328B1A3" w:rsidR="00835BDF" w:rsidRPr="00835BDF" w:rsidRDefault="00835BDF" w:rsidP="00835BDF">
      <w:pPr>
        <w:jc w:val="both"/>
      </w:pPr>
      <w:r w:rsidRPr="00835BDF">
        <w:t xml:space="preserve">First-order cohomology stabilizes a single binding; composition can still fail. The </w:t>
      </w:r>
      <w:r w:rsidRPr="00835BDF">
        <w:rPr>
          <w:b/>
          <w:bCs/>
        </w:rPr>
        <w:t>cup product</w:t>
      </w:r>
      <w:r w:rsidRPr="00835BDF">
        <w:t xml:space="preserve"> H¹(X,A) × H¹(X,B) → H²(X, A</w:t>
      </w:r>
      <w:r w:rsidRPr="00835BDF">
        <w:rPr>
          <w:rFonts w:ascii="Cambria Math" w:hAnsi="Cambria Math" w:cs="Cambria Math"/>
        </w:rPr>
        <w:t>⊗</w:t>
      </w:r>
      <w:r w:rsidRPr="00835BDF">
        <w:t xml:space="preserve">B) is the second-order gate: it detects when two individually coherent bindings become incoherent composed </w:t>
      </w:r>
      <w:r w:rsidRPr="00835BDF">
        <w:rPr>
          <w:rFonts w:ascii="Calibri" w:hAnsi="Calibri" w:cs="Calibri"/>
        </w:rPr>
        <w:t>—</w:t>
      </w:r>
      <w:r w:rsidRPr="00835BDF">
        <w:t xml:space="preserve"> the compound hallucination whose error is in neither binding alone. A nontrivial cup-product class withholds the compound binding. This is the gate multimodal cognition most needs, where visual, linguistic, physical, and action constraints must cohere at once. </w:t>
      </w:r>
      <w:r w:rsidRPr="00835BDF">
        <w:rPr>
          <w:i/>
          <w:iCs/>
        </w:rPr>
        <w:t>(Owned by the cortex paper</w:t>
      </w:r>
      <w:r w:rsidR="00CE3B7A">
        <w:rPr>
          <w:i/>
          <w:iCs/>
        </w:rPr>
        <w:t xml:space="preserve">, </w:t>
      </w:r>
      <w:hyperlink r:id="rId19" w:history="1">
        <w:r w:rsidR="00CE3B7A" w:rsidRPr="00AC5EE3">
          <w:rPr>
            <w:rStyle w:val="Hyperlink"/>
            <w:i/>
            <w:iCs/>
          </w:rPr>
          <w:t>https://doi.org/10.13140/RG.2.2.14232.56328</w:t>
        </w:r>
      </w:hyperlink>
      <w:r w:rsidRPr="00835BDF">
        <w:rPr>
          <w:i/>
          <w:iCs/>
        </w:rPr>
        <w:t>;</w:t>
      </w:r>
      <w:r w:rsidR="00CE3B7A">
        <w:rPr>
          <w:i/>
          <w:iCs/>
        </w:rPr>
        <w:t xml:space="preserve"> </w:t>
      </w:r>
      <w:r w:rsidRPr="00835BDF">
        <w:rPr>
          <w:i/>
          <w:iCs/>
        </w:rPr>
        <w:t xml:space="preserve">the multimodal case in The Hierarchy of Binding, </w:t>
      </w:r>
      <w:hyperlink r:id="rId20" w:history="1">
        <w:r w:rsidR="00CE3B7A" w:rsidRPr="00AC5EE3">
          <w:rPr>
            <w:rStyle w:val="Hyperlink"/>
            <w:i/>
            <w:iCs/>
          </w:rPr>
          <w:t>https://doi.org/10.13140/RG.2.2.34</w:t>
        </w:r>
        <w:r w:rsidR="00CE3B7A" w:rsidRPr="00AC5EE3">
          <w:rPr>
            <w:rStyle w:val="Hyperlink"/>
            <w:i/>
            <w:iCs/>
          </w:rPr>
          <w:t>8</w:t>
        </w:r>
        <w:r w:rsidR="00CE3B7A" w:rsidRPr="00AC5EE3">
          <w:rPr>
            <w:rStyle w:val="Hyperlink"/>
            <w:i/>
            <w:iCs/>
          </w:rPr>
          <w:t>89.51044</w:t>
        </w:r>
      </w:hyperlink>
      <w:r w:rsidRPr="00835BDF">
        <w:rPr>
          <w:i/>
          <w:iCs/>
        </w:rPr>
        <w:t>.)</w:t>
      </w:r>
    </w:p>
    <w:p w14:paraId="1B97E018" w14:textId="77777777" w:rsidR="00835BDF" w:rsidRPr="00835BDF" w:rsidRDefault="00835BDF" w:rsidP="00835BDF">
      <w:pPr>
        <w:pStyle w:val="Heading1"/>
        <w:rPr>
          <w:sz w:val="36"/>
          <w:szCs w:val="36"/>
        </w:rPr>
      </w:pPr>
      <w:r w:rsidRPr="00835BDF">
        <w:lastRenderedPageBreak/>
        <w:t xml:space="preserve">PART III — TOPOLOGY: </w:t>
      </w:r>
      <w:r w:rsidRPr="00835BDF">
        <w:rPr>
          <w:sz w:val="36"/>
          <w:szCs w:val="36"/>
        </w:rPr>
        <w:t>THE LOCAL-TO-GLOBAL PROBLEM</w:t>
      </w:r>
    </w:p>
    <w:p w14:paraId="2C7CAC32" w14:textId="77777777" w:rsidR="00835BDF" w:rsidRPr="00835BDF" w:rsidRDefault="00835BDF" w:rsidP="00835BDF">
      <w:pPr>
        <w:pStyle w:val="Heading2"/>
      </w:pPr>
      <w:r w:rsidRPr="00835BDF">
        <w:t>10. Binding as gluing [CAND]</w:t>
      </w:r>
    </w:p>
    <w:p w14:paraId="45E6CBD6" w14:textId="2D2C9F6A" w:rsidR="00835BDF" w:rsidRPr="00835BDF" w:rsidRDefault="00835BDF" w:rsidP="00835BDF">
      <w:pPr>
        <w:jc w:val="both"/>
      </w:pPr>
      <w:r w:rsidRPr="00835BDF">
        <w:t xml:space="preserve">The brain is a local-to-global system: vision, audition, proprioception, affect, language, memory, and action each supply local sections that must agree on overlaps, and the coherent global field exists only when they glue. Binding is therefore not concatenation but </w:t>
      </w:r>
      <w:r w:rsidRPr="00835BDF">
        <w:rPr>
          <w:b/>
          <w:bCs/>
        </w:rPr>
        <w:t>sheaf-theoretic gluing</w:t>
      </w:r>
      <w:r w:rsidRPr="00835BDF">
        <w:t xml:space="preserve">, and the binding problem becomes: </w:t>
      </w:r>
      <w:r w:rsidRPr="00835BDF">
        <w:rPr>
          <w:i/>
          <w:iCs/>
        </w:rPr>
        <w:t>when do locally valid sections assemble into a coherent global section?</w:t>
      </w:r>
      <w:r w:rsidRPr="00835BDF">
        <w:t xml:space="preserve"> The answer is cohomological — if the obstruction vanishes, binding is legitimate; if not, it must be withheld; if the cover is too coarse, the obstruction may be invisible. </w:t>
      </w:r>
      <w:r w:rsidRPr="00835BDF">
        <w:rPr>
          <w:i/>
          <w:iCs/>
        </w:rPr>
        <w:t xml:space="preserve">(Owned by Dynamic Predictive Gluing, </w:t>
      </w:r>
      <w:hyperlink r:id="rId21" w:history="1">
        <w:r w:rsidR="00B256CC" w:rsidRPr="00AC5EE3">
          <w:rPr>
            <w:rStyle w:val="Hyperlink"/>
            <w:i/>
            <w:iCs/>
          </w:rPr>
          <w:t>https://doi.org/10.13140/RG.2.2.1984</w:t>
        </w:r>
        <w:r w:rsidR="00B256CC" w:rsidRPr="00AC5EE3">
          <w:rPr>
            <w:rStyle w:val="Hyperlink"/>
            <w:i/>
            <w:iCs/>
          </w:rPr>
          <w:t>8</w:t>
        </w:r>
        <w:r w:rsidR="00B256CC" w:rsidRPr="00AC5EE3">
          <w:rPr>
            <w:rStyle w:val="Hyperlink"/>
            <w:i/>
            <w:iCs/>
          </w:rPr>
          <w:t>.99846</w:t>
        </w:r>
      </w:hyperlink>
      <w:r w:rsidRPr="00835BDF">
        <w:rPr>
          <w:i/>
          <w:iCs/>
        </w:rPr>
        <w:t>;</w:t>
      </w:r>
      <w:r w:rsidR="00B256CC">
        <w:rPr>
          <w:i/>
          <w:iCs/>
        </w:rPr>
        <w:t xml:space="preserve"> </w:t>
      </w:r>
      <w:r w:rsidRPr="00835BDF">
        <w:rPr>
          <w:i/>
          <w:iCs/>
        </w:rPr>
        <w:t xml:space="preserve">the multimodal hierarchy, </w:t>
      </w:r>
      <w:hyperlink r:id="rId22" w:history="1">
        <w:r w:rsidR="00B256CC" w:rsidRPr="00AC5EE3">
          <w:rPr>
            <w:rStyle w:val="Hyperlink"/>
            <w:i/>
            <w:iCs/>
          </w:rPr>
          <w:t>https://doi.org/10.13140/RG.2.2.34889.51</w:t>
        </w:r>
        <w:r w:rsidR="00B256CC" w:rsidRPr="00AC5EE3">
          <w:rPr>
            <w:rStyle w:val="Hyperlink"/>
            <w:i/>
            <w:iCs/>
          </w:rPr>
          <w:t>0</w:t>
        </w:r>
        <w:r w:rsidR="00B256CC" w:rsidRPr="00AC5EE3">
          <w:rPr>
            <w:rStyle w:val="Hyperlink"/>
            <w:i/>
            <w:iCs/>
          </w:rPr>
          <w:t>44</w:t>
        </w:r>
      </w:hyperlink>
      <w:r w:rsidRPr="00835BDF">
        <w:rPr>
          <w:i/>
          <w:iCs/>
        </w:rPr>
        <w:t>.)</w:t>
      </w:r>
    </w:p>
    <w:p w14:paraId="4226AA22" w14:textId="77777777" w:rsidR="00835BDF" w:rsidRPr="00835BDF" w:rsidRDefault="00835BDF" w:rsidP="00835BDF">
      <w:pPr>
        <w:pStyle w:val="Heading2"/>
      </w:pPr>
      <w:r w:rsidRPr="00835BDF">
        <w:t>11. Prediction error as overlap obstruction [CAND]</w:t>
      </w:r>
    </w:p>
    <w:p w14:paraId="6059A893" w14:textId="347A7408" w:rsidR="00835BDF" w:rsidRPr="00835BDF" w:rsidRDefault="00835BDF" w:rsidP="00835BDF">
      <w:pPr>
        <w:jc w:val="both"/>
      </w:pPr>
      <w:r w:rsidRPr="00835BDF">
        <w:t xml:space="preserve">Predictive processing says the brain minimizes prediction error; the series refines this. Prediction error, defined on overlaps, is not scalar surprise but </w:t>
      </w:r>
      <w:r w:rsidRPr="00835BDF">
        <w:rPr>
          <w:b/>
          <w:bCs/>
        </w:rPr>
        <w:t>overlap disagreement</w:t>
      </w:r>
      <w:r w:rsidRPr="00835BDF">
        <w:t xml:space="preserve"> — and the cohomology class of that disagreement is the obstruction to gluing. So minimizing prediction error and discharging the gluing obstruction are, on overlaps, the </w:t>
      </w:r>
      <w:r w:rsidRPr="00835BDF">
        <w:rPr>
          <w:i/>
          <w:iCs/>
        </w:rPr>
        <w:t>same operation</w:t>
      </w:r>
      <w:r w:rsidRPr="00835BDF">
        <w:t xml:space="preserve">. This is offered as a </w:t>
      </w:r>
      <w:r w:rsidRPr="00835BDF">
        <w:rPr>
          <w:b/>
          <w:bCs/>
        </w:rPr>
        <w:t>structural identification at the candidate tier</w:t>
      </w:r>
      <w:r w:rsidRPr="00835BDF">
        <w:t xml:space="preserve">; calling it load-bearing would be borrowed prestige, and the series does not. Consciousness, on this reading, is continuous online coherence maintenance — re-gluing unstable local sections into a coherent field, not holding a finished one. </w:t>
      </w:r>
      <w:r w:rsidRPr="00835BDF">
        <w:rPr>
          <w:i/>
          <w:iCs/>
        </w:rPr>
        <w:t>(Owned by Dynamic Predictive Gluing, which sets the tier</w:t>
      </w:r>
      <w:r w:rsidR="00B256CC">
        <w:rPr>
          <w:i/>
          <w:iCs/>
        </w:rPr>
        <w:t xml:space="preserve">, </w:t>
      </w:r>
      <w:hyperlink r:id="rId23" w:history="1">
        <w:r w:rsidR="00B256CC" w:rsidRPr="00AC5EE3">
          <w:rPr>
            <w:rStyle w:val="Hyperlink"/>
            <w:i/>
            <w:iCs/>
          </w:rPr>
          <w:t>https://doi.org/10.13140/RG.2.2.19848.99846</w:t>
        </w:r>
      </w:hyperlink>
      <w:r w:rsidRPr="00835BDF">
        <w:rPr>
          <w:i/>
          <w:iCs/>
        </w:rPr>
        <w:t>.)</w:t>
      </w:r>
    </w:p>
    <w:p w14:paraId="6AA50184" w14:textId="77777777" w:rsidR="00835BDF" w:rsidRPr="00835BDF" w:rsidRDefault="00835BDF" w:rsidP="00835BDF">
      <w:pPr>
        <w:pStyle w:val="Heading2"/>
      </w:pPr>
      <w:r w:rsidRPr="00835BDF">
        <w:t>12. Feedback as restriction [CAND] structural isomorphism</w:t>
      </w:r>
    </w:p>
    <w:p w14:paraId="5738174B" w14:textId="77777777" w:rsidR="00835BDF" w:rsidRPr="00835BDF" w:rsidRDefault="00835BDF" w:rsidP="00835BDF">
      <w:pPr>
        <w:jc w:val="both"/>
      </w:pPr>
      <w:r w:rsidRPr="00835BDF">
        <w:t xml:space="preserve">The differentials are built from restriction maps, and physical feedback is read as their realization: top-down feedback carries a higher-rung claim back to the local site where it meets the evidence. Two precisions are held from the synthesis note, so the reading does not over-reach. It is a </w:t>
      </w:r>
      <w:r w:rsidRPr="00835BDF">
        <w:rPr>
          <w:b/>
          <w:bCs/>
        </w:rPr>
        <w:t>structural isomorphism, not a theorem</w:t>
      </w:r>
      <w:r w:rsidRPr="00835BDF">
        <w:t xml:space="preserve"> — feedback is </w:t>
      </w:r>
      <w:r w:rsidRPr="00835BDF">
        <w:rPr>
          <w:i/>
          <w:iCs/>
        </w:rPr>
        <w:t>a</w:t>
      </w:r>
      <w:r w:rsidRPr="00835BDF">
        <w:t xml:space="preserve"> physical channel that can realize restriction, not a homological prerequisite. And the Čech differential is built from </w:t>
      </w:r>
      <w:r w:rsidRPr="00835BDF">
        <w:rPr>
          <w:b/>
          <w:bCs/>
        </w:rPr>
        <w:t>patch-to-overlap</w:t>
      </w:r>
      <w:r w:rsidRPr="00835BDF">
        <w:t xml:space="preserve"> restrictions, computable from the local family with </w:t>
      </w:r>
      <w:r w:rsidRPr="00835BDF">
        <w:rPr>
          <w:i/>
          <w:iCs/>
        </w:rPr>
        <w:t>no top-down global section as input</w:t>
      </w:r>
      <w:r w:rsidRPr="00835BDF">
        <w:t xml:space="preserve">; so feedback's role is not to make the differential definable but to </w:t>
      </w:r>
      <w:r w:rsidRPr="00835BDF">
        <w:rPr>
          <w:b/>
          <w:bCs/>
        </w:rPr>
        <w:t>supply the non-trivial transition structure that makes H¹ non-vacuous</w:t>
      </w:r>
      <w:r w:rsidRPr="00835BDF">
        <w:t xml:space="preserve"> — to give the architecture something that can fail to glue, which a query-independent forward pass lacks. This refines, and is consistent with, the Transformer paper's vacuous-obstruction diagnosis. </w:t>
      </w:r>
      <w:r w:rsidRPr="00835BDF">
        <w:rPr>
          <w:i/>
          <w:iCs/>
        </w:rPr>
        <w:t>(Owned by Feedback as Restriction.)</w:t>
      </w:r>
    </w:p>
    <w:p w14:paraId="1DE27921" w14:textId="77777777" w:rsidR="00835BDF" w:rsidRPr="00835BDF" w:rsidRDefault="00835BDF" w:rsidP="00835BDF">
      <w:pPr>
        <w:pStyle w:val="Heading2"/>
      </w:pPr>
      <w:r w:rsidRPr="00835BDF">
        <w:t>13. Hypercovering and the false zero [CAND]</w:t>
      </w:r>
    </w:p>
    <w:p w14:paraId="144DBB83" w14:textId="77777777" w:rsidR="00835BDF" w:rsidRPr="00835BDF" w:rsidRDefault="00835BDF" w:rsidP="00835BDF">
      <w:pPr>
        <w:jc w:val="both"/>
      </w:pPr>
      <w:r w:rsidRPr="00835BDF">
        <w:t xml:space="preserve">A correct gate can still fail if the cover is too coarse to expose the overlap that carries the obstruction — the gate returns zero not from coherence but from blindness. This is the </w:t>
      </w:r>
      <w:r w:rsidRPr="00835BDF">
        <w:rPr>
          <w:b/>
          <w:bCs/>
        </w:rPr>
        <w:t>false zero</w:t>
      </w:r>
      <w:r w:rsidRPr="00835BDF">
        <w:t xml:space="preserve">, a </w:t>
      </w:r>
      <w:r w:rsidRPr="00835BDF">
        <w:rPr>
          <w:i/>
          <w:iCs/>
        </w:rPr>
        <w:t>resolution</w:t>
      </w:r>
      <w:r w:rsidRPr="00835BDF">
        <w:t xml:space="preserve"> failure, and it is a different species from illegitimate gluing, a </w:t>
      </w:r>
      <w:r w:rsidRPr="00835BDF">
        <w:rPr>
          <w:i/>
          <w:iCs/>
        </w:rPr>
        <w:t>precision</w:t>
      </w:r>
      <w:r w:rsidRPr="00835BDF">
        <w:t xml:space="preserve"> failure: precision failure is cured by tightening ε(Π), resolution failure by </w:t>
      </w:r>
      <w:r w:rsidRPr="00835BDF">
        <w:rPr>
          <w:b/>
          <w:bCs/>
        </w:rPr>
        <w:t>refining the cover</w:t>
      </w:r>
      <w:r w:rsidRPr="00835BDF">
        <w:t xml:space="preserve">. Hypercovering is recursive restriction into overlaps and overlaps of overlaps — the system must discover the right cover over which the obstruction is computed, not only compute the obstruction over a given cover. </w:t>
      </w:r>
      <w:r w:rsidRPr="00835BDF">
        <w:rPr>
          <w:i/>
          <w:iCs/>
        </w:rPr>
        <w:t>(Owned by Hypercovering and Descent.)</w:t>
      </w:r>
    </w:p>
    <w:p w14:paraId="051F3FE0" w14:textId="77777777" w:rsidR="00835BDF" w:rsidRPr="00835BDF" w:rsidRDefault="00835BDF" w:rsidP="00835BDF">
      <w:pPr>
        <w:pStyle w:val="Heading2"/>
      </w:pPr>
      <w:r w:rsidRPr="00835BDF">
        <w:lastRenderedPageBreak/>
        <w:t>14. The chain/cochain duality of the thalamo-cortical loop [CAND] on [LB] asymmetry</w:t>
      </w:r>
    </w:p>
    <w:p w14:paraId="1AE21918" w14:textId="6E05E36D" w:rsidR="00835BDF" w:rsidRPr="00835BDF" w:rsidRDefault="00835BDF" w:rsidP="00835BDF">
      <w:pPr>
        <w:jc w:val="both"/>
      </w:pPr>
      <w:r w:rsidRPr="00835BDF">
        <w:t xml:space="preserve">The thalamo-cortical system runs the ladder's two directions as two coupled loops. The </w:t>
      </w:r>
      <w:r w:rsidRPr="00835BDF">
        <w:rPr>
          <w:b/>
          <w:bCs/>
        </w:rPr>
        <w:t>restriction</w:t>
      </w:r>
      <w:r w:rsidRPr="00835BDF">
        <w:t xml:space="preserve"> direction is chain-like — compression, descent, feedback-as-restriction, the </w:t>
      </w:r>
      <w:r w:rsidRPr="00835BDF">
        <w:rPr>
          <w:i/>
          <w:iCs/>
        </w:rPr>
        <w:t>free</w:t>
      </w:r>
      <w:r w:rsidRPr="00835BDF">
        <w:t xml:space="preserve"> direction (the global-sections functor is left exact). The </w:t>
      </w:r>
      <w:r w:rsidRPr="00835BDF">
        <w:rPr>
          <w:b/>
          <w:bCs/>
        </w:rPr>
        <w:t>enrichment</w:t>
      </w:r>
      <w:r w:rsidRPr="00835BDF">
        <w:t xml:space="preserve"> direction is cochain-like — gluing, lifting, ascent, the </w:t>
      </w:r>
      <w:r w:rsidRPr="00835BDF">
        <w:rPr>
          <w:i/>
          <w:iCs/>
        </w:rPr>
        <w:t>obstructed and costly</w:t>
      </w:r>
      <w:r w:rsidRPr="00835BDF">
        <w:t xml:space="preserve"> direction (it is not right exact). The obstruction gate sits where the two meet, and the deposited asymmetry — taking apart is free, putting together is gated — is what gives the loop its orientation. </w:t>
      </w:r>
      <w:r w:rsidRPr="00835BDF">
        <w:rPr>
          <w:i/>
          <w:iCs/>
        </w:rPr>
        <w:t>(Owned by Hypercovering §7; the exactness asymmetry in DPG</w:t>
      </w:r>
      <w:r w:rsidR="00B256CC">
        <w:rPr>
          <w:i/>
          <w:iCs/>
        </w:rPr>
        <w:t xml:space="preserve">, </w:t>
      </w:r>
      <w:hyperlink r:id="rId24" w:history="1">
        <w:r w:rsidR="00B256CC" w:rsidRPr="00AC5EE3">
          <w:rPr>
            <w:rStyle w:val="Hyperlink"/>
            <w:i/>
            <w:iCs/>
          </w:rPr>
          <w:t>https://doi.org/10.13140/RG.2.2.19848.99846</w:t>
        </w:r>
      </w:hyperlink>
      <w:r w:rsidRPr="00835BDF">
        <w:rPr>
          <w:i/>
          <w:iCs/>
        </w:rPr>
        <w:t>.)</w:t>
      </w:r>
    </w:p>
    <w:p w14:paraId="0A484C95" w14:textId="77777777" w:rsidR="00835BDF" w:rsidRPr="00835BDF" w:rsidRDefault="00835BDF" w:rsidP="00835BDF">
      <w:pPr>
        <w:pStyle w:val="Heading1"/>
      </w:pPr>
      <w:r w:rsidRPr="00835BDF">
        <w:t>PART IV — COUPLING, EMBODIMENT, AND AGI</w:t>
      </w:r>
    </w:p>
    <w:p w14:paraId="12AE9AEB" w14:textId="77777777" w:rsidR="00835BDF" w:rsidRPr="00835BDF" w:rsidRDefault="00835BDF" w:rsidP="00835BDF">
      <w:pPr>
        <w:pStyle w:val="Heading2"/>
      </w:pPr>
      <w:r w:rsidRPr="00835BDF">
        <w:t>15. The three stabilizations, coupled [CAND]</w:t>
      </w:r>
    </w:p>
    <w:p w14:paraId="4F79D1FB" w14:textId="77777777" w:rsidR="00835BDF" w:rsidRPr="00835BDF" w:rsidRDefault="00835BDF" w:rsidP="00835BDF">
      <w:pPr>
        <w:jc w:val="both"/>
      </w:pPr>
      <w:r w:rsidRPr="00835BDF">
        <w:t xml:space="preserve">The architecture separates three stabilizations and then couples them. </w:t>
      </w:r>
      <w:r w:rsidRPr="00835BDF">
        <w:rPr>
          <w:b/>
          <w:bCs/>
        </w:rPr>
        <w:t>Analytic</w:t>
      </w:r>
      <w:r w:rsidRPr="00835BDF">
        <w:t xml:space="preserve">: compactness stabilizes action, uniform continuity stabilizes control, convergence stabilizes selection, orthogonality stabilizes retrieval. </w:t>
      </w:r>
      <w:r w:rsidRPr="00835BDF">
        <w:rPr>
          <w:b/>
          <w:bCs/>
        </w:rPr>
        <w:t>Algebraic</w:t>
      </w:r>
      <w:r w:rsidRPr="00835BDF">
        <w:t xml:space="preserve">: the abelian category stabilizes exactness, tensor products stabilize role assignment, contraction stabilizes unbinding, the cup product stabilizes composition. </w:t>
      </w:r>
      <w:r w:rsidRPr="00835BDF">
        <w:rPr>
          <w:b/>
          <w:bCs/>
        </w:rPr>
        <w:t>Topological</w:t>
      </w:r>
      <w:r w:rsidRPr="00835BDF">
        <w:t xml:space="preserve">: gluing stabilizes integration, cohomology detects obstruction, hypercovering stabilizes the cover, the offline lift repairs what online restriction exposes. The embodied instance is the </w:t>
      </w:r>
      <w:r w:rsidRPr="00835BDF">
        <w:rPr>
          <w:b/>
          <w:bCs/>
        </w:rPr>
        <w:t>muscle sheaf</w:t>
      </w:r>
      <w:r w:rsidRPr="00835BDF">
        <w:t xml:space="preserve">: the body gluing local synergies over the body-in-task space into one executable movement, the cerebellum executing the certified motor atlas within its compact region, decompactification (black ice, a slip past the base of support) re-recruiting the cortex. </w:t>
      </w:r>
      <w:r w:rsidRPr="00835BDF">
        <w:rPr>
          <w:i/>
          <w:iCs/>
        </w:rPr>
        <w:t>(Owned by the muscle-sheaf note; the dynamical-stability layer — bounded gain, L &lt; 1, the Hopf margin, the hinge V″(a) = γₐ(1−L) = Γ — is a distinct kind of mathematics, the envelope around the homological gate, and is kept adjacent, not merged.)</w:t>
      </w:r>
    </w:p>
    <w:p w14:paraId="0F797542" w14:textId="77777777" w:rsidR="00835BDF" w:rsidRPr="00835BDF" w:rsidRDefault="00835BDF" w:rsidP="00835BDF">
      <w:pPr>
        <w:pStyle w:val="Heading2"/>
      </w:pPr>
      <w:r w:rsidRPr="00835BDF">
        <w:t>16. Why current AI is structurally incomplete [CAND]</w:t>
      </w:r>
    </w:p>
    <w:p w14:paraId="41942E1B" w14:textId="7C3E119E" w:rsidR="00835BDF" w:rsidRPr="00835BDF" w:rsidRDefault="00835BDF" w:rsidP="00835BDF">
      <w:pPr>
        <w:jc w:val="both"/>
      </w:pPr>
      <w:r w:rsidRPr="00835BDF">
        <w:t xml:space="preserve">Most architectures are powerful feedforward proposal engines: they assemble C⁰ but do not restrict it, glue without an explicit obstruction gate, optimize error magnitude without classifying error type, and scale vector fusion without stabilizing local-to-global topology. The Transformer reading makes this exact: attention </w:t>
      </w:r>
      <w:r w:rsidRPr="00835BDF">
        <w:rPr>
          <w:i/>
          <w:iCs/>
        </w:rPr>
        <w:t>does</w:t>
      </w:r>
      <w:r w:rsidRPr="00835BDF">
        <w:t xml:space="preserve"> glue, but its transition maps are trivial, so the obstruction is vacuous by construction — the gluing engine with the gate removed. Scaling improves the proposal engine; it does not create the audit engine. </w:t>
      </w:r>
      <w:r w:rsidRPr="00835BDF">
        <w:rPr>
          <w:i/>
          <w:iCs/>
        </w:rPr>
        <w:t xml:space="preserve">(Owned by the Transformer paper, </w:t>
      </w:r>
      <w:hyperlink r:id="rId25" w:history="1">
        <w:r w:rsidR="00B256CC" w:rsidRPr="00AC5EE3">
          <w:rPr>
            <w:rStyle w:val="Hyperlink"/>
            <w:i/>
            <w:iCs/>
          </w:rPr>
          <w:t>https://doi.org/10.13140/RG.2.2.22</w:t>
        </w:r>
        <w:r w:rsidR="00B256CC" w:rsidRPr="00AC5EE3">
          <w:rPr>
            <w:rStyle w:val="Hyperlink"/>
            <w:i/>
            <w:iCs/>
          </w:rPr>
          <w:t>7</w:t>
        </w:r>
        <w:r w:rsidR="00B256CC" w:rsidRPr="00AC5EE3">
          <w:rPr>
            <w:rStyle w:val="Hyperlink"/>
            <w:i/>
            <w:iCs/>
          </w:rPr>
          <w:t>26.02889</w:t>
        </w:r>
      </w:hyperlink>
      <w:r w:rsidRPr="00835BDF">
        <w:rPr>
          <w:i/>
          <w:iCs/>
        </w:rPr>
        <w:t>;</w:t>
      </w:r>
      <w:r w:rsidR="00B256CC">
        <w:rPr>
          <w:i/>
          <w:iCs/>
        </w:rPr>
        <w:t xml:space="preserve"> </w:t>
      </w:r>
      <w:r w:rsidRPr="00835BDF">
        <w:rPr>
          <w:i/>
          <w:iCs/>
        </w:rPr>
        <w:t>AGI Audit→Lift.)</w:t>
      </w:r>
    </w:p>
    <w:p w14:paraId="6CB9A66F" w14:textId="77777777" w:rsidR="00835BDF" w:rsidRPr="00835BDF" w:rsidRDefault="00835BDF" w:rsidP="00835BDF">
      <w:pPr>
        <w:pStyle w:val="Heading2"/>
      </w:pPr>
      <w:r w:rsidRPr="00835BDF">
        <w:t>17. Engineering translation [CAND]</w:t>
      </w:r>
    </w:p>
    <w:p w14:paraId="2932EE5B" w14:textId="59A8DD0A" w:rsidR="00835BDF" w:rsidRPr="00835BDF" w:rsidRDefault="00835BDF" w:rsidP="00835BDF">
      <w:pPr>
        <w:jc w:val="both"/>
      </w:pPr>
      <w:r w:rsidRPr="00835BDF">
        <w:t xml:space="preserve">A defensible artificial agent implements: local section generators; runtime feedback restriction; overlap-comparison maps; a first-order obstruction gate and a second-order cup-product gate; hypercover refinement for false zeros; precision (ε(Π)) control; action withholding; and an offline lift for base re-coordinatization without destructive forgetting. It distinguishes local error, global obstruction, false zero, compound inconsistency, and unresolved debt — and it certifies </w:t>
      </w:r>
      <w:r w:rsidRPr="00835BDF">
        <w:rPr>
          <w:i/>
          <w:iCs/>
        </w:rPr>
        <w:t>whether it is allowed to answer</w:t>
      </w:r>
      <w:r w:rsidRPr="00835BDF">
        <w:t xml:space="preserve"> before answering, and </w:t>
      </w:r>
      <w:r w:rsidRPr="00835BDF">
        <w:rPr>
          <w:i/>
          <w:iCs/>
        </w:rPr>
        <w:t>whether the world model it acts on has glued</w:t>
      </w:r>
      <w:r w:rsidRPr="00835BDF">
        <w:t xml:space="preserve"> before acting. </w:t>
      </w:r>
      <w:r w:rsidRPr="00835BDF">
        <w:rPr>
          <w:i/>
          <w:iCs/>
        </w:rPr>
        <w:t xml:space="preserve">(Owned by AGI Audit→Lift, </w:t>
      </w:r>
      <w:hyperlink r:id="rId26" w:history="1">
        <w:r w:rsidR="00B256CC" w:rsidRPr="00AC5EE3">
          <w:rPr>
            <w:rStyle w:val="Hyperlink"/>
            <w:i/>
            <w:iCs/>
          </w:rPr>
          <w:t>https://doi.org/10.13140/RG.</w:t>
        </w:r>
        <w:r w:rsidR="00B256CC" w:rsidRPr="00AC5EE3">
          <w:rPr>
            <w:rStyle w:val="Hyperlink"/>
            <w:i/>
            <w:iCs/>
          </w:rPr>
          <w:t>2</w:t>
        </w:r>
        <w:r w:rsidR="00B256CC" w:rsidRPr="00AC5EE3">
          <w:rPr>
            <w:rStyle w:val="Hyperlink"/>
            <w:i/>
            <w:iCs/>
          </w:rPr>
          <w:t>.2.20183.23205</w:t>
        </w:r>
      </w:hyperlink>
      <w:r w:rsidRPr="00835BDF">
        <w:rPr>
          <w:i/>
          <w:iCs/>
        </w:rPr>
        <w:t>.)</w:t>
      </w:r>
    </w:p>
    <w:p w14:paraId="21EEE09E" w14:textId="77777777" w:rsidR="00835BDF" w:rsidRPr="00835BDF" w:rsidRDefault="00835BDF" w:rsidP="00835BDF">
      <w:pPr>
        <w:pStyle w:val="Heading2"/>
      </w:pPr>
      <w:r w:rsidRPr="00835BDF">
        <w:lastRenderedPageBreak/>
        <w:t>18. Predictions — the refutation surface</w:t>
      </w:r>
    </w:p>
    <w:p w14:paraId="642BD2C8" w14:textId="77777777" w:rsidR="00835BDF" w:rsidRPr="00835BDF" w:rsidRDefault="00835BDF" w:rsidP="00835BDF">
      <w:pPr>
        <w:jc w:val="both"/>
      </w:pPr>
      <w:r w:rsidRPr="00835BDF">
        <w:t xml:space="preserve">The frame is falsifiable, and each prediction names the paper that stakes it. Sleep loss should cause </w:t>
      </w:r>
      <w:r w:rsidRPr="00835BDF">
        <w:rPr>
          <w:i/>
          <w:iCs/>
        </w:rPr>
        <w:t>typed</w:t>
      </w:r>
      <w:r w:rsidRPr="00835BDF">
        <w:t xml:space="preserve"> interference (role/context intrusion), not uniform forgetting, if memory is tensor contraction and N3 builds the orthogonal basis. Compound multimodal failures should scale </w:t>
      </w:r>
      <w:r w:rsidRPr="00835BDF">
        <w:rPr>
          <w:i/>
          <w:iCs/>
        </w:rPr>
        <w:t>multiplicatively</w:t>
      </w:r>
      <w:r w:rsidRPr="00835BDF">
        <w:t xml:space="preserve">, not additively, if the cup-product gate is real. Cover-refined architectures should beat flat gates </w:t>
      </w:r>
      <w:r w:rsidRPr="00835BDF">
        <w:rPr>
          <w:i/>
          <w:iCs/>
        </w:rPr>
        <w:t>specifically</w:t>
      </w:r>
      <w:r w:rsidRPr="00835BDF">
        <w:t xml:space="preserve"> on hidden-overlap tasks, not uniformly, if hypercovering is necessary. Disrupting top-down feedback should impair coherence </w:t>
      </w:r>
      <w:r w:rsidRPr="00835BDF">
        <w:rPr>
          <w:i/>
          <w:iCs/>
        </w:rPr>
        <w:t>auditing</w:t>
      </w:r>
      <w:r w:rsidRPr="00835BDF">
        <w:t xml:space="preserve"> more than feedforward recognition, if feedback is restriction. High-conflict cases should show </w:t>
      </w:r>
      <w:r w:rsidRPr="00835BDF">
        <w:rPr>
          <w:i/>
          <w:iCs/>
        </w:rPr>
        <w:t>withholding signatures before</w:t>
      </w:r>
      <w:r w:rsidRPr="00835BDF">
        <w:t xml:space="preserve"> overt failure, if the obstruction gate drives refusal. False-zero hallucination should be cured by cover refinement and </w:t>
      </w:r>
      <w:r w:rsidRPr="00835BDF">
        <w:rPr>
          <w:i/>
          <w:iCs/>
        </w:rPr>
        <w:t>not</w:t>
      </w:r>
      <w:r w:rsidRPr="00835BDF">
        <w:t xml:space="preserve"> by tightening precision, if it is a resolution failure. A perturbation within the certified region should be absorbed gracefully while one past the bornology fails </w:t>
      </w:r>
      <w:r w:rsidRPr="00835BDF">
        <w:rPr>
          <w:i/>
          <w:iCs/>
        </w:rPr>
        <w:t>categorically</w:t>
      </w:r>
      <w:r w:rsidRPr="00835BDF">
        <w:t xml:space="preserve">, if motor defensibility is compactness. </w:t>
      </w:r>
      <w:r w:rsidRPr="00835BDF">
        <w:rPr>
          <w:i/>
          <w:iCs/>
        </w:rPr>
        <w:t>(Distributed across the cortex, hypercovering, feedback, Transformer, cerebellum, and muscle-sheaf papers.)</w:t>
      </w:r>
    </w:p>
    <w:p w14:paraId="00422424" w14:textId="77777777" w:rsidR="00835BDF" w:rsidRPr="00835BDF" w:rsidRDefault="00835BDF" w:rsidP="00835BDF">
      <w:pPr>
        <w:pStyle w:val="Heading2"/>
      </w:pPr>
      <w:r w:rsidRPr="00835BDF">
        <w:t>19. Open debts</w:t>
      </w:r>
    </w:p>
    <w:p w14:paraId="0471389F" w14:textId="77777777" w:rsidR="00835BDF" w:rsidRPr="00835BDF" w:rsidRDefault="00835BDF" w:rsidP="00835BDF">
      <w:pPr>
        <w:jc w:val="both"/>
      </w:pPr>
      <w:r w:rsidRPr="00835BDF">
        <w:t xml:space="preserve">The series carries its debts in the open: the </w:t>
      </w:r>
      <w:r w:rsidRPr="00835BDF">
        <w:rPr>
          <w:b/>
          <w:bCs/>
        </w:rPr>
        <w:t>cover-definition</w:t>
      </w:r>
      <w:r w:rsidRPr="00835BDF">
        <w:t xml:space="preserve"> debt (how a learned system obtains the right cover); the </w:t>
      </w:r>
      <w:r w:rsidRPr="00835BDF">
        <w:rPr>
          <w:b/>
          <w:bCs/>
        </w:rPr>
        <w:t>decidability</w:t>
      </w:r>
      <w:r w:rsidRPr="00835BDF">
        <w:t xml:space="preserve"> debt (how a network efficiently decides class nontriviality); the </w:t>
      </w:r>
      <w:r w:rsidRPr="00835BDF">
        <w:rPr>
          <w:b/>
          <w:bCs/>
        </w:rPr>
        <w:t>coefficient-system</w:t>
      </w:r>
      <w:r w:rsidRPr="00835BDF">
        <w:t xml:space="preserve"> debt (the correct stalks and transition maps for neural representations); the </w:t>
      </w:r>
      <w:r w:rsidRPr="00835BDF">
        <w:rPr>
          <w:b/>
          <w:bCs/>
        </w:rPr>
        <w:t>hypercover-policy</w:t>
      </w:r>
      <w:r w:rsidRPr="00835BDF">
        <w:t xml:space="preserve"> debt (when to pay for refinement); the </w:t>
      </w:r>
      <w:r w:rsidRPr="00835BDF">
        <w:rPr>
          <w:b/>
          <w:bCs/>
        </w:rPr>
        <w:t>biological-localization</w:t>
      </w:r>
      <w:r w:rsidRPr="00835BDF">
        <w:t xml:space="preserve"> debt (the layer mappings remain [SUP]/[CAND]; the algebra may be right even if the exact circuit changes); and the </w:t>
      </w:r>
      <w:r w:rsidRPr="00835BDF">
        <w:rPr>
          <w:b/>
          <w:bCs/>
        </w:rPr>
        <w:t>false-zero reconciliation</w:t>
      </w:r>
      <w:r w:rsidRPr="00835BDF">
        <w:t xml:space="preserve"> (this paper's resolution characterization is canonical; the separation-axis "below-T₂" phrasing in two notes is the looser one, to be reconciled there). The phenomenal-consciousness question is held </w:t>
      </w:r>
      <w:r w:rsidRPr="00835BDF">
        <w:rPr>
          <w:i/>
          <w:iCs/>
        </w:rPr>
        <w:t>outside</w:t>
      </w:r>
      <w:r w:rsidRPr="00835BDF">
        <w:t xml:space="preserve"> the load-bearing claim.</w:t>
      </w:r>
    </w:p>
    <w:p w14:paraId="0695E071" w14:textId="77777777" w:rsidR="00835BDF" w:rsidRPr="00835BDF" w:rsidRDefault="00835BDF" w:rsidP="00835BDF">
      <w:pPr>
        <w:pStyle w:val="Heading2"/>
      </w:pPr>
      <w:r w:rsidRPr="00835BDF">
        <w:t>20. Final formulation</w:t>
      </w:r>
    </w:p>
    <w:p w14:paraId="3ED00523" w14:textId="77777777" w:rsidR="00835BDF" w:rsidRPr="00835BDF" w:rsidRDefault="00835BDF" w:rsidP="00835BDF">
      <w:pPr>
        <w:jc w:val="both"/>
      </w:pPr>
      <w:r w:rsidRPr="00835BDF">
        <w:t xml:space="preserve">The brain is an </w:t>
      </w:r>
      <w:r w:rsidRPr="00835BDF">
        <w:rPr>
          <w:b/>
          <w:bCs/>
        </w:rPr>
        <w:t>analytic</w:t>
      </w:r>
      <w:r w:rsidRPr="00835BDF">
        <w:t xml:space="preserve"> machine because it climbs and descends the enrichment ladder; an </w:t>
      </w:r>
      <w:r w:rsidRPr="00835BDF">
        <w:rPr>
          <w:b/>
          <w:bCs/>
        </w:rPr>
        <w:t>algebraic</w:t>
      </w:r>
      <w:r w:rsidRPr="00835BDF">
        <w:t xml:space="preserve"> machine because it binds, contracts, composes, and stabilizes through exactness; a </w:t>
      </w:r>
      <w:r w:rsidRPr="00835BDF">
        <w:rPr>
          <w:b/>
          <w:bCs/>
        </w:rPr>
        <w:t>topological</w:t>
      </w:r>
      <w:r w:rsidRPr="00835BDF">
        <w:t xml:space="preserve"> machine because it must glue local sections into a global world. Defensible intelligence appears when these are coupled — analysis gives the space, algebra gives the operation, topology gives the obstruction, feedback gives the restriction, sleep gives the repair. It is not a vector engine that happens to have feedback; it is an exact, topological, analytic-algebraic machine whose core act is to </w:t>
      </w:r>
      <w:r w:rsidRPr="00835BDF">
        <w:rPr>
          <w:b/>
          <w:bCs/>
        </w:rPr>
        <w:t>propose, restrict, test, withhold, and repair</w:t>
      </w:r>
      <w:r w:rsidRPr="00835BDF">
        <w:t>. The engineering consequence is the one the series exists to make: defensibility is not a larger proposal engine but the addition of the audit engine — the gate that lets a system refuse, and the offline lift that lets it earn what it could not yet certify.</w:t>
      </w:r>
    </w:p>
    <w:p w14:paraId="3DB07A2A" w14:textId="77777777" w:rsidR="00835BDF" w:rsidRPr="00835BDF" w:rsidRDefault="00835BDF" w:rsidP="00835BDF">
      <w:pPr>
        <w:pStyle w:val="Heading1"/>
      </w:pPr>
      <w:r w:rsidRPr="00835BDF">
        <w:t>Provenance map</w:t>
      </w:r>
    </w:p>
    <w:p w14:paraId="50C1A875" w14:textId="77777777" w:rsidR="002D38BC" w:rsidRDefault="00835BDF" w:rsidP="00BE6B84">
      <w:pPr>
        <w:pStyle w:val="Heading2"/>
      </w:pPr>
      <w:r w:rsidRPr="00835BDF">
        <w:t xml:space="preserve">Published (DOIs live). </w:t>
      </w:r>
    </w:p>
    <w:p w14:paraId="1693E492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Inhibit the Average (</w:t>
      </w:r>
      <w:hyperlink r:id="rId27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10.13140/RG.2.2.16306.77763</w:t>
        </w:r>
      </w:hyperlink>
      <w:r w:rsidRPr="00835BDF">
        <w:t>);</w:t>
      </w:r>
      <w:r w:rsidR="002D38BC">
        <w:t xml:space="preserve"> </w:t>
      </w:r>
    </w:p>
    <w:p w14:paraId="1F95D08E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Paper 1 — Geometry of Defensible Action (</w:t>
      </w:r>
      <w:hyperlink r:id="rId28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10.13140/RG.2.2.24454.54080</w:t>
        </w:r>
      </w:hyperlink>
      <w:r w:rsidRPr="00835BDF">
        <w:t>);</w:t>
      </w:r>
      <w:r w:rsidR="002D38BC">
        <w:t xml:space="preserve"> </w:t>
      </w:r>
    </w:p>
    <w:p w14:paraId="0FF07ADB" w14:textId="77777777" w:rsidR="004D19B7" w:rsidRDefault="00835BDF" w:rsidP="004D19B7">
      <w:pPr>
        <w:pStyle w:val="ListParagraph"/>
        <w:numPr>
          <w:ilvl w:val="0"/>
          <w:numId w:val="5"/>
        </w:numPr>
        <w:jc w:val="both"/>
      </w:pPr>
      <w:r w:rsidRPr="00835BDF">
        <w:t>Paper 2 — Categorical Foundations of the Thermodynamic–Electric Coupling (</w:t>
      </w:r>
      <w:hyperlink r:id="rId29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10.13140/RG.2.2.11096.66566</w:t>
        </w:r>
      </w:hyperlink>
      <w:r w:rsidRPr="00835BDF">
        <w:t>);</w:t>
      </w:r>
      <w:r w:rsidR="002D38BC">
        <w:t xml:space="preserve"> </w:t>
      </w:r>
    </w:p>
    <w:p w14:paraId="17A5EAD1" w14:textId="77777777" w:rsidR="004D19B7" w:rsidRDefault="004D19B7" w:rsidP="004D19B7">
      <w:pPr>
        <w:pStyle w:val="ListParagraph"/>
        <w:numPr>
          <w:ilvl w:val="0"/>
          <w:numId w:val="5"/>
        </w:numPr>
        <w:jc w:val="both"/>
      </w:pPr>
      <w:r w:rsidRPr="00835BDF">
        <w:t>Paper 3 — Dynamic Predictive Gluing (</w:t>
      </w:r>
      <w:hyperlink r:id="rId30" w:history="1">
        <w:r w:rsidRPr="00AC5EE3">
          <w:rPr>
            <w:rStyle w:val="Hyperlink"/>
          </w:rPr>
          <w:t>https://doi.org/10.13140/RG.2.2.19848.99846</w:t>
        </w:r>
      </w:hyperlink>
      <w:r w:rsidRPr="00835BDF">
        <w:t>);</w:t>
      </w:r>
      <w:r>
        <w:t xml:space="preserve"> </w:t>
      </w:r>
    </w:p>
    <w:p w14:paraId="7D9426DB" w14:textId="18ABCA98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Settling and Traversing (</w:t>
      </w:r>
      <w:hyperlink r:id="rId31" w:history="1">
        <w:r w:rsidR="004D19B7" w:rsidRPr="00E06595">
          <w:rPr>
            <w:rStyle w:val="Hyperlink"/>
          </w:rPr>
          <w:t>https://doi.org/</w:t>
        </w:r>
        <w:r w:rsidR="004D19B7" w:rsidRPr="00E06595">
          <w:rPr>
            <w:rStyle w:val="Hyperlink"/>
          </w:rPr>
          <w:t>10.13140/RG.2.2.31186.72648</w:t>
        </w:r>
      </w:hyperlink>
      <w:r w:rsidRPr="00835BDF">
        <w:t>);</w:t>
      </w:r>
      <w:r w:rsidR="004D19B7">
        <w:t xml:space="preserve"> </w:t>
      </w:r>
    </w:p>
    <w:p w14:paraId="1912A629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Defensible Cerebellum Kernel (</w:t>
      </w:r>
      <w:hyperlink r:id="rId32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10.13140/RG.2.2.24318.55369</w:t>
        </w:r>
      </w:hyperlink>
      <w:r w:rsidRPr="00835BDF">
        <w:t>);</w:t>
      </w:r>
      <w:r w:rsidR="002D38BC">
        <w:t xml:space="preserve"> </w:t>
      </w:r>
    </w:p>
    <w:p w14:paraId="0E8B95C7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Proximity Floor (</w:t>
      </w:r>
      <w:hyperlink r:id="rId33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10.13140/RG.2.2.20333.96488</w:t>
        </w:r>
      </w:hyperlink>
      <w:r w:rsidRPr="00835BDF">
        <w:t>);</w:t>
      </w:r>
      <w:r w:rsidR="002D38BC">
        <w:t xml:space="preserve"> </w:t>
      </w:r>
    </w:p>
    <w:p w14:paraId="4C67EF28" w14:textId="1897BB13" w:rsidR="002D38BC" w:rsidRDefault="00835BDF" w:rsidP="004D19B7">
      <w:pPr>
        <w:pStyle w:val="ListParagraph"/>
        <w:numPr>
          <w:ilvl w:val="0"/>
          <w:numId w:val="5"/>
        </w:numPr>
        <w:jc w:val="both"/>
      </w:pPr>
      <w:r w:rsidRPr="00835BDF">
        <w:lastRenderedPageBreak/>
        <w:t>Building, Holding, and Keeping the Ladder (</w:t>
      </w:r>
      <w:hyperlink r:id="rId34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10.13140/RG.2.2.18367.88483</w:t>
        </w:r>
      </w:hyperlink>
      <w:r w:rsidRPr="00835BDF">
        <w:t>);</w:t>
      </w:r>
      <w:r w:rsidR="002D38BC">
        <w:t xml:space="preserve"> </w:t>
      </w:r>
      <w:r w:rsidRPr="00835BDF">
        <w:t>AI is Pretrain→Finetune, Defensible AGI is Audit→Lift (</w:t>
      </w:r>
      <w:hyperlink r:id="rId35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10.13140/RG.2.2.20183.23205</w:t>
        </w:r>
      </w:hyperlink>
      <w:r w:rsidRPr="00835BDF">
        <w:t>);</w:t>
      </w:r>
      <w:r w:rsidR="002D38BC">
        <w:t xml:space="preserve"> </w:t>
      </w:r>
    </w:p>
    <w:p w14:paraId="4908368D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Algorithm of the 3→6-Layer Cortex (</w:t>
      </w:r>
      <w:hyperlink r:id="rId36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10.13140/RG.2.2.14232.56328</w:t>
        </w:r>
      </w:hyperlink>
      <w:r w:rsidRPr="00835BDF">
        <w:t>);</w:t>
      </w:r>
      <w:r w:rsidR="002D38BC">
        <w:t xml:space="preserve"> </w:t>
      </w:r>
    </w:p>
    <w:p w14:paraId="34109FF1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Proximity, Uniformity, and Provenance — the Transformer block (</w:t>
      </w:r>
      <w:hyperlink r:id="rId37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10.13140/RG.2.2.22726.02889</w:t>
        </w:r>
      </w:hyperlink>
      <w:r w:rsidRPr="00835BDF">
        <w:t>);</w:t>
      </w:r>
      <w:r w:rsidR="002D38BC">
        <w:t xml:space="preserve"> </w:t>
      </w:r>
    </w:p>
    <w:p w14:paraId="05841C96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Hierarchy of Binding (</w:t>
      </w:r>
      <w:hyperlink r:id="rId38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10.13140/RG.2.2.34889.51044</w:t>
        </w:r>
      </w:hyperlink>
      <w:r w:rsidRPr="00835BDF">
        <w:t>);</w:t>
      </w:r>
      <w:r w:rsidR="002D38BC">
        <w:t xml:space="preserve"> </w:t>
      </w:r>
    </w:p>
    <w:p w14:paraId="6F80A29C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Subthalamic Gate and the Pallidal Hub — the basal ganglia (</w:t>
      </w:r>
      <w:hyperlink r:id="rId39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10.13140/RG.2.2.14219.45604</w:t>
        </w:r>
      </w:hyperlink>
      <w:r w:rsidRPr="00835BDF">
        <w:t>);</w:t>
      </w:r>
      <w:r w:rsidR="002D38BC">
        <w:t xml:space="preserve"> </w:t>
      </w:r>
    </w:p>
    <w:p w14:paraId="3E2A818A" w14:textId="77777777" w:rsidR="002D38BC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The Consolidation Engine and the Two Ascents (</w:t>
      </w:r>
      <w:hyperlink r:id="rId40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10.13140/RG.2.2.23446.92484</w:t>
        </w:r>
      </w:hyperlink>
      <w:r w:rsidRPr="00835BDF">
        <w:t>);</w:t>
      </w:r>
      <w:r w:rsidR="002D38BC">
        <w:t xml:space="preserve"> </w:t>
      </w:r>
    </w:p>
    <w:p w14:paraId="364B8256" w14:textId="34EB33AF" w:rsidR="00835BDF" w:rsidRDefault="00835BDF" w:rsidP="002D38BC">
      <w:pPr>
        <w:pStyle w:val="ListParagraph"/>
        <w:numPr>
          <w:ilvl w:val="0"/>
          <w:numId w:val="5"/>
        </w:numPr>
        <w:jc w:val="both"/>
      </w:pPr>
      <w:r w:rsidRPr="00835BDF">
        <w:t>From Proximity to Uniformity — automated interface enrichment (</w:t>
      </w:r>
      <w:hyperlink r:id="rId41" w:history="1">
        <w:r w:rsidR="002D38BC" w:rsidRPr="00AC5EE3">
          <w:rPr>
            <w:rStyle w:val="Hyperlink"/>
          </w:rPr>
          <w:t>https://doi.org/</w:t>
        </w:r>
        <w:r w:rsidR="002D38BC" w:rsidRPr="00AC5EE3">
          <w:rPr>
            <w:rStyle w:val="Hyperlink"/>
          </w:rPr>
          <w:t>10.13140/RG.2.2.21729.88162</w:t>
        </w:r>
      </w:hyperlink>
      <w:r w:rsidRPr="00835BDF">
        <w:t>).</w:t>
      </w:r>
      <w:r w:rsidR="002D38BC">
        <w:t xml:space="preserve"> </w:t>
      </w:r>
    </w:p>
    <w:p w14:paraId="1A96FA82" w14:textId="51C5B3F3" w:rsidR="004D19B7" w:rsidRDefault="004D19B7" w:rsidP="002D38BC">
      <w:pPr>
        <w:pStyle w:val="ListParagraph"/>
        <w:numPr>
          <w:ilvl w:val="0"/>
          <w:numId w:val="5"/>
        </w:numPr>
        <w:jc w:val="both"/>
      </w:pPr>
      <w:r w:rsidRPr="004D19B7">
        <w:t>The Subthalamic Gate and the Pallidal Hub</w:t>
      </w:r>
      <w:r>
        <w:t xml:space="preserve"> (</w:t>
      </w:r>
      <w:hyperlink r:id="rId42" w:history="1">
        <w:r w:rsidRPr="00E06595">
          <w:rPr>
            <w:rStyle w:val="Hyperlink"/>
          </w:rPr>
          <w:t>https://doi.org/10.13140/RG.2.2.14219.45604</w:t>
        </w:r>
      </w:hyperlink>
      <w:r>
        <w:t>).</w:t>
      </w:r>
    </w:p>
    <w:p w14:paraId="50604EE4" w14:textId="77777777" w:rsidR="004D19B7" w:rsidRDefault="004D19B7" w:rsidP="002D38BC">
      <w:pPr>
        <w:pStyle w:val="ListParagraph"/>
        <w:numPr>
          <w:ilvl w:val="0"/>
          <w:numId w:val="5"/>
        </w:numPr>
        <w:jc w:val="both"/>
      </w:pPr>
      <w:r w:rsidRPr="004D19B7">
        <w:t>The Consolidation Engine and the Two Ascents</w:t>
      </w:r>
      <w:r>
        <w:t xml:space="preserve"> (</w:t>
      </w:r>
      <w:hyperlink r:id="rId43" w:history="1">
        <w:r w:rsidRPr="00E06595">
          <w:rPr>
            <w:rStyle w:val="Hyperlink"/>
          </w:rPr>
          <w:t>https://doi.org/10.13140/RG.2.2.23446.92484</w:t>
        </w:r>
      </w:hyperlink>
      <w:r>
        <w:t>).</w:t>
      </w:r>
    </w:p>
    <w:p w14:paraId="05245068" w14:textId="7F252DF0" w:rsidR="004D19B7" w:rsidRPr="00835BDF" w:rsidRDefault="004D19B7" w:rsidP="002D38BC">
      <w:pPr>
        <w:pStyle w:val="ListParagraph"/>
        <w:numPr>
          <w:ilvl w:val="0"/>
          <w:numId w:val="5"/>
        </w:numPr>
        <w:jc w:val="both"/>
      </w:pPr>
      <w:r>
        <w:t xml:space="preserve"> </w:t>
      </w:r>
    </w:p>
    <w:p w14:paraId="3972274D" w14:textId="77777777" w:rsidR="00BE6B84" w:rsidRDefault="00835BDF" w:rsidP="00BE6B84">
      <w:pPr>
        <w:pStyle w:val="Heading2"/>
      </w:pPr>
      <w:r w:rsidRPr="00835BDF">
        <w:t xml:space="preserve">Deposit-ready. </w:t>
      </w:r>
    </w:p>
    <w:p w14:paraId="066C363D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Hypercovering and Descent; </w:t>
      </w:r>
    </w:p>
    <w:p w14:paraId="589FCAE5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the Paper-2 Addendum; </w:t>
      </w:r>
    </w:p>
    <w:p w14:paraId="4046D0C6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>The Entorhinal–Hippocampal Confluence</w:t>
      </w:r>
      <w:r w:rsidR="004D19B7">
        <w:t>;</w:t>
      </w:r>
      <w:r w:rsidRPr="00835BDF">
        <w:t xml:space="preserve"> </w:t>
      </w:r>
    </w:p>
    <w:p w14:paraId="3A8C40D5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Feedback as Restriction; </w:t>
      </w:r>
    </w:p>
    <w:p w14:paraId="605A2504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The Abelian Cortex; </w:t>
      </w:r>
    </w:p>
    <w:p w14:paraId="426066A7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The Muscle Sheaf; </w:t>
      </w:r>
    </w:p>
    <w:p w14:paraId="79B9478D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The Separation Hierarchy (Axis 3, T₀–T₄); </w:t>
      </w:r>
    </w:p>
    <w:p w14:paraId="5B782CEA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RoPE as a Crude Grid Code; </w:t>
      </w:r>
    </w:p>
    <w:p w14:paraId="76D73C9D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the Metric–Separation Junction; </w:t>
      </w:r>
    </w:p>
    <w:p w14:paraId="5A70625B" w14:textId="77777777" w:rsidR="00352CC5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 xml:space="preserve">Defensible Kernel Guarantees (compactness); </w:t>
      </w:r>
    </w:p>
    <w:p w14:paraId="23EB901B" w14:textId="3A3D3D95" w:rsidR="00835BDF" w:rsidRPr="00835BDF" w:rsidRDefault="00835BDF" w:rsidP="00352CC5">
      <w:pPr>
        <w:pStyle w:val="ListParagraph"/>
        <w:numPr>
          <w:ilvl w:val="0"/>
          <w:numId w:val="7"/>
        </w:numPr>
        <w:jc w:val="both"/>
      </w:pPr>
      <w:r w:rsidRPr="00835BDF">
        <w:t>the Fear-Hausdorff / three-rung fear material.</w:t>
      </w:r>
    </w:p>
    <w:p w14:paraId="7AB9CA74" w14:textId="3E41E8B6" w:rsidR="00835BDF" w:rsidRPr="00835BDF" w:rsidRDefault="00835BDF" w:rsidP="00835BDF">
      <w:pPr>
        <w:jc w:val="both"/>
      </w:pPr>
      <w:r w:rsidRPr="00835BDF">
        <w:rPr>
          <w:i/>
          <w:iCs/>
        </w:rPr>
        <w:t>This capstone summarizes and points; it is not a substitute for any of the above, each of which owns its claims at its own tier.</w:t>
      </w:r>
    </w:p>
    <w:p w14:paraId="2CC264C7" w14:textId="5E91177A" w:rsidR="00DC1523" w:rsidRDefault="00ED63D4" w:rsidP="00ED63D4">
      <w:pPr>
        <w:pStyle w:val="Heading1"/>
      </w:pPr>
      <w:r>
        <w:t>Appendix A: Category Theory</w:t>
      </w:r>
    </w:p>
    <w:p w14:paraId="4E9DFA59" w14:textId="18CD7CC9" w:rsidR="00ED63D4" w:rsidRDefault="00ED63D4" w:rsidP="00835BDF">
      <w:pPr>
        <w:jc w:val="both"/>
      </w:pPr>
      <w:r w:rsidRPr="00ED63D4">
        <w:t>Category theory enters the capstone as the grammar of coupling. Analysis supplies the spaces, algebra supplies the exact operations, and topology supplies the local-to-global obstruction; category theory states how these structures may be translated without being confused. Paper 2 makes this explicit by separating the fast electric substrate and the slow chemical substrate into different categories, joined by functorial adapters: secretion carries electric activity into chemical fields, and modulation carries chemical fields back to the index of electric geometry. When this coupling is coherent, homeostasis is read as an adjunction; when it fails, dysregulation is a broken triangle identity producing drift rather than a bounded scalar error. Dynamic Predictive Gluing gives the same asymmetry inside the sheaf runtime: the global-sections functor is left exact but not right exact, so restriction is cheap while gluing is obstructed and often requires offline repair. Category theory therefore does not add a new pillar to the framework; it certifies the lawful passage between the analytic, algebraic, and topological layers.</w:t>
      </w:r>
    </w:p>
    <w:p w14:paraId="321B65AE" w14:textId="0289A3EB" w:rsidR="00ED63D4" w:rsidRDefault="00ED63D4" w:rsidP="00ED63D4">
      <w:pPr>
        <w:pStyle w:val="Heading1"/>
      </w:pPr>
      <w:r>
        <w:lastRenderedPageBreak/>
        <w:t xml:space="preserve">Appendix </w:t>
      </w:r>
      <w:r>
        <w:t>B</w:t>
      </w:r>
      <w:r>
        <w:t xml:space="preserve">: </w:t>
      </w:r>
      <w:r>
        <w:t>3-Axes</w:t>
      </w:r>
    </w:p>
    <w:p w14:paraId="5137CDD1" w14:textId="77777777" w:rsidR="00ED63D4" w:rsidRDefault="00ED63D4" w:rsidP="00835BDF">
      <w:pPr>
        <w:jc w:val="both"/>
      </w:pPr>
      <w:r w:rsidRPr="00ED63D4">
        <w:t xml:space="preserve">The framework also has three spatial axes, which should not be confused with the three mathematical languages of analysis, algebra, and topology. </w:t>
      </w:r>
    </w:p>
    <w:p w14:paraId="3DCF24CB" w14:textId="77777777" w:rsidR="00ED63D4" w:rsidRDefault="00ED63D4" w:rsidP="00ED63D4">
      <w:pPr>
        <w:pStyle w:val="ListParagraph"/>
        <w:numPr>
          <w:ilvl w:val="0"/>
          <w:numId w:val="6"/>
        </w:numPr>
        <w:jc w:val="both"/>
      </w:pPr>
      <w:r w:rsidRPr="00ED63D4">
        <w:t xml:space="preserve">Axis 1 is the enrichment ladder: topological, proximity, uniform, metric, normed, and inner-product structure, ordered by local refinement; it asks how finely a representation resolves nearness, distance, magnitude, direction, and angle. </w:t>
      </w:r>
    </w:p>
    <w:p w14:paraId="34540391" w14:textId="77777777" w:rsidR="00ED63D4" w:rsidRDefault="00ED63D4" w:rsidP="00ED63D4">
      <w:pPr>
        <w:pStyle w:val="ListParagraph"/>
        <w:numPr>
          <w:ilvl w:val="0"/>
          <w:numId w:val="6"/>
        </w:numPr>
        <w:jc w:val="both"/>
      </w:pPr>
      <w:r w:rsidRPr="00ED63D4">
        <w:t xml:space="preserve">Axis 2 is the coarse or global-magnitude axis: boundedness, arousal, precision, and thermodynamic envelope; it asks whether a perturbation remains locally absorbable or saturates the whole system, and it supplies the precision tolerance by which obstruction gates tighten or relax. </w:t>
      </w:r>
    </w:p>
    <w:p w14:paraId="6F51D597" w14:textId="77777777" w:rsidR="00ED63D4" w:rsidRDefault="00ED63D4" w:rsidP="00ED63D4">
      <w:pPr>
        <w:pStyle w:val="ListParagraph"/>
        <w:numPr>
          <w:ilvl w:val="0"/>
          <w:numId w:val="6"/>
        </w:numPr>
        <w:jc w:val="both"/>
      </w:pPr>
      <w:r w:rsidRPr="00ED63D4">
        <w:t xml:space="preserve">Axis 3 is the separation axis: the hierarchy from indistinguishability to full normal separation, governing when two regions, objects, actions, or meanings may be treated as genuinely distinct. </w:t>
      </w:r>
    </w:p>
    <w:p w14:paraId="1C207663" w14:textId="16199ABC" w:rsidR="00ED63D4" w:rsidRDefault="00ED63D4" w:rsidP="00ED63D4">
      <w:pPr>
        <w:jc w:val="both"/>
      </w:pPr>
      <w:r w:rsidRPr="00ED63D4">
        <w:t>These axes intersect but do not collapse into one another. The metric rung of Axis 1 touches Axis 3 because metric structure grants separation too easily, which is why the basal-ganglia gate must police the right to separate; the uniform rung touches Axis 2 because uniform control has both small-scale precision and large-scale boundedness faces, which is why the cerebellum sits at the uniform–coarse pivot. A defensible agent must therefore do three things at once: enrich only as far as the operation requires, keep global magnitude within a bounded envelope, and earn separation before acting on it. Failure along the three axes gives three different pathologies: decompactification when the system leaves the certified enriched region, runaway or collapse when coarse magnitude mis-sets precision, and false separation when the system treats an unearned distinction as real. The offline consolidation operator is orthogonal to these axes: it does not add a fourth spatial axis, but makes the structure built on the three axes durable across time.</w:t>
      </w:r>
    </w:p>
    <w:sectPr w:rsidR="00ED6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FD0"/>
    <w:multiLevelType w:val="hybridMultilevel"/>
    <w:tmpl w:val="2B4A2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E38CC"/>
    <w:multiLevelType w:val="multilevel"/>
    <w:tmpl w:val="761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35B34"/>
    <w:multiLevelType w:val="multilevel"/>
    <w:tmpl w:val="33A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C2B55"/>
    <w:multiLevelType w:val="hybridMultilevel"/>
    <w:tmpl w:val="51ACC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B22693"/>
    <w:multiLevelType w:val="hybridMultilevel"/>
    <w:tmpl w:val="F984F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63641"/>
    <w:multiLevelType w:val="hybridMultilevel"/>
    <w:tmpl w:val="0F8845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E1606"/>
    <w:multiLevelType w:val="multilevel"/>
    <w:tmpl w:val="117C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201286">
    <w:abstractNumId w:val="2"/>
  </w:num>
  <w:num w:numId="2" w16cid:durableId="415395519">
    <w:abstractNumId w:val="1"/>
  </w:num>
  <w:num w:numId="3" w16cid:durableId="34090187">
    <w:abstractNumId w:val="6"/>
  </w:num>
  <w:num w:numId="4" w16cid:durableId="806627729">
    <w:abstractNumId w:val="3"/>
  </w:num>
  <w:num w:numId="5" w16cid:durableId="1895922915">
    <w:abstractNumId w:val="5"/>
  </w:num>
  <w:num w:numId="6" w16cid:durableId="29689067">
    <w:abstractNumId w:val="4"/>
  </w:num>
  <w:num w:numId="7" w16cid:durableId="28812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72"/>
    <w:rsid w:val="001934D0"/>
    <w:rsid w:val="002316C6"/>
    <w:rsid w:val="002C3F9C"/>
    <w:rsid w:val="002D38BC"/>
    <w:rsid w:val="00333B53"/>
    <w:rsid w:val="00352CC5"/>
    <w:rsid w:val="003F4B83"/>
    <w:rsid w:val="004132F2"/>
    <w:rsid w:val="004D19B7"/>
    <w:rsid w:val="00544195"/>
    <w:rsid w:val="0063416E"/>
    <w:rsid w:val="007B34D8"/>
    <w:rsid w:val="00835BDF"/>
    <w:rsid w:val="008B08B7"/>
    <w:rsid w:val="00997E89"/>
    <w:rsid w:val="00A01072"/>
    <w:rsid w:val="00B256CC"/>
    <w:rsid w:val="00BE6B84"/>
    <w:rsid w:val="00C24516"/>
    <w:rsid w:val="00CE3B7A"/>
    <w:rsid w:val="00DC1523"/>
    <w:rsid w:val="00E21D36"/>
    <w:rsid w:val="00EA7124"/>
    <w:rsid w:val="00ED5620"/>
    <w:rsid w:val="00ED63D4"/>
    <w:rsid w:val="00F008CA"/>
    <w:rsid w:val="00F404CD"/>
    <w:rsid w:val="00FA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23A9"/>
  <w15:chartTrackingRefBased/>
  <w15:docId w15:val="{50A40589-3DCD-44E6-A132-EF3A5FCA9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2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1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41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3140/RG.2.2.14219.45604" TargetMode="External"/><Relationship Id="rId18" Type="http://schemas.openxmlformats.org/officeDocument/2006/relationships/hyperlink" Target="https://doi.org/10.13140/RG.2.2.14232.56328" TargetMode="External"/><Relationship Id="rId26" Type="http://schemas.openxmlformats.org/officeDocument/2006/relationships/hyperlink" Target="https://doi.org/10.13140/RG.2.2.20183.23205" TargetMode="External"/><Relationship Id="rId39" Type="http://schemas.openxmlformats.org/officeDocument/2006/relationships/hyperlink" Target="https://doi.org/10.13140/RG.2.2.14219.45604" TargetMode="External"/><Relationship Id="rId21" Type="http://schemas.openxmlformats.org/officeDocument/2006/relationships/hyperlink" Target="https://doi.org/10.13140/RG.2.2.19848.99846" TargetMode="External"/><Relationship Id="rId34" Type="http://schemas.openxmlformats.org/officeDocument/2006/relationships/hyperlink" Target="https://doi.org/10.13140/RG.2.2.18367.88483" TargetMode="External"/><Relationship Id="rId42" Type="http://schemas.openxmlformats.org/officeDocument/2006/relationships/hyperlink" Target="https://doi.org/10.13140/RG.2.2.14219.45604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i.org/10.13140/RG.2.2.22726.02889" TargetMode="External"/><Relationship Id="rId29" Type="http://schemas.openxmlformats.org/officeDocument/2006/relationships/hyperlink" Target="https://doi.org/10.13140/RG.2.2.11096.665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1-7393-2907" TargetMode="External"/><Relationship Id="rId11" Type="http://schemas.openxmlformats.org/officeDocument/2006/relationships/hyperlink" Target="https://doi.org/10.13140/RG.2.2.24318.55369" TargetMode="External"/><Relationship Id="rId24" Type="http://schemas.openxmlformats.org/officeDocument/2006/relationships/hyperlink" Target="https://doi.org/10.13140/RG.2.2.19848.99846" TargetMode="External"/><Relationship Id="rId32" Type="http://schemas.openxmlformats.org/officeDocument/2006/relationships/hyperlink" Target="https://doi.org/10.13140/RG.2.2.24318.55369" TargetMode="External"/><Relationship Id="rId37" Type="http://schemas.openxmlformats.org/officeDocument/2006/relationships/hyperlink" Target="https://doi.org/10.13140/RG.2.2.22726.02889" TargetMode="External"/><Relationship Id="rId40" Type="http://schemas.openxmlformats.org/officeDocument/2006/relationships/hyperlink" Target="https://doi.org/10.13140/RG.2.2.23446.92484" TargetMode="External"/><Relationship Id="rId45" Type="http://schemas.openxmlformats.org/officeDocument/2006/relationships/theme" Target="theme/theme1.xml"/><Relationship Id="rId5" Type="http://schemas.openxmlformats.org/officeDocument/2006/relationships/hyperlink" Target="mailto:debiprasadghosh@lntecc.com" TargetMode="External"/><Relationship Id="rId15" Type="http://schemas.openxmlformats.org/officeDocument/2006/relationships/hyperlink" Target="https://doi.org/10.13140/RG.2.2.24318.55369" TargetMode="External"/><Relationship Id="rId23" Type="http://schemas.openxmlformats.org/officeDocument/2006/relationships/hyperlink" Target="https://doi.org/10.13140/RG.2.2.19848.99846" TargetMode="External"/><Relationship Id="rId28" Type="http://schemas.openxmlformats.org/officeDocument/2006/relationships/hyperlink" Target="https://doi.org/10.13140/RG.2.2.24454.54080" TargetMode="External"/><Relationship Id="rId36" Type="http://schemas.openxmlformats.org/officeDocument/2006/relationships/hyperlink" Target="https://doi.org/10.13140/RG.2.2.14232.56328" TargetMode="External"/><Relationship Id="rId10" Type="http://schemas.openxmlformats.org/officeDocument/2006/relationships/hyperlink" Target="https://doi.org/10.13140/RG.2.2.18367.88483" TargetMode="External"/><Relationship Id="rId19" Type="http://schemas.openxmlformats.org/officeDocument/2006/relationships/hyperlink" Target="https://doi.org/10.13140/RG.2.2.14232.56328" TargetMode="External"/><Relationship Id="rId31" Type="http://schemas.openxmlformats.org/officeDocument/2006/relationships/hyperlink" Target="https://doi.org/10.13140/RG.2.2.31186.72648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3140/RG.2.2.24454.54080" TargetMode="External"/><Relationship Id="rId14" Type="http://schemas.openxmlformats.org/officeDocument/2006/relationships/hyperlink" Target="https://doi.org/10.13140/RG.2.2.14232.56328" TargetMode="External"/><Relationship Id="rId22" Type="http://schemas.openxmlformats.org/officeDocument/2006/relationships/hyperlink" Target="https://doi.org/10.13140/RG.2.2.34889.51044" TargetMode="External"/><Relationship Id="rId27" Type="http://schemas.openxmlformats.org/officeDocument/2006/relationships/hyperlink" Target="https://doi.org/10.13140/RG.2.2.16306.77763" TargetMode="External"/><Relationship Id="rId30" Type="http://schemas.openxmlformats.org/officeDocument/2006/relationships/hyperlink" Target="https://doi.org/10.13140/RG.2.2.19848.99846" TargetMode="External"/><Relationship Id="rId35" Type="http://schemas.openxmlformats.org/officeDocument/2006/relationships/hyperlink" Target="https://doi.org/10.13140/RG.2.2.20183.23205" TargetMode="External"/><Relationship Id="rId43" Type="http://schemas.openxmlformats.org/officeDocument/2006/relationships/hyperlink" Target="https://doi.org/10.13140/RG.2.2.23446.92484" TargetMode="External"/><Relationship Id="rId8" Type="http://schemas.openxmlformats.org/officeDocument/2006/relationships/hyperlink" Target="https://doi.org/10.13140/RG.2.2.12594.1632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3140/RG.2.2.31186.72648" TargetMode="External"/><Relationship Id="rId17" Type="http://schemas.openxmlformats.org/officeDocument/2006/relationships/hyperlink" Target="https://doi.org/10.13140/RG.2.2.20183.23205" TargetMode="External"/><Relationship Id="rId25" Type="http://schemas.openxmlformats.org/officeDocument/2006/relationships/hyperlink" Target="https://doi.org/10.13140/RG.2.2.22726.02889" TargetMode="External"/><Relationship Id="rId33" Type="http://schemas.openxmlformats.org/officeDocument/2006/relationships/hyperlink" Target="https://doi.org/10.13140/RG.2.2.20333.96488" TargetMode="External"/><Relationship Id="rId38" Type="http://schemas.openxmlformats.org/officeDocument/2006/relationships/hyperlink" Target="https://doi.org/10.13140/RG.2.2.34889.51044" TargetMode="External"/><Relationship Id="rId20" Type="http://schemas.openxmlformats.org/officeDocument/2006/relationships/hyperlink" Target="https://doi.org/10.13140/RG.2.2.34889.51044" TargetMode="External"/><Relationship Id="rId41" Type="http://schemas.openxmlformats.org/officeDocument/2006/relationships/hyperlink" Target="https://doi.org/10.13140/RG.2.2.21729.881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4281</Words>
  <Characters>24403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Debiprasad Ghosh</dc:creator>
  <cp:keywords/>
  <dc:description/>
  <cp:lastModifiedBy>Debiprasad Ghosh</cp:lastModifiedBy>
  <cp:revision>16</cp:revision>
  <cp:lastPrinted>2026-06-18T02:40:00Z</cp:lastPrinted>
  <dcterms:created xsi:type="dcterms:W3CDTF">2026-06-17T17:05:00Z</dcterms:created>
  <dcterms:modified xsi:type="dcterms:W3CDTF">2026-06-18T02:42:00Z</dcterms:modified>
</cp:coreProperties>
</file>