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BA214" w14:textId="58F05284" w:rsidR="00D42BDB" w:rsidRPr="006B4CC5" w:rsidRDefault="00D42BDB" w:rsidP="00D42BDB">
      <w:pPr>
        <w:pStyle w:val="Title"/>
        <w:pBdr>
          <w:bottom w:val="single" w:sz="6" w:space="1" w:color="auto"/>
        </w:pBdr>
        <w:rPr>
          <w:rFonts w:asciiTheme="minorHAnsi" w:hAnsiTheme="minorHAnsi"/>
          <w:sz w:val="22"/>
          <w:szCs w:val="22"/>
        </w:rPr>
      </w:pPr>
      <w:r w:rsidRPr="006B4CC5">
        <w:rPr>
          <w:rFonts w:asciiTheme="minorHAnsi" w:hAnsiTheme="minorHAnsi"/>
          <w:sz w:val="22"/>
          <w:szCs w:val="22"/>
        </w:rPr>
        <w:t xml:space="preserve">Manuscript as of </w:t>
      </w:r>
      <w:r>
        <w:rPr>
          <w:rFonts w:asciiTheme="minorHAnsi" w:hAnsiTheme="minorHAnsi"/>
          <w:sz w:val="22"/>
          <w:szCs w:val="22"/>
        </w:rPr>
        <w:t>June</w:t>
      </w:r>
      <w:r w:rsidRPr="006B4CC5">
        <w:rPr>
          <w:rFonts w:asciiTheme="minorHAnsi" w:hAnsiTheme="minorHAnsi"/>
          <w:sz w:val="22"/>
          <w:szCs w:val="22"/>
        </w:rPr>
        <w:t xml:space="preserve"> </w:t>
      </w:r>
      <w:r>
        <w:rPr>
          <w:rFonts w:asciiTheme="minorHAnsi" w:hAnsiTheme="minorHAnsi"/>
          <w:sz w:val="22"/>
          <w:szCs w:val="22"/>
        </w:rPr>
        <w:t>1</w:t>
      </w:r>
      <w:r>
        <w:rPr>
          <w:rFonts w:asciiTheme="minorHAnsi" w:hAnsiTheme="minorHAnsi"/>
          <w:sz w:val="22"/>
          <w:szCs w:val="22"/>
        </w:rPr>
        <w:t>4</w:t>
      </w:r>
      <w:r w:rsidRPr="006B4CC5">
        <w:rPr>
          <w:rFonts w:asciiTheme="minorHAnsi" w:hAnsiTheme="minorHAnsi"/>
          <w:sz w:val="22"/>
          <w:szCs w:val="22"/>
        </w:rPr>
        <w:t>, 202</w:t>
      </w:r>
      <w:r>
        <w:rPr>
          <w:rFonts w:asciiTheme="minorHAnsi" w:hAnsiTheme="minorHAnsi"/>
          <w:sz w:val="22"/>
          <w:szCs w:val="22"/>
        </w:rPr>
        <w:t>6</w:t>
      </w:r>
      <w:r>
        <w:rPr>
          <w:rFonts w:asciiTheme="minorHAnsi" w:hAnsiTheme="minorHAnsi"/>
          <w:sz w:val="22"/>
          <w:szCs w:val="22"/>
        </w:rPr>
        <w:t>.</w:t>
      </w:r>
    </w:p>
    <w:p w14:paraId="3FA649EE" w14:textId="0CD35F43" w:rsidR="00794AD0" w:rsidRDefault="00794AD0" w:rsidP="00794AD0">
      <w:pPr>
        <w:pStyle w:val="Title"/>
        <w:jc w:val="center"/>
        <w:rPr>
          <w:sz w:val="30"/>
          <w:szCs w:val="30"/>
        </w:rPr>
      </w:pPr>
      <w:r w:rsidRPr="00794AD0">
        <w:rPr>
          <w:sz w:val="32"/>
          <w:szCs w:val="32"/>
        </w:rPr>
        <w:t>Dynamic Predictive Gluing</w:t>
      </w:r>
      <w:r w:rsidRPr="00794AD0">
        <w:rPr>
          <w:sz w:val="32"/>
          <w:szCs w:val="32"/>
        </w:rPr>
        <w:t xml:space="preserve">: </w:t>
      </w:r>
      <w:r w:rsidRPr="00794AD0">
        <w:rPr>
          <w:sz w:val="30"/>
          <w:szCs w:val="30"/>
        </w:rPr>
        <w:t>A sheaf-theoretic theory of consciousness and the necessity of sleep, as the online and offline regimes of coherence maintenance</w:t>
      </w:r>
    </w:p>
    <w:p w14:paraId="248F8A55" w14:textId="77777777" w:rsidR="00D42BDB" w:rsidRDefault="00D42BDB" w:rsidP="00D42BDB">
      <w:pPr>
        <w:jc w:val="center"/>
      </w:pPr>
      <w:r w:rsidRPr="006B4CC5">
        <w:t xml:space="preserve">Debi Prasad Ghosh, </w:t>
      </w:r>
      <w:hyperlink r:id="rId5" w:history="1">
        <w:r w:rsidRPr="006B4CC5">
          <w:rPr>
            <w:rStyle w:val="Hyperlink"/>
          </w:rPr>
          <w:t>debiprasadghosh@lntecc.com</w:t>
        </w:r>
      </w:hyperlink>
      <w:r>
        <w:t xml:space="preserve"> </w:t>
      </w:r>
      <w:r>
        <w:rPr>
          <w:noProof/>
        </w:rPr>
        <w:drawing>
          <wp:inline distT="0" distB="0" distL="0" distR="0" wp14:anchorId="49070DFD" wp14:editId="2EB08212">
            <wp:extent cx="133067" cy="133067"/>
            <wp:effectExtent l="0" t="0" r="635" b="635"/>
            <wp:docPr id="1305915393" name="Picture 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5393" name="Picture 7">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42530" cy="142530"/>
                    </a:xfrm>
                    <a:prstGeom prst="rect">
                      <a:avLst/>
                    </a:prstGeom>
                    <a:noFill/>
                  </pic:spPr>
                </pic:pic>
              </a:graphicData>
            </a:graphic>
          </wp:inline>
        </w:drawing>
      </w:r>
    </w:p>
    <w:p w14:paraId="31BAA517" w14:textId="77777777" w:rsidR="00D42BDB" w:rsidRPr="006B4CC5" w:rsidRDefault="00D42BDB" w:rsidP="00D42BDB">
      <w:pPr>
        <w:jc w:val="center"/>
      </w:pPr>
      <w:r>
        <w:t>CTO, AI &amp;</w:t>
      </w:r>
      <w:r w:rsidRPr="006B4CC5">
        <w:t xml:space="preserve"> Automation</w:t>
      </w:r>
    </w:p>
    <w:p w14:paraId="605C1E66" w14:textId="77777777" w:rsidR="00D42BDB" w:rsidRDefault="00D42BDB" w:rsidP="00D42BDB">
      <w:pPr>
        <w:jc w:val="center"/>
      </w:pPr>
      <w:r w:rsidRPr="00F5609C">
        <w:t>Engineering Design &amp; Research Center, Larsen &amp; Toubro Construction (M&amp;M) Kolkata, India</w:t>
      </w:r>
    </w:p>
    <w:p w14:paraId="653A4FD5" w14:textId="50AC5267" w:rsidR="00794AD0" w:rsidRPr="00794AD0" w:rsidRDefault="00A80A89" w:rsidP="00A804EA">
      <w:pPr>
        <w:jc w:val="center"/>
      </w:pPr>
      <w:hyperlink r:id="rId8" w:history="1">
        <w:r w:rsidRPr="00834986">
          <w:rPr>
            <w:rStyle w:val="Hyperlink"/>
          </w:rPr>
          <w:t>https://doi.org/10.13140/RG.2.2.19848.99846</w:t>
        </w:r>
      </w:hyperlink>
      <w:r>
        <w:t xml:space="preserve"> </w:t>
      </w:r>
    </w:p>
    <w:p w14:paraId="27401721" w14:textId="4A466C39" w:rsidR="00794AD0" w:rsidRPr="00794AD0" w:rsidRDefault="00794AD0" w:rsidP="00794AD0">
      <w:pPr>
        <w:jc w:val="both"/>
      </w:pPr>
      <w:r w:rsidRPr="00794AD0">
        <w:rPr>
          <w:b/>
          <w:bCs/>
        </w:rPr>
        <w:t>Abstract</w:t>
      </w:r>
      <w:r>
        <w:rPr>
          <w:b/>
          <w:bCs/>
        </w:rPr>
        <w:t xml:space="preserve">: </w:t>
      </w:r>
      <w:r w:rsidRPr="00794AD0">
        <w:t>Waking cognition and sleep are not two computations but two regimes of one continuous operation, Dynamic Predictive Gluing: the moment-to-moment maintenance of a coherent global section over local, shifting sensory and cognitive sections. The operation joins two traditions that had not been formally connected — predictive processing, which casts cognition as ongoing error-minimization, and sheaf-theoretic integration, which casts it as the assembly of local data into a coherent whole — by reading the prediction error of the first as the cohomological gluing obstruction of the second. This identification rests on a genuine and standard asymmetry: the global-sections functor is left exact but not right exact, so taking a scene apart is free while assembling local pieces into a global whole is obstructed and costs work. The obstruction is measured by a first cohomology class.</w:t>
      </w:r>
    </w:p>
    <w:p w14:paraId="60C414D8" w14:textId="77777777" w:rsidR="00794AD0" w:rsidRDefault="00794AD0" w:rsidP="00794AD0">
      <w:pPr>
        <w:jc w:val="both"/>
      </w:pPr>
      <w:r w:rsidRPr="00794AD0">
        <w:t xml:space="preserve">From the asymmetry three consequences follow. </w:t>
      </w:r>
      <w:r w:rsidRPr="006553E8">
        <w:rPr>
          <w:color w:val="00B0F0"/>
        </w:rPr>
        <w:t>First</w:t>
      </w:r>
      <w:r w:rsidRPr="00794AD0">
        <w:t xml:space="preserve">, consciousness is better described as a rate than a state — the continuous act of re-gluing rather than a held bound product — which supplies four operations a static binding account cannot express: revision, unbinding, blocking, and reconfiguration. </w:t>
      </w:r>
      <w:r w:rsidRPr="006553E8">
        <w:rPr>
          <w:color w:val="00B0F0"/>
        </w:rPr>
        <w:t>Second</w:t>
      </w:r>
      <w:r w:rsidRPr="00794AD0">
        <w:t xml:space="preserve">, the operation runs in two regimes that have precise topological names. Waking is a </w:t>
      </w:r>
      <w:r w:rsidRPr="00794AD0">
        <w:rPr>
          <w:i/>
          <w:iCs/>
        </w:rPr>
        <w:t>presheaf auditor</w:t>
      </w:r>
      <w:r w:rsidRPr="00794AD0">
        <w:t xml:space="preserve">: it holds local sections and their restriction maps, checks local consistency cheaply, and defers the global assembly it cannot afford. Sleep performs the </w:t>
      </w:r>
      <w:r w:rsidRPr="00794AD0">
        <w:rPr>
          <w:i/>
          <w:iCs/>
        </w:rPr>
        <w:t>polarization lift</w:t>
      </w:r>
      <w:r w:rsidRPr="00794AD0">
        <w:t xml:space="preserve">: the paid, norm-preserving re-coordinatization of the base that re-orthogonalizes the deferred sections until they genuinely glue. </w:t>
      </w:r>
      <w:r w:rsidRPr="002810D8">
        <w:rPr>
          <w:color w:val="00B0F0"/>
        </w:rPr>
        <w:t>Third</w:t>
      </w:r>
      <w:r w:rsidRPr="00794AD0">
        <w:t>, sleep is necessary, forced jointly by topology and thermodynamics: the world moves faster than the real-time budget, so unresolved obstructions accumulate as computational debt, and quarantining that debt costs continuous metabolic energy, casting a chemical shadow that widens tolerance until the system admits false gluings. The shadow's empirical signatures — adenosine as the load-tracking sleep-pressure signal, and the fixed progression from perceptual distortion to hallucination to delusion under sleep loss — match the literature. A taxonomy of failures and a design rule for defensible artificial intelligence follow. The hard problem of phenomenal experience is left open.</w:t>
      </w:r>
    </w:p>
    <w:p w14:paraId="48201860" w14:textId="77777777" w:rsidR="00A804EA" w:rsidRPr="00794AD0" w:rsidRDefault="00A804EA" w:rsidP="00A804EA">
      <w:pPr>
        <w:jc w:val="both"/>
      </w:pPr>
      <w:r w:rsidRPr="00794AD0">
        <w:rPr>
          <w:i/>
          <w:iCs/>
        </w:rPr>
        <w:t>Where the companion papers build the enrichment ladder and its offline lift, the conscious-certification account, the thermodynamic–electric coupling, and the cortical tensor-binding algebra, this paper states the single operation those parts jointly realize and draws its consequence for sleep. The mathematical claims stand on their own. The biological readings throughout are structural isomorphisms — a process realizing the structure — and never identities, and the paper makes no claim on phenomenal experience.</w:t>
      </w:r>
    </w:p>
    <w:p w14:paraId="5AAA4791" w14:textId="77777777" w:rsidR="00794AD0" w:rsidRPr="00794AD0" w:rsidRDefault="00794AD0" w:rsidP="001F3725">
      <w:pPr>
        <w:pStyle w:val="Heading1"/>
      </w:pPr>
      <w:r w:rsidRPr="00794AD0">
        <w:t>1. One operation, two regimes</w:t>
      </w:r>
    </w:p>
    <w:p w14:paraId="51886D13" w14:textId="77777777" w:rsidR="00794AD0" w:rsidRPr="00794AD0" w:rsidRDefault="00794AD0" w:rsidP="00794AD0">
      <w:pPr>
        <w:jc w:val="both"/>
      </w:pPr>
      <w:r w:rsidRPr="00794AD0">
        <w:t xml:space="preserve">Classical accounts treat perceptual binding as an event: features are bound into a held representation that persists until replaced. This is the wrong grammar. The baseline of experience never holds still — saccades reshape the visual array several times a second, attention moves, the remembered context </w:t>
      </w:r>
      <w:r w:rsidRPr="00794AD0">
        <w:lastRenderedPageBreak/>
        <w:t xml:space="preserve">updates — so a held product would be obsolete the instant it formed. What the brain maintains is not a bound state but a binding </w:t>
      </w:r>
      <w:r w:rsidRPr="00794AD0">
        <w:rPr>
          <w:i/>
          <w:iCs/>
        </w:rPr>
        <w:t>rate</w:t>
      </w:r>
      <w:r w:rsidRPr="00794AD0">
        <w:t>: the continuous re-establishment of a coherent global section over local sections that are themselves constantly shifting. We call this operation Dynamic Predictive Gluing, and waking and sleep are two regimes of it, distinguished by two parameters only: whether the system is coupled to the external world, and how strict its compute budget is.</w:t>
      </w:r>
    </w:p>
    <w:p w14:paraId="79CD6537" w14:textId="77777777" w:rsidR="00794AD0" w:rsidRPr="00794AD0" w:rsidRDefault="00794AD0" w:rsidP="00794AD0">
      <w:pPr>
        <w:jc w:val="both"/>
      </w:pPr>
      <w:r w:rsidRPr="00794AD0">
        <w:t xml:space="preserve">The two regimes carry precise topological names, and these organize the paper. Waking operates as a </w:t>
      </w:r>
      <w:r w:rsidRPr="00794AD0">
        <w:rPr>
          <w:b/>
          <w:bCs/>
        </w:rPr>
        <w:t>presheaf auditor</w:t>
      </w:r>
      <w:r w:rsidRPr="00794AD0">
        <w:t xml:space="preserve">. A presheaf assigns local data to each region and supplies the restriction maps that carry data from a broad context down to a narrow one; the waking system can check, cheaply and locally, whether its restrictions remain consistent, but it cannot, under a real-time budget, prove the global consistency that a true gluing demands. It audits and defers. Sleep performs the </w:t>
      </w:r>
      <w:r w:rsidRPr="00794AD0">
        <w:rPr>
          <w:b/>
          <w:bCs/>
        </w:rPr>
        <w:t>polarization lift</w:t>
      </w:r>
      <w:r w:rsidRPr="00794AD0">
        <w:t>: the operation that takes the deferred local sections and pays to re-coordinatize the base — re-orthogonalizing them until they are genuinely compatible and the global section can be assembled. Waking audits the presheaf; sleep lifts it into a coherent whole. The cost structure of that lift, and why it cannot be replaced by any free formal operation, is the subject of the appendix; the body needs only the lifecycle itself.</w:t>
      </w:r>
    </w:p>
    <w:p w14:paraId="57B0DDB9" w14:textId="77777777" w:rsidR="00794AD0" w:rsidRPr="00794AD0" w:rsidRDefault="00794AD0" w:rsidP="001F3725">
      <w:pPr>
        <w:pStyle w:val="Heading1"/>
      </w:pPr>
      <w:r w:rsidRPr="00794AD0">
        <w:t>2. Prediction error as cohomological obstruction</w:t>
      </w:r>
    </w:p>
    <w:p w14:paraId="3736EE08" w14:textId="77777777" w:rsidR="00794AD0" w:rsidRPr="00794AD0" w:rsidRDefault="00794AD0" w:rsidP="00794AD0">
      <w:pPr>
        <w:jc w:val="both"/>
      </w:pPr>
      <w:r w:rsidRPr="00794AD0">
        <w:rPr>
          <w:b/>
          <w:bCs/>
        </w:rPr>
        <w:t>The mathematics.</w:t>
      </w:r>
      <w:r w:rsidRPr="00794AD0">
        <w:t xml:space="preserve"> Represent the perceptual field as a sheaf over a base — the cover of attended patches — with a local section on each patch. Coherence is the existence of a global section restricting to each local one. The relevant fact is standard: the global-sections functor is left exact but not right exact. Left exactness says that restriction — taking a global scene apart into local views — preserves structure and is free. The failure of right exactness says the reverse operation — gluing local views into a global one — is obstructed, and the obstruction is measured by a first cohomology class H¹: local sections that agree pairwise on overlaps may still fail to admit a global section, and H¹ is exactly the measure of that failure. The descent/ascent asymmetry on which the whole framework rests — cheap down, costly up — is therefore not an assumption but the exactness structure of the global-sections functor.</w:t>
      </w:r>
    </w:p>
    <w:p w14:paraId="51566AFE" w14:textId="77777777" w:rsidR="00794AD0" w:rsidRPr="00794AD0" w:rsidRDefault="00794AD0" w:rsidP="00794AD0">
      <w:pPr>
        <w:jc w:val="both"/>
      </w:pPr>
      <w:r w:rsidRPr="00794AD0">
        <w:rPr>
          <w:b/>
          <w:bCs/>
        </w:rPr>
        <w:t>The identification, offered as a falsifiable conjecture.</w:t>
      </w:r>
      <w:r w:rsidRPr="00794AD0">
        <w:t xml:space="preserve"> Dynamic Predictive Gluing reads the prediction error of predictive processing as this gluing obstruction. The structural match is genuine: a prediction error is a local disagreement between what a region predicts and what it receives, and the cohomological obstruction is precisely the failure of locally-disagreeing sections to glue. Both measure local disagreement that prevents global coherence, and minimizing the one is, structurally, discharging the other. This is the paper's central conjecture, and it is offered as exactly that rather than as a theorem: an identity would require showing that the precision-weighted prediction error of the predictive-processing literature </w:t>
      </w:r>
      <w:r w:rsidRPr="00794AD0">
        <w:rPr>
          <w:i/>
          <w:iCs/>
        </w:rPr>
        <w:t>is</w:t>
      </w:r>
      <w:r w:rsidRPr="00794AD0">
        <w:t xml:space="preserve"> the harmonic obstruction residual the coherence gate thresholds, and that the two coincide is a structural isomorphism the experiments of §6 can test, not a proof we possess. The mathematics of the obstruction is settled; the reading of prediction error as that obstruction is the conjecture. Its payoff is that the two traditions become one operation seen from two sides: predictive processing names the objective (drive the obstruction down), sheaf theory names the object (the obstruction is a cohomology class), and the gate names the discipline (withhold the glue when the class is non-trivial at tolerance).</w:t>
      </w:r>
    </w:p>
    <w:p w14:paraId="7B53740D" w14:textId="77777777" w:rsidR="00794AD0" w:rsidRPr="00794AD0" w:rsidRDefault="00794AD0" w:rsidP="00794AD0">
      <w:pPr>
        <w:jc w:val="both"/>
      </w:pPr>
      <w:r w:rsidRPr="00794AD0">
        <w:rPr>
          <w:b/>
          <w:bCs/>
        </w:rPr>
        <w:t>The waking detector.</w:t>
      </w:r>
      <w:r w:rsidRPr="00794AD0">
        <w:t xml:space="preserve"> The identification invites a misreading worth dispelling: that the waking brain computes a global H¹ over the whole field to know an obstruction exists. It does not, and could not under a real-time budget. What it computes is a local precursor — a </w:t>
      </w:r>
      <w:r w:rsidRPr="00794AD0">
        <w:rPr>
          <w:b/>
          <w:bCs/>
        </w:rPr>
        <w:t>restriction-map failure</w:t>
      </w:r>
      <w:r w:rsidRPr="00794AD0">
        <w:t xml:space="preserve">. The restriction maps carry a section that held on a broad context down to a narrow one, and the waking </w:t>
      </w:r>
      <w:r w:rsidRPr="00794AD0">
        <w:lastRenderedPageBreak/>
        <w:t>system asks only whether a heuristic that held broadly fractures into high variance when restricted to the present narrow context. That is a single-overlap measurement, the transition-map variance read against the precision tolerance ε(Π), and it is the computationally cheap signal that an obstruction is present without computing the global class. This is the precise sense in which waking is a presheaf auditor: it tests restriction, flags fractures, and defers the global assembly to the offline lift.</w:t>
      </w:r>
    </w:p>
    <w:p w14:paraId="4B981880" w14:textId="77777777" w:rsidR="00794AD0" w:rsidRPr="00794AD0" w:rsidRDefault="00794AD0" w:rsidP="001F3725">
      <w:pPr>
        <w:pStyle w:val="Heading1"/>
      </w:pPr>
      <w:r w:rsidRPr="00794AD0">
        <w:t>3. Consciousness as process: the four operations</w:t>
      </w:r>
    </w:p>
    <w:p w14:paraId="24F0B10E" w14:textId="77777777" w:rsidR="00794AD0" w:rsidRPr="00794AD0" w:rsidRDefault="00794AD0" w:rsidP="00794AD0">
      <w:pPr>
        <w:jc w:val="both"/>
      </w:pPr>
      <w:r w:rsidRPr="00794AD0">
        <w:t>If binding is a rate rather than a product, the operation must support four moves a static "bound state" account cannot express, and Dynamic Predictive Gluing supplies all four as natural operations on the gluing.</w:t>
      </w:r>
    </w:p>
    <w:p w14:paraId="40C535A9" w14:textId="77777777" w:rsidR="00794AD0" w:rsidRPr="00794AD0" w:rsidRDefault="00794AD0" w:rsidP="00794AD0">
      <w:pPr>
        <w:jc w:val="both"/>
      </w:pPr>
      <w:r w:rsidRPr="00794AD0">
        <w:rPr>
          <w:b/>
          <w:bCs/>
        </w:rPr>
        <w:t>Revision — re-gluing.</w:t>
      </w:r>
      <w:r w:rsidRPr="00794AD0">
        <w:t xml:space="preserve"> As the base shifts, the global section is continuously recomputed; consciousness is this ongoing recomputation, not its momentary output.</w:t>
      </w:r>
    </w:p>
    <w:p w14:paraId="68A86A7C" w14:textId="77777777" w:rsidR="00794AD0" w:rsidRPr="00794AD0" w:rsidRDefault="00794AD0" w:rsidP="00794AD0">
      <w:pPr>
        <w:jc w:val="both"/>
      </w:pPr>
      <w:r w:rsidRPr="00794AD0">
        <w:rPr>
          <w:b/>
          <w:bCs/>
        </w:rPr>
        <w:t>Unbinding — decomposition.</w:t>
      </w:r>
      <w:r w:rsidRPr="00794AD0">
        <w:t xml:space="preserve"> A binding can be taken apart, the dual of gluing. In the cortical algebra this is inner-product contraction against a role or context key — the first-class unbinding the framework requires and the cortex paper specifies.</w:t>
      </w:r>
    </w:p>
    <w:p w14:paraId="200A0BF0" w14:textId="77777777" w:rsidR="00794AD0" w:rsidRPr="00794AD0" w:rsidRDefault="00794AD0" w:rsidP="00794AD0">
      <w:pPr>
        <w:jc w:val="both"/>
      </w:pPr>
      <w:r w:rsidRPr="00794AD0">
        <w:rPr>
          <w:b/>
          <w:bCs/>
        </w:rPr>
        <w:t>Blocking — withholding.</w:t>
      </w:r>
      <w:r w:rsidRPr="00794AD0">
        <w:t xml:space="preserve"> When the obstruction class is non-trivial at the precision tolerance ε(Π), the gate withholds the glue rather than forcing a false coherence; blocking is the refusal to bind across an unresolved contradiction. This refusal has a physical realization at the motor level. A medial-frontal conflict signal — dorsomedial prefrontal cortex and pre-supplementary motor area — reads the restriction-map fracture against ε(Π) and recruits the subthalamic nucleus through the hyperdirect pathway, which broadly raises pallidal inhibition of the thalamus and so raises the threshold for releasing an action. This is a proportional brake that buys time, not a binary stop. It is one of three distinct withholds the architecture keeps separate, each at its own level: the cortical apical veto, where dendritic inhibition prevents an incoherent binding at the cup-product gate; this subthalamic brake, which raises the threshold on thalamocortical motor release under conflict; and the arousal-melt interrupt, where a threat signal drops the entire representational cover and is released only by a verified proof of separation. They share the logic of refusing to act over an obstruction; they are not one mechanism.</w:t>
      </w:r>
    </w:p>
    <w:p w14:paraId="3C78B773" w14:textId="77777777" w:rsidR="00794AD0" w:rsidRPr="00794AD0" w:rsidRDefault="00794AD0" w:rsidP="00794AD0">
      <w:pPr>
        <w:jc w:val="both"/>
      </w:pPr>
      <w:r w:rsidRPr="00794AD0">
        <w:rPr>
          <w:b/>
          <w:bCs/>
        </w:rPr>
        <w:t>Reconfiguration — changing the cover.</w:t>
      </w:r>
      <w:r w:rsidRPr="00794AD0">
        <w:t xml:space="preserve"> The inventory of patches itself can change as attention re-covers the field, altering which local sections must be glued at all.</w:t>
      </w:r>
    </w:p>
    <w:p w14:paraId="7E2298A1" w14:textId="77777777" w:rsidR="00794AD0" w:rsidRPr="00794AD0" w:rsidRDefault="00794AD0" w:rsidP="00794AD0">
      <w:pPr>
        <w:jc w:val="both"/>
      </w:pPr>
      <w:r w:rsidRPr="00794AD0">
        <w:t>A static-binding account has only the held product and its replacement; it cannot natively express withholding a glue, taking one apart, or re-covering the field. Dynamic Predictive Gluing has all four because they are the basic operations on a section-gluing process. This is the sense in which consciousness is a verb: the maintenance, revision, decomposition, refusal, and re-covering of a global section, run continuously.</w:t>
      </w:r>
    </w:p>
    <w:p w14:paraId="1046613C" w14:textId="77777777" w:rsidR="00794AD0" w:rsidRPr="00794AD0" w:rsidRDefault="00794AD0" w:rsidP="001F3725">
      <w:pPr>
        <w:pStyle w:val="Heading1"/>
      </w:pPr>
      <w:r w:rsidRPr="00794AD0">
        <w:t>4. The two regimes: online and offline</w:t>
      </w:r>
    </w:p>
    <w:p w14:paraId="770D014D" w14:textId="77777777" w:rsidR="00794AD0" w:rsidRPr="00794AD0" w:rsidRDefault="00794AD0" w:rsidP="00794AD0">
      <w:pPr>
        <w:jc w:val="both"/>
      </w:pPr>
      <w:r w:rsidRPr="00794AD0">
        <w:rPr>
          <w:b/>
          <w:bCs/>
        </w:rPr>
        <w:t>Online presheaf auditing (waking).</w:t>
      </w:r>
      <w:r w:rsidRPr="00794AD0">
        <w:t xml:space="preserve"> The world is in the loop, the budget is strict and real-time, and prediction runs against the world, so that mismatch corrects the internal model. Under a real-time budget the system cannot discharge every obstruction as it arises: it glues what it can afford and defers what it cannot, accruing the deferred obstructions as debt. Waking is therefore biased toward the cheap direction — fast downward projection to action — because survival rewards speed and the </w:t>
      </w:r>
      <w:r w:rsidRPr="00794AD0">
        <w:lastRenderedPageBreak/>
        <w:t>costly upward integration cannot run concurrently with it on the same substrate. In topological terms, waking holds a presheaf and audits its restrictions; it does not, and cannot, prove that the local sections glue.</w:t>
      </w:r>
    </w:p>
    <w:p w14:paraId="48F7E441" w14:textId="77777777" w:rsidR="00794AD0" w:rsidRPr="00794AD0" w:rsidRDefault="00794AD0" w:rsidP="00794AD0">
      <w:pPr>
        <w:jc w:val="both"/>
      </w:pPr>
      <w:r w:rsidRPr="00794AD0">
        <w:rPr>
          <w:b/>
          <w:bCs/>
        </w:rPr>
        <w:t>Offline polarization lift (sleep).</w:t>
      </w:r>
      <w:r w:rsidRPr="00794AD0">
        <w:t xml:space="preserve"> The world is decoupled as the thalamic gate closes the afferent loop, the budget is relaxed, and the model runs without the world to repair itself. This is the regime in which the deferred upward lifts are performed — raw episodic, procedural, affective, and reinforcement deposits raised to the rung at which they can be stored without interference and reasoned about freely. The operation is the polarization lift: it pays to re-coordinatize the base, re-orthogonalizing the deferred local sections until they genuinely glue, under a norm-preservation that forbids fabricating a coherence the data did not contain. The companion sleep account derives the ordering of these lifts from their dependencies, and derives motor atonia as the obligatory clamp that lets the simulation run at full volume while the body is held offline. The structural point is that sleep is not the cessation of the operation but its reversal of direction: from the downward projection that drives waking action to the upward lifting that discharges accumulated obstruction by moving the base, not by declaring it moved.</w:t>
      </w:r>
    </w:p>
    <w:p w14:paraId="68FC6010" w14:textId="77777777" w:rsidR="00794AD0" w:rsidRPr="00794AD0" w:rsidRDefault="00794AD0" w:rsidP="001F3725">
      <w:pPr>
        <w:pStyle w:val="Heading1"/>
      </w:pPr>
      <w:r w:rsidRPr="00794AD0">
        <w:t>5. The necessity of sleep</w:t>
      </w:r>
    </w:p>
    <w:p w14:paraId="34FE2679" w14:textId="77777777" w:rsidR="00794AD0" w:rsidRPr="00794AD0" w:rsidRDefault="00794AD0" w:rsidP="00794AD0">
      <w:pPr>
        <w:jc w:val="both"/>
      </w:pPr>
      <w:r w:rsidRPr="00794AD0">
        <w:t>That the operation has an offline regime is architecture; that the offline regime is obligatory is the paper's consequence, and it follows from two independent pressures.</w:t>
      </w:r>
    </w:p>
    <w:p w14:paraId="1516AF93" w14:textId="77777777" w:rsidR="00794AD0" w:rsidRPr="00794AD0" w:rsidRDefault="00794AD0" w:rsidP="00794AD0">
      <w:pPr>
        <w:jc w:val="both"/>
      </w:pPr>
      <w:r w:rsidRPr="00794AD0">
        <w:rPr>
          <w:b/>
          <w:bCs/>
        </w:rPr>
        <w:t>Topology forces the remnant.</w:t>
      </w:r>
      <w:r w:rsidRPr="00794AD0">
        <w:t xml:space="preserve"> Gluing requires the base to hold still: a global section cannot be stably assembled over a base moving faster than the assembly. During waking the base — the world, attention, the body's state — moves faster than the real-time budget can fully re-glue, so unresolved obstructions inevitably accumulate. Pure mathematics would permit carrying this debt indefinitely; the remnant is forced, but the schedule is not.</w:t>
      </w:r>
    </w:p>
    <w:p w14:paraId="225A560C" w14:textId="77777777" w:rsidR="00794AD0" w:rsidRPr="00794AD0" w:rsidRDefault="00794AD0" w:rsidP="00794AD0">
      <w:pPr>
        <w:jc w:val="both"/>
      </w:pPr>
      <w:r w:rsidRPr="00794AD0">
        <w:rPr>
          <w:b/>
          <w:bCs/>
        </w:rPr>
        <w:t>Thermodynamics forces the schedule.</w:t>
      </w:r>
      <w:r w:rsidRPr="00794AD0">
        <w:t xml:space="preserve"> Biology supplies the schedule, because carrying an unresolved obstruction is not free. Quarantining it — holding a contradiction in suspension without either discharging it or admitting it — requires continuous metabolic expenditure, and this casts an accumulating chemical shadow. The shadow is identifiable: extracellular adenosine, the breakdown product of ATP, accumulates during waking in proportion to neuronal energy use, and in proportion to cognitive intensity rather than merely time awake, and is a primary mediator of homeostatic sleep pressure, dissipating during sleep. The shadow tracks the computational debt because it tracks the metabolic cost of carrying it. As it deepens it lowers precision and widens the gluing tolerance ε(Π), and a widened tolerance admits gluings that should be withheld. The predicted failure is therefore progressive, and the empirical progression matches it: under sustained sleep loss, symptoms develop in an almost fixed time order — perceptual distortion and depersonalization first, then complex hallucination and disordered thinking, then delusion, ending in a picture resembling acute psychosis — and resolve after sleep. That ordering is a tolerance widening through the rungs: first low-level misbinding, then illegitimate high-level gluing, then a wholesale false reconfiguration of the cover. Sleep is necessary because, without it, the chemical shadow of the carried obstruction widens tolerance until the system hallucinates; sleep, by discharging the debt, re-narrows the tolerance and restores legitimate gluing.</w:t>
      </w:r>
    </w:p>
    <w:p w14:paraId="7EA3D44F" w14:textId="77777777" w:rsidR="00794AD0" w:rsidRPr="00794AD0" w:rsidRDefault="00794AD0" w:rsidP="00794AD0">
      <w:pPr>
        <w:jc w:val="both"/>
      </w:pPr>
      <w:r w:rsidRPr="00794AD0">
        <w:rPr>
          <w:b/>
          <w:bCs/>
        </w:rPr>
        <w:t>The routing signal.</w:t>
      </w:r>
      <w:r w:rsidRPr="00794AD0">
        <w:t xml:space="preserve"> The offline regime must know which of the day's countless deferred obstructions to lift first, since it cannot lift them all. The routing signal is a dopamine capture-tag. When a restriction-map fracture fires the prediction-error signal, the ventral tegmental projection tags the specific cortical </w:t>
      </w:r>
      <w:r w:rsidRPr="00794AD0">
        <w:lastRenderedPageBreak/>
        <w:t>microcircuits that failed the test, leaving a chemical priority flag; the offline lift then samples preferentially from the tagged sections, spending its budget on genuine structural fractures rather than on routine noise. Two disciplines govern the tag: it fires on the magnitude of the prediction error, so that a surprising success is tagged as strongly as a surprising failure — it is a surprise router, not a reward signal — and it is strictly a routing weight on what the lift processes, never a controller of the tolerance ε(Π), which is set by glial, neuromodulatory, and salience terms. Waking leaves chemical priority flags on its unresolved fractures; sleep works the flagged queue first.</w:t>
      </w:r>
    </w:p>
    <w:p w14:paraId="6E14E59D" w14:textId="77777777" w:rsidR="00794AD0" w:rsidRPr="00794AD0" w:rsidRDefault="00794AD0" w:rsidP="001F3725">
      <w:pPr>
        <w:pStyle w:val="Heading1"/>
      </w:pPr>
      <w:r w:rsidRPr="00794AD0">
        <w:t xml:space="preserve">6. A taxonomy of failures, </w:t>
      </w:r>
      <w:r w:rsidRPr="001F3725">
        <w:rPr>
          <w:sz w:val="32"/>
          <w:szCs w:val="32"/>
        </w:rPr>
        <w:t>and the rule for artificial intelligence</w:t>
      </w:r>
    </w:p>
    <w:p w14:paraId="32B9AF3F" w14:textId="77777777" w:rsidR="00794AD0" w:rsidRPr="00794AD0" w:rsidRDefault="00794AD0" w:rsidP="00794AD0">
      <w:pPr>
        <w:jc w:val="both"/>
      </w:pPr>
      <w:r w:rsidRPr="00794AD0">
        <w:t>The operation's clinical failures map to specific breakdowns, each falsifiable in principle.</w:t>
      </w:r>
    </w:p>
    <w:p w14:paraId="1884DD6E" w14:textId="77777777" w:rsidR="00794AD0" w:rsidRPr="00794AD0" w:rsidRDefault="00794AD0" w:rsidP="00794AD0">
      <w:pPr>
        <w:jc w:val="both"/>
      </w:pPr>
      <w:r w:rsidRPr="00794AD0">
        <w:rPr>
          <w:b/>
          <w:bCs/>
        </w:rPr>
        <w:t>Hallucination — illegitimate gluing.</w:t>
      </w:r>
      <w:r w:rsidRPr="00794AD0">
        <w:t xml:space="preserve"> A global section asserted across an obstruction that should have blocked it: binding with the gate too wide. The sleep-deprivation progression is the controlled instance.</w:t>
      </w:r>
    </w:p>
    <w:p w14:paraId="3C2F7AC3" w14:textId="77777777" w:rsidR="00794AD0" w:rsidRPr="00794AD0" w:rsidRDefault="00794AD0" w:rsidP="00794AD0">
      <w:pPr>
        <w:jc w:val="both"/>
      </w:pPr>
      <w:r w:rsidRPr="00794AD0">
        <w:rPr>
          <w:b/>
          <w:bCs/>
        </w:rPr>
        <w:t>False-zero gluing — restriction failure over a hidden overlap.</w:t>
      </w:r>
      <w:r w:rsidRPr="00794AD0">
        <w:t xml:space="preserve"> A second species along a distinct axis: not an obstruction computed and tolerated because the tolerance was too wide, but an obstruction never computed because the cover was too coarse to see it. The overlap between two contexts hides structure the restriction map glossed over, the gate reads a false zero, and it releases. The cure is not a tighter tolerance but a finer cover. This species is the structural cause behind the mechanistic-interpretability observation of polysemanticity — a single representational direction compressing several concepts, so that logic valid in one context is misapplied in another. Polysemantic misfiring is the predicted symptom; false-zero gluing is the mechanism.</w:t>
      </w:r>
    </w:p>
    <w:p w14:paraId="04854E5B" w14:textId="77777777" w:rsidR="00794AD0" w:rsidRPr="00794AD0" w:rsidRDefault="00794AD0" w:rsidP="00794AD0">
      <w:pPr>
        <w:jc w:val="both"/>
      </w:pPr>
      <w:r w:rsidRPr="00794AD0">
        <w:rPr>
          <w:b/>
          <w:bCs/>
        </w:rPr>
        <w:t>Dissociation — quarantine of the self-section.</w:t>
      </w:r>
      <w:r w:rsidRPr="00794AD0">
        <w:t xml:space="preserve"> The section indexing experience as one's own is withheld from the global glue, so experience proceeds without being bound to the self-patch.</w:t>
      </w:r>
    </w:p>
    <w:p w14:paraId="091B9F6D" w14:textId="77777777" w:rsidR="00794AD0" w:rsidRPr="00794AD0" w:rsidRDefault="00794AD0" w:rsidP="00794AD0">
      <w:pPr>
        <w:jc w:val="both"/>
      </w:pPr>
      <w:r w:rsidRPr="00794AD0">
        <w:rPr>
          <w:b/>
          <w:bCs/>
        </w:rPr>
        <w:t>Trauma — an obstruction that cannot be re-glued into semantic memory.</w:t>
      </w:r>
      <w:r w:rsidRPr="00794AD0">
        <w:t xml:space="preserve"> A deposit whose obstruction resists the offline lift, so it remains a live, un-lifted local section — a present-tense alarm — rather than a discharged memory.</w:t>
      </w:r>
    </w:p>
    <w:p w14:paraId="03BFCC14" w14:textId="77777777" w:rsidR="00794AD0" w:rsidRPr="00794AD0" w:rsidRDefault="00794AD0" w:rsidP="00794AD0">
      <w:pPr>
        <w:jc w:val="both"/>
      </w:pPr>
      <w:r w:rsidRPr="00794AD0">
        <w:rPr>
          <w:b/>
          <w:bCs/>
        </w:rPr>
        <w:t>Sleep-deprivation psychosis — precision collapse under accumulated debt.</w:t>
      </w:r>
      <w:r w:rsidRPr="00794AD0">
        <w:t xml:space="preserve"> The endpoint of the necessity argument: the chemical shadow widens tolerance past the discriminative band.</w:t>
      </w:r>
    </w:p>
    <w:p w14:paraId="7004C692" w14:textId="77777777" w:rsidR="00794AD0" w:rsidRPr="00794AD0" w:rsidRDefault="00794AD0" w:rsidP="00794AD0">
      <w:pPr>
        <w:jc w:val="both"/>
      </w:pPr>
      <w:r w:rsidRPr="00794AD0">
        <w:rPr>
          <w:b/>
          <w:bCs/>
        </w:rPr>
        <w:t>The rule for artificial intelligence.</w:t>
      </w:r>
      <w:r w:rsidRPr="00794AD0">
        <w:t xml:space="preserve"> The architectural consequence is direct. A defensible artificial system cannot be all online capacity. A system that only glues, with no offline regime to freeze the base, quarantine contradictions, and discharge accumulated obstruction, will — under a real-time budget against a moving world — accumulate debt it can resolve only by widening tolerance, which is to say by hallucinating across unresolved obstructions. A defensible artificial intelligence therefore requires a genuine offline regime: a decoupled, relaxed-budget phase that performs the deferred lifts, prioritized by a surprise-gated routing tag, and that pays to re-coordinatize its representational base rather than declaring its contradictions resolved.</w:t>
      </w:r>
    </w:p>
    <w:p w14:paraId="0242CECC" w14:textId="77777777" w:rsidR="00794AD0" w:rsidRPr="00794AD0" w:rsidRDefault="00794AD0" w:rsidP="001F3725">
      <w:pPr>
        <w:pStyle w:val="Heading1"/>
      </w:pPr>
      <w:r w:rsidRPr="00794AD0">
        <w:t>7. Epistemic boundary</w:t>
      </w:r>
    </w:p>
    <w:p w14:paraId="5804100C" w14:textId="77777777" w:rsidR="00794AD0" w:rsidRPr="00794AD0" w:rsidRDefault="00794AD0" w:rsidP="00794AD0">
      <w:pPr>
        <w:jc w:val="both"/>
      </w:pPr>
      <w:r w:rsidRPr="00794AD0">
        <w:t xml:space="preserve">Dynamic Predictive Gluing is a structural and functional theory of conscious processing. It specifies the form of continuous online coherence maintenance — the operation, its four moves, its two regimes, and the necessity of the second — and it makes that form falsifiable. It does not claim to explain why this processing is accompanied by subjective phenomenal experience. The relation between the binding-rate and what it is like to be the system maintaining it is left open, deliberately and explicitly; </w:t>
      </w:r>
      <w:r w:rsidRPr="00794AD0">
        <w:lastRenderedPageBreak/>
        <w:t>nothing here should be read as a solution to, or a dissolution of, the hard problem. The contribution is to say precisely what the processing is, and to derive from that — and only that — the operations of consciousness-as-process and the necessity of sleep.</w:t>
      </w:r>
    </w:p>
    <w:p w14:paraId="25FA577D" w14:textId="77777777" w:rsidR="00794AD0" w:rsidRPr="00794AD0" w:rsidRDefault="00794AD0" w:rsidP="001F3725">
      <w:pPr>
        <w:pStyle w:val="Heading1"/>
      </w:pPr>
      <w:r w:rsidRPr="00794AD0">
        <w:t>Appendix A — The thermodynamic spine: why the offline operation is paid work and not a free functor</w:t>
      </w:r>
    </w:p>
    <w:p w14:paraId="0FFB2E9B" w14:textId="77777777" w:rsidR="00794AD0" w:rsidRPr="00794AD0" w:rsidRDefault="00794AD0" w:rsidP="00794AD0">
      <w:pPr>
        <w:jc w:val="both"/>
      </w:pPr>
      <w:r w:rsidRPr="00794AD0">
        <w:t>The body names the offline operation the polarization lift and asserts that it pays to re-coordinatize the base. This appendix gives the reason that operation cannot be replaced by a free formal one, because the temptation to replace it is real and the error it would introduce is instructive.</w:t>
      </w:r>
    </w:p>
    <w:p w14:paraId="32379BC5" w14:textId="77777777" w:rsidR="00794AD0" w:rsidRPr="00794AD0" w:rsidRDefault="00794AD0" w:rsidP="00794AD0">
      <w:pPr>
        <w:jc w:val="both"/>
      </w:pPr>
      <w:r w:rsidRPr="00794AD0">
        <w:t xml:space="preserve">A reader fluent in the mathematics will notice that category theory already supplies an operation that turns a presheaf into a sheaf: </w:t>
      </w:r>
      <w:r w:rsidRPr="00794AD0">
        <w:rPr>
          <w:b/>
          <w:bCs/>
        </w:rPr>
        <w:t>sheafification</w:t>
      </w:r>
      <w:r w:rsidRPr="00794AD0">
        <w:t>, the universal map from a presheaf to its associated sheaf. It is tempting to identify sleep with this functor — to say that the waking presheaf is formally completed overnight into a coherent sheaf. The identification is wrong, and seeing why fixes the character of consolidation.</w:t>
      </w:r>
    </w:p>
    <w:p w14:paraId="1A5F9588" w14:textId="77777777" w:rsidR="00794AD0" w:rsidRPr="00794AD0" w:rsidRDefault="00794AD0" w:rsidP="00794AD0">
      <w:pPr>
        <w:jc w:val="both"/>
      </w:pPr>
      <w:r w:rsidRPr="00794AD0">
        <w:t xml:space="preserve">Sheafification enforces the locality and gluing axioms as identities; it is the free completion that makes a presheaf into a sheaf. What it does </w:t>
      </w:r>
      <w:r w:rsidRPr="00794AD0">
        <w:rPr>
          <w:b/>
          <w:bCs/>
        </w:rPr>
        <w:t>not</w:t>
      </w:r>
      <w:r w:rsidRPr="00794AD0">
        <w:t xml:space="preserve"> do is remove cohomological obstructions. The first cohomology H¹ is defined </w:t>
      </w:r>
      <w:r w:rsidRPr="00794AD0">
        <w:rPr>
          <w:i/>
          <w:iCs/>
        </w:rPr>
        <w:t>on sheaves</w:t>
      </w:r>
      <w:r w:rsidRPr="00794AD0">
        <w:t xml:space="preserve"> — it is the obstruction to gluing that survives </w:t>
      </w:r>
      <w:r w:rsidRPr="00794AD0">
        <w:rPr>
          <w:i/>
          <w:iCs/>
        </w:rPr>
        <w:t>after</w:t>
      </w:r>
      <w:r w:rsidRPr="00794AD0">
        <w:t xml:space="preserve"> the object is already a sheaf — so a nontrivial H¹ passes through sheafification untouched. If sheafification removed H¹, sheaf cohomology would be identically zero, which is absurd. The functor re-labels the object; it does not resolve the contradiction the object carries.</w:t>
      </w:r>
    </w:p>
    <w:p w14:paraId="5FF84863" w14:textId="77777777" w:rsidR="00794AD0" w:rsidRPr="00794AD0" w:rsidRDefault="00794AD0" w:rsidP="00794AD0">
      <w:pPr>
        <w:jc w:val="both"/>
      </w:pPr>
      <w:r w:rsidRPr="00794AD0">
        <w:t>The consequence is decisive for any theory of learning. If a free formal functor could abolish the obstruction, then resolving a contradiction in a world-model would cost nothing — one would simply apply the functor and the incoherence would vanish. But learning in a physical system is not free. To make two genuinely incompatible local sections glue, the system must change the representation itself: it must re-orthogonalize the basis, move the base cover, pay the geometric work that turns incompatible sections into compatible ones. That paid work is the polarization lift — the norm-preserving re-coordinatization the framework locates in N3 sleep — and its cost is exactly what the body's necessity argument measures. The adenosine shadow is the metabolic price of holding an un-lifted obstruction in suspension; the lift discharges it not by formal fiat but by spending energy to move the base until the sections agree. Norm-preservation is the discipline that keeps the lift honest: it forbids the system from manufacturing agreement the data never supported, which would be the fabrication failure rather than genuine consolidation.</w:t>
      </w:r>
    </w:p>
    <w:p w14:paraId="52FDF0D4" w14:textId="77777777" w:rsidR="00794AD0" w:rsidRPr="00794AD0" w:rsidRDefault="00794AD0" w:rsidP="00794AD0">
      <w:pPr>
        <w:jc w:val="both"/>
      </w:pPr>
      <w:r w:rsidRPr="00794AD0">
        <w:t>This is the thermodynamic spine of the theory. The asymmetry of §2 says gluing is obstructed; the necessity argument of §5 says carrying the obstruction costs energy; and this appendix says the only operation that genuinely discharges it is paid work on the base, not a free completion. The three together are why sleep is metabolically obligatory rather than formally optional: a system that could sheafify its contradictions away would not need to sleep, and a system that learns by paying to move its base must. Consolidation is the price of coherence, and the price is real.</w:t>
      </w:r>
    </w:p>
    <w:p w14:paraId="50063B19" w14:textId="77777777" w:rsidR="00794AD0" w:rsidRPr="00794AD0" w:rsidRDefault="00794AD0" w:rsidP="001F3725">
      <w:pPr>
        <w:pStyle w:val="Heading1"/>
      </w:pPr>
      <w:r w:rsidRPr="00794AD0">
        <w:t>Bibliography</w:t>
      </w:r>
    </w:p>
    <w:p w14:paraId="1A16066D" w14:textId="77777777" w:rsidR="00794AD0" w:rsidRPr="00794AD0" w:rsidRDefault="00794AD0" w:rsidP="00794AD0">
      <w:pPr>
        <w:jc w:val="both"/>
      </w:pPr>
      <w:r w:rsidRPr="00794AD0">
        <w:rPr>
          <w:i/>
          <w:iCs/>
        </w:rPr>
        <w:t>The categorical claims are internal to the framework; the references anchor the empirical readings.</w:t>
      </w:r>
    </w:p>
    <w:p w14:paraId="5A013CFE" w14:textId="77777777" w:rsidR="00794AD0" w:rsidRPr="00794AD0" w:rsidRDefault="00794AD0" w:rsidP="001F3725">
      <w:pPr>
        <w:pStyle w:val="Heading2"/>
      </w:pPr>
      <w:r w:rsidRPr="00794AD0">
        <w:lastRenderedPageBreak/>
        <w:t>Companion papers (this series).</w:t>
      </w:r>
    </w:p>
    <w:p w14:paraId="7C8DBB5B" w14:textId="77777777" w:rsidR="00794AD0" w:rsidRPr="00794AD0" w:rsidRDefault="00794AD0" w:rsidP="00794AD0">
      <w:pPr>
        <w:numPr>
          <w:ilvl w:val="0"/>
          <w:numId w:val="1"/>
        </w:numPr>
        <w:jc w:val="both"/>
      </w:pPr>
      <w:r w:rsidRPr="00794AD0">
        <w:t xml:space="preserve">Ghosh, D. P. (2026). </w:t>
      </w:r>
      <w:r w:rsidRPr="00794AD0">
        <w:rPr>
          <w:i/>
          <w:iCs/>
        </w:rPr>
        <w:t>The Categorical Foundations of the Thermodynamic–Electric Coupling.</w:t>
      </w:r>
      <w:r w:rsidRPr="00794AD0">
        <w:t xml:space="preserve"> doi:10.13140/RG.2.2.11096.66566. (The coupling, the convex obstruction residual, the precision tolerance ε(Π), the gate.)</w:t>
      </w:r>
    </w:p>
    <w:p w14:paraId="64597F27" w14:textId="77777777" w:rsidR="00794AD0" w:rsidRPr="00794AD0" w:rsidRDefault="00794AD0" w:rsidP="00794AD0">
      <w:pPr>
        <w:numPr>
          <w:ilvl w:val="0"/>
          <w:numId w:val="1"/>
        </w:numPr>
        <w:jc w:val="both"/>
      </w:pPr>
      <w:r w:rsidRPr="00794AD0">
        <w:t xml:space="preserve">Ghosh, D. P. </w:t>
      </w:r>
      <w:r w:rsidRPr="00794AD0">
        <w:rPr>
          <w:i/>
          <w:iCs/>
        </w:rPr>
        <w:t>Inhibit the Average, Inhibit the Tail</w:t>
      </w:r>
      <w:r w:rsidRPr="00794AD0">
        <w:t xml:space="preserve"> (the conscious-certification orthogonal account). doi:10.13140/RG.2.2.16306.77763.</w:t>
      </w:r>
    </w:p>
    <w:p w14:paraId="586FE6FD" w14:textId="77777777" w:rsidR="00794AD0" w:rsidRPr="00794AD0" w:rsidRDefault="00794AD0" w:rsidP="00794AD0">
      <w:pPr>
        <w:numPr>
          <w:ilvl w:val="0"/>
          <w:numId w:val="1"/>
        </w:numPr>
        <w:jc w:val="both"/>
      </w:pPr>
      <w:r w:rsidRPr="00794AD0">
        <w:t xml:space="preserve">Ghosh, D. P. </w:t>
      </w:r>
      <w:r w:rsidRPr="00794AD0">
        <w:rPr>
          <w:i/>
          <w:iCs/>
        </w:rPr>
        <w:t>The Geometry of Defensible Action</w:t>
      </w:r>
      <w:r w:rsidRPr="00794AD0">
        <w:t xml:space="preserve"> (Paper 1). doi:10.13140/RG.2.2.24454.54080. (The enrichment ladder; the offline N3 normed→inner-product polarization lift; Hahn–Banach norm-preservation as the no-fabrication guarantee.)</w:t>
      </w:r>
    </w:p>
    <w:p w14:paraId="57FD605C" w14:textId="77777777" w:rsidR="00794AD0" w:rsidRPr="00794AD0" w:rsidRDefault="00794AD0" w:rsidP="00794AD0">
      <w:pPr>
        <w:numPr>
          <w:ilvl w:val="0"/>
          <w:numId w:val="1"/>
        </w:numPr>
        <w:jc w:val="both"/>
      </w:pPr>
      <w:r w:rsidRPr="00794AD0">
        <w:t xml:space="preserve">Ghosh, D. P. </w:t>
      </w:r>
      <w:r w:rsidRPr="00794AD0">
        <w:rPr>
          <w:i/>
          <w:iCs/>
        </w:rPr>
        <w:t>The Algorithm of the 3→6-Layer Cortex.</w:t>
      </w:r>
      <w:r w:rsidRPr="00794AD0">
        <w:t xml:space="preserve"> (Tensor-bound storage; contraction as first-class unbinding; the cup-product gate; the restriction-map / hypercovering treatment of the false-zero overlap; the layer-5 integrate-and-gate hardware.)</w:t>
      </w:r>
    </w:p>
    <w:p w14:paraId="2E668B34" w14:textId="77777777" w:rsidR="00794AD0" w:rsidRPr="00794AD0" w:rsidRDefault="00794AD0" w:rsidP="001F3725">
      <w:pPr>
        <w:pStyle w:val="Heading2"/>
      </w:pPr>
      <w:r w:rsidRPr="00794AD0">
        <w:t>Sheaf theory, the gluing obstruction, and sheafification.</w:t>
      </w:r>
    </w:p>
    <w:p w14:paraId="2EF7254E" w14:textId="77777777" w:rsidR="00794AD0" w:rsidRPr="00794AD0" w:rsidRDefault="00794AD0" w:rsidP="00794AD0">
      <w:pPr>
        <w:numPr>
          <w:ilvl w:val="0"/>
          <w:numId w:val="2"/>
        </w:numPr>
        <w:jc w:val="both"/>
      </w:pPr>
      <w:r w:rsidRPr="00794AD0">
        <w:t xml:space="preserve">Bredon, G. E. (1997). </w:t>
      </w:r>
      <w:r w:rsidRPr="00794AD0">
        <w:rPr>
          <w:i/>
          <w:iCs/>
        </w:rPr>
        <w:t>Sheaf Theory</w:t>
      </w:r>
      <w:r w:rsidRPr="00794AD0">
        <w:t xml:space="preserve"> (2nd ed.). Graduate Texts in Mathematics 170. Springer. (The global-sections functor is left exact but not right exact; H¹ as the obstruction to gluing locally-compatible sections, defined on sheaves; sheafification as the associated-sheaf functor, which does not annihilate H¹.)</w:t>
      </w:r>
    </w:p>
    <w:p w14:paraId="5A5EEBE3" w14:textId="77777777" w:rsidR="00794AD0" w:rsidRPr="00794AD0" w:rsidRDefault="00794AD0" w:rsidP="001F3725">
      <w:pPr>
        <w:pStyle w:val="Heading2"/>
      </w:pPr>
      <w:r w:rsidRPr="00794AD0">
        <w:t>Predictive processing.</w:t>
      </w:r>
    </w:p>
    <w:p w14:paraId="068C5968" w14:textId="77777777" w:rsidR="00794AD0" w:rsidRPr="00794AD0" w:rsidRDefault="00794AD0" w:rsidP="00794AD0">
      <w:pPr>
        <w:numPr>
          <w:ilvl w:val="0"/>
          <w:numId w:val="3"/>
        </w:numPr>
        <w:jc w:val="both"/>
      </w:pPr>
      <w:r w:rsidRPr="00794AD0">
        <w:t xml:space="preserve">Friston, K. (2010). The free-energy principle: a unified brain theory? </w:t>
      </w:r>
      <w:r w:rsidRPr="00794AD0">
        <w:rPr>
          <w:i/>
          <w:iCs/>
        </w:rPr>
        <w:t>Nature Reviews Neuroscience</w:t>
      </w:r>
      <w:r w:rsidRPr="00794AD0">
        <w:t xml:space="preserve"> 11(2), 127–138.</w:t>
      </w:r>
    </w:p>
    <w:p w14:paraId="514E9A83" w14:textId="77777777" w:rsidR="00794AD0" w:rsidRPr="00794AD0" w:rsidRDefault="00794AD0" w:rsidP="00794AD0">
      <w:pPr>
        <w:numPr>
          <w:ilvl w:val="0"/>
          <w:numId w:val="3"/>
        </w:numPr>
        <w:jc w:val="both"/>
      </w:pPr>
      <w:r w:rsidRPr="00794AD0">
        <w:t xml:space="preserve">Clark, A. (2013). Whatever next? Predictive brains, situated agents, and the future of cognitive science. </w:t>
      </w:r>
      <w:r w:rsidRPr="00794AD0">
        <w:rPr>
          <w:i/>
          <w:iCs/>
        </w:rPr>
        <w:t>Behavioral and Brain Sciences</w:t>
      </w:r>
      <w:r w:rsidRPr="00794AD0">
        <w:t xml:space="preserve"> 36(3), 181–204.</w:t>
      </w:r>
    </w:p>
    <w:p w14:paraId="4F8A621D" w14:textId="77777777" w:rsidR="00794AD0" w:rsidRPr="00794AD0" w:rsidRDefault="00794AD0" w:rsidP="001F3725">
      <w:pPr>
        <w:pStyle w:val="Heading2"/>
      </w:pPr>
      <w:r w:rsidRPr="00794AD0">
        <w:t>Sleep pressure as metabolic shadow.</w:t>
      </w:r>
    </w:p>
    <w:p w14:paraId="0AE2DA2A" w14:textId="77777777" w:rsidR="00794AD0" w:rsidRPr="00794AD0" w:rsidRDefault="00794AD0" w:rsidP="00794AD0">
      <w:pPr>
        <w:numPr>
          <w:ilvl w:val="0"/>
          <w:numId w:val="4"/>
        </w:numPr>
        <w:jc w:val="both"/>
      </w:pPr>
      <w:r w:rsidRPr="00794AD0">
        <w:t xml:space="preserve">Porkka-Heiskanen, T., Strecker, R. E., Thakkar, M., Bjørkum, A. A., Greene, R. W., &amp; McCarley, R. W. (1997). Adenosine: a mediator of the sleep-inducing effects of prolonged wakefulness. </w:t>
      </w:r>
      <w:r w:rsidRPr="00794AD0">
        <w:rPr>
          <w:i/>
          <w:iCs/>
        </w:rPr>
        <w:t>Science</w:t>
      </w:r>
      <w:r w:rsidRPr="00794AD0">
        <w:t xml:space="preserve"> 276(5316), 1265–1268.</w:t>
      </w:r>
    </w:p>
    <w:p w14:paraId="3BD838C0" w14:textId="77777777" w:rsidR="00794AD0" w:rsidRPr="00794AD0" w:rsidRDefault="00794AD0" w:rsidP="00794AD0">
      <w:pPr>
        <w:numPr>
          <w:ilvl w:val="0"/>
          <w:numId w:val="4"/>
        </w:numPr>
        <w:jc w:val="both"/>
      </w:pPr>
      <w:r w:rsidRPr="00794AD0">
        <w:t xml:space="preserve">Borbély, A. A., Daan, S., Wirz-Justice, A., &amp; Deboer, T. (2016). The two-process model of sleep regulation: a reappraisal. </w:t>
      </w:r>
      <w:r w:rsidRPr="00794AD0">
        <w:rPr>
          <w:i/>
          <w:iCs/>
        </w:rPr>
        <w:t>Journal of Sleep Research</w:t>
      </w:r>
      <w:r w:rsidRPr="00794AD0">
        <w:t xml:space="preserve"> 25(2), 131–143.</w:t>
      </w:r>
    </w:p>
    <w:p w14:paraId="71060021" w14:textId="77777777" w:rsidR="00794AD0" w:rsidRPr="00794AD0" w:rsidRDefault="00794AD0" w:rsidP="001F3725">
      <w:pPr>
        <w:pStyle w:val="Heading2"/>
      </w:pPr>
      <w:r w:rsidRPr="00794AD0">
        <w:t>Precision collapse and the progression of sleep loss.</w:t>
      </w:r>
    </w:p>
    <w:p w14:paraId="0E3FDECA" w14:textId="77777777" w:rsidR="00794AD0" w:rsidRPr="00794AD0" w:rsidRDefault="00794AD0" w:rsidP="00794AD0">
      <w:pPr>
        <w:numPr>
          <w:ilvl w:val="0"/>
          <w:numId w:val="5"/>
        </w:numPr>
        <w:jc w:val="both"/>
      </w:pPr>
      <w:r w:rsidRPr="00794AD0">
        <w:t xml:space="preserve">Waters, F., Chiu, V., Atkinson, A., &amp; Blom, J. D. (2018). Severe sleep deprivation causes hallucinations and a gradual progression toward psychosis with increasing time awake. </w:t>
      </w:r>
      <w:r w:rsidRPr="00794AD0">
        <w:rPr>
          <w:i/>
          <w:iCs/>
        </w:rPr>
        <w:t>Frontiers in Psychiatry</w:t>
      </w:r>
      <w:r w:rsidRPr="00794AD0">
        <w:t xml:space="preserve"> 9, 303. doi:10.3389/fpsyt.2018.00303.</w:t>
      </w:r>
    </w:p>
    <w:p w14:paraId="435294F8" w14:textId="77777777" w:rsidR="00794AD0" w:rsidRPr="00794AD0" w:rsidRDefault="00794AD0" w:rsidP="001F3725">
      <w:pPr>
        <w:pStyle w:val="Heading2"/>
      </w:pPr>
      <w:r w:rsidRPr="00794AD0">
        <w:t>The physical withhold and the routing tag.</w:t>
      </w:r>
    </w:p>
    <w:p w14:paraId="5229C0AA" w14:textId="77777777" w:rsidR="00794AD0" w:rsidRPr="00794AD0" w:rsidRDefault="00794AD0" w:rsidP="00794AD0">
      <w:pPr>
        <w:numPr>
          <w:ilvl w:val="0"/>
          <w:numId w:val="6"/>
        </w:numPr>
        <w:jc w:val="both"/>
      </w:pPr>
      <w:r w:rsidRPr="00794AD0">
        <w:t xml:space="preserve">Frank, M. J. (2006). Hold your horses: a dynamic computational role for the subthalamic nucleus in decision making. </w:t>
      </w:r>
      <w:r w:rsidRPr="00794AD0">
        <w:rPr>
          <w:i/>
          <w:iCs/>
        </w:rPr>
        <w:t>Neural Networks</w:t>
      </w:r>
      <w:r w:rsidRPr="00794AD0">
        <w:t xml:space="preserve"> 19(8), 1120–1136.</w:t>
      </w:r>
    </w:p>
    <w:p w14:paraId="26D11A0B" w14:textId="77777777" w:rsidR="00794AD0" w:rsidRPr="00794AD0" w:rsidRDefault="00794AD0" w:rsidP="00794AD0">
      <w:pPr>
        <w:numPr>
          <w:ilvl w:val="0"/>
          <w:numId w:val="6"/>
        </w:numPr>
        <w:jc w:val="both"/>
      </w:pPr>
      <w:r w:rsidRPr="00794AD0">
        <w:lastRenderedPageBreak/>
        <w:t xml:space="preserve">Aron, A. R., &amp; Poldrack, R. A. (2006). Cortical and subcortical contributions to stop signal response inhibition: role of the subthalamic nucleus. </w:t>
      </w:r>
      <w:r w:rsidRPr="00794AD0">
        <w:rPr>
          <w:i/>
          <w:iCs/>
        </w:rPr>
        <w:t>Journal of Neuroscience</w:t>
      </w:r>
      <w:r w:rsidRPr="00794AD0">
        <w:t xml:space="preserve"> 26(9), 2424–2433.</w:t>
      </w:r>
    </w:p>
    <w:p w14:paraId="3EE0DB22" w14:textId="77777777" w:rsidR="00794AD0" w:rsidRPr="00794AD0" w:rsidRDefault="00794AD0" w:rsidP="00794AD0">
      <w:pPr>
        <w:numPr>
          <w:ilvl w:val="0"/>
          <w:numId w:val="6"/>
        </w:numPr>
        <w:jc w:val="both"/>
      </w:pPr>
      <w:r w:rsidRPr="00794AD0">
        <w:t xml:space="preserve">Cavanagh, J. F., Wiecki, T. V., Cohen, M. X., Figueroa, C. M., Samanta, J., Sherman, S. J., &amp; Frank, M. J. (2011). Subthalamic nucleus stimulation reverses mediofrontal influence over decision threshold. </w:t>
      </w:r>
      <w:r w:rsidRPr="00794AD0">
        <w:rPr>
          <w:i/>
          <w:iCs/>
        </w:rPr>
        <w:t>Nature Neuroscience</w:t>
      </w:r>
      <w:r w:rsidRPr="00794AD0">
        <w:t xml:space="preserve"> 14(11), 1462–1467.</w:t>
      </w:r>
    </w:p>
    <w:p w14:paraId="70F1C90E" w14:textId="01DF9FB4" w:rsidR="00DC1523" w:rsidRDefault="00794AD0" w:rsidP="00794AD0">
      <w:pPr>
        <w:numPr>
          <w:ilvl w:val="0"/>
          <w:numId w:val="6"/>
        </w:numPr>
        <w:jc w:val="both"/>
      </w:pPr>
      <w:r w:rsidRPr="00794AD0">
        <w:t xml:space="preserve">Frey, U., &amp; Morris, R. G. M. (1997). Synaptic tagging and long-term potentiation. </w:t>
      </w:r>
      <w:r w:rsidRPr="00794AD0">
        <w:rPr>
          <w:i/>
          <w:iCs/>
        </w:rPr>
        <w:t>Nature</w:t>
      </w:r>
      <w:r w:rsidRPr="00794AD0">
        <w:t xml:space="preserve"> 385, 533–536. (With the behavioural-tagging extension and the dopamine-dependence of late-LTP persistence — the basis of the surprise-gated capture-tag.)</w:t>
      </w:r>
    </w:p>
    <w:p w14:paraId="51AF9355" w14:textId="77777777" w:rsidR="001F3725" w:rsidRDefault="001F3725" w:rsidP="001F3725">
      <w:pPr>
        <w:ind w:left="720"/>
        <w:jc w:val="both"/>
      </w:pPr>
    </w:p>
    <w:sectPr w:rsidR="001F37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04DB"/>
    <w:multiLevelType w:val="multilevel"/>
    <w:tmpl w:val="EE00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2E7EA5"/>
    <w:multiLevelType w:val="multilevel"/>
    <w:tmpl w:val="9EF2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04715"/>
    <w:multiLevelType w:val="multilevel"/>
    <w:tmpl w:val="6F8C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C05AF3"/>
    <w:multiLevelType w:val="multilevel"/>
    <w:tmpl w:val="BCB0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B2FE1"/>
    <w:multiLevelType w:val="multilevel"/>
    <w:tmpl w:val="F83A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460B69"/>
    <w:multiLevelType w:val="multilevel"/>
    <w:tmpl w:val="B612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812957">
    <w:abstractNumId w:val="4"/>
  </w:num>
  <w:num w:numId="2" w16cid:durableId="663821397">
    <w:abstractNumId w:val="5"/>
  </w:num>
  <w:num w:numId="3" w16cid:durableId="1868984652">
    <w:abstractNumId w:val="1"/>
  </w:num>
  <w:num w:numId="4" w16cid:durableId="1366372328">
    <w:abstractNumId w:val="3"/>
  </w:num>
  <w:num w:numId="5" w16cid:durableId="1434087529">
    <w:abstractNumId w:val="0"/>
  </w:num>
  <w:num w:numId="6" w16cid:durableId="1096363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203"/>
    <w:rsid w:val="0013584D"/>
    <w:rsid w:val="00184519"/>
    <w:rsid w:val="001F3725"/>
    <w:rsid w:val="002810D8"/>
    <w:rsid w:val="002C3F9C"/>
    <w:rsid w:val="00492E50"/>
    <w:rsid w:val="006553E8"/>
    <w:rsid w:val="006C4686"/>
    <w:rsid w:val="00794AD0"/>
    <w:rsid w:val="008B08B7"/>
    <w:rsid w:val="00997E89"/>
    <w:rsid w:val="00A804EA"/>
    <w:rsid w:val="00A80A89"/>
    <w:rsid w:val="00BB5203"/>
    <w:rsid w:val="00C24516"/>
    <w:rsid w:val="00D42BDB"/>
    <w:rsid w:val="00DC1523"/>
    <w:rsid w:val="00F008CA"/>
    <w:rsid w:val="00F404C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70758"/>
  <w15:chartTrackingRefBased/>
  <w15:docId w15:val="{EF882890-E2E4-4435-9211-54692EAB2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2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52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52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52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52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5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2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52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52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52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52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5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203"/>
    <w:rPr>
      <w:rFonts w:eastAsiaTheme="majorEastAsia" w:cstheme="majorBidi"/>
      <w:color w:val="272727" w:themeColor="text1" w:themeTint="D8"/>
    </w:rPr>
  </w:style>
  <w:style w:type="paragraph" w:styleId="Title">
    <w:name w:val="Title"/>
    <w:basedOn w:val="Normal"/>
    <w:next w:val="Normal"/>
    <w:link w:val="TitleChar"/>
    <w:uiPriority w:val="10"/>
    <w:qFormat/>
    <w:rsid w:val="00BB5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203"/>
    <w:pPr>
      <w:spacing w:before="160"/>
      <w:jc w:val="center"/>
    </w:pPr>
    <w:rPr>
      <w:i/>
      <w:iCs/>
      <w:color w:val="404040" w:themeColor="text1" w:themeTint="BF"/>
    </w:rPr>
  </w:style>
  <w:style w:type="character" w:customStyle="1" w:styleId="QuoteChar">
    <w:name w:val="Quote Char"/>
    <w:basedOn w:val="DefaultParagraphFont"/>
    <w:link w:val="Quote"/>
    <w:uiPriority w:val="29"/>
    <w:rsid w:val="00BB5203"/>
    <w:rPr>
      <w:i/>
      <w:iCs/>
      <w:color w:val="404040" w:themeColor="text1" w:themeTint="BF"/>
    </w:rPr>
  </w:style>
  <w:style w:type="paragraph" w:styleId="ListParagraph">
    <w:name w:val="List Paragraph"/>
    <w:basedOn w:val="Normal"/>
    <w:uiPriority w:val="34"/>
    <w:qFormat/>
    <w:rsid w:val="00BB5203"/>
    <w:pPr>
      <w:ind w:left="720"/>
      <w:contextualSpacing/>
    </w:pPr>
  </w:style>
  <w:style w:type="character" w:styleId="IntenseEmphasis">
    <w:name w:val="Intense Emphasis"/>
    <w:basedOn w:val="DefaultParagraphFont"/>
    <w:uiPriority w:val="21"/>
    <w:qFormat/>
    <w:rsid w:val="00BB5203"/>
    <w:rPr>
      <w:i/>
      <w:iCs/>
      <w:color w:val="2F5496" w:themeColor="accent1" w:themeShade="BF"/>
    </w:rPr>
  </w:style>
  <w:style w:type="paragraph" w:styleId="IntenseQuote">
    <w:name w:val="Intense Quote"/>
    <w:basedOn w:val="Normal"/>
    <w:next w:val="Normal"/>
    <w:link w:val="IntenseQuoteChar"/>
    <w:uiPriority w:val="30"/>
    <w:qFormat/>
    <w:rsid w:val="00BB52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5203"/>
    <w:rPr>
      <w:i/>
      <w:iCs/>
      <w:color w:val="2F5496" w:themeColor="accent1" w:themeShade="BF"/>
    </w:rPr>
  </w:style>
  <w:style w:type="character" w:styleId="IntenseReference">
    <w:name w:val="Intense Reference"/>
    <w:basedOn w:val="DefaultParagraphFont"/>
    <w:uiPriority w:val="32"/>
    <w:qFormat/>
    <w:rsid w:val="00BB5203"/>
    <w:rPr>
      <w:b/>
      <w:bCs/>
      <w:smallCaps/>
      <w:color w:val="2F5496" w:themeColor="accent1" w:themeShade="BF"/>
      <w:spacing w:val="5"/>
    </w:rPr>
  </w:style>
  <w:style w:type="character" w:styleId="Hyperlink">
    <w:name w:val="Hyperlink"/>
    <w:basedOn w:val="DefaultParagraphFont"/>
    <w:uiPriority w:val="99"/>
    <w:unhideWhenUsed/>
    <w:rsid w:val="00D42BDB"/>
    <w:rPr>
      <w:color w:val="0563C1" w:themeColor="hyperlink"/>
      <w:u w:val="single"/>
    </w:rPr>
  </w:style>
  <w:style w:type="character" w:styleId="UnresolvedMention">
    <w:name w:val="Unresolved Mention"/>
    <w:basedOn w:val="DefaultParagraphFont"/>
    <w:uiPriority w:val="99"/>
    <w:semiHidden/>
    <w:unhideWhenUsed/>
    <w:rsid w:val="00A80A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19848.99846"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cid.org/0000-0001-7393-2907" TargetMode="External"/><Relationship Id="rId5" Type="http://schemas.openxmlformats.org/officeDocument/2006/relationships/hyperlink" Target="mailto:debiprasadghosh@lntecc.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8</Pages>
  <Words>3814</Words>
  <Characters>21745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12</cp:revision>
  <cp:lastPrinted>2026-06-15T17:09:00Z</cp:lastPrinted>
  <dcterms:created xsi:type="dcterms:W3CDTF">2026-06-15T14:11:00Z</dcterms:created>
  <dcterms:modified xsi:type="dcterms:W3CDTF">2026-06-15T17:45:00Z</dcterms:modified>
</cp:coreProperties>
</file>