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B8F84" w14:textId="77777777" w:rsidR="00D27DB6" w:rsidRPr="006B4CC5" w:rsidRDefault="00D27DB6" w:rsidP="00D27DB6">
      <w:pPr>
        <w:pStyle w:val="Title"/>
        <w:pBdr>
          <w:bottom w:val="single" w:sz="6" w:space="1" w:color="auto"/>
        </w:pBdr>
        <w:rPr>
          <w:rFonts w:asciiTheme="minorHAnsi" w:hAnsiTheme="minorHAnsi"/>
          <w:sz w:val="22"/>
          <w:szCs w:val="22"/>
        </w:rPr>
      </w:pPr>
      <w:r w:rsidRPr="006B4CC5">
        <w:rPr>
          <w:rFonts w:asciiTheme="minorHAnsi" w:hAnsiTheme="minorHAnsi"/>
          <w:sz w:val="22"/>
          <w:szCs w:val="22"/>
        </w:rPr>
        <w:t xml:space="preserve">Manuscript as of </w:t>
      </w:r>
      <w:r>
        <w:rPr>
          <w:rFonts w:asciiTheme="minorHAnsi" w:hAnsiTheme="minorHAnsi"/>
          <w:sz w:val="22"/>
          <w:szCs w:val="22"/>
        </w:rPr>
        <w:t>June 14</w:t>
      </w:r>
      <w:r w:rsidRPr="006B4CC5">
        <w:rPr>
          <w:rFonts w:asciiTheme="minorHAnsi" w:hAnsiTheme="minorHAnsi"/>
          <w:sz w:val="22"/>
          <w:szCs w:val="22"/>
        </w:rPr>
        <w:t>, 202</w:t>
      </w:r>
      <w:r>
        <w:rPr>
          <w:rFonts w:asciiTheme="minorHAnsi" w:hAnsiTheme="minorHAnsi"/>
          <w:sz w:val="22"/>
          <w:szCs w:val="22"/>
        </w:rPr>
        <w:t>6.</w:t>
      </w:r>
    </w:p>
    <w:p w14:paraId="6E5B9749" w14:textId="77777777" w:rsidR="00623B6D" w:rsidRDefault="00623B6D" w:rsidP="00623B6D">
      <w:pPr>
        <w:pStyle w:val="Title"/>
        <w:jc w:val="center"/>
        <w:rPr>
          <w:sz w:val="36"/>
          <w:szCs w:val="36"/>
        </w:rPr>
      </w:pPr>
      <w:r w:rsidRPr="00D27DB6">
        <w:rPr>
          <w:sz w:val="44"/>
          <w:szCs w:val="44"/>
        </w:rPr>
        <w:t>From Proximity to Uniformity</w:t>
      </w:r>
      <w:r w:rsidRPr="00623B6D">
        <w:rPr>
          <w:sz w:val="36"/>
          <w:szCs w:val="36"/>
        </w:rPr>
        <w:t>: A Topological Framework for Automated Interface Enrichment and POSET-Driven Execution</w:t>
      </w:r>
    </w:p>
    <w:p w14:paraId="676CDFA4" w14:textId="77777777" w:rsidR="00D27DB6" w:rsidRDefault="00D27DB6" w:rsidP="00D27DB6">
      <w:pPr>
        <w:jc w:val="center"/>
      </w:pPr>
      <w:r w:rsidRPr="006B4CC5">
        <w:t xml:space="preserve">Debi Prasad Ghosh, </w:t>
      </w:r>
      <w:hyperlink r:id="rId4" w:history="1">
        <w:r w:rsidRPr="006B4CC5">
          <w:rPr>
            <w:rStyle w:val="Hyperlink"/>
          </w:rPr>
          <w:t>debiprasadghosh@lntecc.com</w:t>
        </w:r>
      </w:hyperlink>
      <w:r>
        <w:t xml:space="preserve"> </w:t>
      </w:r>
      <w:r>
        <w:rPr>
          <w:noProof/>
        </w:rPr>
        <w:drawing>
          <wp:inline distT="0" distB="0" distL="0" distR="0" wp14:anchorId="558C546F" wp14:editId="038FFDB2">
            <wp:extent cx="133067" cy="133067"/>
            <wp:effectExtent l="0" t="0" r="635" b="635"/>
            <wp:docPr id="1305915393" name="Picture 7">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15393" name="Picture 7">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flipH="1">
                      <a:off x="0" y="0"/>
                      <a:ext cx="142530" cy="142530"/>
                    </a:xfrm>
                    <a:prstGeom prst="rect">
                      <a:avLst/>
                    </a:prstGeom>
                    <a:noFill/>
                  </pic:spPr>
                </pic:pic>
              </a:graphicData>
            </a:graphic>
          </wp:inline>
        </w:drawing>
      </w:r>
    </w:p>
    <w:p w14:paraId="56CC90EF" w14:textId="77777777" w:rsidR="00D27DB6" w:rsidRPr="006B4CC5" w:rsidRDefault="00D27DB6" w:rsidP="00D27DB6">
      <w:pPr>
        <w:jc w:val="center"/>
      </w:pPr>
      <w:r>
        <w:t>CTO, AI &amp;</w:t>
      </w:r>
      <w:r w:rsidRPr="006B4CC5">
        <w:t xml:space="preserve"> Automation</w:t>
      </w:r>
    </w:p>
    <w:p w14:paraId="00E1126B" w14:textId="77777777" w:rsidR="00D27DB6" w:rsidRDefault="00D27DB6" w:rsidP="00D27DB6">
      <w:pPr>
        <w:jc w:val="center"/>
      </w:pPr>
      <w:r w:rsidRPr="00F5609C">
        <w:t>Engineering Design &amp; Research Center, Larsen &amp; Toubro Construction (M&amp;M) Kolkata, India</w:t>
      </w:r>
    </w:p>
    <w:p w14:paraId="6C25DEBB" w14:textId="4FF58C27" w:rsidR="00623B6D" w:rsidRPr="00623B6D" w:rsidRDefault="002146D8" w:rsidP="00D27DB6">
      <w:pPr>
        <w:jc w:val="center"/>
        <w:rPr>
          <w:b/>
          <w:bCs/>
        </w:rPr>
      </w:pPr>
      <w:hyperlink r:id="rId7" w:history="1">
        <w:r w:rsidRPr="00DD5619">
          <w:rPr>
            <w:rStyle w:val="Hyperlink"/>
            <w:b/>
            <w:bCs/>
          </w:rPr>
          <w:t>https://doi.org/10.13140/RG.2.2.21729.88162</w:t>
        </w:r>
      </w:hyperlink>
      <w:r>
        <w:rPr>
          <w:b/>
          <w:bCs/>
        </w:rPr>
        <w:t xml:space="preserve"> </w:t>
      </w:r>
    </w:p>
    <w:p w14:paraId="69AC3A52" w14:textId="2903FDE1" w:rsidR="00623B6D" w:rsidRPr="00623B6D" w:rsidRDefault="00623B6D" w:rsidP="00623B6D">
      <w:pPr>
        <w:jc w:val="both"/>
        <w:rPr>
          <w:b/>
          <w:bCs/>
        </w:rPr>
      </w:pPr>
      <w:r w:rsidRPr="00623B6D">
        <w:rPr>
          <w:b/>
          <w:bCs/>
        </w:rPr>
        <w:t>Abstract</w:t>
      </w:r>
      <w:r>
        <w:rPr>
          <w:b/>
          <w:bCs/>
        </w:rPr>
        <w:t xml:space="preserve">: </w:t>
      </w:r>
      <w:r w:rsidRPr="00623B6D">
        <w:t xml:space="preserve">Object-oriented architecture rests on rigid, fixed-signature interfaces that shatter when a domain expands past what they anticipated, and we read that brittleness, against the enrichment ladder of this series, as a precise structural deficit: object-oriented code is a crystallized architecture that uses the ladder in one direction only. It has ascended to fixed, orthogonalized interfaces and reaps their efficiency, but it has no operation for relaxing an interface back down when an input obstructs it; its only response to novelty is a domain guard whose verdicts are </w:t>
      </w:r>
      <w:r w:rsidRPr="00623B6D">
        <w:rPr>
          <w:i/>
          <w:iCs/>
        </w:rPr>
        <w:t>admit</w:t>
      </w:r>
      <w:r w:rsidRPr="00623B6D">
        <w:t xml:space="preserve"> and </w:t>
      </w:r>
      <w:r w:rsidRPr="00623B6D">
        <w:rPr>
          <w:i/>
          <w:iCs/>
        </w:rPr>
        <w:t>crash</w:t>
      </w:r>
      <w:r w:rsidRPr="00623B6D">
        <w:t xml:space="preserve"> — a terminal rejection, not a computed obstruction. We propose, as a [CAND] architectural manifesto for a continuous runtime, an architecture that restores the missing direction. Its motivating thesis is that the fixed interface is a human-readability constraint rather than a machine necessity: orthogonalized, nameable structure is what lets a human hold a system in a mental model, and latent-space systems that route by continuous proximity with no symbolic interface are evidence that a machine does not require it. This is the paper's interpretive thesis, not a theorem; the body defends the sufficient claim that a runtime can route natively by proximity and crystallize an interface only where doing so pays.</w:t>
      </w:r>
    </w:p>
    <w:p w14:paraId="0F4642E5" w14:textId="77777777" w:rsidR="00623B6D" w:rsidRPr="00623B6D" w:rsidRDefault="00623B6D" w:rsidP="00623B6D">
      <w:pPr>
        <w:jc w:val="both"/>
      </w:pPr>
      <w:r w:rsidRPr="00623B6D">
        <w:t xml:space="preserve">The base rung is a proximity space: execution is propagation over a poset of open sets, triggered by topological nearness A δ B rather than by named invocation. This rung carries a nearness relation but no transition maps — no structured comparison of local sections on overlaps — and therefore no computable obstruction, the conclusion the companion Transformer paper reached for query-independent attention, by </w:t>
      </w:r>
      <w:r w:rsidRPr="00623B6D">
        <w:rPr>
          <w:i/>
          <w:iCs/>
        </w:rPr>
        <w:t>absence</w:t>
      </w:r>
      <w:r w:rsidRPr="00623B6D">
        <w:t xml:space="preserve"> here where it was </w:t>
      </w:r>
      <w:r w:rsidRPr="00623B6D">
        <w:rPr>
          <w:i/>
          <w:iCs/>
        </w:rPr>
        <w:t>triviality</w:t>
      </w:r>
      <w:r w:rsidRPr="00623B6D">
        <w:t xml:space="preserve"> there. The rung is thus adaptive but undefendable: a gate is impossible where no obstruction is definable, so defensibility is a property the system must ascend to. Ascent is governed by the free-descent/obstructed-ascent asymmetry read as a cost structure — crystallizing a fluid pathway costs work, relaxing one back is free — and the compiler crystallizes only when pathway variance falls below the precision tolerance ε(Π) and an expected-reuse amortization inequality E[N]·(C_fluid − C_strict) &gt; C_enrich is met, with E[N] an estimate and the inequality a discrete amortization over anticipated reuse, not an integral over an undefined measure. The paper's central fusion is structural: crystallization is the software sibling of the cortex paper's offline N3 lift — the same </w:t>
      </w:r>
      <w:r w:rsidRPr="00623B6D">
        <w:rPr>
          <w:i/>
          <w:iCs/>
        </w:rPr>
        <w:t>kind</w:t>
      </w:r>
      <w:r w:rsidRPr="00623B6D">
        <w:t xml:space="preserve"> of stability-triggered, provenance-preserving ascent that builds an orthogonal basis — and melting, its inverse, is the framework's first-class unglue. It is an isomorphism, not an identity: the N3 lift is specifically the top, normed-to-inner-product step, while crystallization begins at the proximity rung and ascends through uniformity. Preservation of the fluid layer is forced not by that identification but by two commitments independent of it — free descent must have a lower rung to land on, and provenance must not be erased — with the norm-preserving character of the lift corroborating the same conclusion: so crystallization preserves the proximity structure rather than flushing it. On an input it cannot type, a crystallized interface computes a nontrivial obstruction class at ε(Π) — class-nontriviality, not a scalar threshold — and melts, descending freely to the preserved proximity layer where the poset re-routes the input. The failure becomes a recoverable descent rather than a terminal rejection.</w:t>
      </w:r>
    </w:p>
    <w:p w14:paraId="1580FC46" w14:textId="77777777" w:rsidR="00623B6D" w:rsidRPr="00623B6D" w:rsidRDefault="00623B6D" w:rsidP="00623B6D">
      <w:pPr>
        <w:jc w:val="both"/>
      </w:pPr>
      <w:r w:rsidRPr="00623B6D">
        <w:lastRenderedPageBreak/>
        <w:t>The proposal has the shape this implementation series shares: where the companion paper read the Transformer as the framework's gluing engine with the gate removed, this reads object-oriented architecture as the framework's crystallized structure with free descent removed — the prevailing technology being, in each case, the framework missing one operation, with the contribution to name it and propose its restoration. The paper closes in falsifiable predictions: that under rising domain novelty the architecture degrades as a slope where object-oriented code degrades as a cliff; that it is repaid for its runtime overhead only above a finite crossover, conceding that a stable domain favors fixed interfaces and that the absence of any finite crossover would refute it outright; and that a pathway's cost shows the discrete crystallize-and-melt step structure the mechanism requires. Throughout, the ladder asymmetry, the absence of obstruction at the proximity rung, and the preservation forced by norm-preservation are load-bearing; the cognitive-divide thesis is a supported-to-horizon motivation; the amortization trigger and the runtime itself are candidate. The imports the series has repeatedly stripped — a discrepancy metric without mechanism, a binary-arithmetic efficiency claim, a borrowed psychology of two systems — are quarantined; the stability trigger is ε(Π) on variance and nothing else. The claims are structural isomorphisms, not identities: the runtime's operations are read as realizing the framework's, not asserted to be them.</w:t>
      </w:r>
    </w:p>
    <w:p w14:paraId="105ABBEF" w14:textId="77777777" w:rsidR="00623B6D" w:rsidRPr="00623B6D" w:rsidRDefault="00623B6D" w:rsidP="00623B6D">
      <w:pPr>
        <w:jc w:val="both"/>
      </w:pPr>
      <w:r w:rsidRPr="00623B6D">
        <w:rPr>
          <w:b/>
          <w:bCs/>
        </w:rPr>
        <w:t>Keywords:</w:t>
      </w:r>
      <w:r w:rsidRPr="00623B6D">
        <w:t xml:space="preserve"> proximity space; partially ordered set; enrichment ladder; continuous compiler; interface crystallization; graceful degradation; first-class unglue; offline lift; cohomological obstruction; defensible architecture.</w:t>
      </w:r>
    </w:p>
    <w:p w14:paraId="03E883A3" w14:textId="77777777" w:rsidR="00623B6D" w:rsidRPr="00623B6D" w:rsidRDefault="00623B6D" w:rsidP="002A2B01">
      <w:pPr>
        <w:ind w:left="720"/>
        <w:jc w:val="both"/>
      </w:pPr>
      <w:r w:rsidRPr="00623B6D">
        <w:rPr>
          <w:i/>
          <w:iCs/>
        </w:rPr>
        <w:t>Status: [CAND] — an architectural manifesto proposing a continuous, topologically routed runtime, in which compilation is the framework's offline geometric lift and exception handling is its free topological descent. The paper proposes and argues; it does not demonstrate a built system, and it closes (§6) in falsifiable predictions rather than results.</w:t>
      </w:r>
    </w:p>
    <w:p w14:paraId="0A0EC674" w14:textId="77777777" w:rsidR="00623B6D" w:rsidRPr="00623B6D" w:rsidRDefault="00623B6D" w:rsidP="002A2B01">
      <w:pPr>
        <w:pStyle w:val="Heading1"/>
      </w:pPr>
      <w:r w:rsidRPr="00623B6D">
        <w:t>1. Introduction: The OOP Trap and the Cognitive Divide</w:t>
      </w:r>
    </w:p>
    <w:p w14:paraId="73E0197E" w14:textId="77777777" w:rsidR="00623B6D" w:rsidRPr="00623B6D" w:rsidRDefault="00623B6D" w:rsidP="00623B6D">
      <w:pPr>
        <w:jc w:val="both"/>
        <w:rPr>
          <w:b/>
          <w:bCs/>
        </w:rPr>
      </w:pPr>
      <w:r w:rsidRPr="00623B6D">
        <w:rPr>
          <w:b/>
          <w:bCs/>
        </w:rPr>
        <w:t>1.1 The trap: crystallization without melting [SUP]</w:t>
      </w:r>
    </w:p>
    <w:p w14:paraId="773EF04E" w14:textId="77777777" w:rsidR="00623B6D" w:rsidRPr="00623B6D" w:rsidRDefault="00623B6D" w:rsidP="00623B6D">
      <w:pPr>
        <w:jc w:val="both"/>
      </w:pPr>
      <w:r w:rsidRPr="00623B6D">
        <w:t>Object-oriented architecture rests on rigid, fixed-signature interfaces. A method declares the types it accepts, a class declares the shape of its state, and the contract is fixed at authoring time: code downstream may rely on the signature precisely because the signature does not move. This rigidity is the source of both the paradigm's power and its characteristic failure. When the domain expands past what a signature anticipated — a new case, an input shaped unlike the ones the interface was written for — the rigid interface does not bend. It rejects. A TypeError, a null dereference, a contract violation: the system meets the novel input with a guard that admits or refuses, and on refusal it halts. The architecture shatters at exactly the boundary where the world turned out to be larger than the model of it.</w:t>
      </w:r>
    </w:p>
    <w:p w14:paraId="4495D227" w14:textId="77777777" w:rsidR="00623B6D" w:rsidRPr="00623B6D" w:rsidRDefault="00623B6D" w:rsidP="00623B6D">
      <w:pPr>
        <w:jc w:val="both"/>
      </w:pPr>
      <w:r w:rsidRPr="00623B6D">
        <w:t xml:space="preserve">Read against the enrichment ladder of this series, the diagnosis is precise. Object-oriented code is a </w:t>
      </w:r>
      <w:r w:rsidRPr="00623B6D">
        <w:rPr>
          <w:i/>
          <w:iCs/>
        </w:rPr>
        <w:t>crystallized</w:t>
      </w:r>
      <w:r w:rsidRPr="00623B6D">
        <w:t xml:space="preserve"> architecture: it has ascended to fixed, orthogonalized interfaces and reaps the efficiency of doing so. What it lacks is the descent. The ladder has two directions — enrichment upward, which costs work, and relaxation downward, which is free — and object-oriented practice uses only the first. Having crystallized an interface, it has no operation for melting that interface back down when an input obstructs it; its only response to novelty is the guard, and the guard's only verdicts are </w:t>
      </w:r>
      <w:r w:rsidRPr="00623B6D">
        <w:rPr>
          <w:i/>
          <w:iCs/>
        </w:rPr>
        <w:t>admit</w:t>
      </w:r>
      <w:r w:rsidRPr="00623B6D">
        <w:t xml:space="preserve"> and </w:t>
      </w:r>
      <w:r w:rsidRPr="00623B6D">
        <w:rPr>
          <w:i/>
          <w:iCs/>
        </w:rPr>
        <w:t>crash</w:t>
      </w:r>
      <w:r w:rsidRPr="00623B6D">
        <w:t xml:space="preserve">. This is the trap stated exactly: not that fixed interfaces are wrong, but that an architecture with crystallization and no melting uses the ladder in one direction and is therefore brittle in the other. The </w:t>
      </w:r>
      <w:r w:rsidRPr="00623B6D">
        <w:lastRenderedPageBreak/>
        <w:t>paradigm shatters on domain expansion because it cannot relax, and it cannot relax because it never kept the structure relaxation would descend into.</w:t>
      </w:r>
    </w:p>
    <w:p w14:paraId="42ABF8B6" w14:textId="77777777" w:rsidR="00623B6D" w:rsidRPr="00623B6D" w:rsidRDefault="00623B6D" w:rsidP="00623B6D">
      <w:pPr>
        <w:jc w:val="both"/>
        <w:rPr>
          <w:b/>
          <w:bCs/>
        </w:rPr>
      </w:pPr>
      <w:r w:rsidRPr="00623B6D">
        <w:rPr>
          <w:b/>
          <w:bCs/>
        </w:rPr>
        <w:t>1.2 The divide: whose constraint is the interface? [SUP / HOR]</w:t>
      </w:r>
    </w:p>
    <w:p w14:paraId="5A713016" w14:textId="77777777" w:rsidR="00623B6D" w:rsidRPr="00623B6D" w:rsidRDefault="00623B6D" w:rsidP="00623B6D">
      <w:pPr>
        <w:jc w:val="both"/>
      </w:pPr>
      <w:r w:rsidRPr="00623B6D">
        <w:t xml:space="preserve">Why is the rigid interface there at all? The thesis of this paper is that it is there for </w:t>
      </w:r>
      <w:r w:rsidRPr="00623B6D">
        <w:rPr>
          <w:i/>
          <w:iCs/>
        </w:rPr>
        <w:t>us</w:t>
      </w:r>
      <w:r w:rsidRPr="00623B6D">
        <w:t>, not for the machine. Humans build mental models out of discrete, nameable, orthogonalized units — we reason about a system by decomposing it into modules with fixed boundaries we can hold one at a time — and the fixed-signature interface is the artifact of that need: it makes a machine's computation legible to a human reader, decomposable into named pieces a person can model. In this series' terms, orthogonalized nameable structure is the human-facing rung; the interface is the inner-product rung wearing a human-readable face.</w:t>
      </w:r>
    </w:p>
    <w:p w14:paraId="434EB141" w14:textId="77777777" w:rsidR="00623B6D" w:rsidRPr="00623B6D" w:rsidRDefault="00623B6D" w:rsidP="00623B6D">
      <w:pPr>
        <w:jc w:val="both"/>
      </w:pPr>
      <w:r w:rsidRPr="00623B6D">
        <w:t xml:space="preserve">That a machine does not share the constraint is suggested, not proven, by a body of working systems that route without it. Latent-space models execute by proximity in a continuous embedding — nearness in a high-dimensional space, not dispatch through declared signatures — and they compute effectively with no symbolic interface anywhere in the loop. Their existence is evidence that the orthogonalized interface is not a </w:t>
      </w:r>
      <w:r w:rsidRPr="00623B6D">
        <w:rPr>
          <w:i/>
          <w:iCs/>
        </w:rPr>
        <w:t>machine</w:t>
      </w:r>
      <w:r w:rsidRPr="00623B6D">
        <w:t xml:space="preserve"> necessity: computation can proceed by continuous nearness, and where it does, the rigid signature is simply absent. We therefore advance, as the paper's interpretive thesis and not as a theorem, that the uniform interface is a human-readability constraint imposed on machine execution rather than a requirement of it — and that the brittleness of §1.1 is the cost of that imposition, paid in crashes at the domain's edge. The strong form of the claim — that proximity execution is the machine's </w:t>
      </w:r>
      <w:r w:rsidRPr="00623B6D">
        <w:rPr>
          <w:i/>
          <w:iCs/>
        </w:rPr>
        <w:t>optimal</w:t>
      </w:r>
      <w:r w:rsidRPr="00623B6D">
        <w:t xml:space="preserve"> native regime — is a horizon position the paper takes as motivation; what the body defends is the weaker and sufficient claim that a runtime can route natively by proximity and crystallize an interface only where doing so pays.</w:t>
      </w:r>
    </w:p>
    <w:p w14:paraId="3CF2EEB8" w14:textId="77777777" w:rsidR="00623B6D" w:rsidRPr="00623B6D" w:rsidRDefault="00623B6D" w:rsidP="00623B6D">
      <w:pPr>
        <w:jc w:val="both"/>
        <w:rPr>
          <w:b/>
          <w:bCs/>
        </w:rPr>
      </w:pPr>
      <w:r w:rsidRPr="00623B6D">
        <w:rPr>
          <w:b/>
          <w:bCs/>
        </w:rPr>
        <w:t>1.3 The shift: a bidirectional ladder [LB spine, developed in §2–§5]</w:t>
      </w:r>
    </w:p>
    <w:p w14:paraId="4EBCD618" w14:textId="77777777" w:rsidR="00623B6D" w:rsidRPr="00623B6D" w:rsidRDefault="00623B6D" w:rsidP="00623B6D">
      <w:pPr>
        <w:jc w:val="both"/>
      </w:pPr>
      <w:r w:rsidRPr="00623B6D">
        <w:t>The architecture this paper proposes restores the descent. It is native to the proximity rung — execution as propagation over a poset, triggered by nearness rather than by named invocation (§2) — and it crystallizes a fixed interface only for those pathways where stability and reuse make the ascent pay (§3). Crucially, crystallization preserves the proximity structure it was lifted from rather than flushing it (§4), so that when a crystallized interface meets an input it cannot type, it does not crash: it melts, descending freely to the preserved proximity layer, where the poset engine re-routes the novel input (§5). The ladder is used in both directions. Refactoring — compilation, the building of a strict interface — is the expensive upward enrichment. Error handling — exception, the response to an input the interface cannot bind — is the free downward relaxation. Where object-oriented code crystallizes and then crashes, this runtime crystallizes and, on obstruction, melts.</w:t>
      </w:r>
    </w:p>
    <w:p w14:paraId="3D6E3AF9" w14:textId="77777777" w:rsidR="00623B6D" w:rsidRPr="00623B6D" w:rsidRDefault="00623B6D" w:rsidP="00623B6D">
      <w:pPr>
        <w:jc w:val="both"/>
      </w:pPr>
      <w:r w:rsidRPr="00623B6D">
        <w:t xml:space="preserve">Two framings place the proposal in the wider work. First, its two operations are not new inventions but the two operations of the framework's cortex paper, realized in a compiler: crystallization is the offline geometric lift that builds an orthogonal basis (the N3 lift), and melting is the first-class unglue that takes a binding apart (§3.3, §5.4). The runtime is the theory's two moves rebuilt in software, which is the sense in which this paper belongs to the framework rather than borrowing from it. Second, it has the shape the implementation series shares: the companion paper read the Transformer as the framework's gluing engine </w:t>
      </w:r>
      <w:r w:rsidRPr="00623B6D">
        <w:rPr>
          <w:i/>
          <w:iCs/>
        </w:rPr>
        <w:t>with the gate removed</w:t>
      </w:r>
      <w:r w:rsidRPr="00623B6D">
        <w:t xml:space="preserve">; this paper reads object-oriented architecture as the framework's crystallized structure </w:t>
      </w:r>
      <w:r w:rsidRPr="00623B6D">
        <w:rPr>
          <w:i/>
          <w:iCs/>
        </w:rPr>
        <w:t>with free descent removed</w:t>
      </w:r>
      <w:r w:rsidRPr="00623B6D">
        <w:t xml:space="preserve">. In each case the prevailing technology turns out to be the framework missing exactly one operation, and the contribution is to name the missing operation and propose its restoration. Here the missing operation is the melt — the free descent that turns a terminal rejection into a recoverable one — and the paper's claim, argued across </w:t>
      </w:r>
      <w:r w:rsidRPr="00623B6D">
        <w:lastRenderedPageBreak/>
        <w:t>§§2–5 and made falsifiable in §6, is that an architecture which keeps both directions of the ladder degrades gracefully exactly where one that keeps only the ascent shatters.</w:t>
      </w:r>
    </w:p>
    <w:p w14:paraId="48D93DA5" w14:textId="77777777" w:rsidR="00623B6D" w:rsidRPr="00623B6D" w:rsidRDefault="00623B6D" w:rsidP="002A2B01">
      <w:pPr>
        <w:pStyle w:val="Heading1"/>
      </w:pPr>
      <w:r w:rsidRPr="00623B6D">
        <w:t>2. Proximity Spaces and the POSET Engine</w:t>
      </w:r>
    </w:p>
    <w:p w14:paraId="511EBEF4" w14:textId="77777777" w:rsidR="00623B6D" w:rsidRPr="00623B6D" w:rsidRDefault="00623B6D" w:rsidP="00623B6D">
      <w:pPr>
        <w:jc w:val="both"/>
      </w:pPr>
      <w:r w:rsidRPr="00623B6D">
        <w:t>This section builds the base rung of the runtime: the fluid layer on which execution happens before anything is crystallized. Its claims are load-bearing for the rest of the paper — §3 and §5 both depend on exactly what this rung does and does not carry — so the mathematics is stated with care. Execution is propagation over a poset of opens (§2.1), triggered by proximity rather than invocation (§2.2), and the rung carries no transition maps, which is the precise reason no obstruction is computable there (§2.3).</w:t>
      </w:r>
    </w:p>
    <w:p w14:paraId="23907294" w14:textId="77777777" w:rsidR="00623B6D" w:rsidRPr="00623B6D" w:rsidRDefault="00623B6D" w:rsidP="00623B6D">
      <w:pPr>
        <w:jc w:val="both"/>
        <w:rPr>
          <w:b/>
          <w:bCs/>
        </w:rPr>
      </w:pPr>
      <w:r w:rsidRPr="00623B6D">
        <w:rPr>
          <w:b/>
          <w:bCs/>
        </w:rPr>
        <w:t>2.1 Execution as propagation over a poset [LB]</w:t>
      </w:r>
    </w:p>
    <w:p w14:paraId="77886CBB" w14:textId="77777777" w:rsidR="00623B6D" w:rsidRPr="00623B6D" w:rsidRDefault="00623B6D" w:rsidP="00623B6D">
      <w:pPr>
        <w:jc w:val="both"/>
      </w:pPr>
      <w:r w:rsidRPr="00623B6D">
        <w:t xml:space="preserve">A conventional program is a call stack: MethodA names and invokes MethodB, which names and invokes MethodC, control flowing along explicit caller-to-callee links that the programmer wired in advance. The proposed runtime replaces this with propagation over a partially ordered set of open sets. The poset is the structure a sheaf is defined over — opens ordered by inclusion, U </w:t>
      </w:r>
      <w:r w:rsidRPr="00623B6D">
        <w:rPr>
          <w:rFonts w:ascii="Cambria Math" w:hAnsi="Cambria Math" w:cs="Cambria Math"/>
        </w:rPr>
        <w:t>⊆</w:t>
      </w:r>
      <w:r w:rsidRPr="00623B6D">
        <w:t xml:space="preserve"> V </w:t>
      </w:r>
      <w:r w:rsidRPr="00623B6D">
        <w:rPr>
          <w:rFonts w:ascii="Calibri" w:hAnsi="Calibri" w:cs="Calibri"/>
        </w:rPr>
        <w:t>—</w:t>
      </w:r>
      <w:r w:rsidRPr="00623B6D">
        <w:t xml:space="preserve"> and it is the natural home for a system whose state is local and whose computation is the assembly of local pieces. Execution is not a chain of named invocations but a propagation across this poset: the operational state occupies a region, and computation flows to the regions related to it under the ordering. No block holds a pointer to its successor; the poset's order and the proximity relation of §2.2 govern where execution goes. This is the structural shift the paper proposes — from a wired graph of invocations to a topological field across which execution propagates.</w:t>
      </w:r>
    </w:p>
    <w:p w14:paraId="47C04163" w14:textId="77777777" w:rsidR="00623B6D" w:rsidRPr="00623B6D" w:rsidRDefault="00623B6D" w:rsidP="00623B6D">
      <w:pPr>
        <w:jc w:val="both"/>
        <w:rPr>
          <w:b/>
          <w:bCs/>
        </w:rPr>
      </w:pPr>
      <w:r w:rsidRPr="00623B6D">
        <w:rPr>
          <w:b/>
          <w:bCs/>
        </w:rPr>
        <w:t>2.2 The proximity trigger A δ B [LB]</w:t>
      </w:r>
    </w:p>
    <w:p w14:paraId="35994BC1" w14:textId="77777777" w:rsidR="00623B6D" w:rsidRPr="00623B6D" w:rsidRDefault="00623B6D" w:rsidP="00623B6D">
      <w:pPr>
        <w:jc w:val="both"/>
      </w:pPr>
      <w:r w:rsidRPr="00623B6D">
        <w:t xml:space="preserve">What fires a propagation is nearness. A </w:t>
      </w:r>
      <w:r w:rsidRPr="00623B6D">
        <w:rPr>
          <w:i/>
          <w:iCs/>
        </w:rPr>
        <w:t>proximity space</w:t>
      </w:r>
      <w:r w:rsidRPr="00623B6D">
        <w:t xml:space="preserve"> is a set equipped with a relation A δ B between its subsets, read "A is near B," satisfying the Efremovich conditions — symmetry, the compatibility of nearness with unions, and the normality axiom that separates sets a third set can come between. It is precisely the rung of the enrichment ladder above the topological and below the metric: it carries more than topology, since it distinguishes genuine nearness from mere shared closure, but less than a metric, since it supplies no distance — A δ B is a relation, not a number, and there is no notion of </w:t>
      </w:r>
      <w:r w:rsidRPr="00623B6D">
        <w:rPr>
          <w:i/>
          <w:iCs/>
        </w:rPr>
        <w:t>how near</w:t>
      </w:r>
      <w:r w:rsidRPr="00623B6D">
        <w:t>, no orthogonality, no inner product. On this rung the runtime routes by the relation alone: when the operational state enters the proximity of a block, state δ block, that block's computation fires and propagates the state onward. Routing is by shape and neighborhood, not by name. This is the fluid, untyped regime — maximally adaptive, because any state near a block can trigger it without satisfying a declared signature, and, as §3 quantified, expensive to run, because each execution must resolve its routing by searching the proximity neighborhood rather than following a compiled dispatch.</w:t>
      </w:r>
    </w:p>
    <w:p w14:paraId="54FC0E51" w14:textId="77777777" w:rsidR="00623B6D" w:rsidRPr="00623B6D" w:rsidRDefault="00623B6D" w:rsidP="00623B6D">
      <w:pPr>
        <w:jc w:val="both"/>
      </w:pPr>
      <w:r w:rsidRPr="00623B6D">
        <w:t xml:space="preserve">One point of terminology must be fixed here to prevent a conflation, because the rest of the paper depends on the rungs being kept distinct. The crystallized target of §3 is called a </w:t>
      </w:r>
      <w:r w:rsidRPr="00623B6D">
        <w:rPr>
          <w:i/>
          <w:iCs/>
        </w:rPr>
        <w:t>uniform interface</w:t>
      </w:r>
      <w:r w:rsidRPr="00623B6D">
        <w:t xml:space="preserve">, and "uniform" there is the engineering sense — a fixed, consistent, orthogonalized signature — not the topological "uniform space," which is this very proximity rung. The crystallized interface does not sit on the proximity rung; it sits at the </w:t>
      </w:r>
      <w:r w:rsidRPr="00623B6D">
        <w:rPr>
          <w:i/>
          <w:iCs/>
        </w:rPr>
        <w:t>inner-product</w:t>
      </w:r>
      <w:r w:rsidRPr="00623B6D">
        <w:t xml:space="preserve"> rung at the top of the ladder, because its orthogonalized fields and structured contract are an orthogonal basis, and an orthogonal basis is an inner-product notion. So the runtime's two operating states are the proximity rung (fluid base, this section) and the inner-product rung (crystallized interface, §3–§5); the word "uniform" names the software face of the latter and should not be heard as the ladder's uniform/proximity rung. With that </w:t>
      </w:r>
      <w:r w:rsidRPr="00623B6D">
        <w:lastRenderedPageBreak/>
        <w:t>fixed, the asymmetry is clean: the base is proximity, the crystallized state is inner-product, and crystallization is the ascent between them.</w:t>
      </w:r>
    </w:p>
    <w:p w14:paraId="64BE2625" w14:textId="77777777" w:rsidR="00623B6D" w:rsidRPr="00623B6D" w:rsidRDefault="00623B6D" w:rsidP="00623B6D">
      <w:pPr>
        <w:jc w:val="both"/>
        <w:rPr>
          <w:b/>
          <w:bCs/>
        </w:rPr>
      </w:pPr>
      <w:r w:rsidRPr="00623B6D">
        <w:rPr>
          <w:b/>
          <w:bCs/>
        </w:rPr>
        <w:t>2.3 No transition maps, and therefore no obstruction [LB]</w:t>
      </w:r>
    </w:p>
    <w:p w14:paraId="6DCA48C8" w14:textId="77777777" w:rsidR="00623B6D" w:rsidRPr="00623B6D" w:rsidRDefault="00623B6D" w:rsidP="00623B6D">
      <w:pPr>
        <w:jc w:val="both"/>
      </w:pPr>
      <w:r w:rsidRPr="00623B6D">
        <w:t xml:space="preserve">The load-bearing property of this rung is what it lacks. A cohomological obstruction H¹ measures the failure of local sections to glue, and it is computed from </w:t>
      </w:r>
      <w:r w:rsidRPr="00623B6D">
        <w:rPr>
          <w:i/>
          <w:iCs/>
        </w:rPr>
        <w:t>transition maps</w:t>
      </w:r>
      <w:r w:rsidRPr="00623B6D">
        <w:t xml:space="preserve"> — structured comparisons of sections on the overlaps of a cover, ρ_ij, whose failure to compose around a triple is the obstruction. A transition map is not a nearness relation; it is a map that says </w:t>
      </w:r>
      <w:r w:rsidRPr="00623B6D">
        <w:rPr>
          <w:i/>
          <w:iCs/>
        </w:rPr>
        <w:t>how</w:t>
      </w:r>
      <w:r w:rsidRPr="00623B6D">
        <w:t xml:space="preserve"> one local section must be transformed to agree with another on their overlap, and stating "how" requires the ability to measure the difference between sections — metric, normed, ultimately inner-product structure. The proximity rung has none of this. It can say A δ B — these are near — but it cannot say by what structured map A's section relates to B's, because it has no structure in which such a map's content could be expressed. Proximity is a nearness </w:t>
      </w:r>
      <w:r w:rsidRPr="00623B6D">
        <w:rPr>
          <w:i/>
          <w:iCs/>
        </w:rPr>
        <w:t>predicate</w:t>
      </w:r>
      <w:r w:rsidRPr="00623B6D">
        <w:t xml:space="preserve">, boolean; a transition map is structured </w:t>
      </w:r>
      <w:r w:rsidRPr="00623B6D">
        <w:rPr>
          <w:i/>
          <w:iCs/>
        </w:rPr>
        <w:t>data</w:t>
      </w:r>
      <w:r w:rsidRPr="00623B6D">
        <w:t>, and the rung that carries only the predicate cannot carry the data.</w:t>
      </w:r>
    </w:p>
    <w:p w14:paraId="04571DB7" w14:textId="77777777" w:rsidR="00623B6D" w:rsidRPr="00623B6D" w:rsidRDefault="00623B6D" w:rsidP="00623B6D">
      <w:pPr>
        <w:jc w:val="both"/>
      </w:pPr>
      <w:r w:rsidRPr="00623B6D">
        <w:t xml:space="preserve">The consequence is exact and is the hinge the paper turns on. With no transition maps, the Čech machinery has no input: there are no ρ_ij to assemble into a cocycle, so no obstruction class H¹ is definable at the proximity rung at all. The obstruction </w:t>
      </w:r>
      <w:r w:rsidRPr="00623B6D">
        <w:rPr>
          <w:i/>
          <w:iCs/>
        </w:rPr>
        <w:t>question</w:t>
      </w:r>
      <w:r w:rsidRPr="00623B6D">
        <w:t xml:space="preserve"> — do the ways of routing this state through neighboring blocks agree where they overlap? — cannot even be posed here, because "agree" demands a structured comparison the rung does not support. This is the same conclusion the Transformer paper reached, by a neighboring route: there, attention's transition maps were </w:t>
      </w:r>
      <w:r w:rsidRPr="00623B6D">
        <w:rPr>
          <w:i/>
          <w:iCs/>
        </w:rPr>
        <w:t>trivial</w:t>
      </w:r>
      <w:r w:rsidRPr="00623B6D">
        <w:t xml:space="preserve"> (query-independent values), forcing H¹ vacuously to zero; here, the transition maps are </w:t>
      </w:r>
      <w:r w:rsidRPr="00623B6D">
        <w:rPr>
          <w:i/>
          <w:iCs/>
        </w:rPr>
        <w:t>absent</w:t>
      </w:r>
      <w:r w:rsidRPr="00623B6D">
        <w:t>, leaving H¹ undefined. Trivial there, absent here — either way, no obstruction is computable without structured transition maps, which is the general principle both instances express.</w:t>
      </w:r>
    </w:p>
    <w:p w14:paraId="1D1BAF1A" w14:textId="77777777" w:rsidR="00623B6D" w:rsidRPr="00623B6D" w:rsidRDefault="00623B6D" w:rsidP="00623B6D">
      <w:pPr>
        <w:jc w:val="both"/>
      </w:pPr>
      <w:r w:rsidRPr="00623B6D">
        <w:t xml:space="preserve">From this the two rungs' complementary characters follow, and with them the dynamic of the whole paper. The proximity rung is maximally </w:t>
      </w:r>
      <w:r w:rsidRPr="00623B6D">
        <w:rPr>
          <w:i/>
          <w:iCs/>
        </w:rPr>
        <w:t>adaptive</w:t>
      </w:r>
      <w:r w:rsidRPr="00623B6D">
        <w:t xml:space="preserve">: it never rejects a state for failing a contract, because it has no contract, so any novel input is routable by nearness. For the same reason it is </w:t>
      </w:r>
      <w:r w:rsidRPr="00623B6D">
        <w:rPr>
          <w:i/>
          <w:iCs/>
        </w:rPr>
        <w:t>undefendable</w:t>
      </w:r>
      <w:r w:rsidRPr="00623B6D">
        <w:t xml:space="preserve">: it cannot detect an incoherence, because detection is obstruction-computation and there is no obstruction to compute — there is no gate at the proximity rung and there cannot be one. And it is </w:t>
      </w:r>
      <w:r w:rsidRPr="00623B6D">
        <w:rPr>
          <w:i/>
          <w:iCs/>
        </w:rPr>
        <w:t>expensive</w:t>
      </w:r>
      <w:r w:rsidRPr="00623B6D">
        <w:t xml:space="preserve">, paying the per-execution search of §3. The inner-product rung that crystallization builds inverts all three: rigid (it has a contract to violate), cheap (compiled dispatch), and — the point that matters most — </w:t>
      </w:r>
      <w:r w:rsidRPr="00623B6D">
        <w:rPr>
          <w:i/>
          <w:iCs/>
        </w:rPr>
        <w:t>defensible</w:t>
      </w:r>
      <w:r w:rsidRPr="00623B6D">
        <w:t xml:space="preserve">, because crystallization supplies the transition maps that make H¹ computable and a gate therefore possible. Defensibility is not available at the base; it is a property the system must </w:t>
      </w:r>
      <w:r w:rsidRPr="00623B6D">
        <w:rPr>
          <w:i/>
          <w:iCs/>
        </w:rPr>
        <w:t>ascend to</w:t>
      </w:r>
      <w:r w:rsidRPr="00623B6D">
        <w:t>. This is why crystallization (§3) is identified with the framework's offline lift and why melting (§5) can detect an obstruction only after the ascent: the gate lives at the rung where transition maps exist, and that rung is built, not given.</w:t>
      </w:r>
    </w:p>
    <w:p w14:paraId="4A194612" w14:textId="77777777" w:rsidR="00623B6D" w:rsidRPr="002A2B01" w:rsidRDefault="00623B6D" w:rsidP="002A2B01">
      <w:pPr>
        <w:pStyle w:val="Heading1"/>
        <w:rPr>
          <w:sz w:val="32"/>
          <w:szCs w:val="32"/>
        </w:rPr>
      </w:pPr>
      <w:r w:rsidRPr="00623B6D">
        <w:t xml:space="preserve">3. The Thermodynamics of </w:t>
      </w:r>
      <w:r w:rsidRPr="002A2B01">
        <w:rPr>
          <w:sz w:val="36"/>
          <w:szCs w:val="36"/>
        </w:rPr>
        <w:t xml:space="preserve">Refactoring </w:t>
      </w:r>
      <w:r w:rsidRPr="002A2B01">
        <w:rPr>
          <w:sz w:val="32"/>
          <w:szCs w:val="32"/>
        </w:rPr>
        <w:t>(The Software N3 Lift)</w:t>
      </w:r>
    </w:p>
    <w:p w14:paraId="46A20145" w14:textId="77777777" w:rsidR="00623B6D" w:rsidRPr="00623B6D" w:rsidRDefault="00623B6D" w:rsidP="00623B6D">
      <w:pPr>
        <w:jc w:val="both"/>
      </w:pPr>
      <w:r w:rsidRPr="00623B6D">
        <w:t xml:space="preserve">This section gives the cost structure of architectural change and, in doing so, states the paper's central fusion. The proposal's whole economy rests on an asymmetry the framework already owns — that enrichment up the ladder costs work while relaxation down it is free — and its central claim is that the upward operation, crystallization, is not merely </w:t>
      </w:r>
      <w:r w:rsidRPr="00623B6D">
        <w:rPr>
          <w:i/>
          <w:iCs/>
        </w:rPr>
        <w:t>like</w:t>
      </w:r>
      <w:r w:rsidRPr="00623B6D">
        <w:t xml:space="preserve"> the cortex's offline lift but is the same operation realized in a runtime. We state the cost asymmetry (§3.1), the trigger that fires crystallization (§3.2), and the identification of crystallization with the N3 lift (§3.3).</w:t>
      </w:r>
    </w:p>
    <w:p w14:paraId="5017A103" w14:textId="77777777" w:rsidR="00623B6D" w:rsidRPr="00623B6D" w:rsidRDefault="00623B6D" w:rsidP="00623B6D">
      <w:pPr>
        <w:jc w:val="both"/>
        <w:rPr>
          <w:b/>
          <w:bCs/>
        </w:rPr>
      </w:pPr>
      <w:r w:rsidRPr="00623B6D">
        <w:rPr>
          <w:b/>
          <w:bCs/>
        </w:rPr>
        <w:t>3.1 The cost asymmetry [LB]</w:t>
      </w:r>
    </w:p>
    <w:p w14:paraId="3588CDFA" w14:textId="77777777" w:rsidR="00623B6D" w:rsidRPr="00623B6D" w:rsidRDefault="00623B6D" w:rsidP="00623B6D">
      <w:pPr>
        <w:jc w:val="both"/>
      </w:pPr>
      <w:r w:rsidRPr="00623B6D">
        <w:lastRenderedPageBreak/>
        <w:t xml:space="preserve">Three costs govern a pathway's life, and the asymmetry is sharpest when write-cost is separated from run-cost. A fluid pathway is </w:t>
      </w:r>
      <w:r w:rsidRPr="00623B6D">
        <w:rPr>
          <w:i/>
          <w:iCs/>
        </w:rPr>
        <w:t>cheap to write</w:t>
      </w:r>
      <w:r w:rsidRPr="00623B6D">
        <w:t xml:space="preserve"> — authoring it requires no upfront crystallization, no orthogonal basis, no contract — but </w:t>
      </w:r>
      <w:r w:rsidRPr="00623B6D">
        <w:rPr>
          <w:i/>
          <w:iCs/>
        </w:rPr>
        <w:t>expensive to run</w:t>
      </w:r>
      <w:r w:rsidRPr="00623B6D">
        <w:t xml:space="preserve">: C_fluid, the cost of each execution in the proximity space, must dynamically resolve its routing by searching the poset for the proximate blocks A δ B (§2), so fluid execution pays a per-execution search cost and pays it every time. The uniform interface inverts this. It is </w:t>
      </w:r>
      <w:r w:rsidRPr="00623B6D">
        <w:rPr>
          <w:i/>
          <w:iCs/>
        </w:rPr>
        <w:t>expensive to write</w:t>
      </w:r>
      <w:r w:rsidRPr="00623B6D">
        <w:t xml:space="preserve"> — that one-time write-cost is C_enrich itself — but </w:t>
      </w:r>
      <w:r w:rsidRPr="00623B6D">
        <w:rPr>
          <w:i/>
          <w:iCs/>
        </w:rPr>
        <w:t>cheap to run</w:t>
      </w:r>
      <w:r w:rsidRPr="00623B6D">
        <w:t xml:space="preserve">: C_strict, the cost of executing a crystallized interface, is a compiled, fixed-signature dispatch, O(1), paid once per call and small. C_enrich is the one-time cost of crystallizing a fluid pathway into a uniform interface — defining the orthogonal bases the interface's fields require, writing the transition maps that constitute its contract, and allocating the rigid structure. The asymmetry between these is the enrichment ladder of Paper 1 stated as a cost structure: the upward move, from a fluid proximity neighborhood to a rigid uniform interface, is the </w:t>
      </w:r>
      <w:r w:rsidRPr="00623B6D">
        <w:rPr>
          <w:i/>
          <w:iCs/>
        </w:rPr>
        <w:t>obstructed ascent</w:t>
      </w:r>
      <w:r w:rsidRPr="00623B6D">
        <w:t xml:space="preserve"> and is expensive (C_enrich is large), because building structure — orthogonalizing, typing, contracting — is work; the downward move, from a uniform interface back to the proximity space, is the </w:t>
      </w:r>
      <w:r w:rsidRPr="00623B6D">
        <w:rPr>
          <w:i/>
          <w:iCs/>
        </w:rPr>
        <w:t>free descent</w:t>
      </w:r>
      <w:r w:rsidRPr="00623B6D">
        <w:t xml:space="preserve"> and costs nothing, because forgetting structure is free. This is [LB]: it is Paper 1's free-descent/obstructed-ascent asymmetry, with the rungs read as architectural states and the cost of ascent read as compute.</w:t>
      </w:r>
    </w:p>
    <w:p w14:paraId="5C52BA26" w14:textId="77777777" w:rsidR="00623B6D" w:rsidRPr="00623B6D" w:rsidRDefault="00623B6D" w:rsidP="00623B6D">
      <w:pPr>
        <w:jc w:val="both"/>
        <w:rPr>
          <w:b/>
          <w:bCs/>
        </w:rPr>
      </w:pPr>
      <w:r w:rsidRPr="00623B6D">
        <w:rPr>
          <w:b/>
          <w:bCs/>
        </w:rPr>
        <w:t>3.2 The trigger for crystallization [CAND]</w:t>
      </w:r>
    </w:p>
    <w:p w14:paraId="6CBC24D6" w14:textId="77777777" w:rsidR="00623B6D" w:rsidRPr="00623B6D" w:rsidRDefault="00623B6D" w:rsidP="00623B6D">
      <w:pPr>
        <w:jc w:val="both"/>
      </w:pPr>
      <w:r w:rsidRPr="00623B6D">
        <w:t xml:space="preserve">The compiler crystallizes a pathway only when two conditions hold together — a stability condition and an economic one — and neither alone suffices. The stability condition is </w:t>
      </w:r>
      <w:r w:rsidRPr="00623B6D">
        <w:rPr>
          <w:b/>
          <w:bCs/>
        </w:rPr>
        <w:t>topological</w:t>
      </w:r>
      <w:r w:rsidRPr="00623B6D">
        <w:t xml:space="preserve">: the compiler monitors the variance of the inputs traversing a pathway, and crystallizes only when that variance falls below the precision tolerance ε(Π). While the variance is high the pathway is still shifting — its shape has not settled — and crystallizing it would erect an interface that the next novel input immediately obstructs; only when the variance drops below ε(Π) has the pathway stabilized into a routine an interface can name without immediately breaking. This trigger introduces no new quantity: it is the same precision tone ε(Π) the framework uses elsewhere, applied to pathway-input variance as a stability proxy, exactly as the companion note applied it to transition-map variance. (It is </w:t>
      </w:r>
      <w:r w:rsidRPr="00623B6D">
        <w:rPr>
          <w:i/>
          <w:iCs/>
        </w:rPr>
        <w:t>not</w:t>
      </w:r>
      <w:r w:rsidRPr="00623B6D">
        <w:t xml:space="preserve"> a discrepancy metric borrowed from an adjacent field, and it is not a fixed invocation counter; the stability signal is ε(Π) on variance and nothing else.)</w:t>
      </w:r>
    </w:p>
    <w:p w14:paraId="08DE0834" w14:textId="77777777" w:rsidR="00623B6D" w:rsidRPr="00623B6D" w:rsidRDefault="00623B6D" w:rsidP="00623B6D">
      <w:pPr>
        <w:jc w:val="both"/>
      </w:pPr>
      <w:r w:rsidRPr="00623B6D">
        <w:t xml:space="preserve">The economic condition is </w:t>
      </w:r>
      <w:r w:rsidRPr="00623B6D">
        <w:rPr>
          <w:b/>
          <w:bCs/>
        </w:rPr>
        <w:t>amortization</w:t>
      </w:r>
      <w:r w:rsidRPr="00623B6D">
        <w:t xml:space="preserve">, and stating it correctly matters. Crystallizing pays off only if the savings over the pathway's future use exceed the one-time cost of crystallizing, so the comparison is between staying fluid for the expected remaining invocations and crystallizing now. Over E[N] expected future executions, staying fluid costs E[N] · C_fluid; crystallizing now and running the compiled interface costs C_enrich + E[N] · C_strict. The compiler crystallizes when the latter is the smaller, which rearranges to the </w:t>
      </w:r>
      <w:r w:rsidRPr="00623B6D">
        <w:rPr>
          <w:b/>
          <w:bCs/>
        </w:rPr>
        <w:t>expected-reuse amortization inequality</w:t>
      </w:r>
    </w:p>
    <w:p w14:paraId="48ED5A14" w14:textId="77777777" w:rsidR="00623B6D" w:rsidRPr="00623B6D" w:rsidRDefault="00623B6D" w:rsidP="00623B6D">
      <w:pPr>
        <w:jc w:val="both"/>
      </w:pPr>
      <w:r w:rsidRPr="00623B6D">
        <w:t>E[N] · (C_fluid − C_strict) &gt; C_enrich,</w:t>
      </w:r>
    </w:p>
    <w:p w14:paraId="54A58B07" w14:textId="77777777" w:rsidR="00623B6D" w:rsidRPr="00623B6D" w:rsidRDefault="00623B6D" w:rsidP="00623B6D">
      <w:pPr>
        <w:jc w:val="both"/>
      </w:pPr>
      <w:r w:rsidRPr="00623B6D">
        <w:t xml:space="preserve">where E[N] is the predicted number of future invocations of the pathway. This is a discrete amortization over anticipated reuse, not an integral over an unspecified measure: the savings per future call, C_fluid − C_strict, summed over the calls expected, must outweigh the enrichment cost. The condition is well-posed because C_fluid &gt; C_strict (a per-execution proximity search exceeds an O(1) dispatch), so the left side is positive and grows with expected reuse. The tier is [CAND] in exactly one place: E[N] is </w:t>
      </w:r>
      <w:r w:rsidRPr="00623B6D">
        <w:rPr>
          <w:i/>
          <w:iCs/>
        </w:rPr>
        <w:t>estimated</w:t>
      </w:r>
      <w:r w:rsidRPr="00623B6D">
        <w:t xml:space="preserve"> — the compiler must predict future use — and that prediction is a proposed mechanism, not a derived quantity. The amortization arithmetic is exact; its use as a trigger rests on an estimate, and the paper marks that estimate as the candidate element rather than hiding it.</w:t>
      </w:r>
    </w:p>
    <w:p w14:paraId="6DD37C9B" w14:textId="77777777" w:rsidR="00623B6D" w:rsidRPr="00623B6D" w:rsidRDefault="00623B6D" w:rsidP="00623B6D">
      <w:pPr>
        <w:jc w:val="both"/>
      </w:pPr>
      <w:r w:rsidRPr="00623B6D">
        <w:lastRenderedPageBreak/>
        <w:t>When both conditions hold — the pathway stable below ε(Π) and the amortization inequality satisfied — the compiler fires the upward lift. A pathway that is stable but rarely used is left fluid (crystallizing would not amortize); a pathway that is frequently used but still shifting is also left fluid (crystallizing would immediately melt). Only the stable-and-reused pathway is crystallized, which is the economically and topologically correct condition for spending C_enrich.</w:t>
      </w:r>
    </w:p>
    <w:p w14:paraId="65604A2E" w14:textId="77777777" w:rsidR="00623B6D" w:rsidRPr="00623B6D" w:rsidRDefault="00623B6D" w:rsidP="00623B6D">
      <w:pPr>
        <w:jc w:val="both"/>
        <w:rPr>
          <w:b/>
          <w:bCs/>
        </w:rPr>
      </w:pPr>
      <w:r w:rsidRPr="00623B6D">
        <w:rPr>
          <w:b/>
          <w:bCs/>
        </w:rPr>
        <w:t>3.3 The fusion: crystallization is structurally the N3 offline lift [LB structure / CAND application]</w:t>
      </w:r>
    </w:p>
    <w:p w14:paraId="3A0ABAED" w14:textId="77777777" w:rsidR="00623B6D" w:rsidRPr="00623B6D" w:rsidRDefault="00623B6D" w:rsidP="00623B6D">
      <w:pPr>
        <w:jc w:val="both"/>
      </w:pPr>
      <w:r w:rsidRPr="00623B6D">
        <w:t xml:space="preserve">The upward lift the compiler fires is more than analogous to the cortex's offline consolidation: under the framework's own mathematics the two are </w:t>
      </w:r>
      <w:r w:rsidRPr="00623B6D">
        <w:rPr>
          <w:i/>
          <w:iCs/>
        </w:rPr>
        <w:t>the same kind of operation</w:t>
      </w:r>
      <w:r w:rsidRPr="00623B6D">
        <w:t xml:space="preserve"> — structurally isomorphic ladder-ascents — and the isomorphism, not a bare identity, is what lets the cortex's results be carried into the runtime. The cortex paper established N3 as the offline normed-to-inner-product lift that builds the orthogonal basis clean retrieval requires, performed offline because the global re-coordinatisation it demands cannot be done on a moving base, and guaranteed against fabrication by its norm-preservation. Crystallization shares each of these structural features. It is a lift </w:t>
      </w:r>
      <w:r w:rsidRPr="00623B6D">
        <w:rPr>
          <w:i/>
          <w:iCs/>
        </w:rPr>
        <w:t>up the enrichment ladder</w:t>
      </w:r>
      <w:r w:rsidRPr="00623B6D">
        <w:t xml:space="preserve"> — from the fluid proximity space, which has a nearness relation but no orthogonal basis and no transition maps, to the structured rungs at and above uniformity, where the orthogonalized fields and structured transition maps a typed interface needs first exist. It is performed </w:t>
      </w:r>
      <w:r w:rsidRPr="00623B6D">
        <w:rPr>
          <w:i/>
          <w:iCs/>
        </w:rPr>
        <w:t>offline</w:t>
      </w:r>
      <w:r w:rsidRPr="00623B6D">
        <w:t xml:space="preserve"> relative to the pathway's execution, fired only when the pathway has stabilized (§3.2), because crystallizing a still-shifting pathway is the software form of trying to re-coordinatise a moving base. And it is </w:t>
      </w:r>
      <w:r w:rsidRPr="00623B6D">
        <w:rPr>
          <w:i/>
          <w:iCs/>
        </w:rPr>
        <w:t>provenance-preserving</w:t>
      </w:r>
      <w:r w:rsidRPr="00623B6D">
        <w:t xml:space="preserve"> in the sense §4 develops: the proximity structure is preserved, demoted but not destroyed, so the lift reorganizes without burning what it lifts from.</w:t>
      </w:r>
    </w:p>
    <w:p w14:paraId="48B1E55F" w14:textId="77777777" w:rsidR="00623B6D" w:rsidRPr="00623B6D" w:rsidRDefault="00623B6D" w:rsidP="00623B6D">
      <w:pPr>
        <w:jc w:val="both"/>
      </w:pPr>
      <w:r w:rsidRPr="00623B6D">
        <w:t xml:space="preserve">Two honest qualifications keep this an isomorphism rather than an identity, in the discipline this series holds to. First, the rungs differ: the N3 lift is specifically the </w:t>
      </w:r>
      <w:r w:rsidRPr="00623B6D">
        <w:rPr>
          <w:i/>
          <w:iCs/>
        </w:rPr>
        <w:t>top</w:t>
      </w:r>
      <w:r w:rsidRPr="00623B6D">
        <w:t xml:space="preserve"> step, normed-to-inner-product, and its defining construction is the polarization identity that is available only once a norm is in hand; crystallization </w:t>
      </w:r>
      <w:r w:rsidRPr="00623B6D">
        <w:rPr>
          <w:i/>
          <w:iCs/>
        </w:rPr>
        <w:t>begins</w:t>
      </w:r>
      <w:r w:rsidRPr="00623B6D">
        <w:t xml:space="preserve"> far lower, at the proximity rung, and ascends through uniformity toward — not necessarily all the way to — the inner-product rung. It is the same </w:t>
      </w:r>
      <w:r w:rsidRPr="00623B6D">
        <w:rPr>
          <w:i/>
          <w:iCs/>
        </w:rPr>
        <w:t>kind</w:t>
      </w:r>
      <w:r w:rsidRPr="00623B6D">
        <w:t xml:space="preserve"> of ascent (stability-triggered, offline, orthogonalizing, source-preserving), with N3 as its paradigm top-step case, not the very same operation on the very same rungs. Second, the norm-preservation that anchors N3 against fabrication is, for crystallization, a property the runtime must be </w:t>
      </w:r>
      <w:r w:rsidRPr="00623B6D">
        <w:rPr>
          <w:i/>
          <w:iCs/>
        </w:rPr>
        <w:t>built</w:t>
      </w:r>
      <w:r w:rsidRPr="00623B6D">
        <w:t xml:space="preserve"> to have, not one it automatically inherits by fiat; §4 argues independently that preservation is forced. With those qualifications, the structural identification stands and does real work: crystallization is the N3 offline lift's software sibling — the same operation read one rung-family lower, in a compiler rather than a cortex.</w:t>
      </w:r>
    </w:p>
    <w:p w14:paraId="6BB94E18" w14:textId="77777777" w:rsidR="00623B6D" w:rsidRPr="00623B6D" w:rsidRDefault="00623B6D" w:rsidP="00623B6D">
      <w:pPr>
        <w:jc w:val="both"/>
      </w:pPr>
      <w:r w:rsidRPr="00623B6D">
        <w:t xml:space="preserve">One consequence of this identification sets up the rest of the paper and ties it to the implementation series. What crystallization </w:t>
      </w:r>
      <w:r w:rsidRPr="00623B6D">
        <w:rPr>
          <w:i/>
          <w:iCs/>
        </w:rPr>
        <w:t>builds</w:t>
      </w:r>
      <w:r w:rsidRPr="00623B6D">
        <w:t xml:space="preserve"> — the structured transition maps of the uniform interface — is exactly what the proximity space </w:t>
      </w:r>
      <w:r w:rsidRPr="00623B6D">
        <w:rPr>
          <w:i/>
          <w:iCs/>
        </w:rPr>
        <w:t>lacks</w:t>
      </w:r>
      <w:r w:rsidRPr="00623B6D">
        <w:t xml:space="preserve">. The Transformer paper established that an obstruction H¹ is vacuous without structured transition maps to be inconsistent; the proximity rung, routing purely by A δ B with no transition maps (§2), therefore carries no computable obstruction at all. It is crystallization that </w:t>
      </w:r>
      <w:r w:rsidRPr="00623B6D">
        <w:rPr>
          <w:i/>
          <w:iCs/>
        </w:rPr>
        <w:t>supplies</w:t>
      </w:r>
      <w:r w:rsidRPr="00623B6D">
        <w:t xml:space="preserve"> the transition maps, and so it is only at the uniform rung — only after the lift — that H¹ becomes a meaningful test. This is why error handling lives where it does: an obstruction can be computed only on a crystallized interface, because only there do the transition maps whose failure H¹ measures exist. The fluid proximity space cannot fail an obstruction test because it has no transitions to obstruct; the crystallized interface can, and when it does, it melts. Section 4 makes the preserved fallback that melting requires precise, and §5 makes melting itself the free-descent realization of the framework's first-class unglue — so that the two operations of this runtime, the lift up and the unglue down, are the cortex's two operations rebuilt in software, which is the sense in which this paper is the runtime realization of the theory and not a metaphor drawn from it.</w:t>
      </w:r>
    </w:p>
    <w:p w14:paraId="3EF5CDBA" w14:textId="77777777" w:rsidR="00623B6D" w:rsidRPr="00623B6D" w:rsidRDefault="00623B6D" w:rsidP="002A2B01">
      <w:pPr>
        <w:pStyle w:val="Heading1"/>
      </w:pPr>
      <w:r w:rsidRPr="00623B6D">
        <w:lastRenderedPageBreak/>
        <w:t>4. Crystallization and the Preserved Fallback</w:t>
      </w:r>
    </w:p>
    <w:p w14:paraId="76E23EB2" w14:textId="77777777" w:rsidR="00623B6D" w:rsidRPr="00623B6D" w:rsidRDefault="00623B6D" w:rsidP="00623B6D">
      <w:pPr>
        <w:jc w:val="both"/>
      </w:pPr>
      <w:r w:rsidRPr="00623B6D">
        <w:t>When the compiler fires the upward lift, it faces a memory question: what becomes of the fluid proximity structure the pathway was lifted from? The intuitive answer — flush it, garbage-collect the now-redundant fluid states, keep only the hardened interface — is wrong, and it is wrong not as a matter of taste but as a matter of the framework's mathematics. This section derives the correct answer as a corollary of the fusion already established (§4.1), gives the three convergent reasons deletion is forbidden (§4.2), and states the two-tier mechanism that results, with its real cost named honestly (§4.3).</w:t>
      </w:r>
    </w:p>
    <w:p w14:paraId="608C229B" w14:textId="77777777" w:rsidR="00623B6D" w:rsidRPr="00623B6D" w:rsidRDefault="00623B6D" w:rsidP="00623B6D">
      <w:pPr>
        <w:jc w:val="both"/>
        <w:rPr>
          <w:b/>
          <w:bCs/>
        </w:rPr>
      </w:pPr>
      <w:r w:rsidRPr="00623B6D">
        <w:rPr>
          <w:b/>
          <w:bCs/>
        </w:rPr>
        <w:t>4.1 Preservation is forced — independently, and corroborated by the lift [LB]</w:t>
      </w:r>
    </w:p>
    <w:p w14:paraId="7B187C88" w14:textId="77777777" w:rsidR="00623B6D" w:rsidRPr="00623B6D" w:rsidRDefault="00623B6D" w:rsidP="00623B6D">
      <w:pPr>
        <w:jc w:val="both"/>
      </w:pPr>
      <w:r w:rsidRPr="00623B6D">
        <w:t xml:space="preserve">The preserved fallback is not an independent design choice bolted onto the compiler; it is forced. But it is worth being precise about </w:t>
      </w:r>
      <w:r w:rsidRPr="00623B6D">
        <w:rPr>
          <w:i/>
          <w:iCs/>
        </w:rPr>
        <w:t>what</w:t>
      </w:r>
      <w:r w:rsidRPr="00623B6D">
        <w:t xml:space="preserve"> forces it, because resting it on the N3 identification alone would make the paper's central design conclusion hang on a structural isomorphism that is [CAND], not [LB]. The robust grounds are the two framework commitments of §4.2 that do </w:t>
      </w:r>
      <w:r w:rsidRPr="00623B6D">
        <w:rPr>
          <w:i/>
          <w:iCs/>
        </w:rPr>
        <w:t>not</w:t>
      </w:r>
      <w:r w:rsidRPr="00623B6D">
        <w:t xml:space="preserve"> depend on the identification — the free-descent asymmetry and provenance — and these are developed there. The N3 isomorphism </w:t>
      </w:r>
      <w:r w:rsidRPr="00623B6D">
        <w:rPr>
          <w:i/>
          <w:iCs/>
        </w:rPr>
        <w:t>corroborates</w:t>
      </w:r>
      <w:r w:rsidRPr="00623B6D">
        <w:t xml:space="preserve"> the same conclusion: the cortex paper established that the N3 lift is norm-preserving — it reorganizes a representation into an orthogonal basis without destroying it, the polarization construction carrying the existing structure up rather than overwriting it — so to the extent crystallization is built as the software sibling of that lift (§3.3), it is built to preserve rather than flush what it lifts from. The dependency runs in the safe direction: preservation is required by free-descent and provenance regardless of the N3 reading, and the N3 reading explains </w:t>
      </w:r>
      <w:r w:rsidRPr="00623B6D">
        <w:rPr>
          <w:i/>
          <w:iCs/>
        </w:rPr>
        <w:t>why a lift of this kind</w:t>
      </w:r>
      <w:r w:rsidRPr="00623B6D">
        <w:t xml:space="preserve"> would have that property anyway. The naive flush is therefore not merely off-pattern; it forfeits free descent and erases provenance (§4.2), and only secondarily fails to be the kind of norm-preserving lift §3.3 describes.</w:t>
      </w:r>
    </w:p>
    <w:p w14:paraId="756E60A5" w14:textId="77777777" w:rsidR="00623B6D" w:rsidRPr="00623B6D" w:rsidRDefault="00623B6D" w:rsidP="00623B6D">
      <w:pPr>
        <w:jc w:val="both"/>
        <w:rPr>
          <w:b/>
          <w:bCs/>
        </w:rPr>
      </w:pPr>
      <w:r w:rsidRPr="00623B6D">
        <w:rPr>
          <w:b/>
          <w:bCs/>
        </w:rPr>
        <w:t>4.2 Three convergent reasons against deletion [LB]</w:t>
      </w:r>
    </w:p>
    <w:p w14:paraId="267E81DE" w14:textId="77777777" w:rsidR="00623B6D" w:rsidRPr="00623B6D" w:rsidRDefault="00623B6D" w:rsidP="00623B6D">
      <w:pPr>
        <w:jc w:val="both"/>
      </w:pPr>
      <w:r w:rsidRPr="00623B6D">
        <w:t>Three framework commitments converge on the same prohibition, which is why the prohibition is firm rather than stylistic. The first two are robust and independent of the N3 identification; the third is the interpretive corroboration §4.1 described.</w:t>
      </w:r>
    </w:p>
    <w:p w14:paraId="5E48F917" w14:textId="77777777" w:rsidR="00623B6D" w:rsidRPr="00623B6D" w:rsidRDefault="00623B6D" w:rsidP="00623B6D">
      <w:pPr>
        <w:jc w:val="both"/>
      </w:pPr>
      <w:r w:rsidRPr="00623B6D">
        <w:t xml:space="preserve">The first is the </w:t>
      </w:r>
      <w:r w:rsidRPr="00623B6D">
        <w:rPr>
          <w:b/>
          <w:bCs/>
        </w:rPr>
        <w:t>free-descent asymmetry</w:t>
      </w:r>
      <w:r w:rsidRPr="00623B6D">
        <w:t xml:space="preserve">, and it is the sharpest of the three because it shows deletion to be self-defeating. Paper 1 holds that descent — forgetting upper-rung structure — is free, while ascent is obstructed. The architecture's graceful degradation (§5) relies entirely on melting being a </w:t>
      </w:r>
      <w:r w:rsidRPr="00623B6D">
        <w:rPr>
          <w:i/>
          <w:iCs/>
        </w:rPr>
        <w:t>free</w:t>
      </w:r>
      <w:r w:rsidRPr="00623B6D">
        <w:t xml:space="preserve"> descent: the interface forgets its uniform structure at no cost and lands on the proximity rung below. But a descent is free only if there is a preserved lower rung to land on. If crystallization deleted the proximity structure, then melting would not descend onto anything — it would have to </w:t>
      </w:r>
      <w:r w:rsidRPr="00623B6D">
        <w:rPr>
          <w:i/>
          <w:iCs/>
        </w:rPr>
        <w:t>reconstruct</w:t>
      </w:r>
      <w:r w:rsidRPr="00623B6D">
        <w:t xml:space="preserve"> the proximity structure from scratch, re-deriving the routing the lift had discarded, and reconstruction is work: an ascent cost, not a free descent. Deletion would thus convert the free descent that makes melting cheap into the expensive reconstruction that makes it useless, forfeiting the exact property the architecture's error handling depends on. The free-descent asymmetry does not merely permit preservation; it </w:t>
      </w:r>
      <w:r w:rsidRPr="00623B6D">
        <w:rPr>
          <w:i/>
          <w:iCs/>
        </w:rPr>
        <w:t>requires</w:t>
      </w:r>
      <w:r w:rsidRPr="00623B6D">
        <w:t xml:space="preserve"> it, on pain of destroying free descent itself.</w:t>
      </w:r>
    </w:p>
    <w:p w14:paraId="3088C039" w14:textId="77777777" w:rsidR="00623B6D" w:rsidRPr="00623B6D" w:rsidRDefault="00623B6D" w:rsidP="00623B6D">
      <w:pPr>
        <w:jc w:val="both"/>
      </w:pPr>
      <w:r w:rsidRPr="00623B6D">
        <w:t xml:space="preserve">The second is </w:t>
      </w:r>
      <w:r w:rsidRPr="00623B6D">
        <w:rPr>
          <w:b/>
          <w:bCs/>
        </w:rPr>
        <w:t>provenance</w:t>
      </w:r>
      <w:r w:rsidRPr="00623B6D">
        <w:t xml:space="preserve">. The Transformer paper read the residual stream as provenance-preserving transport, carrying a token's identity forward as a non-erased summand. The preserved proximity structure is this architecture's provenance: the identity the crystallized interface was lifted from, retained and non-erased, so that what the interface is an enrichment </w:t>
      </w:r>
      <w:r w:rsidRPr="00623B6D">
        <w:rPr>
          <w:i/>
          <w:iCs/>
        </w:rPr>
        <w:t>of</w:t>
      </w:r>
      <w:r w:rsidRPr="00623B6D">
        <w:t xml:space="preserve"> remains recoverable. A flush </w:t>
      </w:r>
      <w:r w:rsidRPr="00623B6D">
        <w:lastRenderedPageBreak/>
        <w:t>would erase that provenance, leaving a hardened anchor with no record of the structure it abstracts — the software form of an over-association that has dissolved its own source.</w:t>
      </w:r>
    </w:p>
    <w:p w14:paraId="09430E85" w14:textId="77777777" w:rsidR="00623B6D" w:rsidRPr="00623B6D" w:rsidRDefault="00623B6D" w:rsidP="00623B6D">
      <w:pPr>
        <w:jc w:val="both"/>
      </w:pPr>
      <w:r w:rsidRPr="00623B6D">
        <w:t xml:space="preserve">The third is </w:t>
      </w:r>
      <w:r w:rsidRPr="00623B6D">
        <w:rPr>
          <w:b/>
          <w:bCs/>
        </w:rPr>
        <w:t>no-fabrication</w:t>
      </w:r>
      <w:r w:rsidRPr="00623B6D">
        <w:t xml:space="preserve">, and it is the most interpretive of the three, inherited through the structural isomorphism of §3.3 rather than entailed outright. Paper 1's Hahn–Banach guarantee makes the N3 lift a </w:t>
      </w:r>
      <w:r w:rsidRPr="00623B6D">
        <w:rPr>
          <w:i/>
          <w:iCs/>
        </w:rPr>
        <w:t>norm-preserving extension</w:t>
      </w:r>
      <w:r w:rsidRPr="00623B6D">
        <w:t xml:space="preserve"> — one that agrees with its source on the source's own domain, and so stays anchored to what it claims to consolidate. Read through that isomorphism, a crystallization that deleted its source would sever the anchor that keeps the hardened interface a faithful extension rather than a free-floating fabrication. This is a reading, not a theorem: deletion is not literally norm-inflation, and the no-fabrication reason is offered as corroboration of the two robust reasons above, not as an independent proof.</w:t>
      </w:r>
    </w:p>
    <w:p w14:paraId="6C90C68D" w14:textId="77777777" w:rsidR="00623B6D" w:rsidRPr="00623B6D" w:rsidRDefault="00623B6D" w:rsidP="00623B6D">
      <w:pPr>
        <w:jc w:val="both"/>
      </w:pPr>
      <w:r w:rsidRPr="00623B6D">
        <w:t>Each reason alone forbids the flush; together they make the GC-on-crystallize of the naive view a clear framework violation. To delete on crystallization is to burn the ladder behind the system — and a burned ladder cannot be descended.</w:t>
      </w:r>
    </w:p>
    <w:p w14:paraId="091DFEF2" w14:textId="77777777" w:rsidR="00623B6D" w:rsidRPr="00623B6D" w:rsidRDefault="00623B6D" w:rsidP="00623B6D">
      <w:pPr>
        <w:jc w:val="both"/>
        <w:rPr>
          <w:b/>
          <w:bCs/>
        </w:rPr>
      </w:pPr>
      <w:r w:rsidRPr="00623B6D">
        <w:rPr>
          <w:b/>
          <w:bCs/>
        </w:rPr>
        <w:t>4.3 The mechanism: active interface, dormant preserved structure [LB structure / CAND application]</w:t>
      </w:r>
    </w:p>
    <w:p w14:paraId="5ECA36CB" w14:textId="77777777" w:rsidR="00623B6D" w:rsidRPr="00623B6D" w:rsidRDefault="00623B6D" w:rsidP="00623B6D">
      <w:pPr>
        <w:jc w:val="both"/>
      </w:pPr>
      <w:r w:rsidRPr="00623B6D">
        <w:t xml:space="preserve">What preservation requires mechanically is a two-tier state, not two active computations. After crystallization the uniform interface is the </w:t>
      </w:r>
      <w:r w:rsidRPr="00623B6D">
        <w:rPr>
          <w:i/>
          <w:iCs/>
        </w:rPr>
        <w:t>active</w:t>
      </w:r>
      <w:r w:rsidRPr="00623B6D">
        <w:t xml:space="preserve"> path: execution defaults to its O(1) compiled dispatch, and the proximity routing is no longer consulted on the common case. The proximity structure is </w:t>
      </w:r>
      <w:r w:rsidRPr="00623B6D">
        <w:rPr>
          <w:i/>
          <w:iCs/>
        </w:rPr>
        <w:t>demoted</w:t>
      </w:r>
      <w:r w:rsidRPr="00623B6D">
        <w:t xml:space="preserve"> — it stops being the active router, so the system does not pay to maintain live routing tables for it — but </w:t>
      </w:r>
      <w:r w:rsidRPr="00623B6D">
        <w:rPr>
          <w:i/>
          <w:iCs/>
        </w:rPr>
        <w:t>preserved</w:t>
      </w:r>
      <w:r w:rsidRPr="00623B6D">
        <w:t xml:space="preserve">, retained as a recoverable structure that melting can reactivate. This is the distinction that answers the state-space-explosion worry the naive flush was meant to solve: the danger was never preservation as such but keeping </w:t>
      </w:r>
      <w:r w:rsidRPr="00623B6D">
        <w:rPr>
          <w:i/>
          <w:iCs/>
        </w:rPr>
        <w:t>both tiers active at once</w:t>
      </w:r>
      <w:r w:rsidRPr="00623B6D">
        <w:t>. A dormant-but-preserved proximity layer is not an active second computation; it is a retained structure, idle until an obstruction calls it back.</w:t>
      </w:r>
    </w:p>
    <w:p w14:paraId="0EA50262" w14:textId="77777777" w:rsidR="00623B6D" w:rsidRPr="00623B6D" w:rsidRDefault="00623B6D" w:rsidP="00623B6D">
      <w:pPr>
        <w:jc w:val="both"/>
      </w:pPr>
      <w:r w:rsidRPr="00623B6D">
        <w:t xml:space="preserve">The cost of this is real and worth stating plainly rather than hiding. Preservation buys free descent at a bounded </w:t>
      </w:r>
      <w:r w:rsidRPr="00623B6D">
        <w:rPr>
          <w:i/>
          <w:iCs/>
        </w:rPr>
        <w:t>memory</w:t>
      </w:r>
      <w:r w:rsidRPr="00623B6D">
        <w:t xml:space="preserve"> price: each crystallized pathway retains the proximity structure it was lifted from, so the runtime's footprint includes its fallbacks. This is the genuine trade the architecture makes — memory for the fallback, against compute for reconstruction — and the framework's commitments decide it in favor of memory, because the compute-for-reconstruction alternative destroys free descent (§4.2). Whether the memory price is acceptable, and whether the demoted structure can be compressed to a recoverable skeleton rather than retained in full, are design questions for a runtime that does not yet exist; they are marked [CAND]. What is [LB] is the structure: an active enriched interface over a dormant, preserved lower rung, which is the configuration §5's melting requires and the configuration the N3 lift, being norm-preserving, produces.</w:t>
      </w:r>
    </w:p>
    <w:p w14:paraId="6B592E02" w14:textId="77777777" w:rsidR="00623B6D" w:rsidRPr="00623B6D" w:rsidRDefault="00623B6D" w:rsidP="002A2B01">
      <w:pPr>
        <w:pStyle w:val="Heading1"/>
      </w:pPr>
      <w:r w:rsidRPr="00623B6D">
        <w:t>5. Graceful Degradation: Melting on Obstruction</w:t>
      </w:r>
    </w:p>
    <w:p w14:paraId="5746FCB5" w14:textId="77777777" w:rsidR="00623B6D" w:rsidRPr="00623B6D" w:rsidRDefault="00623B6D" w:rsidP="00623B6D">
      <w:pPr>
        <w:jc w:val="both"/>
      </w:pPr>
      <w:r w:rsidRPr="00623B6D">
        <w:t>This is the load-bearing section. The thermodynamics of §3 and the preserved fallback of §4 exist to make one operation possible: when a crystallized interface meets an input it cannot handle, it does not crash — it melts, descending freely to the proximity structure §4 kept recoverable, and lets the poset engine re-route. We state the obstruction precisely and at the right rung (§5.1), correct the contrast with object-oriented failure that the framework's instincts get wrong (§5.2), give melting as free descent (§5.3), and identify it as the framework's first-class unglue, which completes the fusion the paper is built on (§5.4).</w:t>
      </w:r>
    </w:p>
    <w:p w14:paraId="5959A0DE" w14:textId="77777777" w:rsidR="00623B6D" w:rsidRPr="00623B6D" w:rsidRDefault="00623B6D" w:rsidP="00623B6D">
      <w:pPr>
        <w:jc w:val="both"/>
        <w:rPr>
          <w:b/>
          <w:bCs/>
        </w:rPr>
      </w:pPr>
      <w:r w:rsidRPr="00623B6D">
        <w:rPr>
          <w:b/>
          <w:bCs/>
        </w:rPr>
        <w:t>5.1 The obstruction, at the uniform rung [LB structure / CAND application]</w:t>
      </w:r>
    </w:p>
    <w:p w14:paraId="5E7D3AD0" w14:textId="77777777" w:rsidR="00623B6D" w:rsidRPr="00623B6D" w:rsidRDefault="00623B6D" w:rsidP="00623B6D">
      <w:pPr>
        <w:jc w:val="both"/>
      </w:pPr>
      <w:r w:rsidRPr="00623B6D">
        <w:lastRenderedPageBreak/>
        <w:t xml:space="preserve">A crystallized interface is a uniform structure with transition maps — that is what §3.3 established crystallization </w:t>
      </w:r>
      <w:r w:rsidRPr="00623B6D">
        <w:rPr>
          <w:i/>
          <w:iCs/>
        </w:rPr>
        <w:t>builds</w:t>
      </w:r>
      <w:r w:rsidRPr="00623B6D">
        <w:t>. Schematically, the interface's cover is the set of cases its routine handles; its local sections are the typed handlers over those cases; its transition maps are the contract specifying how the handlers compose, how the output of one feeds the next. Executing the interface on an input is a gluing: the input is assigned across the cases and must be fitted consistently to the contract. For inputs within the stable shape the routine crystallized around, the gluing succeeds and the obstruction class is trivial. For an input outside that shape, the transition data the input induces fails to compose around a triple of cases — the cocycle condition fails — and the obstruction class H¹ is nontrivial: there is no consistent way to assign this input across the interface's fixed contract. A nontrivial H¹ is therefore the precise signal of genuine novelty relative to the crystallized routine.</w:t>
      </w:r>
    </w:p>
    <w:p w14:paraId="0546396C" w14:textId="77777777" w:rsidR="00623B6D" w:rsidRPr="00623B6D" w:rsidRDefault="00623B6D" w:rsidP="00623B6D">
      <w:pPr>
        <w:jc w:val="both"/>
      </w:pPr>
      <w:r w:rsidRPr="00623B6D">
        <w:t xml:space="preserve">Two points of discipline carried from the companion papers govern this. First, the criterion is the </w:t>
      </w:r>
      <w:r w:rsidRPr="00623B6D">
        <w:rPr>
          <w:i/>
          <w:iCs/>
        </w:rPr>
        <w:t>nontriviality of the obstruction class at ε(Π)</w:t>
      </w:r>
      <w:r w:rsidRPr="00623B6D">
        <w:t xml:space="preserve">, not a scalar magnitude compared to a threshold: the interface melts when the class is not a coboundary within the precision tolerance — when no local correction absorbs the input into the contract — exactly the form the cortex paper corrected to and the Transformer paper adopted, and not a norm exceeding a cutoff. Second, the obstruction is computable </w:t>
      </w:r>
      <w:r w:rsidRPr="00623B6D">
        <w:rPr>
          <w:i/>
          <w:iCs/>
        </w:rPr>
        <w:t>here and only here</w:t>
      </w:r>
      <w:r w:rsidRPr="00623B6D">
        <w:t>. The Transformer paper established that H¹ is vacuous without structured transition maps to be inconsistent; the proximity rung, routing purely by A δ B with no transition maps (§2), carries no computable obstruction at all. It is crystallization that supplied the transition maps (§3.3), so it is only on the crystallized interface — at the uniform rung — that an obstruction can be detected. The fluid layer cannot fail an obstruction test because it has nothing to obstruct; the crystallized interface can, and that asymmetry is what makes melting a coherent operation rather than a wish. The structure is [LB] — it is the framework's gluing-with-obstruction at the rung the mathematics places it — and its realization in a runtime is [CAND].</w:t>
      </w:r>
    </w:p>
    <w:p w14:paraId="7215A160" w14:textId="77777777" w:rsidR="00623B6D" w:rsidRPr="00623B6D" w:rsidRDefault="00623B6D" w:rsidP="00623B6D">
      <w:pPr>
        <w:jc w:val="both"/>
        <w:rPr>
          <w:b/>
          <w:bCs/>
        </w:rPr>
      </w:pPr>
      <w:r w:rsidRPr="00623B6D">
        <w:rPr>
          <w:b/>
          <w:bCs/>
        </w:rPr>
        <w:t>5.2 What object-oriented failure actually is (Rule 2 yields to Rule 1)</w:t>
      </w:r>
    </w:p>
    <w:p w14:paraId="42DCC21B" w14:textId="77777777" w:rsidR="00623B6D" w:rsidRPr="00623B6D" w:rsidRDefault="00623B6D" w:rsidP="00623B6D">
      <w:pPr>
        <w:jc w:val="both"/>
      </w:pPr>
      <w:r w:rsidRPr="00623B6D">
        <w:t xml:space="preserve">The framework's instinct is to read every failure as an obstruction, and here that instinct misstates the mathematics, so it must yield. A standard object-oriented TypeError is </w:t>
      </w:r>
      <w:r w:rsidRPr="00623B6D">
        <w:rPr>
          <w:i/>
          <w:iCs/>
        </w:rPr>
        <w:t>not</w:t>
      </w:r>
      <w:r w:rsidRPr="00623B6D">
        <w:t xml:space="preserve"> an H¹ obstruction. It is a </w:t>
      </w:r>
      <w:r w:rsidRPr="00623B6D">
        <w:rPr>
          <w:b/>
          <w:bCs/>
        </w:rPr>
        <w:t>domain-guard rejection</w:t>
      </w:r>
      <w:r w:rsidRPr="00623B6D">
        <w:t xml:space="preserve">: a statically typed dispatch checks the input against the declared domain of a signature and, finding it outside, rejects — throwing, halting — without computing any obstruction at all. The guard answers a membership question (is this input in the declared type?) with a boolean, and on </w:t>
      </w:r>
      <w:r w:rsidRPr="00623B6D">
        <w:rPr>
          <w:i/>
          <w:iCs/>
        </w:rPr>
        <w:t>false</w:t>
      </w:r>
      <w:r w:rsidRPr="00623B6D">
        <w:t xml:space="preserve"> it crashes. There is no cover, no cocycle, no class; there is a predicate and a trapdoor. Retrofitting H¹ onto a TypeError to make object-oriented code look like the framework would be borrowed prestige of the worst kind — naming a cohomological obstruction where there is only a failed membership test — and Rule 1 forbids it.</w:t>
      </w:r>
    </w:p>
    <w:p w14:paraId="2A0F64BF" w14:textId="77777777" w:rsidR="00623B6D" w:rsidRPr="00623B6D" w:rsidRDefault="00623B6D" w:rsidP="00623B6D">
      <w:pPr>
        <w:jc w:val="both"/>
      </w:pPr>
      <w:r w:rsidRPr="00623B6D">
        <w:t xml:space="preserve">The honest contrast is therefore not "object-oriented code throws a TypeError and we compute H¹." It is a contrast in </w:t>
      </w:r>
      <w:r w:rsidRPr="00623B6D">
        <w:rPr>
          <w:i/>
          <w:iCs/>
        </w:rPr>
        <w:t>what happens on failure</w:t>
      </w:r>
      <w:r w:rsidRPr="00623B6D">
        <w:t xml:space="preserve">. The object-oriented interface has a domain guard with </w:t>
      </w:r>
      <w:r w:rsidRPr="00623B6D">
        <w:rPr>
          <w:b/>
          <w:bCs/>
        </w:rPr>
        <w:t>no fallback</w:t>
      </w:r>
      <w:r w:rsidRPr="00623B6D">
        <w:t xml:space="preserve">: reject or crash, a terminal rejection. The crystallized interface of this architecture replaces that guard with an </w:t>
      </w:r>
      <w:r w:rsidRPr="00623B6D">
        <w:rPr>
          <w:b/>
          <w:bCs/>
        </w:rPr>
        <w:t>obstruction computation that has a free-descent fallback</w:t>
      </w:r>
      <w:r w:rsidRPr="00623B6D">
        <w:t xml:space="preserve">: on a nontrivial obstruction it does not reject, it melts and re-routes. The novelty of the proposal is the fallback, not the presence of an obstruction calculation — the move from </w:t>
      </w:r>
      <w:r w:rsidRPr="00623B6D">
        <w:rPr>
          <w:i/>
          <w:iCs/>
        </w:rPr>
        <w:t>terminal rejection</w:t>
      </w:r>
      <w:r w:rsidRPr="00623B6D">
        <w:t xml:space="preserve"> to </w:t>
      </w:r>
      <w:r w:rsidRPr="00623B6D">
        <w:rPr>
          <w:i/>
          <w:iCs/>
        </w:rPr>
        <w:t>recoverable descent</w:t>
      </w:r>
      <w:r w:rsidRPr="00623B6D">
        <w:t>. Stating it the other way would both flatter the framework and misdescribe the prior art; stating it this way is correct and is also the sharper claim.</w:t>
      </w:r>
    </w:p>
    <w:p w14:paraId="2B98AC2F" w14:textId="77777777" w:rsidR="00623B6D" w:rsidRPr="00623B6D" w:rsidRDefault="00623B6D" w:rsidP="00623B6D">
      <w:pPr>
        <w:jc w:val="both"/>
        <w:rPr>
          <w:b/>
          <w:bCs/>
        </w:rPr>
      </w:pPr>
      <w:r w:rsidRPr="00623B6D">
        <w:rPr>
          <w:b/>
          <w:bCs/>
        </w:rPr>
        <w:t>5.3 Melting as free descent [LB structure / CAND application]</w:t>
      </w:r>
    </w:p>
    <w:p w14:paraId="1B1254C7" w14:textId="77777777" w:rsidR="00623B6D" w:rsidRPr="00623B6D" w:rsidRDefault="00623B6D" w:rsidP="00623B6D">
      <w:pPr>
        <w:jc w:val="both"/>
      </w:pPr>
      <w:r w:rsidRPr="00623B6D">
        <w:t xml:space="preserve">When the obstruction class is nontrivial beyond ε(Π), the interface melts. Melting is the free descent of the enrichment ladder: the system forgets the uniform structure — drops the orthogonal basis, </w:t>
      </w:r>
      <w:r w:rsidRPr="00623B6D">
        <w:lastRenderedPageBreak/>
        <w:t>releases the transition maps, abandons the fixed contract — and because forgetting structure is thermodynamically free (Paper 1, §3.1), the descent costs nothing. It does not fall into nothing. The proximity structure the interface was lifted from was preserved, demoted but recoverable, by the crystallization of §4; melting drops the representation back onto exactly that preserved layer. The poset engine resumes control and re-routes the novel input by proximity, A δ B, in the fluid regime.</w:t>
      </w:r>
    </w:p>
    <w:p w14:paraId="294B17A2" w14:textId="77777777" w:rsidR="00623B6D" w:rsidRPr="00623B6D" w:rsidRDefault="00623B6D" w:rsidP="00623B6D">
      <w:pPr>
        <w:jc w:val="both"/>
      </w:pPr>
      <w:r w:rsidRPr="00623B6D">
        <w:t xml:space="preserve">Why the fluid regime can handle what the crystallized interface could not is the crux, and it is structural rather than lucky. The uniform interface is a </w:t>
      </w:r>
      <w:r w:rsidRPr="00623B6D">
        <w:rPr>
          <w:i/>
          <w:iCs/>
        </w:rPr>
        <w:t>rigid contract</w:t>
      </w:r>
      <w:r w:rsidRPr="00623B6D">
        <w:t xml:space="preserve">: a fixed set of transition maps the input must satisfy, which a genuinely novel input violates — that violation is the H¹ of §5.1. Proximity routing carries no such contract: it routes by neighborhood and shape, finding the blocks nearest the input without requiring the input to fit a fixed signature. What was an unhandleable contract violation at the uniform rung becomes, at the proximity rung, an ordinary routing problem — slower, because it pays the per-execution search cost C_fluid rather than the O(1) dispatch C_strict, but soluble. This is the precise content of graceful degradation: on novelty the pathway does not halt, it </w:t>
      </w:r>
      <w:r w:rsidRPr="00623B6D">
        <w:rPr>
          <w:i/>
          <w:iCs/>
        </w:rPr>
        <w:t>slows</w:t>
      </w:r>
      <w:r w:rsidRPr="00623B6D">
        <w:t>, reverting locally from a compiled interface to fluid routing for as long as the novelty persists. The structure — free descent onto a preserved lower rung — is [LB]; the runtime that performs it is [CAND]. Section 6 turns this slowdown-not-halt behavior into the paper's falsifiable prediction.</w:t>
      </w:r>
    </w:p>
    <w:p w14:paraId="40D66450" w14:textId="77777777" w:rsidR="00623B6D" w:rsidRPr="00623B6D" w:rsidRDefault="00623B6D" w:rsidP="00623B6D">
      <w:pPr>
        <w:jc w:val="both"/>
        <w:rPr>
          <w:b/>
          <w:bCs/>
        </w:rPr>
      </w:pPr>
      <w:r w:rsidRPr="00623B6D">
        <w:rPr>
          <w:b/>
          <w:bCs/>
        </w:rPr>
        <w:t>5.4 Melting is the first-class unglue (Rule 3)</w:t>
      </w:r>
    </w:p>
    <w:p w14:paraId="7BD32F52" w14:textId="77777777" w:rsidR="00623B6D" w:rsidRPr="00623B6D" w:rsidRDefault="00623B6D" w:rsidP="00623B6D">
      <w:pPr>
        <w:jc w:val="both"/>
      </w:pPr>
      <w:r w:rsidRPr="00623B6D">
        <w:t xml:space="preserve">The fusion the paper is built on now closes. Crystallization was identified in §3.3 as the cortex's N3 offline lift — the expensive, norm-preserving, stability-triggered ascent that builds an orthogonal basis. Melting is its inverse, and the inverse has a name in the framework already: the </w:t>
      </w:r>
      <w:r w:rsidRPr="00623B6D">
        <w:rPr>
          <w:b/>
          <w:bCs/>
        </w:rPr>
        <w:t>first-class unglue</w:t>
      </w:r>
      <w:r w:rsidRPr="00623B6D">
        <w:t>, the free-direction operation that takes a binding apart. The cortex realized unglue as inner-product contraction — retrieval, taking a bound tensor apart against a role vector. This architecture realizes it as melting — taking a crystallized interface apart by descending to proximity. These are not the same mechanism; they are two species of one genus. Unglue is the framework's free-direction operation that reverses a lift, and contraction-in-the-cortex and melting-in-the-runtime are its two realizations, one for retrieval and one for error handling. Naming the genus is what lets the runtime's two operations — the lift up, the unglue down — be recognized as the cortex's two operations rebuilt in a compiler, which is the sense, promised in §3.3 and discharged here, in which this paper is the theory realized in a runtime rather than a metaphor drawn from it.</w:t>
      </w:r>
    </w:p>
    <w:p w14:paraId="6FCB49F5" w14:textId="77777777" w:rsidR="00623B6D" w:rsidRPr="00623B6D" w:rsidRDefault="00623B6D" w:rsidP="00623B6D">
      <w:pPr>
        <w:jc w:val="both"/>
      </w:pPr>
      <w:r w:rsidRPr="00623B6D">
        <w:t xml:space="preserve">This also pays a standing debt. The gluing-discipline addendum posited a first-class unglue as a required primitive but left its mechanism open. Melting supplies a </w:t>
      </w:r>
      <w:r w:rsidRPr="00623B6D">
        <w:rPr>
          <w:i/>
          <w:iCs/>
        </w:rPr>
        <w:t>candidate</w:t>
      </w:r>
      <w:r w:rsidRPr="00623B6D">
        <w:t xml:space="preserve"> mechanism: unglue as free descent onto a preserved lower rung, triggered by a nontrivial obstruction at the rung above. The candidate is offered at [CAND] and for a runtime that does not yet exist, so it discharges the debt provisionally, not finally; but it is the first concrete proposal in the series for how an unglue could actually be performed, and it falls directly out of the ladder's free-descent asymmetry rather than being posited alongside it. The operation the discipline named, this architecture proposes to build — by letting strict structure melt, freely, back into the proximity it was lifted from.</w:t>
      </w:r>
    </w:p>
    <w:p w14:paraId="64E12EDE" w14:textId="77777777" w:rsidR="00623B6D" w:rsidRPr="00623B6D" w:rsidRDefault="00623B6D" w:rsidP="002A2B01">
      <w:pPr>
        <w:pStyle w:val="Heading1"/>
      </w:pPr>
      <w:r w:rsidRPr="00623B6D">
        <w:t>6. Predictions: Software Elasticity and Falsification</w:t>
      </w:r>
    </w:p>
    <w:p w14:paraId="2DCFE606" w14:textId="77777777" w:rsidR="00623B6D" w:rsidRPr="00623B6D" w:rsidRDefault="00623B6D" w:rsidP="00623B6D">
      <w:pPr>
        <w:jc w:val="both"/>
      </w:pPr>
      <w:r w:rsidRPr="00623B6D">
        <w:t xml:space="preserve">A candidate architecture earns its standing by saying what would refute it, and a manifesto for a runtime that does not yet exist owes especially concrete tests. This section gives three, each with an experiment and a genuine kill condition, and each is honest about where the architecture is predicted to </w:t>
      </w:r>
      <w:r w:rsidRPr="00623B6D">
        <w:rPr>
          <w:i/>
          <w:iCs/>
        </w:rPr>
        <w:t>lose</w:t>
      </w:r>
      <w:r w:rsidRPr="00623B6D">
        <w:t xml:space="preserve"> as well as where it is predicted to win. The predictions are [CAND]: testable consequences of the body, not results.</w:t>
      </w:r>
    </w:p>
    <w:p w14:paraId="1BB832D3" w14:textId="77777777" w:rsidR="00623B6D" w:rsidRPr="00623B6D" w:rsidRDefault="00623B6D" w:rsidP="00623B6D">
      <w:pPr>
        <w:jc w:val="both"/>
        <w:rPr>
          <w:b/>
          <w:bCs/>
        </w:rPr>
      </w:pPr>
      <w:r w:rsidRPr="00623B6D">
        <w:rPr>
          <w:b/>
          <w:bCs/>
        </w:rPr>
        <w:lastRenderedPageBreak/>
        <w:t>6.1 The central prediction: a slope, not a cliff</w:t>
      </w:r>
    </w:p>
    <w:p w14:paraId="04827670" w14:textId="77777777" w:rsidR="00623B6D" w:rsidRPr="00623B6D" w:rsidRDefault="00623B6D" w:rsidP="00623B6D">
      <w:pPr>
        <w:jc w:val="both"/>
      </w:pPr>
      <w:r w:rsidRPr="00623B6D">
        <w:t xml:space="preserve">The architecture's defining behavioral claim is graceful degradation, and it makes a sharp, measurable prediction about the </w:t>
      </w:r>
      <w:r w:rsidRPr="00623B6D">
        <w:rPr>
          <w:i/>
          <w:iCs/>
        </w:rPr>
        <w:t>shape</w:t>
      </w:r>
      <w:r w:rsidRPr="00623B6D">
        <w:t xml:space="preserve"> of failure under domain novelty. Take a workload whose inputs drift over time — noisy sensor fusion, untyped ingestion, an evolving schema — and sweep the rate of novelty, the fraction of inputs that fall outside the signatures a system has crystallized. Plot throughput against that rate. The prediction is that the two architectures fail in qualitatively different shapes. Object-oriented code holds throughput while novelty stays within the handled domain and then </w:t>
      </w:r>
      <w:r w:rsidRPr="00623B6D">
        <w:rPr>
          <w:b/>
          <w:bCs/>
        </w:rPr>
        <w:t>collapses</w:t>
      </w:r>
      <w:r w:rsidRPr="00623B6D">
        <w:t xml:space="preserve"> when novelty exceeds it: each unhandled input is a domain-guard rejection (§5.2), rejections cascade through the call stack as exceptions, and the curve shows a cliff. The proximity architecture instead </w:t>
      </w:r>
      <w:r w:rsidRPr="00623B6D">
        <w:rPr>
          <w:b/>
          <w:bCs/>
        </w:rPr>
        <w:t>declines smoothly</w:t>
      </w:r>
      <w:r w:rsidRPr="00623B6D">
        <w:t>: each novel input obstructs a crystallized interface, the interface melts and re-routes through the preserved proximity layer (§5.3), and the only cost is the local reversion from an O(1) dispatch to the C_fluid search. The curve shows a slope — slower as novelty rises, because more pathways are running fluid, but never a halt.</w:t>
      </w:r>
    </w:p>
    <w:p w14:paraId="1C06597E" w14:textId="77777777" w:rsidR="00623B6D" w:rsidRPr="00623B6D" w:rsidRDefault="00623B6D" w:rsidP="00623B6D">
      <w:pPr>
        <w:jc w:val="both"/>
      </w:pPr>
      <w:r w:rsidRPr="00623B6D">
        <w:t>The kill condition is direct. If the proximity architecture also exhibits a cliff — if, past some novelty rate, it fails to re-route after melting and throughput collapses — then the central mechanism does not work as claimed, and the paper's load-bearing innovation is refuted. Graceful degradation is not an aspiration the architecture is entitled to; it is a curve shape that an implementation either produces or fails to produce, and failing to produce it falsifies the claim.</w:t>
      </w:r>
    </w:p>
    <w:p w14:paraId="3AA3F018" w14:textId="77777777" w:rsidR="00623B6D" w:rsidRPr="00623B6D" w:rsidRDefault="00623B6D" w:rsidP="00623B6D">
      <w:pPr>
        <w:jc w:val="both"/>
        <w:rPr>
          <w:b/>
          <w:bCs/>
        </w:rPr>
      </w:pPr>
      <w:r w:rsidRPr="00623B6D">
        <w:rPr>
          <w:b/>
          <w:bCs/>
        </w:rPr>
        <w:t>6.2 The crossover, and the thermodynamic bet the architecture can lose</w:t>
      </w:r>
    </w:p>
    <w:p w14:paraId="3E3EA0D6" w14:textId="77777777" w:rsidR="00623B6D" w:rsidRPr="00623B6D" w:rsidRDefault="00623B6D" w:rsidP="00623B6D">
      <w:pPr>
        <w:jc w:val="both"/>
      </w:pPr>
      <w:r w:rsidRPr="00623B6D">
        <w:t xml:space="preserve">The architecture is not predicted to win everywhere, and saying clearly where it is predicted to </w:t>
      </w:r>
      <w:r w:rsidRPr="00623B6D">
        <w:rPr>
          <w:i/>
          <w:iCs/>
        </w:rPr>
        <w:t>lose</w:t>
      </w:r>
      <w:r w:rsidRPr="00623B6D">
        <w:t xml:space="preserve"> is what makes the economic claim falsifiable rather than safe. The proximity runtime pays a cost object-oriented code does not: a continuous compiler that monitors pathway variance, evaluates the amortization inequality, performs the lifts, and performs the melts, over a poset it must maintain at runtime. Object-oriented interfaces are fixed at authoring time and carry no such runtime machinery. So in a </w:t>
      </w:r>
      <w:r w:rsidRPr="00623B6D">
        <w:rPr>
          <w:i/>
          <w:iCs/>
        </w:rPr>
        <w:t>stable</w:t>
      </w:r>
      <w:r w:rsidRPr="00623B6D">
        <w:t xml:space="preserve"> domain — low novelty, signatures that hold — the proximity architecture pays overhead for a flexibility it never uses, and object-oriented code, with its fixed interfaces and rarely-triggered exception handlers, is simply cheaper. The architecture concedes this regime outright.</w:t>
      </w:r>
    </w:p>
    <w:p w14:paraId="03ACFC99" w14:textId="77777777" w:rsidR="00623B6D" w:rsidRPr="00623B6D" w:rsidRDefault="00623B6D" w:rsidP="00623B6D">
      <w:pPr>
        <w:jc w:val="both"/>
      </w:pPr>
      <w:r w:rsidRPr="00623B6D">
        <w:t xml:space="preserve">Its bet is that there is a </w:t>
      </w:r>
      <w:r w:rsidRPr="00623B6D">
        <w:rPr>
          <w:b/>
          <w:bCs/>
        </w:rPr>
        <w:t>finite crossover</w:t>
      </w:r>
      <w:r w:rsidRPr="00623B6D">
        <w:t>: a novelty rate above which the cost the object-oriented system pays in crashes, exception propagation, and recovery exceeds the overhead the proximity runtime pays in compiler machinery and fluid routing. Below the crossover, fixed interfaces win; above it, melting-and-rerouting wins. The experiment is a fair head-to-head — same workload, same hardware, object-oriented-with-exception-handling against the proximity runtime with all its lifts, melts, searches, and bookkeeping counted — sweeping novelty and locating the crossover. The architecture predicts the crossover exists and is finite.</w:t>
      </w:r>
    </w:p>
    <w:p w14:paraId="1E633EAB" w14:textId="77777777" w:rsidR="00623B6D" w:rsidRPr="00623B6D" w:rsidRDefault="00623B6D" w:rsidP="00623B6D">
      <w:pPr>
        <w:jc w:val="both"/>
      </w:pPr>
      <w:r w:rsidRPr="00623B6D">
        <w:t xml:space="preserve">The kill condition here is the sharpest in the paper, because it threatens the architecture's reason to exist. If there is </w:t>
      </w:r>
      <w:r w:rsidRPr="00623B6D">
        <w:rPr>
          <w:i/>
          <w:iCs/>
        </w:rPr>
        <w:t>no finite crossover</w:t>
      </w:r>
      <w:r w:rsidRPr="00623B6D">
        <w:t xml:space="preserve"> — if a competently engineered object-oriented system with ordinary exception handling is cheaper than the proximity runtime at </w:t>
      </w:r>
      <w:r w:rsidRPr="00623B6D">
        <w:rPr>
          <w:i/>
          <w:iCs/>
        </w:rPr>
        <w:t>every</w:t>
      </w:r>
      <w:r w:rsidRPr="00623B6D">
        <w:t xml:space="preserve"> novelty rate, including the extremes — then the continuous compiler's overhead is never repaid, the thermodynamic justification of §3 fails, and the architecture has no regime in which it is worth building. This is a real risk and not a rhetorical one: the runtime machinery is genuine overhead, and whether it is repaid is an empirical question the architecture could lose. Stating it this way is the point — the paper does not get to assume the crossover; it has to be found.</w:t>
      </w:r>
    </w:p>
    <w:p w14:paraId="6067EBBA" w14:textId="77777777" w:rsidR="00623B6D" w:rsidRPr="00623B6D" w:rsidRDefault="00623B6D" w:rsidP="00623B6D">
      <w:pPr>
        <w:jc w:val="both"/>
        <w:rPr>
          <w:b/>
          <w:bCs/>
        </w:rPr>
      </w:pPr>
      <w:r w:rsidRPr="00623B6D">
        <w:rPr>
          <w:b/>
          <w:bCs/>
        </w:rPr>
        <w:t>6.3 The phase-structure signature</w:t>
      </w:r>
    </w:p>
    <w:p w14:paraId="0DCB34F6" w14:textId="77777777" w:rsidR="00623B6D" w:rsidRPr="00623B6D" w:rsidRDefault="00623B6D" w:rsidP="00623B6D">
      <w:pPr>
        <w:jc w:val="both"/>
      </w:pPr>
      <w:r w:rsidRPr="00623B6D">
        <w:lastRenderedPageBreak/>
        <w:t xml:space="preserve">The third prediction tests the mechanism rather than the outcome, at the level of a single pathway. The body claims a pathway occupies one of two discrete regimes — fluid proximity routing at cost C_fluid, or crystallized dispatch at cost C_strict — with crystallization fired discretely when variance falls below ε(Π) and the amortization inequality is met (§3.2), and melting fired discretely when an obstruction class goes nontrivial (§5.1). Instrument a pathway's per-execution cost over its lifetime. The prediction is a </w:t>
      </w:r>
      <w:r w:rsidRPr="00623B6D">
        <w:rPr>
          <w:b/>
          <w:bCs/>
        </w:rPr>
        <w:t>two-regime step structure</w:t>
      </w:r>
      <w:r w:rsidRPr="00623B6D">
        <w:t xml:space="preserve">: a step </w:t>
      </w:r>
      <w:r w:rsidRPr="00623B6D">
        <w:rPr>
          <w:i/>
          <w:iCs/>
        </w:rPr>
        <w:t>down</w:t>
      </w:r>
      <w:r w:rsidRPr="00623B6D">
        <w:t xml:space="preserve"> in cost at the moment of crystallization, a flat low-cost plateau while the crystallized interface holds, and a step </w:t>
      </w:r>
      <w:r w:rsidRPr="00623B6D">
        <w:rPr>
          <w:i/>
          <w:iCs/>
        </w:rPr>
        <w:t>up</w:t>
      </w:r>
      <w:r w:rsidRPr="00623B6D">
        <w:t xml:space="preserve"> in cost at the moment of melting, returning to the fluid plateau — discrete transitions, not gradual drift.</w:t>
      </w:r>
    </w:p>
    <w:p w14:paraId="47BB748B" w14:textId="77777777" w:rsidR="00623B6D" w:rsidRPr="00623B6D" w:rsidRDefault="00623B6D" w:rsidP="00623B6D">
      <w:pPr>
        <w:jc w:val="both"/>
      </w:pPr>
      <w:r w:rsidRPr="00623B6D">
        <w:t xml:space="preserve">The kill condition tests the crystallize/melt model itself. If per-pathway cost instead varies </w:t>
      </w:r>
      <w:r w:rsidRPr="00623B6D">
        <w:rPr>
          <w:i/>
          <w:iCs/>
        </w:rPr>
        <w:t>continuously</w:t>
      </w:r>
      <w:r w:rsidRPr="00623B6D">
        <w:t>, with no discrete transitions — if there is no identifiable moment of crystallization and no identifiable melt, only smooth change — then the architecture is not doing what the body says it does, whatever its aggregate performance. The two operations the paper is built on, the lift and the unglue, are discrete phase changes or they are not the mechanism; a smooth cost curve would mean the system is doing something else, and the phase-change account would be refuted even if graceful degradation (§6.1) happened to hold for some other reason.</w:t>
      </w:r>
    </w:p>
    <w:p w14:paraId="7D72D4A8" w14:textId="77777777" w:rsidR="00623B6D" w:rsidRPr="00623B6D" w:rsidRDefault="00623B6D" w:rsidP="00623B6D">
      <w:pPr>
        <w:jc w:val="both"/>
        <w:rPr>
          <w:b/>
          <w:bCs/>
        </w:rPr>
      </w:pPr>
      <w:r w:rsidRPr="00623B6D">
        <w:rPr>
          <w:b/>
          <w:bCs/>
        </w:rPr>
        <w:t>Closing</w:t>
      </w:r>
    </w:p>
    <w:p w14:paraId="39551AE8" w14:textId="77777777" w:rsidR="00623B6D" w:rsidRPr="00623B6D" w:rsidRDefault="00623B6D" w:rsidP="00623B6D">
      <w:pPr>
        <w:jc w:val="both"/>
      </w:pPr>
      <w:r w:rsidRPr="00623B6D">
        <w:t>These three tests — the degradation curve, the cost crossover, the phase-structure signature — are what the manifesto offers in place of a built system. Each can fail: melting can fail to re-route, the crossover can fail to exist, the phase changes can fail to appear. The architecture's claim is the conjunction of the three — that a runtime keeping both directions of the enrichment ladder will degrade as a slope where object-oriented code degrades as a cliff, will be repaid for its overhead above a finite novelty rate, and will do so by the discrete lift and unglue that are the framework's own operations. The paper proposes this and stakes it on those measurements; whether to build the runtime that would make them depends on the theory holding up under exactly the scrutiny the rest of the series has been built to invite.</w:t>
      </w:r>
    </w:p>
    <w:p w14:paraId="10F60316" w14:textId="6C01233A" w:rsidR="00623B6D" w:rsidRPr="00623B6D" w:rsidRDefault="00623B6D" w:rsidP="002A2B01">
      <w:pPr>
        <w:pStyle w:val="Heading1"/>
      </w:pPr>
      <w:r w:rsidRPr="00623B6D">
        <w:t>Bibliography</w:t>
      </w:r>
    </w:p>
    <w:p w14:paraId="73C18EF3" w14:textId="77777777" w:rsidR="00623B6D" w:rsidRPr="002A2B01" w:rsidRDefault="00623B6D" w:rsidP="002A2B01">
      <w:pPr>
        <w:pStyle w:val="Heading2"/>
        <w:rPr>
          <w:sz w:val="28"/>
          <w:szCs w:val="28"/>
        </w:rPr>
      </w:pPr>
      <w:r w:rsidRPr="002A2B01">
        <w:rPr>
          <w:sz w:val="28"/>
          <w:szCs w:val="28"/>
        </w:rPr>
        <w:t>Mathematics: proximity, uniformity, and the poset of opens</w:t>
      </w:r>
    </w:p>
    <w:p w14:paraId="6395EBB9" w14:textId="39B03BF8" w:rsidR="00623B6D" w:rsidRPr="002A2B01" w:rsidRDefault="00623B6D" w:rsidP="00623B6D">
      <w:pPr>
        <w:jc w:val="both"/>
        <w:rPr>
          <w:sz w:val="20"/>
          <w:szCs w:val="20"/>
        </w:rPr>
      </w:pPr>
      <w:r w:rsidRPr="002A2B01">
        <w:rPr>
          <w:sz w:val="20"/>
          <w:szCs w:val="20"/>
        </w:rPr>
        <w:t xml:space="preserve">Naimpally, S. A., &amp; Warrack, B. D. (1970). </w:t>
      </w:r>
      <w:r w:rsidRPr="002A2B01">
        <w:rPr>
          <w:i/>
          <w:iCs/>
          <w:sz w:val="20"/>
          <w:szCs w:val="20"/>
        </w:rPr>
        <w:t>Proximity Spaces.</w:t>
      </w:r>
      <w:r w:rsidRPr="002A2B01">
        <w:rPr>
          <w:sz w:val="20"/>
          <w:szCs w:val="20"/>
        </w:rPr>
        <w:t xml:space="preserve"> Cambridge Tracts in Mathematics and Mathematical Physics, No. 59. Cambridge University Press.</w:t>
      </w:r>
      <w:r w:rsidR="002A2B01" w:rsidRPr="002A2B01">
        <w:rPr>
          <w:sz w:val="20"/>
          <w:szCs w:val="20"/>
        </w:rPr>
        <w:t xml:space="preserve"> </w:t>
      </w:r>
      <w:r w:rsidRPr="002A2B01">
        <w:rPr>
          <w:sz w:val="20"/>
          <w:szCs w:val="20"/>
        </w:rPr>
        <w:t>(The theory of proximity spaces and their relation to uniform spaces — the rung §2.2 places the runtime's fluid base on: a nearness relation A δ B carrying more than topology and less than a metric, with the Efremovich conditions and the proximity–uniformity correspondence the section's rung placement relies on.)</w:t>
      </w:r>
    </w:p>
    <w:p w14:paraId="09810455" w14:textId="512BD57E" w:rsidR="00623B6D" w:rsidRPr="002A2B01" w:rsidRDefault="00623B6D" w:rsidP="00623B6D">
      <w:pPr>
        <w:jc w:val="both"/>
        <w:rPr>
          <w:sz w:val="20"/>
          <w:szCs w:val="20"/>
        </w:rPr>
      </w:pPr>
      <w:r w:rsidRPr="002A2B01">
        <w:rPr>
          <w:sz w:val="20"/>
          <w:szCs w:val="20"/>
        </w:rPr>
        <w:t xml:space="preserve">Efremovič, V. A. (1952). The geometry of proximity I (in Russian). </w:t>
      </w:r>
      <w:r w:rsidRPr="002A2B01">
        <w:rPr>
          <w:i/>
          <w:iCs/>
          <w:sz w:val="20"/>
          <w:szCs w:val="20"/>
        </w:rPr>
        <w:t>Matematicheskii Sbornik (Novaya Seriya)</w:t>
      </w:r>
      <w:r w:rsidRPr="002A2B01">
        <w:rPr>
          <w:sz w:val="20"/>
          <w:szCs w:val="20"/>
        </w:rPr>
        <w:t>, 31(73)(1), 189–200.</w:t>
      </w:r>
      <w:r w:rsidR="002A2B01" w:rsidRPr="002A2B01">
        <w:rPr>
          <w:sz w:val="20"/>
          <w:szCs w:val="20"/>
        </w:rPr>
        <w:t xml:space="preserve"> </w:t>
      </w:r>
      <w:r w:rsidRPr="002A2B01">
        <w:rPr>
          <w:sz w:val="20"/>
          <w:szCs w:val="20"/>
        </w:rPr>
        <w:t>(The primary source for the proximity relation itself — the axioms §2.2 cites as the Efremovich conditions governing A δ B. Cited as origin; the modern treatment used is Naimpally &amp; Warrack.)</w:t>
      </w:r>
    </w:p>
    <w:p w14:paraId="358FE87A" w14:textId="2E54E1FE" w:rsidR="00623B6D" w:rsidRPr="002A2B01" w:rsidRDefault="00623B6D" w:rsidP="00623B6D">
      <w:pPr>
        <w:jc w:val="both"/>
        <w:rPr>
          <w:sz w:val="20"/>
          <w:szCs w:val="20"/>
        </w:rPr>
      </w:pPr>
      <w:r w:rsidRPr="002A2B01">
        <w:rPr>
          <w:sz w:val="20"/>
          <w:szCs w:val="20"/>
        </w:rPr>
        <w:t xml:space="preserve">Bott, R., &amp; Tu, L. W. (1982). </w:t>
      </w:r>
      <w:r w:rsidRPr="002A2B01">
        <w:rPr>
          <w:i/>
          <w:iCs/>
          <w:sz w:val="20"/>
          <w:szCs w:val="20"/>
        </w:rPr>
        <w:t>Differential Forms in Algebraic Topology.</w:t>
      </w:r>
      <w:r w:rsidRPr="002A2B01">
        <w:rPr>
          <w:sz w:val="20"/>
          <w:szCs w:val="20"/>
        </w:rPr>
        <w:t xml:space="preserve"> Graduate Texts in Mathematics 82. Springer.</w:t>
      </w:r>
      <w:r w:rsidR="002A2B01" w:rsidRPr="002A2B01">
        <w:rPr>
          <w:sz w:val="20"/>
          <w:szCs w:val="20"/>
        </w:rPr>
        <w:t xml:space="preserve"> </w:t>
      </w:r>
      <w:r w:rsidRPr="002A2B01">
        <w:rPr>
          <w:sz w:val="20"/>
          <w:szCs w:val="20"/>
        </w:rPr>
        <w:t>(Good covers, the poset of opens ordered by inclusion over which a sheaf is defined, and the local-to-global machinery — the structures §2.1 builds poset-driven execution on and §2.3 invokes for the Čech obstruction that the proximity rung cannot support. Shared with the Transformer and hypercovering papers.)</w:t>
      </w:r>
    </w:p>
    <w:p w14:paraId="6CD6619D" w14:textId="738406EC" w:rsidR="00623B6D" w:rsidRPr="002A2B01" w:rsidRDefault="00623B6D" w:rsidP="00623B6D">
      <w:pPr>
        <w:jc w:val="both"/>
        <w:rPr>
          <w:sz w:val="20"/>
          <w:szCs w:val="20"/>
        </w:rPr>
      </w:pPr>
      <w:r w:rsidRPr="002A2B01">
        <w:rPr>
          <w:sz w:val="20"/>
          <w:szCs w:val="20"/>
        </w:rPr>
        <w:t xml:space="preserve">Godement, R. (1958). </w:t>
      </w:r>
      <w:r w:rsidRPr="002A2B01">
        <w:rPr>
          <w:i/>
          <w:iCs/>
          <w:sz w:val="20"/>
          <w:szCs w:val="20"/>
        </w:rPr>
        <w:t>Topologie algébrique et théorie des faisceaux.</w:t>
      </w:r>
      <w:r w:rsidRPr="002A2B01">
        <w:rPr>
          <w:sz w:val="20"/>
          <w:szCs w:val="20"/>
        </w:rPr>
        <w:t xml:space="preserve"> Hermann, Paris.</w:t>
      </w:r>
      <w:r w:rsidR="002A2B01" w:rsidRPr="002A2B01">
        <w:rPr>
          <w:sz w:val="20"/>
          <w:szCs w:val="20"/>
        </w:rPr>
        <w:t xml:space="preserve"> </w:t>
      </w:r>
      <w:r w:rsidRPr="002A2B01">
        <w:rPr>
          <w:sz w:val="20"/>
          <w:szCs w:val="20"/>
        </w:rPr>
        <w:t>(Sheaf foundations — sections, restriction, transition data, and the obstruction to gluing — the vocabulary in which §2.3's "no transition maps, no obstruction" and §5.1's crystallized-interface obstruction are stated.)</w:t>
      </w:r>
    </w:p>
    <w:p w14:paraId="7CCA0487" w14:textId="77777777" w:rsidR="00623B6D" w:rsidRPr="002A2B01" w:rsidRDefault="00623B6D" w:rsidP="002A2B01">
      <w:pPr>
        <w:pStyle w:val="Heading2"/>
        <w:rPr>
          <w:sz w:val="28"/>
          <w:szCs w:val="28"/>
        </w:rPr>
      </w:pPr>
      <w:r w:rsidRPr="002A2B01">
        <w:rPr>
          <w:sz w:val="28"/>
          <w:szCs w:val="28"/>
        </w:rPr>
        <w:lastRenderedPageBreak/>
        <w:t>This framework</w:t>
      </w:r>
    </w:p>
    <w:p w14:paraId="6D1C9F5C" w14:textId="4CF53B63" w:rsidR="00623B6D" w:rsidRPr="002A2B01" w:rsidRDefault="00623B6D" w:rsidP="00623B6D">
      <w:pPr>
        <w:jc w:val="both"/>
        <w:rPr>
          <w:sz w:val="20"/>
          <w:szCs w:val="20"/>
        </w:rPr>
      </w:pPr>
      <w:r w:rsidRPr="002A2B01">
        <w:rPr>
          <w:sz w:val="20"/>
          <w:szCs w:val="20"/>
        </w:rPr>
        <w:t xml:space="preserve">Ghosh, D. P. (2025). </w:t>
      </w:r>
      <w:r w:rsidRPr="002A2B01">
        <w:rPr>
          <w:i/>
          <w:iCs/>
          <w:sz w:val="20"/>
          <w:szCs w:val="20"/>
        </w:rPr>
        <w:t>The Geometry of Defensible Action.</w:t>
      </w:r>
      <w:r w:rsidRPr="002A2B01">
        <w:rPr>
          <w:sz w:val="20"/>
          <w:szCs w:val="20"/>
        </w:rPr>
        <w:t xml:space="preserve"> (Paper 1 of this series.) DOI 10.13140/RG.2.2.24454.54080.</w:t>
      </w:r>
      <w:r w:rsidR="002A2B01" w:rsidRPr="002A2B01">
        <w:rPr>
          <w:sz w:val="20"/>
          <w:szCs w:val="20"/>
        </w:rPr>
        <w:t xml:space="preserve"> </w:t>
      </w:r>
      <w:r w:rsidRPr="002A2B01">
        <w:rPr>
          <w:sz w:val="20"/>
          <w:szCs w:val="20"/>
        </w:rPr>
        <w:t>(The enrichment ladder and its free-descent/obstructed-ascent asymmetry — the cost structure of §3.1, the bidirectional-ladder thesis of §1.3, and the load-bearing reason §4.2 preservation is forced; the Hahn–Banach norm-preservation guarantee §4 invokes as corroborating, not entailing, the no-deletion rule.)</w:t>
      </w:r>
    </w:p>
    <w:p w14:paraId="7E1A710C" w14:textId="4FB9C3FB" w:rsidR="00623B6D" w:rsidRPr="002A2B01" w:rsidRDefault="00623B6D" w:rsidP="00623B6D">
      <w:pPr>
        <w:jc w:val="both"/>
        <w:rPr>
          <w:sz w:val="20"/>
          <w:szCs w:val="20"/>
        </w:rPr>
      </w:pPr>
      <w:r w:rsidRPr="002A2B01">
        <w:rPr>
          <w:sz w:val="20"/>
          <w:szCs w:val="20"/>
        </w:rPr>
        <w:t xml:space="preserve">Ghosh, D. P. </w:t>
      </w:r>
      <w:r w:rsidRPr="002A2B01">
        <w:rPr>
          <w:i/>
          <w:iCs/>
          <w:sz w:val="20"/>
          <w:szCs w:val="20"/>
        </w:rPr>
        <w:t>The Proximity Floor.</w:t>
      </w:r>
      <w:r w:rsidRPr="002A2B01">
        <w:rPr>
          <w:sz w:val="20"/>
          <w:szCs w:val="20"/>
        </w:rPr>
        <w:t xml:space="preserve"> DOI 10.13140/RG.2.2.20333.96488.</w:t>
      </w:r>
      <w:r w:rsidR="002A2B01" w:rsidRPr="002A2B01">
        <w:rPr>
          <w:sz w:val="20"/>
          <w:szCs w:val="20"/>
        </w:rPr>
        <w:t xml:space="preserve"> </w:t>
      </w:r>
      <w:r w:rsidRPr="002A2B01">
        <w:rPr>
          <w:sz w:val="20"/>
          <w:szCs w:val="20"/>
        </w:rPr>
        <w:t>(The proximity rung itself — the rung §2.2 places the runtime's fluid base on, established there as the nearness floor below the uniform and metric rungs; the runtime is the software realization of operation at this rung.)</w:t>
      </w:r>
    </w:p>
    <w:p w14:paraId="576FD776" w14:textId="3736D2D3" w:rsidR="00623B6D" w:rsidRPr="002A2B01" w:rsidRDefault="00623B6D" w:rsidP="00623B6D">
      <w:pPr>
        <w:jc w:val="both"/>
        <w:rPr>
          <w:sz w:val="20"/>
          <w:szCs w:val="20"/>
        </w:rPr>
      </w:pPr>
      <w:r w:rsidRPr="002A2B01">
        <w:rPr>
          <w:sz w:val="20"/>
          <w:szCs w:val="20"/>
        </w:rPr>
        <w:t xml:space="preserve">Ghosh, D. P. </w:t>
      </w:r>
      <w:r w:rsidRPr="002A2B01">
        <w:rPr>
          <w:i/>
          <w:iCs/>
          <w:sz w:val="20"/>
          <w:szCs w:val="20"/>
        </w:rPr>
        <w:t>Settling and Traversing.</w:t>
      </w:r>
      <w:r w:rsidRPr="002A2B01">
        <w:rPr>
          <w:sz w:val="20"/>
          <w:szCs w:val="20"/>
        </w:rPr>
        <w:t xml:space="preserve"> DOI 10.13140/RG.2.2.31186.72648.</w:t>
      </w:r>
      <w:r w:rsidR="002A2B01" w:rsidRPr="002A2B01">
        <w:rPr>
          <w:sz w:val="20"/>
          <w:szCs w:val="20"/>
        </w:rPr>
        <w:t xml:space="preserve"> </w:t>
      </w:r>
      <w:r w:rsidRPr="002A2B01">
        <w:rPr>
          <w:sz w:val="20"/>
          <w:szCs w:val="20"/>
        </w:rPr>
        <w:t>(The uniform rung — the structure §5.1 places the crystallized interface's obstruction at, where comparable local precision first exists; "from proximity to uniformity" is the ascent from the rung of the line above to the rung of this one.)</w:t>
      </w:r>
    </w:p>
    <w:p w14:paraId="78A9BEAD" w14:textId="1282EC19" w:rsidR="00623B6D" w:rsidRPr="002A2B01" w:rsidRDefault="00623B6D" w:rsidP="00623B6D">
      <w:pPr>
        <w:jc w:val="both"/>
        <w:rPr>
          <w:sz w:val="20"/>
          <w:szCs w:val="20"/>
        </w:rPr>
      </w:pPr>
      <w:r w:rsidRPr="002A2B01">
        <w:rPr>
          <w:sz w:val="20"/>
          <w:szCs w:val="20"/>
        </w:rPr>
        <w:t xml:space="preserve">Ghosh, D. P. (2026). </w:t>
      </w:r>
      <w:r w:rsidRPr="002A2B01">
        <w:rPr>
          <w:i/>
          <w:iCs/>
          <w:sz w:val="20"/>
          <w:szCs w:val="20"/>
        </w:rPr>
        <w:t>Building, Holding, and Keeping the Ladder.</w:t>
      </w:r>
      <w:r w:rsidRPr="002A2B01">
        <w:rPr>
          <w:sz w:val="20"/>
          <w:szCs w:val="20"/>
        </w:rPr>
        <w:t xml:space="preserve"> DOI 10.13140/RG.2.2.18367.88483.</w:t>
      </w:r>
      <w:r w:rsidR="002A2B01" w:rsidRPr="002A2B01">
        <w:rPr>
          <w:sz w:val="20"/>
          <w:szCs w:val="20"/>
        </w:rPr>
        <w:t xml:space="preserve"> </w:t>
      </w:r>
      <w:r w:rsidRPr="002A2B01">
        <w:rPr>
          <w:sz w:val="20"/>
          <w:szCs w:val="20"/>
        </w:rPr>
        <w:t>(The three-axis space and the connection×separation failure geometry — the melt corner §5 reads object-oriented failure as, and the realizability constraints the bidirectional ladder of §1.3 must satisfy.)</w:t>
      </w:r>
    </w:p>
    <w:p w14:paraId="2304F9DF" w14:textId="28A13802" w:rsidR="00623B6D" w:rsidRPr="002A2B01" w:rsidRDefault="00623B6D" w:rsidP="00623B6D">
      <w:pPr>
        <w:jc w:val="both"/>
        <w:rPr>
          <w:sz w:val="20"/>
          <w:szCs w:val="20"/>
        </w:rPr>
      </w:pPr>
      <w:r w:rsidRPr="002A2B01">
        <w:rPr>
          <w:sz w:val="20"/>
          <w:szCs w:val="20"/>
        </w:rPr>
        <w:t xml:space="preserve">Ghosh, D. P. (2026). </w:t>
      </w:r>
      <w:r w:rsidRPr="002A2B01">
        <w:rPr>
          <w:i/>
          <w:iCs/>
          <w:sz w:val="20"/>
          <w:szCs w:val="20"/>
        </w:rPr>
        <w:t>Dynamic Predictive Gluing: A Sheaf-Theoretic Theory of Consciousness and the Necessity of Sleep.</w:t>
      </w:r>
      <w:r w:rsidRPr="002A2B01">
        <w:rPr>
          <w:sz w:val="20"/>
          <w:szCs w:val="20"/>
        </w:rPr>
        <w:t xml:space="preserve"> (Paper 3 of this series.) DOI 10.13140/RG.2.2.19848.99846.</w:t>
      </w:r>
      <w:r w:rsidR="002A2B01" w:rsidRPr="002A2B01">
        <w:rPr>
          <w:sz w:val="20"/>
          <w:szCs w:val="20"/>
        </w:rPr>
        <w:t xml:space="preserve"> </w:t>
      </w:r>
      <w:r w:rsidRPr="002A2B01">
        <w:rPr>
          <w:sz w:val="20"/>
          <w:szCs w:val="20"/>
        </w:rPr>
        <w:t>(Binding as gluing with a cohomological obstruction, and the offline/online distinction — the offline regime that §3.3 reads crystallization as performing, and the obstruction whose nontriviality §5.1 makes the melt trigger.)</w:t>
      </w:r>
    </w:p>
    <w:p w14:paraId="10F29FC7" w14:textId="13F69AD4" w:rsidR="00623B6D" w:rsidRPr="002A2B01" w:rsidRDefault="00623B6D" w:rsidP="00623B6D">
      <w:pPr>
        <w:jc w:val="both"/>
        <w:rPr>
          <w:sz w:val="20"/>
          <w:szCs w:val="20"/>
        </w:rPr>
      </w:pPr>
      <w:r w:rsidRPr="002A2B01">
        <w:rPr>
          <w:sz w:val="20"/>
          <w:szCs w:val="20"/>
        </w:rPr>
        <w:t xml:space="preserve">Ghosh, D. P. (2026). </w:t>
      </w:r>
      <w:r w:rsidRPr="002A2B01">
        <w:rPr>
          <w:i/>
          <w:iCs/>
          <w:sz w:val="20"/>
          <w:szCs w:val="20"/>
        </w:rPr>
        <w:t>The Hierarchy of Binding: Multimodal Dynamic Predictive Gluing and Why Language Must Enter at the Top.</w:t>
      </w:r>
      <w:r w:rsidRPr="002A2B01">
        <w:rPr>
          <w:sz w:val="20"/>
          <w:szCs w:val="20"/>
        </w:rPr>
        <w:t xml:space="preserve"> (Paper 4 of this series.) DOI 10.13140/RG.2.2.34889.51044.</w:t>
      </w:r>
      <w:r w:rsidR="002A2B01" w:rsidRPr="002A2B01">
        <w:rPr>
          <w:sz w:val="20"/>
          <w:szCs w:val="20"/>
        </w:rPr>
        <w:t xml:space="preserve"> </w:t>
      </w:r>
      <w:r w:rsidRPr="002A2B01">
        <w:rPr>
          <w:sz w:val="20"/>
          <w:szCs w:val="20"/>
        </w:rPr>
        <w:t>(The vacuous-obstruction result for transition structure that is trivial by construction — the precedent §2.3 generalizes when it argues that the proximity rung, lacking transition maps entirely, carries no computable obstruction.)</w:t>
      </w:r>
    </w:p>
    <w:p w14:paraId="46E85EDF" w14:textId="39EBECF8" w:rsidR="00623B6D" w:rsidRPr="002A2B01" w:rsidRDefault="00623B6D" w:rsidP="00623B6D">
      <w:pPr>
        <w:jc w:val="both"/>
        <w:rPr>
          <w:sz w:val="20"/>
          <w:szCs w:val="20"/>
        </w:rPr>
      </w:pPr>
      <w:r w:rsidRPr="002A2B01">
        <w:rPr>
          <w:sz w:val="20"/>
          <w:szCs w:val="20"/>
        </w:rPr>
        <w:t xml:space="preserve">Ghosh, D. P. </w:t>
      </w:r>
      <w:r w:rsidRPr="002A2B01">
        <w:rPr>
          <w:i/>
          <w:iCs/>
          <w:sz w:val="20"/>
          <w:szCs w:val="20"/>
        </w:rPr>
        <w:t>The Algorithm of the 3→6-Layer Cortex: Tensor-Bound Storage, Contraction Retrieval, and the Cup-Product Gate, with N3 as the Offline Tensor Lift.</w:t>
      </w:r>
      <w:r w:rsidRPr="002A2B01">
        <w:rPr>
          <w:sz w:val="20"/>
          <w:szCs w:val="20"/>
        </w:rPr>
        <w:t xml:space="preserve"> doi:10.13140/RG.2.2.14232.56328. (Companion paper to this series.)</w:t>
      </w:r>
      <w:r w:rsidR="002A2B01" w:rsidRPr="002A2B01">
        <w:rPr>
          <w:sz w:val="20"/>
          <w:szCs w:val="20"/>
        </w:rPr>
        <w:t xml:space="preserve"> </w:t>
      </w:r>
      <w:r w:rsidRPr="002A2B01">
        <w:rPr>
          <w:sz w:val="20"/>
          <w:szCs w:val="20"/>
        </w:rPr>
        <w:t xml:space="preserve">(The N3 offline lift — the norm-preserving normed-to-inner-product ascent that builds an orthogonal basis — which §3.3 identifies crystallization with </w:t>
      </w:r>
      <w:r w:rsidRPr="002A2B01">
        <w:rPr>
          <w:i/>
          <w:iCs/>
          <w:sz w:val="20"/>
          <w:szCs w:val="20"/>
        </w:rPr>
        <w:t>structurally</w:t>
      </w:r>
      <w:r w:rsidRPr="002A2B01">
        <w:rPr>
          <w:sz w:val="20"/>
          <w:szCs w:val="20"/>
        </w:rPr>
        <w:t xml:space="preserve"> (an isomorphism, not an identity: N3 is the top rung-step, crystallization an ascent from proximity) and which corroborates the preserved fallback §4 derives independently; retrieval as inner-product contraction, the sibling realization of the unglue §5.4 identifies melting as; and the class-nontriviality-at-ε(Π) criterion §5.1 adopts.)</w:t>
      </w:r>
    </w:p>
    <w:p w14:paraId="5B8C7916" w14:textId="20A2AF66" w:rsidR="00623B6D" w:rsidRPr="002A2B01" w:rsidRDefault="00623B6D" w:rsidP="00623B6D">
      <w:pPr>
        <w:jc w:val="both"/>
        <w:rPr>
          <w:sz w:val="20"/>
          <w:szCs w:val="20"/>
        </w:rPr>
      </w:pPr>
      <w:r w:rsidRPr="002A2B01">
        <w:rPr>
          <w:sz w:val="20"/>
          <w:szCs w:val="20"/>
        </w:rPr>
        <w:t xml:space="preserve">Ghosh, D. P. </w:t>
      </w:r>
      <w:r w:rsidRPr="002A2B01">
        <w:rPr>
          <w:i/>
          <w:iCs/>
          <w:sz w:val="20"/>
          <w:szCs w:val="20"/>
        </w:rPr>
        <w:t>Proximity, Uniformity, and Provenance: A Sheaf-Theoretic Reading of the Transformer Block.</w:t>
      </w:r>
      <w:r w:rsidRPr="002A2B01">
        <w:rPr>
          <w:sz w:val="20"/>
          <w:szCs w:val="20"/>
        </w:rPr>
        <w:t xml:space="preserve"> doi:10.13140/RG.2.2.22726.02889. (Companion paper, opening the implementation series.)</w:t>
      </w:r>
      <w:r w:rsidR="002A2B01" w:rsidRPr="002A2B01">
        <w:rPr>
          <w:sz w:val="20"/>
          <w:szCs w:val="20"/>
        </w:rPr>
        <w:t xml:space="preserve"> </w:t>
      </w:r>
      <w:r w:rsidRPr="002A2B01">
        <w:rPr>
          <w:sz w:val="20"/>
          <w:szCs w:val="20"/>
        </w:rPr>
        <w:t>(The result that a cohomological obstruction is vacuous without structured transition maps — the principle §2.3 invokes for the proximity rung (absence) where the Transformer paper found it for attention (triviality); and the series framing §1.3 extends: the prevailing technology as the framework missing one operation, the gate there, free descent here.)</w:t>
      </w:r>
    </w:p>
    <w:p w14:paraId="370E264C" w14:textId="6C313192" w:rsidR="00623B6D" w:rsidRPr="002A2B01" w:rsidRDefault="00623B6D" w:rsidP="00623B6D">
      <w:pPr>
        <w:jc w:val="both"/>
        <w:rPr>
          <w:sz w:val="20"/>
          <w:szCs w:val="20"/>
        </w:rPr>
      </w:pPr>
      <w:r w:rsidRPr="002A2B01">
        <w:rPr>
          <w:sz w:val="20"/>
          <w:szCs w:val="20"/>
        </w:rPr>
        <w:t xml:space="preserve">Ghosh, D. P. </w:t>
      </w:r>
      <w:r w:rsidRPr="002A2B01">
        <w:rPr>
          <w:i/>
          <w:iCs/>
          <w:sz w:val="20"/>
          <w:szCs w:val="20"/>
        </w:rPr>
        <w:t>A Gluing Discipline for Defensible Representations.</w:t>
      </w:r>
      <w:r w:rsidRPr="002A2B01">
        <w:rPr>
          <w:sz w:val="20"/>
          <w:szCs w:val="20"/>
        </w:rPr>
        <w:t xml:space="preserve"> (Engineering addendum to this series.)</w:t>
      </w:r>
      <w:r w:rsidR="002A2B01" w:rsidRPr="002A2B01">
        <w:rPr>
          <w:sz w:val="20"/>
          <w:szCs w:val="20"/>
        </w:rPr>
        <w:t xml:space="preserve"> </w:t>
      </w:r>
      <w:r w:rsidRPr="002A2B01">
        <w:rPr>
          <w:sz w:val="20"/>
          <w:szCs w:val="20"/>
        </w:rPr>
        <w:t>(The first-class unglue posited as a required primitive with its mechanism left open — the debt §5.4 discharges provisionally by proposing melting, free descent onto a preserved lower rung, as a candidate mechanism.)</w:t>
      </w:r>
    </w:p>
    <w:p w14:paraId="34DFFB44" w14:textId="735C7BA7" w:rsidR="00623B6D" w:rsidRPr="002A2B01" w:rsidRDefault="00623B6D" w:rsidP="00623B6D">
      <w:pPr>
        <w:jc w:val="both"/>
        <w:rPr>
          <w:sz w:val="20"/>
          <w:szCs w:val="20"/>
        </w:rPr>
      </w:pPr>
      <w:r w:rsidRPr="002A2B01">
        <w:rPr>
          <w:sz w:val="20"/>
          <w:szCs w:val="20"/>
        </w:rPr>
        <w:t xml:space="preserve">Ghosh, D. P. </w:t>
      </w:r>
      <w:r w:rsidRPr="002A2B01">
        <w:rPr>
          <w:i/>
          <w:iCs/>
          <w:sz w:val="20"/>
          <w:szCs w:val="20"/>
        </w:rPr>
        <w:t>From Coboundary Norms to Persistent Čech H¹.</w:t>
      </w:r>
      <w:r w:rsidRPr="002A2B01">
        <w:rPr>
          <w:sz w:val="20"/>
          <w:szCs w:val="20"/>
        </w:rPr>
        <w:t xml:space="preserve"> (Cohomological Attention Block addendum to this series.)</w:t>
      </w:r>
      <w:r w:rsidR="002A2B01" w:rsidRPr="002A2B01">
        <w:rPr>
          <w:sz w:val="20"/>
          <w:szCs w:val="20"/>
        </w:rPr>
        <w:t xml:space="preserve"> </w:t>
      </w:r>
      <w:r w:rsidRPr="002A2B01">
        <w:rPr>
          <w:sz w:val="20"/>
          <w:szCs w:val="20"/>
        </w:rPr>
        <w:t>(The persistence tolerance ε(Π) and the obstruction-as-class formulation — the precision tone §3.2 applies to pathway variance as a stability proxy and §5.1 applies to the obstruction class governing the melt.)</w:t>
      </w:r>
    </w:p>
    <w:p w14:paraId="72E4A10C" w14:textId="58691BAE" w:rsidR="00623B6D" w:rsidRPr="00623B6D" w:rsidRDefault="00623B6D" w:rsidP="00623B6D">
      <w:pPr>
        <w:jc w:val="both"/>
      </w:pPr>
    </w:p>
    <w:p w14:paraId="5B0FBAAB" w14:textId="77777777" w:rsidR="00DC1523" w:rsidRDefault="00DC1523" w:rsidP="00623B6D">
      <w:pPr>
        <w:jc w:val="both"/>
      </w:pPr>
    </w:p>
    <w:sectPr w:rsidR="00DC1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402"/>
    <w:rsid w:val="000301B7"/>
    <w:rsid w:val="002146D8"/>
    <w:rsid w:val="002A2B01"/>
    <w:rsid w:val="002C3F9C"/>
    <w:rsid w:val="00623B6D"/>
    <w:rsid w:val="00791402"/>
    <w:rsid w:val="008B08B7"/>
    <w:rsid w:val="00997E89"/>
    <w:rsid w:val="00B41DE8"/>
    <w:rsid w:val="00C24516"/>
    <w:rsid w:val="00D27DB6"/>
    <w:rsid w:val="00DC1523"/>
    <w:rsid w:val="00F008CA"/>
    <w:rsid w:val="00F404C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BAB55"/>
  <w15:chartTrackingRefBased/>
  <w15:docId w15:val="{2BE763A6-5A35-4DC6-BAA7-616F0C7FC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4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914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14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14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14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1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4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914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14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14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14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1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402"/>
    <w:rPr>
      <w:rFonts w:eastAsiaTheme="majorEastAsia" w:cstheme="majorBidi"/>
      <w:color w:val="272727" w:themeColor="text1" w:themeTint="D8"/>
    </w:rPr>
  </w:style>
  <w:style w:type="paragraph" w:styleId="Title">
    <w:name w:val="Title"/>
    <w:basedOn w:val="Normal"/>
    <w:next w:val="Normal"/>
    <w:link w:val="TitleChar"/>
    <w:uiPriority w:val="10"/>
    <w:qFormat/>
    <w:rsid w:val="00791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402"/>
    <w:pPr>
      <w:spacing w:before="160"/>
      <w:jc w:val="center"/>
    </w:pPr>
    <w:rPr>
      <w:i/>
      <w:iCs/>
      <w:color w:val="404040" w:themeColor="text1" w:themeTint="BF"/>
    </w:rPr>
  </w:style>
  <w:style w:type="character" w:customStyle="1" w:styleId="QuoteChar">
    <w:name w:val="Quote Char"/>
    <w:basedOn w:val="DefaultParagraphFont"/>
    <w:link w:val="Quote"/>
    <w:uiPriority w:val="29"/>
    <w:rsid w:val="00791402"/>
    <w:rPr>
      <w:i/>
      <w:iCs/>
      <w:color w:val="404040" w:themeColor="text1" w:themeTint="BF"/>
    </w:rPr>
  </w:style>
  <w:style w:type="paragraph" w:styleId="ListParagraph">
    <w:name w:val="List Paragraph"/>
    <w:basedOn w:val="Normal"/>
    <w:uiPriority w:val="34"/>
    <w:qFormat/>
    <w:rsid w:val="00791402"/>
    <w:pPr>
      <w:ind w:left="720"/>
      <w:contextualSpacing/>
    </w:pPr>
  </w:style>
  <w:style w:type="character" w:styleId="IntenseEmphasis">
    <w:name w:val="Intense Emphasis"/>
    <w:basedOn w:val="DefaultParagraphFont"/>
    <w:uiPriority w:val="21"/>
    <w:qFormat/>
    <w:rsid w:val="00791402"/>
    <w:rPr>
      <w:i/>
      <w:iCs/>
      <w:color w:val="2F5496" w:themeColor="accent1" w:themeShade="BF"/>
    </w:rPr>
  </w:style>
  <w:style w:type="paragraph" w:styleId="IntenseQuote">
    <w:name w:val="Intense Quote"/>
    <w:basedOn w:val="Normal"/>
    <w:next w:val="Normal"/>
    <w:link w:val="IntenseQuoteChar"/>
    <w:uiPriority w:val="30"/>
    <w:qFormat/>
    <w:rsid w:val="007914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1402"/>
    <w:rPr>
      <w:i/>
      <w:iCs/>
      <w:color w:val="2F5496" w:themeColor="accent1" w:themeShade="BF"/>
    </w:rPr>
  </w:style>
  <w:style w:type="character" w:styleId="IntenseReference">
    <w:name w:val="Intense Reference"/>
    <w:basedOn w:val="DefaultParagraphFont"/>
    <w:uiPriority w:val="32"/>
    <w:qFormat/>
    <w:rsid w:val="00791402"/>
    <w:rPr>
      <w:b/>
      <w:bCs/>
      <w:smallCaps/>
      <w:color w:val="2F5496" w:themeColor="accent1" w:themeShade="BF"/>
      <w:spacing w:val="5"/>
    </w:rPr>
  </w:style>
  <w:style w:type="character" w:styleId="Hyperlink">
    <w:name w:val="Hyperlink"/>
    <w:basedOn w:val="DefaultParagraphFont"/>
    <w:uiPriority w:val="99"/>
    <w:unhideWhenUsed/>
    <w:rsid w:val="00D27DB6"/>
    <w:rPr>
      <w:color w:val="0563C1" w:themeColor="hyperlink"/>
      <w:u w:val="single"/>
    </w:rPr>
  </w:style>
  <w:style w:type="character" w:styleId="UnresolvedMention">
    <w:name w:val="Unresolved Mention"/>
    <w:basedOn w:val="DefaultParagraphFont"/>
    <w:uiPriority w:val="99"/>
    <w:semiHidden/>
    <w:unhideWhenUsed/>
    <w:rsid w:val="002146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13140/RG.2.2.21729.8816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orcid.org/0000-0001-7393-2907" TargetMode="External"/><Relationship Id="rId4" Type="http://schemas.openxmlformats.org/officeDocument/2006/relationships/hyperlink" Target="mailto:debiprasadghosh@lntecc.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14</Pages>
  <Words>8423</Words>
  <Characters>48012</Characters>
  <Application>Microsoft Office Word</Application>
  <DocSecurity>0</DocSecurity>
  <Lines>400</Lines>
  <Paragraphs>112</Paragraphs>
  <ScaleCrop>false</ScaleCrop>
  <Company/>
  <LinksUpToDate>false</LinksUpToDate>
  <CharactersWithSpaces>56323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Debiprasad Ghosh</dc:creator>
  <cp:keywords/>
  <dc:description/>
  <cp:lastModifiedBy>Debiprasad Ghosh</cp:lastModifiedBy>
  <cp:revision>6</cp:revision>
  <cp:lastPrinted>2026-06-17T13:56:00Z</cp:lastPrinted>
  <dcterms:created xsi:type="dcterms:W3CDTF">2026-06-17T13:44:00Z</dcterms:created>
  <dcterms:modified xsi:type="dcterms:W3CDTF">2026-06-17T13:59:00Z</dcterms:modified>
</cp:coreProperties>
</file>