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A9D2" w14:textId="77777777" w:rsidR="009B60AD" w:rsidRPr="006B4CC5" w:rsidRDefault="009B60AD" w:rsidP="009B60AD">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69995957" w14:textId="77777777" w:rsidR="003E07CC" w:rsidRDefault="003E07CC" w:rsidP="003E07CC">
      <w:pPr>
        <w:pStyle w:val="Title"/>
        <w:jc w:val="center"/>
        <w:rPr>
          <w:sz w:val="44"/>
          <w:szCs w:val="44"/>
        </w:rPr>
      </w:pPr>
      <w:r w:rsidRPr="003E07CC">
        <w:rPr>
          <w:sz w:val="60"/>
          <w:szCs w:val="60"/>
        </w:rPr>
        <w:t>Proximity, Uniformity, and Provenance</w:t>
      </w:r>
      <w:r w:rsidRPr="003E07CC">
        <w:rPr>
          <w:sz w:val="48"/>
          <w:szCs w:val="48"/>
        </w:rPr>
        <w:t xml:space="preserve">: </w:t>
      </w:r>
      <w:r w:rsidRPr="003E07CC">
        <w:rPr>
          <w:sz w:val="44"/>
          <w:szCs w:val="44"/>
        </w:rPr>
        <w:t>A Sheaf-Theoretic Reading of the Transformer Block</w:t>
      </w:r>
    </w:p>
    <w:p w14:paraId="4B6E4A40" w14:textId="77777777" w:rsidR="009B60AD" w:rsidRDefault="009B60AD" w:rsidP="009B60AD">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594A899A" wp14:editId="1B8DB6AF">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61234E84" w14:textId="77777777" w:rsidR="009B60AD" w:rsidRPr="006B4CC5" w:rsidRDefault="009B60AD" w:rsidP="009B60AD">
      <w:pPr>
        <w:jc w:val="center"/>
      </w:pPr>
      <w:r>
        <w:t>CTO, AI &amp;</w:t>
      </w:r>
      <w:r w:rsidRPr="006B4CC5">
        <w:t xml:space="preserve"> Automation</w:t>
      </w:r>
    </w:p>
    <w:p w14:paraId="228812EB" w14:textId="77777777" w:rsidR="009B60AD" w:rsidRDefault="009B60AD" w:rsidP="009B60AD">
      <w:pPr>
        <w:jc w:val="center"/>
      </w:pPr>
      <w:r w:rsidRPr="00F5609C">
        <w:t>Engineering Design &amp; Research Center, Larsen &amp; Toubro Construction (M&amp;M) Kolkata, India</w:t>
      </w:r>
    </w:p>
    <w:p w14:paraId="600C5F58" w14:textId="5A6A38E2" w:rsidR="003E07CC" w:rsidRPr="003E07CC" w:rsidRDefault="004A35EC" w:rsidP="009B60AD">
      <w:pPr>
        <w:jc w:val="center"/>
        <w:rPr>
          <w:b/>
          <w:bCs/>
        </w:rPr>
      </w:pPr>
      <w:hyperlink r:id="rId8" w:history="1">
        <w:r w:rsidRPr="00CE2A80">
          <w:rPr>
            <w:rStyle w:val="Hyperlink"/>
            <w:b/>
            <w:bCs/>
          </w:rPr>
          <w:t>https://doi.org/10.13140/RG.2.2.22726.02889</w:t>
        </w:r>
      </w:hyperlink>
      <w:r>
        <w:rPr>
          <w:b/>
          <w:bCs/>
        </w:rPr>
        <w:t xml:space="preserve"> </w:t>
      </w:r>
    </w:p>
    <w:p w14:paraId="53A66FD3" w14:textId="581C5A29" w:rsidR="003E07CC" w:rsidRPr="003E07CC" w:rsidRDefault="003E07CC" w:rsidP="003E07CC">
      <w:pPr>
        <w:jc w:val="both"/>
      </w:pPr>
      <w:r w:rsidRPr="003E07CC">
        <w:rPr>
          <w:b/>
          <w:bCs/>
        </w:rPr>
        <w:t>Abstract</w:t>
      </w:r>
      <w:r>
        <w:rPr>
          <w:b/>
          <w:bCs/>
        </w:rPr>
        <w:t xml:space="preserve">: </w:t>
      </w:r>
      <w:r w:rsidRPr="003E07CC">
        <w:t>Present artificial intelligence is, to a first approximation, the Transformer, so an implementation series for this framework must begin by saying precisely what the Transformer already is in the framework's terms — which of the framework's operations the architecture performs, and which it lacks. We argue, against a seductive misreading, that the block does not climb the enrichment ladder from a topological to a geometric rung: it operates entirely within the inner-product rung, because attention is built on the dot product, and it computes increments there rather than ascending. Read off the equations, each component realizes one of the framework's operations. Self-attention is soft gluing along a partition of unity — the softmax row, nonnegative and summing to one, is the partition against which value vectors are convexly combined — not the discovery of a topology beneath the geometry. The position-wise feedforward network is a constant sheaf of maps, supplying the uniformity of law that renders tokens comparable; it does not, and cannot, certify their coherence, because it transforms every input it receives and has no halting mechanism. Normalization is rung-maintenance, projecting the representation onto a fixed-scale shell — exactly so for RMSNorm — to hold it in the regime where dot products measure alignment. And the residual stream is provenance-preserving transport, carrying a token's identity forward as a non-erased additive summand, though it protects against overwriting rather than against a large increment swamping the identity.</w:t>
      </w:r>
    </w:p>
    <w:p w14:paraId="331CD77B" w14:textId="77777777" w:rsidR="003E07CC" w:rsidRPr="003E07CC" w:rsidRDefault="003E07CC" w:rsidP="003E07CC">
      <w:pPr>
        <w:jc w:val="both"/>
      </w:pPr>
      <w:r w:rsidRPr="003E07CC">
        <w:t xml:space="preserve">What no component does is compute an obstruction and refuse. The softmax maps onto the simplex and the feedforward map is total, so the block glues unconditionally — it assembles a global section at every layer and never evaluates whether the assembly was legitimate, assuming in effect that every cover is Leray and every gluing coherent. We sharpen this into a structural result: vanilla attention's transition maps are trivial, because the value a token contributes is query-independent, so the triple-overlap cocycle condition holds automatically and the obstruction is </w:t>
      </w:r>
      <w:r w:rsidRPr="003E07CC">
        <w:rPr>
          <w:i/>
          <w:iCs/>
        </w:rPr>
        <w:t>vacuous by construction</w:t>
      </w:r>
      <w:r w:rsidRPr="003E07CC">
        <w:t xml:space="preserve"> — forced to zero not because coherence was verified but because the architecture represents no transition structure that could be inconsistent. A Transformer hallucination is the precise signature of this vacuous obstruction: predictive gluing run with the obstruction step deleted. The thesis is that the Transformer is the framework's gluing engine with the gate removed, and that the Cohomological Attention Block and its hypercovering refinement are the missing gate — which must first </w:t>
      </w:r>
      <w:r w:rsidRPr="003E07CC">
        <w:rPr>
          <w:i/>
          <w:iCs/>
        </w:rPr>
        <w:t>supply</w:t>
      </w:r>
      <w:r w:rsidRPr="003E07CC">
        <w:t xml:space="preserve"> the structured transition maps the architecture lacks, and only then test them.</w:t>
      </w:r>
    </w:p>
    <w:p w14:paraId="74835DC0" w14:textId="77777777" w:rsidR="003E07CC" w:rsidRPr="003E07CC" w:rsidRDefault="003E07CC" w:rsidP="003E07CC">
      <w:pPr>
        <w:jc w:val="both"/>
      </w:pPr>
      <w:r w:rsidRPr="003E07CC">
        <w:t xml:space="preserve">The candidate implementation follows. The gate's criterion is the nontriviality of the obstruction </w:t>
      </w:r>
      <w:r w:rsidRPr="003E07CC">
        <w:rPr>
          <w:i/>
          <w:iCs/>
        </w:rPr>
        <w:t>class</w:t>
      </w:r>
      <w:r w:rsidRPr="003E07CC">
        <w:t xml:space="preserve"> at the precision tolerance ε(Π), not a scalar magnitude compared to a threshold — the form the framework corrected to, on the submultiplicativity of the obstruction. Its leading insertion point is the residual boundary, evaluating the increment after attention computes it but before the additive transport commits it, because that is the last point at which provenance can be protected before swamping; the alternatives — screening the read from the stream, or the compound second-order obstruction across heads — are named for the implementation papers to discriminate empirically. </w:t>
      </w:r>
      <w:r w:rsidRPr="003E07CC">
        <w:lastRenderedPageBreak/>
        <w:t>Throughout, the equations correctly named are load-bearing; the operational readings (soft gluing, rung-maintenance, provenance) are supported interpretations of them; the gate-insertion is candidate; and two readings are refused — that the feedforward network certifies coherence, and that the block ascends the ladder. The claims are structural isomorphisms and not identities: the components are read as realizing the framework's operations, not asserted to be them.</w:t>
      </w:r>
    </w:p>
    <w:p w14:paraId="6EB0874F" w14:textId="77777777" w:rsidR="003E07CC" w:rsidRPr="003E07CC" w:rsidRDefault="003E07CC" w:rsidP="003E07CC">
      <w:pPr>
        <w:jc w:val="both"/>
      </w:pPr>
      <w:r w:rsidRPr="003E07CC">
        <w:rPr>
          <w:b/>
          <w:bCs/>
        </w:rPr>
        <w:t>Keywords:</w:t>
      </w:r>
      <w:r w:rsidRPr="003E07CC">
        <w:t xml:space="preserve"> </w:t>
      </w:r>
      <w:r w:rsidRPr="00BD7027">
        <w:rPr>
          <w:sz w:val="20"/>
          <w:szCs w:val="20"/>
        </w:rPr>
        <w:t>Transformer; self-attention; partition of unity; soft gluing; feedforward network; constant sheaf; layer normalization; residual stream; obstruction gate; vacuous obstruction; defensible intelligence.</w:t>
      </w:r>
    </w:p>
    <w:p w14:paraId="0543C595" w14:textId="77777777" w:rsidR="003E07CC" w:rsidRPr="003E07CC" w:rsidRDefault="003E07CC" w:rsidP="00BD7027">
      <w:pPr>
        <w:pStyle w:val="Heading1"/>
      </w:pPr>
      <w:r w:rsidRPr="003E07CC">
        <w:t>1. Introduction</w:t>
      </w:r>
    </w:p>
    <w:p w14:paraId="13FF9D8E" w14:textId="77777777" w:rsidR="003E07CC" w:rsidRPr="003E07CC" w:rsidRDefault="003E07CC" w:rsidP="003E07CC">
      <w:pPr>
        <w:jc w:val="both"/>
        <w:rPr>
          <w:b/>
          <w:bCs/>
        </w:rPr>
      </w:pPr>
      <w:r w:rsidRPr="003E07CC">
        <w:rPr>
          <w:b/>
          <w:bCs/>
        </w:rPr>
        <w:t>1.1 From theory to implementation</w:t>
      </w:r>
    </w:p>
    <w:p w14:paraId="504BFB72" w14:textId="77777777" w:rsidR="003E07CC" w:rsidRPr="003E07CC" w:rsidRDefault="003E07CC" w:rsidP="003E07CC">
      <w:pPr>
        <w:jc w:val="both"/>
      </w:pPr>
      <w:r w:rsidRPr="003E07CC">
        <w:t>The earlier volumes of this framework built their machinery abstractly: an enrichment ladder of representational structure, binding as the gluing of local sections with a cohomological obstruction, a gate that can withhold, and the offline regimes that maintain the whole. None of it was tied to a particular architecture, by design — the claims were about defensible intelligence as such. But an implementation series cannot stay abstract, and present artificial intelligence is, to a first approximation, the Transformer: the architecture behind essentially every capable contemporary model. If the framework is to say anything about building defensible systems, it must first say precisely what the Transformer already is, in the framework's own terms — which of the framework's operations the architecture already performs, and which it lacks. This paper is that translation, and it is the hinge between the theory and the implementation papers that follow.</w:t>
      </w:r>
    </w:p>
    <w:p w14:paraId="0DFA1A5C" w14:textId="77777777" w:rsidR="003E07CC" w:rsidRPr="003E07CC" w:rsidRDefault="003E07CC" w:rsidP="003E07CC">
      <w:pPr>
        <w:jc w:val="both"/>
      </w:pPr>
      <w:r w:rsidRPr="003E07CC">
        <w:t xml:space="preserve">The translation must be done carefully, because the Transformer invites a seductive misreading the framework has spent four papers learning to refuse. It is tempting to say that the block </w:t>
      </w:r>
      <w:r w:rsidRPr="003E07CC">
        <w:rPr>
          <w:i/>
          <w:iCs/>
        </w:rPr>
        <w:t>climbs the enrichment ladder</w:t>
      </w:r>
      <w:r w:rsidRPr="003E07CC">
        <w:t xml:space="preserve"> — that self-attention is the topological rung, the feedforward network the geometric rung, layer normalization the coordinate standardization between them — a clean ascent from proximity to certification. This reading is elegant and nearly right, and that is exactly why it is dangerous. It is also false to the mathematics: a Transformer operates in an inner-product space from its first layer, because attention is built on the dot product Q·Kᵀ, so there is no climb from a lower rung to the inner-product rung — the architecture begins at the top and never leaves it. The block does not ascend the ladder; it computes </w:t>
      </w:r>
      <w:r w:rsidRPr="003E07CC">
        <w:rPr>
          <w:i/>
          <w:iCs/>
        </w:rPr>
        <w:t>increments</w:t>
      </w:r>
      <w:r w:rsidRPr="003E07CC">
        <w:t xml:space="preserve"> within a single rung. Reading components as rungs misstates what they are, and a single line — </w:t>
      </w:r>
      <w:r w:rsidRPr="003E07CC">
        <w:rPr>
          <w:i/>
          <w:iCs/>
        </w:rPr>
        <w:t>attention is an inner product, so it already presupposes the rung it is supposed to discover</w:t>
      </w:r>
      <w:r w:rsidRPr="003E07CC">
        <w:t xml:space="preserve"> — would undo the whole paper.</w:t>
      </w:r>
    </w:p>
    <w:p w14:paraId="4ED1FC02" w14:textId="77777777" w:rsidR="003E07CC" w:rsidRPr="003E07CC" w:rsidRDefault="003E07CC" w:rsidP="003E07CC">
      <w:pPr>
        <w:jc w:val="both"/>
        <w:rPr>
          <w:b/>
          <w:bCs/>
        </w:rPr>
      </w:pPr>
      <w:r w:rsidRPr="003E07CC">
        <w:rPr>
          <w:b/>
          <w:bCs/>
        </w:rPr>
        <w:t>1.2 The honest thesis: operations, not rungs</w:t>
      </w:r>
    </w:p>
    <w:p w14:paraId="68BDC898" w14:textId="77777777" w:rsidR="003E07CC" w:rsidRPr="003E07CC" w:rsidRDefault="003E07CC" w:rsidP="003E07CC">
      <w:pPr>
        <w:jc w:val="both"/>
      </w:pPr>
      <w:r w:rsidRPr="003E07CC">
        <w:t xml:space="preserve">The defensible claim is that the Transformer block realizes several of the framework's </w:t>
      </w:r>
      <w:r w:rsidRPr="003E07CC">
        <w:rPr>
          <w:i/>
          <w:iCs/>
        </w:rPr>
        <w:t>operations</w:t>
      </w:r>
      <w:r w:rsidRPr="003E07CC">
        <w:t>, all within the inner-product rung, and that the one operation it has no component for is the one the framework most cares about. Stated plainly:</w:t>
      </w:r>
    </w:p>
    <w:p w14:paraId="53C55053" w14:textId="77777777" w:rsidR="003E07CC" w:rsidRPr="003E07CC" w:rsidRDefault="003E07CC" w:rsidP="003E07CC">
      <w:pPr>
        <w:numPr>
          <w:ilvl w:val="0"/>
          <w:numId w:val="1"/>
        </w:numPr>
        <w:jc w:val="both"/>
      </w:pPr>
      <w:r w:rsidRPr="003E07CC">
        <w:rPr>
          <w:b/>
          <w:bCs/>
        </w:rPr>
        <w:t>Self-attention is soft gluing.</w:t>
      </w:r>
      <w:r w:rsidRPr="003E07CC">
        <w:t xml:space="preserve"> The softmax over Q·Kᵀ/√d produces, for each token, a set of nonnegative weights summing to one — a partition of unity — against which the value vectors are convexly combined. This is exactly the partition-of-unity local-to-global pass the hypercovering note formalized: attention glues each token's representation from its neighbors along an input-dependent partition of unity. It is </w:t>
      </w:r>
      <w:r w:rsidRPr="003E07CC">
        <w:rPr>
          <w:i/>
          <w:iCs/>
        </w:rPr>
        <w:t>soft gluing in an inner-product space</w:t>
      </w:r>
      <w:r w:rsidRPr="003E07CC">
        <w:t>, not the discovery of a topology beneath it.</w:t>
      </w:r>
    </w:p>
    <w:p w14:paraId="53A76993" w14:textId="77777777" w:rsidR="003E07CC" w:rsidRPr="003E07CC" w:rsidRDefault="003E07CC" w:rsidP="003E07CC">
      <w:pPr>
        <w:numPr>
          <w:ilvl w:val="0"/>
          <w:numId w:val="1"/>
        </w:numPr>
        <w:jc w:val="both"/>
      </w:pPr>
      <w:r w:rsidRPr="003E07CC">
        <w:rPr>
          <w:b/>
          <w:bCs/>
        </w:rPr>
        <w:t>The feedforward network is a shared transformation law.</w:t>
      </w:r>
      <w:r w:rsidRPr="003E07CC">
        <w:t xml:space="preserve"> The position-wise MLP applies the same map φ at every position. This is a constant sheaf of maps — one transformation law, </w:t>
      </w:r>
      <w:r w:rsidRPr="003E07CC">
        <w:lastRenderedPageBreak/>
        <w:t xml:space="preserve">applied uniformly — and it supplies </w:t>
      </w:r>
      <w:r w:rsidRPr="003E07CC">
        <w:rPr>
          <w:i/>
          <w:iCs/>
        </w:rPr>
        <w:t>uniformity of law</w:t>
      </w:r>
      <w:r w:rsidRPr="003E07CC">
        <w:t xml:space="preserve"> across positions. What it does not do is </w:t>
      </w:r>
      <w:r w:rsidRPr="003E07CC">
        <w:rPr>
          <w:i/>
          <w:iCs/>
        </w:rPr>
        <w:t>certify</w:t>
      </w:r>
      <w:r w:rsidRPr="003E07CC">
        <w:t xml:space="preserve"> anything: an MLP transforms, it does not test consistency and has no mechanism to reject an incoherent input. It supplies the precondition for comparability, not a verdict on it.</w:t>
      </w:r>
    </w:p>
    <w:p w14:paraId="588A1C0B" w14:textId="77777777" w:rsidR="003E07CC" w:rsidRPr="003E07CC" w:rsidRDefault="003E07CC" w:rsidP="003E07CC">
      <w:pPr>
        <w:numPr>
          <w:ilvl w:val="0"/>
          <w:numId w:val="1"/>
        </w:numPr>
        <w:jc w:val="both"/>
      </w:pPr>
      <w:r w:rsidRPr="003E07CC">
        <w:rPr>
          <w:b/>
          <w:bCs/>
        </w:rPr>
        <w:t>Layer normalization is rung-maintenance.</w:t>
      </w:r>
      <w:r w:rsidRPr="003E07CC">
        <w:t xml:space="preserve"> Normalization projects the representation back toward a fixed-scale shell, keeping it in the regime where the next layer's maps — the attention projections and the shared φ — operate validly. It prevents the additive residual stream from drifting out of that regime; it maintains the rung rather than changing it.</w:t>
      </w:r>
    </w:p>
    <w:p w14:paraId="4562C490" w14:textId="77777777" w:rsidR="003E07CC" w:rsidRPr="003E07CC" w:rsidRDefault="003E07CC" w:rsidP="003E07CC">
      <w:pPr>
        <w:numPr>
          <w:ilvl w:val="0"/>
          <w:numId w:val="1"/>
        </w:numPr>
        <w:jc w:val="both"/>
      </w:pPr>
      <w:r w:rsidRPr="003E07CC">
        <w:rPr>
          <w:b/>
          <w:bCs/>
        </w:rPr>
        <w:t>Residual connections are provenance-preserving transport.</w:t>
      </w:r>
      <w:r w:rsidRPr="003E07CC">
        <w:t xml:space="preserve"> The block computes x + Δ, transporting the token's identity forward and adding a structural increment rather than replacing the state. Identity is preserved; context influences it but does not erase it.</w:t>
      </w:r>
    </w:p>
    <w:p w14:paraId="791B97BC" w14:textId="77777777" w:rsidR="003E07CC" w:rsidRPr="003E07CC" w:rsidRDefault="003E07CC" w:rsidP="003E07CC">
      <w:pPr>
        <w:jc w:val="both"/>
      </w:pPr>
      <w:r w:rsidRPr="003E07CC">
        <w:t xml:space="preserve">What no component does is </w:t>
      </w:r>
      <w:r w:rsidRPr="003E07CC">
        <w:rPr>
          <w:b/>
          <w:bCs/>
        </w:rPr>
        <w:t>compute an obstruction and refuse</w:t>
      </w:r>
      <w:r w:rsidRPr="003E07CC">
        <w:t xml:space="preserve">. The Transformer glues unconditionally: attention always produces a weighted combination, the FFN always transforms it, and nothing in the block asks whether the gluing was </w:t>
      </w:r>
      <w:r w:rsidRPr="003E07CC">
        <w:rPr>
          <w:i/>
          <w:iCs/>
        </w:rPr>
        <w:t>legitimate</w:t>
      </w:r>
      <w:r w:rsidRPr="003E07CC">
        <w:t xml:space="preserve"> — whether the local sections being combined actually cohere. This is the same observation Paper 4 made of bottleneck-free shared-attention architectures, whose obstruction is vacuous by construction because they glue without ever computing whether they should. The thesis of this paper, and the through-line of the implementation series it opens, is therefore:</w:t>
      </w:r>
    </w:p>
    <w:p w14:paraId="3298F5D1" w14:textId="77777777" w:rsidR="003E07CC" w:rsidRPr="003E07CC" w:rsidRDefault="003E07CC" w:rsidP="003E07CC">
      <w:pPr>
        <w:jc w:val="both"/>
      </w:pPr>
      <w:r w:rsidRPr="003E07CC">
        <w:t xml:space="preserve">The Transformer is a defensible-intelligence engine with the gate removed. It performs soft gluing, shared-law transformation, rung-maintenance, and provenance transport — every operation the framework requires except the one that can </w:t>
      </w:r>
      <w:r w:rsidRPr="003E07CC">
        <w:rPr>
          <w:i/>
          <w:iCs/>
        </w:rPr>
        <w:t>withhold</w:t>
      </w:r>
      <w:r w:rsidRPr="003E07CC">
        <w:t>. The Cohomological Attention Block and its hypercovering refinement are precisely the missing obstruction gate, and the implementation program is the specification of where that gate inserts into the operations the architecture already runs.</w:t>
      </w:r>
    </w:p>
    <w:p w14:paraId="311B29C5" w14:textId="77777777" w:rsidR="003E07CC" w:rsidRPr="003E07CC" w:rsidRDefault="003E07CC" w:rsidP="003E07CC">
      <w:pPr>
        <w:jc w:val="both"/>
      </w:pPr>
      <w:r w:rsidRPr="003E07CC">
        <w:t>The Transformer's lack of a certification step is thus not an embarrassment to be papered over but the paper's central finding: it locates exactly the absence the rest of the framework exists to fill.</w:t>
      </w:r>
    </w:p>
    <w:p w14:paraId="7A1E320B" w14:textId="77777777" w:rsidR="003E07CC" w:rsidRPr="003E07CC" w:rsidRDefault="003E07CC" w:rsidP="003E07CC">
      <w:pPr>
        <w:jc w:val="both"/>
        <w:rPr>
          <w:b/>
          <w:bCs/>
        </w:rPr>
      </w:pPr>
      <w:r w:rsidRPr="003E07CC">
        <w:rPr>
          <w:b/>
          <w:bCs/>
        </w:rPr>
        <w:t>1.3 What the paper claims, and at what tier</w:t>
      </w:r>
    </w:p>
    <w:p w14:paraId="7372DB23" w14:textId="77777777" w:rsidR="003E07CC" w:rsidRPr="003E07CC" w:rsidRDefault="003E07CC" w:rsidP="003E07CC">
      <w:pPr>
        <w:jc w:val="both"/>
      </w:pPr>
      <w:r w:rsidRPr="003E07CC">
        <w:t xml:space="preserve">The paper commits to the modern </w:t>
      </w:r>
      <w:r w:rsidRPr="003E07CC">
        <w:rPr>
          <w:b/>
          <w:bCs/>
        </w:rPr>
        <w:t>pre-norm</w:t>
      </w:r>
      <w:r w:rsidRPr="003E07CC">
        <w:t xml:space="preserve"> block, because respecting the mathematics means describing the architecture as it is actually built rather than an idealized cycle. A pre-norm block performs two normalize → increment → transport micro-cycles on a residual stream:</w:t>
      </w:r>
    </w:p>
    <w:p w14:paraId="184DB365" w14:textId="77777777" w:rsidR="003E07CC" w:rsidRPr="003E07CC" w:rsidRDefault="003E07CC" w:rsidP="00BD7027">
      <w:pPr>
        <w:jc w:val="center"/>
      </w:pPr>
      <w:r w:rsidRPr="003E07CC">
        <w:t>h = x + Attn(Norm(x)), y = h + FFN(Norm(h)).</w:t>
      </w:r>
    </w:p>
    <w:p w14:paraId="77E7EFE5" w14:textId="77777777" w:rsidR="003E07CC" w:rsidRPr="003E07CC" w:rsidRDefault="003E07CC" w:rsidP="003E07CC">
      <w:pPr>
        <w:jc w:val="both"/>
      </w:pPr>
      <w:r w:rsidRPr="003E07CC">
        <w:t>The original post-norm formulation placed normalization after the sublayer and outside the residual branch; it is noted as the historical variant, and where the distinction matters the paper flags it. Each micro-cycle normalizes (rung-maintenance), computes an increment Δ (gluing, or shared-map transformation), and transports it additively (provenance) — two cycles per block, all within the inner-product rung, and neither computing an obstruction.</w:t>
      </w:r>
    </w:p>
    <w:p w14:paraId="17EB2BF7" w14:textId="77777777" w:rsidR="003E07CC" w:rsidRPr="003E07CC" w:rsidRDefault="003E07CC" w:rsidP="003E07CC">
      <w:pPr>
        <w:jc w:val="both"/>
      </w:pPr>
      <w:r w:rsidRPr="003E07CC">
        <w:t xml:space="preserve">The tiering is held as throughout the series. </w:t>
      </w:r>
      <w:r w:rsidRPr="003E07CC">
        <w:rPr>
          <w:b/>
          <w:bCs/>
        </w:rPr>
        <w:t>[LB]</w:t>
      </w:r>
      <w:r w:rsidRPr="003E07CC">
        <w:t xml:space="preserve"> — the equations correctly named: attention as a softmax-weighted convex combination (partition of unity) over inner-product similarities; the FFN as a position-shared map; the residual as an additive increment; normalization as projection toward a fixed-scale shell. These are not interpretations; they are the architecture's operations stated in the framework's vocabulary. </w:t>
      </w:r>
      <w:r w:rsidRPr="003E07CC">
        <w:rPr>
          <w:b/>
          <w:bCs/>
        </w:rPr>
        <w:t>[SUP]</w:t>
      </w:r>
      <w:r w:rsidRPr="003E07CC">
        <w:t xml:space="preserve"> — the readings layered on those operations: attention as </w:t>
      </w:r>
      <w:r w:rsidRPr="003E07CC">
        <w:rPr>
          <w:i/>
          <w:iCs/>
        </w:rPr>
        <w:t>soft gluing</w:t>
      </w:r>
      <w:r w:rsidRPr="003E07CC">
        <w:t xml:space="preserve">, multi-head as </w:t>
      </w:r>
      <w:r w:rsidRPr="003E07CC">
        <w:rPr>
          <w:i/>
          <w:iCs/>
        </w:rPr>
        <w:t>plural covers</w:t>
      </w:r>
      <w:r w:rsidRPr="003E07CC">
        <w:t xml:space="preserve">, normalization as </w:t>
      </w:r>
      <w:r w:rsidRPr="003E07CC">
        <w:rPr>
          <w:i/>
          <w:iCs/>
        </w:rPr>
        <w:t>rung-maintenance</w:t>
      </w:r>
      <w:r w:rsidRPr="003E07CC">
        <w:t xml:space="preserve">, the residual as </w:t>
      </w:r>
      <w:r w:rsidRPr="003E07CC">
        <w:rPr>
          <w:i/>
          <w:iCs/>
        </w:rPr>
        <w:t>provenance</w:t>
      </w:r>
      <w:r w:rsidRPr="003E07CC">
        <w:t xml:space="preserve">. These are defensible and useful, and they are interpretations of established operations, not consequences of them. </w:t>
      </w:r>
      <w:r w:rsidRPr="003E07CC">
        <w:rPr>
          <w:b/>
          <w:bCs/>
        </w:rPr>
        <w:t>[CAND]</w:t>
      </w:r>
      <w:r w:rsidRPr="003E07CC">
        <w:t xml:space="preserve"> — the implementation hypothesis that the missing obstruction gate inserts at a specific, </w:t>
      </w:r>
      <w:r w:rsidRPr="003E07CC">
        <w:lastRenderedPageBreak/>
        <w:t xml:space="preserve">identifiable point in the micro-cycle; this is what the subsequent implementation papers must test, and it is stated here as a candidate, not a result. And the paper </w:t>
      </w:r>
      <w:r w:rsidRPr="003E07CC">
        <w:rPr>
          <w:b/>
          <w:bCs/>
        </w:rPr>
        <w:t>strips</w:t>
      </w:r>
      <w:r w:rsidRPr="003E07CC">
        <w:t xml:space="preserve"> the two readings that would break the framework: that the FFN </w:t>
      </w:r>
      <w:r w:rsidRPr="003E07CC">
        <w:rPr>
          <w:i/>
          <w:iCs/>
        </w:rPr>
        <w:t>certifies</w:t>
      </w:r>
      <w:r w:rsidRPr="003E07CC">
        <w:t xml:space="preserve"> or </w:t>
      </w:r>
      <w:r w:rsidRPr="003E07CC">
        <w:rPr>
          <w:i/>
          <w:iCs/>
        </w:rPr>
        <w:t>tests</w:t>
      </w:r>
      <w:r w:rsidRPr="003E07CC">
        <w:t xml:space="preserve"> coherence (it transforms; it cannot refuse), and that the block </w:t>
      </w:r>
      <w:r w:rsidRPr="003E07CC">
        <w:rPr>
          <w:i/>
          <w:iCs/>
        </w:rPr>
        <w:t>ascends</w:t>
      </w:r>
      <w:r w:rsidRPr="003E07CC">
        <w:t xml:space="preserve"> the ladder from a topological to a geometric rung (it operates within the inner-product rung throughout).</w:t>
      </w:r>
    </w:p>
    <w:p w14:paraId="34025B4D" w14:textId="77777777" w:rsidR="003E07CC" w:rsidRPr="003E07CC" w:rsidRDefault="003E07CC" w:rsidP="003E07CC">
      <w:pPr>
        <w:jc w:val="both"/>
        <w:rPr>
          <w:b/>
          <w:bCs/>
        </w:rPr>
      </w:pPr>
      <w:r w:rsidRPr="003E07CC">
        <w:rPr>
          <w:b/>
          <w:bCs/>
        </w:rPr>
        <w:t>1.4 Plan of the paper</w:t>
      </w:r>
    </w:p>
    <w:p w14:paraId="59757821" w14:textId="77777777" w:rsidR="003E07CC" w:rsidRPr="003E07CC" w:rsidRDefault="003E07CC" w:rsidP="003E07CC">
      <w:pPr>
        <w:jc w:val="both"/>
      </w:pPr>
      <w:r w:rsidRPr="003E07CC">
        <w:t>Section 2 treats self-attention as soft gluing along a partition of unity, making precise the connection to the hypercovering note's fine-sheaf structure and to multi-head plurality. Section 3 treats the feedforward network as a shared transformation law — uniformity of law — and is careful to mark the boundary between supplying comparability and certifying it, which is where the missing gate first becomes visible. Section 4 treats normalization as rung-maintenance, the recoordinatization that keeps the additive residual stream in the regime where the block's maps remain valid. Section 5 treats residual connections as provenance-preserving transport and the architecture's one native defense against over-association. Section 6 locates the absence — the obstruction gate the block has no component for — and states, at the candidate tier, where the framework's gate inserts and what the implementation series must establish. Throughout, the claims are read off the equations, and the interpretations are marked as such.</w:t>
      </w:r>
    </w:p>
    <w:p w14:paraId="0A8E7E0E" w14:textId="77777777" w:rsidR="003E07CC" w:rsidRPr="003E07CC" w:rsidRDefault="003E07CC" w:rsidP="00BD7027">
      <w:pPr>
        <w:pStyle w:val="Heading1"/>
      </w:pPr>
      <w:r w:rsidRPr="003E07CC">
        <w:t>2. Self-Attention as Soft Gluing</w:t>
      </w:r>
    </w:p>
    <w:p w14:paraId="1786A06D" w14:textId="77777777" w:rsidR="003E07CC" w:rsidRPr="003E07CC" w:rsidRDefault="003E07CC" w:rsidP="003E07CC">
      <w:pPr>
        <w:jc w:val="both"/>
      </w:pPr>
      <w:r w:rsidRPr="003E07CC">
        <w:t>The first operation of the block is self-attention, and the framework reads it as soft gluing along a partition of unity. This section reads the claim off the equations (§2.1), identifies the softmax row as the partition of unity and the output as the gluing it performs, making the correspondence to the hypercovering note precise (§2.2), treats the dynamic cover and multi-head plurality (§2.3), and isolates the property that matters most for the rest of the paper: attention glues unconditionally, because the softmax has no "refuse" in its codomain (§2.4).</w:t>
      </w:r>
    </w:p>
    <w:p w14:paraId="22C53810" w14:textId="77777777" w:rsidR="003E07CC" w:rsidRPr="003E07CC" w:rsidRDefault="003E07CC" w:rsidP="003E07CC">
      <w:pPr>
        <w:jc w:val="both"/>
        <w:rPr>
          <w:b/>
          <w:bCs/>
        </w:rPr>
      </w:pPr>
      <w:r w:rsidRPr="003E07CC">
        <w:rPr>
          <w:b/>
          <w:bCs/>
        </w:rPr>
        <w:t>2.1 The equations, and the inner-product rung [LB]</w:t>
      </w:r>
    </w:p>
    <w:p w14:paraId="030475B7" w14:textId="77777777" w:rsidR="003E07CC" w:rsidRPr="003E07CC" w:rsidRDefault="003E07CC" w:rsidP="003E07CC">
      <w:pPr>
        <w:jc w:val="both"/>
      </w:pPr>
      <w:r w:rsidRPr="003E07CC">
        <w:t xml:space="preserve">For an input X </w:t>
      </w:r>
      <w:r w:rsidRPr="003E07CC">
        <w:rPr>
          <w:rFonts w:ascii="Cambria Math" w:hAnsi="Cambria Math" w:cs="Cambria Math"/>
        </w:rPr>
        <w:t>∈</w:t>
      </w:r>
      <w:r w:rsidRPr="003E07CC">
        <w:t xml:space="preserve"> </w:t>
      </w:r>
      <w:r w:rsidRPr="003E07CC">
        <w:rPr>
          <w:rFonts w:ascii="Cambria Math" w:hAnsi="Cambria Math" w:cs="Cambria Math"/>
        </w:rPr>
        <w:t>ℝ</w:t>
      </w:r>
      <w:r w:rsidRPr="003E07CC">
        <w:t>^{n</w:t>
      </w:r>
      <w:r w:rsidRPr="003E07CC">
        <w:rPr>
          <w:rFonts w:ascii="Calibri" w:hAnsi="Calibri" w:cs="Calibri"/>
        </w:rPr>
        <w:t>×</w:t>
      </w:r>
      <w:r w:rsidRPr="003E07CC">
        <w:t>d} of n token representations, a single attention head computes queries, keys, and values by linear projection, Q = XW_Q, K = XW_K, V = XW_V, then scores, weights, and output:</w:t>
      </w:r>
    </w:p>
    <w:p w14:paraId="5D248DEC" w14:textId="77777777" w:rsidR="003E07CC" w:rsidRPr="003E07CC" w:rsidRDefault="003E07CC" w:rsidP="00BD7027">
      <w:pPr>
        <w:jc w:val="center"/>
      </w:pPr>
      <w:r w:rsidRPr="003E07CC">
        <w:t>S = QKᵀ / √d_k, A = softmax(S) (row-wise), O = AV,</w:t>
      </w:r>
    </w:p>
    <w:p w14:paraId="5E658986" w14:textId="77777777" w:rsidR="003E07CC" w:rsidRPr="003E07CC" w:rsidRDefault="003E07CC" w:rsidP="003E07CC">
      <w:pPr>
        <w:jc w:val="both"/>
      </w:pPr>
      <w:r w:rsidRPr="003E07CC">
        <w:t xml:space="preserve">so that each output row is oᵢ = Σⱼ Aᵢⱼ vⱼ, with Aᵢⱼ = exp(Sᵢⱼ) / Σ_k exp(Sᵢₖ). The first thing the equations settle is the rung. The score Sᵢⱼ = qᵢ · kⱼ / √d_k is an </w:t>
      </w:r>
      <w:r w:rsidRPr="003E07CC">
        <w:rPr>
          <w:i/>
          <w:iCs/>
        </w:rPr>
        <w:t>inner product</w:t>
      </w:r>
      <w:r w:rsidRPr="003E07CC">
        <w:t xml:space="preserve"> of projected representations: attention is built on the dot product, and the dot product is the defining operation of the inner-product rung at the top of the enrichment ladder. There is therefore no sense in which attention discovers a topology beneath the geometry, or climbs from a weaker rung to a stronger one. It begins at the inner-product rung — it must, to form Q·K at all — and everything it does happens there. The intuition that attention answers a question of </w:t>
      </w:r>
      <w:r w:rsidRPr="003E07CC">
        <w:rPr>
          <w:i/>
          <w:iCs/>
        </w:rPr>
        <w:t>proximity</w:t>
      </w:r>
      <w:r w:rsidRPr="003E07CC">
        <w:t xml:space="preserve"> ("which tokens are near enough to matter?") is a fair gloss on what the gluing is </w:t>
      </w:r>
      <w:r w:rsidRPr="003E07CC">
        <w:rPr>
          <w:i/>
          <w:iCs/>
        </w:rPr>
        <w:t>for</w:t>
      </w:r>
      <w:r w:rsidRPr="003E07CC">
        <w:t>, but it is not the rung the operation occupies: proximity here is inner-product similarity, computed at the top of the ladder, not a topological relation discovered below it.</w:t>
      </w:r>
    </w:p>
    <w:p w14:paraId="7859D502" w14:textId="77777777" w:rsidR="003E07CC" w:rsidRPr="003E07CC" w:rsidRDefault="003E07CC" w:rsidP="003E07CC">
      <w:pPr>
        <w:jc w:val="both"/>
        <w:rPr>
          <w:b/>
          <w:bCs/>
        </w:rPr>
      </w:pPr>
      <w:r w:rsidRPr="003E07CC">
        <w:rPr>
          <w:b/>
          <w:bCs/>
        </w:rPr>
        <w:t>2.2 The softmax row is a partition of unity [LB equations / SUP gluing]</w:t>
      </w:r>
    </w:p>
    <w:p w14:paraId="294DAD2E" w14:textId="77777777" w:rsidR="003E07CC" w:rsidRPr="003E07CC" w:rsidRDefault="003E07CC" w:rsidP="003E07CC">
      <w:pPr>
        <w:jc w:val="both"/>
      </w:pPr>
      <w:r w:rsidRPr="003E07CC">
        <w:t xml:space="preserve">The softmax over each row produces weights that are nonnegative and sum to one: Aᵢⱼ ≥ 0 and Σⱼ Aᵢⱼ = 1. For a fixed query token i, the family {Aᵢⱼ}ⱼ over the key tokens is therefore exactly a </w:t>
      </w:r>
      <w:r w:rsidRPr="003E07CC">
        <w:rPr>
          <w:b/>
          <w:bCs/>
        </w:rPr>
        <w:t>partition of unity</w:t>
      </w:r>
      <w:r w:rsidRPr="003E07CC">
        <w:t xml:space="preserve"> — the same object the hypercovering note identified as what makes the latent setting fine and licenses </w:t>
      </w:r>
      <w:r w:rsidRPr="003E07CC">
        <w:lastRenderedPageBreak/>
        <w:t xml:space="preserve">the local-to-global computation. The correspondence is precise and not metaphorical. In that note, a partition of unity {ρᵢ} subordinate to a cover lets local sections be glued into a whole by weighting and summing them. Here, the value vectors {vⱼ} are the local sections — one per token — and the query's attention row {Aᵢⱼ} is the partition of unity that glues them: the output oᵢ = Σⱼ Aᵢⱼ vⱼ is the weighted sum of local sections along the partition, a </w:t>
      </w:r>
      <w:r w:rsidRPr="003E07CC">
        <w:rPr>
          <w:i/>
          <w:iCs/>
        </w:rPr>
        <w:t>convex combination</w:t>
      </w:r>
      <w:r w:rsidRPr="003E07CC">
        <w:t xml:space="preserve"> lying in the convex hull of the values. Attention is the partition-of-unity local-to-global pass, realized as a softmax-weighted convex combination, and the token's updated representation is what its neighbors' sections glue to under that partition.</w:t>
      </w:r>
    </w:p>
    <w:p w14:paraId="23F99681" w14:textId="77777777" w:rsidR="003E07CC" w:rsidRPr="003E07CC" w:rsidRDefault="003E07CC" w:rsidP="003E07CC">
      <w:pPr>
        <w:jc w:val="both"/>
      </w:pPr>
      <w:r w:rsidRPr="003E07CC">
        <w:t xml:space="preserve">This is the [LB] content — the equations name a partition of unity and a convex combination, with nothing added — and the [SUP] reading layered on it is that this convex combination </w:t>
      </w:r>
      <w:r w:rsidRPr="003E07CC">
        <w:rPr>
          <w:i/>
          <w:iCs/>
        </w:rPr>
        <w:t>is</w:t>
      </w:r>
      <w:r w:rsidRPr="003E07CC">
        <w:t xml:space="preserve"> gluing in the framework's sense: the assembly of a token's representation from the local sections of the tokens it attends to. The reading is faithful because the operation has exactly the form gluing requires, a partition of unity applied to local sections; it is interpretive because calling the value vectors "local sections of a sheaf" imports a structure the architecture does not declare, only instantiates.</w:t>
      </w:r>
    </w:p>
    <w:p w14:paraId="390F8FB5" w14:textId="77777777" w:rsidR="003E07CC" w:rsidRPr="003E07CC" w:rsidRDefault="003E07CC" w:rsidP="003E07CC">
      <w:pPr>
        <w:jc w:val="both"/>
        <w:rPr>
          <w:b/>
          <w:bCs/>
        </w:rPr>
      </w:pPr>
      <w:r w:rsidRPr="003E07CC">
        <w:rPr>
          <w:b/>
          <w:bCs/>
        </w:rPr>
        <w:t>2.3 The dynamic cover and multi-head plurality [SUP]</w:t>
      </w:r>
    </w:p>
    <w:p w14:paraId="2508D91D" w14:textId="77777777" w:rsidR="003E07CC" w:rsidRPr="003E07CC" w:rsidRDefault="003E07CC" w:rsidP="003E07CC">
      <w:pPr>
        <w:jc w:val="both"/>
      </w:pPr>
      <w:r w:rsidRPr="003E07CC">
        <w:t xml:space="preserve">Two features of attention refine the gluing reading. First, the cover is </w:t>
      </w:r>
      <w:r w:rsidRPr="003E07CC">
        <w:rPr>
          <w:b/>
          <w:bCs/>
        </w:rPr>
        <w:t>input-dependent</w:t>
      </w:r>
      <w:r w:rsidRPr="003E07CC">
        <w:t xml:space="preserve">. The weights Aᵢⱼ are computed from Q and K, which are projections of the input, so the soft neighborhood each token glues from — the support of its attention row, the tokens it weights appreciably — is not fixed in advance but constructed from the data. Where a topological cover is given, the attention cover is </w:t>
      </w:r>
      <w:r w:rsidRPr="003E07CC">
        <w:rPr>
          <w:i/>
          <w:iCs/>
        </w:rPr>
        <w:t>discovered per input</w:t>
      </w:r>
      <w:r w:rsidRPr="003E07CC">
        <w:t>: the architecture builds a fresh soft neighborhood structure for every sequence it processes. This is the defensible content of the proposal's "dynamic relational cover," stated without overclaiming a literal Čech nerve — the soft cover is real and input-dependent; its identification with the open sets and overlaps of a nerve is the interpretation.</w:t>
      </w:r>
    </w:p>
    <w:p w14:paraId="5F7DF684" w14:textId="77777777" w:rsidR="003E07CC" w:rsidRPr="003E07CC" w:rsidRDefault="003E07CC" w:rsidP="003E07CC">
      <w:pPr>
        <w:jc w:val="both"/>
      </w:pPr>
      <w:r w:rsidRPr="003E07CC">
        <w:t xml:space="preserve">Second, </w:t>
      </w:r>
      <w:r w:rsidRPr="003E07CC">
        <w:rPr>
          <w:b/>
          <w:bCs/>
        </w:rPr>
        <w:t>multi-head attention computes several partitions of unity in parallel</w:t>
      </w:r>
      <w:r w:rsidRPr="003E07CC">
        <w:t xml:space="preserve">. Each head has its own W_Q, W_K, W_V, hence its own scores, its own softmax, its own soft cover and gluing, and the head outputs are concatenated and projected by W_O. The framework reads this as a refusal to commit to a single cover: the block glues along multiple soft neighborhood structures at once — one head's partition organized by one kind of relation, another's by another — and combines them, rather than forcing all context through one metric. This is consistent with the framework's standing reluctance to collapse context into a single standard, and it is [SUP]: that different heads realize </w:t>
      </w:r>
      <w:r w:rsidRPr="003E07CC">
        <w:rPr>
          <w:i/>
          <w:iCs/>
        </w:rPr>
        <w:t>interpretably distinct</w:t>
      </w:r>
      <w:r w:rsidRPr="003E07CC">
        <w:t xml:space="preserve"> covers (syntactic, semantic, spatial) is a reading the head-specialization literature supports only partially, so the claim is plural covers in general, not a fixed catalogue of them.</w:t>
      </w:r>
    </w:p>
    <w:p w14:paraId="7E66FCA4" w14:textId="77777777" w:rsidR="003E07CC" w:rsidRPr="003E07CC" w:rsidRDefault="003E07CC" w:rsidP="003E07CC">
      <w:pPr>
        <w:jc w:val="both"/>
        <w:rPr>
          <w:b/>
          <w:bCs/>
        </w:rPr>
      </w:pPr>
      <w:r w:rsidRPr="003E07CC">
        <w:rPr>
          <w:b/>
          <w:bCs/>
        </w:rPr>
        <w:t>2.4 Attention glues unconditionally [LB observation / setup]</w:t>
      </w:r>
    </w:p>
    <w:p w14:paraId="4FF725D9" w14:textId="77777777" w:rsidR="003E07CC" w:rsidRPr="003E07CC" w:rsidRDefault="003E07CC" w:rsidP="003E07CC">
      <w:pPr>
        <w:jc w:val="both"/>
      </w:pPr>
      <w:r w:rsidRPr="003E07CC">
        <w:t xml:space="preserve">The property that matters most for the rest of the paper is one the equations force. The softmax is a map </w:t>
      </w:r>
      <w:r w:rsidRPr="003E07CC">
        <w:rPr>
          <w:i/>
          <w:iCs/>
        </w:rPr>
        <w:t>onto the simplex</w:t>
      </w:r>
      <w:r w:rsidRPr="003E07CC">
        <w:t xml:space="preserve">: its output is always a valid partition of unity — always nonnegative, always summing to one — for any input scores whatever. There is no input on which the softmax returns "abstain," because abstention is not in its codomain; the simplex contains distributions, not a refusal. Consequently the attention output oᵢ = Σⱼ Aᵢⱼ vⱼ is always a well-formed convex combination, and </w:t>
      </w:r>
      <w:r w:rsidRPr="003E07CC">
        <w:rPr>
          <w:b/>
          <w:bCs/>
        </w:rPr>
        <w:t>attention always glues</w:t>
      </w:r>
      <w:r w:rsidRPr="003E07CC">
        <w:t xml:space="preserve">. It glues when the tokens it combines genuinely cohere and equally when they do not; nothing in the operation computes whether the local sections being combined </w:t>
      </w:r>
      <w:r w:rsidRPr="003E07CC">
        <w:rPr>
          <w:i/>
          <w:iCs/>
        </w:rPr>
        <w:t>should</w:t>
      </w:r>
      <w:r w:rsidRPr="003E07CC">
        <w:t xml:space="preserve"> be glued, and nothing in it can decline to glue them.</w:t>
      </w:r>
    </w:p>
    <w:p w14:paraId="5773E2DA" w14:textId="77777777" w:rsidR="003E07CC" w:rsidRPr="003E07CC" w:rsidRDefault="003E07CC" w:rsidP="003E07CC">
      <w:pPr>
        <w:jc w:val="both"/>
      </w:pPr>
      <w:r w:rsidRPr="003E07CC">
        <w:t xml:space="preserve">This is the architecture-level form of the observation Paper 4 made of bottleneck-free shared attention: the gluing is unconditional, so any obstruction to it is vacuous by construction — never computed, never able to withhold. The soft gluing of attention expands a token's context by assembling it from </w:t>
      </w:r>
      <w:r w:rsidRPr="003E07CC">
        <w:lastRenderedPageBreak/>
        <w:t>neighbors, but it does so without the discipline of a shared standard against which the assembly could be checked, and without any capacity to refuse an incoherent assembly. The first of these absences — the shared standard — is what the feedforward network supplies, and §3 takes it up. The second — the capacity to refuse — is the one no component supplies, and §6 returns to it. Attention is the gluing operation of a defensible system, performed without the gate that would make it defensible.</w:t>
      </w:r>
    </w:p>
    <w:p w14:paraId="13D2AA0D" w14:textId="77777777" w:rsidR="003E07CC" w:rsidRPr="003E07CC" w:rsidRDefault="003E07CC" w:rsidP="003E07CC">
      <w:pPr>
        <w:jc w:val="both"/>
        <w:rPr>
          <w:b/>
          <w:bCs/>
        </w:rPr>
      </w:pPr>
      <w:r w:rsidRPr="003E07CC">
        <w:rPr>
          <w:b/>
          <w:bCs/>
        </w:rPr>
        <w:t>2.5 Rotary position encoding as the positional modulation of the cover [LB equations / SUP reading]</w:t>
      </w:r>
    </w:p>
    <w:p w14:paraId="13D27AEF" w14:textId="77777777" w:rsidR="003E07CC" w:rsidRPr="003E07CC" w:rsidRDefault="003E07CC" w:rsidP="003E07CC">
      <w:pPr>
        <w:jc w:val="both"/>
      </w:pPr>
      <w:r w:rsidRPr="003E07CC">
        <w:t xml:space="preserve">One component of the modern block has so far been left out, and it belongs here, because it shapes the cover attention glues over. Vanilla scaled dot-product attention is permutation-invariant: the score qᵢ · kⱼ is blind to where i and j sit in the sequence. Rotary Position Embedding (RoPE; Su et al. 2021) repairs this by rotating the query and key vectors, in 2-D slices, by an angle proportional to position before the dot product, at a bank of frequencies. The arithmetic of rotation composition makes the resulting score depend only on the </w:t>
      </w:r>
      <w:r w:rsidRPr="003E07CC">
        <w:rPr>
          <w:i/>
          <w:iCs/>
        </w:rPr>
        <w:t>relative</w:t>
      </w:r>
      <w:r w:rsidRPr="003E07CC">
        <w:t xml:space="preserve"> offset j − i: (R_i q)·(R_j k) = q · R_{j−i} k. In the paper's vocabulary this is exactly a </w:t>
      </w:r>
      <w:r w:rsidRPr="003E07CC">
        <w:rPr>
          <w:b/>
          <w:bCs/>
        </w:rPr>
        <w:t>modulation of the soft cover</w:t>
      </w:r>
      <w:r w:rsidRPr="003E07CC">
        <w:t xml:space="preserve">. The soft adjacency Aᵢⱼ of §2.1–§2.3 — which regions overlap, and how strongly — is, with RoPE, made a function of relative position: a translation-invariant positional geometry imposed on the similarity that the gluing runs along. RoPE supplies the </w:t>
      </w:r>
      <w:r w:rsidRPr="003E07CC">
        <w:rPr>
          <w:b/>
          <w:bCs/>
        </w:rPr>
        <w:t>proximity</w:t>
      </w:r>
      <w:r w:rsidRPr="003E07CC">
        <w:t xml:space="preserve"> the paper's title names and the body had so far left implicit in the dynamic cover: it is the operation that makes the cover's overlap structure position-aware.</w:t>
      </w:r>
    </w:p>
    <w:p w14:paraId="0CC2DDDF" w14:textId="77777777" w:rsidR="003E07CC" w:rsidRPr="003E07CC" w:rsidRDefault="003E07CC" w:rsidP="003E07CC">
      <w:pPr>
        <w:jc w:val="both"/>
      </w:pPr>
      <w:r w:rsidRPr="003E07CC">
        <w:t xml:space="preserve">The discipline of §1.2 must be held here exactly, because positional encoding is where the seductive misreading is most tempting. It is </w:t>
      </w:r>
      <w:r w:rsidRPr="003E07CC">
        <w:rPr>
          <w:i/>
          <w:iCs/>
        </w:rPr>
        <w:t>not</w:t>
      </w:r>
      <w:r w:rsidRPr="003E07CC">
        <w:t xml:space="preserve"> the case that RoPE is a lower (topological or proximity) rung from which attention then ascends to the inner-product rung. RoPE is applied to vectors that already live in the inner-product space, and it acts </w:t>
      </w:r>
      <w:r w:rsidRPr="003E07CC">
        <w:rPr>
          <w:i/>
          <w:iCs/>
        </w:rPr>
        <w:t>by</w:t>
      </w:r>
      <w:r w:rsidRPr="003E07CC">
        <w:t xml:space="preserve"> an inner-product-preserving rotation; it changes which tokens count as near, not what kind of space they inhabit. So RoPE is a modulation </w:t>
      </w:r>
      <w:r w:rsidRPr="003E07CC">
        <w:rPr>
          <w:b/>
          <w:bCs/>
        </w:rPr>
        <w:t>within</w:t>
      </w:r>
      <w:r w:rsidRPr="003E07CC">
        <w:t xml:space="preserve"> the inner-product rung — a position-dependent reshaping of the cover — not a rung beneath it and not an ascent. Reading it as proximity-the-rung would reintroduce precisely the false climb this paper refuses; reading it as proximity-the-cover-structure is the faithful statement. The deeper reading of RoPE as a crude grid code — its multi-frequency toroidal structure, its bounded-window extrapolation failure, and the separation stage it lacks — is developed in the companion note </w:t>
      </w:r>
      <w:r w:rsidRPr="003E07CC">
        <w:rPr>
          <w:i/>
          <w:iCs/>
        </w:rPr>
        <w:t>RoPE as a Crude Grid Code</w:t>
      </w:r>
      <w:r w:rsidRPr="003E07CC">
        <w:t xml:space="preserve"> and is deliberately kept there; this section claims only what the block's equations force: RoPE modulates the cover by relative position, within the rung, and adds no certification.</w:t>
      </w:r>
    </w:p>
    <w:p w14:paraId="2AC66C96" w14:textId="77777777" w:rsidR="003E07CC" w:rsidRPr="003E07CC" w:rsidRDefault="003E07CC" w:rsidP="00BD7027">
      <w:pPr>
        <w:pStyle w:val="Heading1"/>
      </w:pPr>
      <w:r w:rsidRPr="003E07CC">
        <w:t>3. The Feedforward Network as Uniformity of Law</w:t>
      </w:r>
    </w:p>
    <w:p w14:paraId="19406F4A" w14:textId="77777777" w:rsidR="003E07CC" w:rsidRPr="003E07CC" w:rsidRDefault="003E07CC" w:rsidP="003E07CC">
      <w:pPr>
        <w:jc w:val="both"/>
      </w:pPr>
      <w:r w:rsidRPr="003E07CC">
        <w:t>Attention glues each token's representation heterogeneously, along a partition of unity that differs token by token. The position-wise feedforward network that follows does the opposite: it applies one and the same map at every position. This section reads the FFN as a constant sheaf of maps (§3.1) and then draws the boundary that matters — the FFN supplies the comparability that gluing presupposes, but it does not, and cannot, certify coherence (§3.2). Section 2.4 left two absences after attention: a shared standard and a capacity to refuse. The FFN closes the first and, in closing it, makes the second unmistakable.</w:t>
      </w:r>
    </w:p>
    <w:p w14:paraId="57FA3795" w14:textId="77777777" w:rsidR="003E07CC" w:rsidRPr="003E07CC" w:rsidRDefault="003E07CC" w:rsidP="003E07CC">
      <w:pPr>
        <w:jc w:val="both"/>
        <w:rPr>
          <w:b/>
          <w:bCs/>
        </w:rPr>
      </w:pPr>
      <w:r w:rsidRPr="003E07CC">
        <w:rPr>
          <w:b/>
          <w:bCs/>
        </w:rPr>
        <w:t>3.1 The equations, and the constant sheaf [LB]</w:t>
      </w:r>
    </w:p>
    <w:p w14:paraId="353336D5" w14:textId="77777777" w:rsidR="003E07CC" w:rsidRPr="003E07CC" w:rsidRDefault="003E07CC" w:rsidP="003E07CC">
      <w:pPr>
        <w:jc w:val="both"/>
      </w:pPr>
      <w:r w:rsidRPr="003E07CC">
        <w:t>The feedforward network is applied independently and identically to each position. In the original form,</w:t>
      </w:r>
    </w:p>
    <w:p w14:paraId="08CB4BD8" w14:textId="77777777" w:rsidR="003E07CC" w:rsidRPr="003E07CC" w:rsidRDefault="003E07CC" w:rsidP="00BD7027">
      <w:pPr>
        <w:jc w:val="center"/>
      </w:pPr>
      <w:r w:rsidRPr="003E07CC">
        <w:t>FFN(xᵢ) = max(0, xᵢW₁ + b₁)W₂ + b₂,</w:t>
      </w:r>
    </w:p>
    <w:p w14:paraId="7A29555D" w14:textId="77777777" w:rsidR="003E07CC" w:rsidRPr="003E07CC" w:rsidRDefault="003E07CC" w:rsidP="003E07CC">
      <w:pPr>
        <w:jc w:val="both"/>
      </w:pPr>
      <w:r w:rsidRPr="003E07CC">
        <w:lastRenderedPageBreak/>
        <w:t xml:space="preserve">with W₁ </w:t>
      </w:r>
      <w:r w:rsidRPr="003E07CC">
        <w:rPr>
          <w:rFonts w:ascii="Cambria Math" w:hAnsi="Cambria Math" w:cs="Cambria Math"/>
        </w:rPr>
        <w:t>∈</w:t>
      </w:r>
      <w:r w:rsidRPr="003E07CC">
        <w:t xml:space="preserve"> </w:t>
      </w:r>
      <w:r w:rsidRPr="003E07CC">
        <w:rPr>
          <w:rFonts w:ascii="Cambria Math" w:hAnsi="Cambria Math" w:cs="Cambria Math"/>
        </w:rPr>
        <w:t>ℝ</w:t>
      </w:r>
      <w:r w:rsidRPr="003E07CC">
        <w:t>^{d</w:t>
      </w:r>
      <w:r w:rsidRPr="003E07CC">
        <w:rPr>
          <w:rFonts w:ascii="Calibri" w:hAnsi="Calibri" w:cs="Calibri"/>
        </w:rPr>
        <w:t>×</w:t>
      </w:r>
      <w:r w:rsidRPr="003E07CC">
        <w:t>d_ff}, W</w:t>
      </w:r>
      <w:r w:rsidRPr="003E07CC">
        <w:rPr>
          <w:rFonts w:ascii="Calibri" w:hAnsi="Calibri" w:cs="Calibri"/>
        </w:rPr>
        <w:t>₂</w:t>
      </w:r>
      <w:r w:rsidRPr="003E07CC">
        <w:t xml:space="preserve"> </w:t>
      </w:r>
      <w:r w:rsidRPr="003E07CC">
        <w:rPr>
          <w:rFonts w:ascii="Cambria Math" w:hAnsi="Cambria Math" w:cs="Cambria Math"/>
        </w:rPr>
        <w:t>∈</w:t>
      </w:r>
      <w:r w:rsidRPr="003E07CC">
        <w:t xml:space="preserve"> </w:t>
      </w:r>
      <w:r w:rsidRPr="003E07CC">
        <w:rPr>
          <w:rFonts w:ascii="Cambria Math" w:hAnsi="Cambria Math" w:cs="Cambria Math"/>
        </w:rPr>
        <w:t>ℝ</w:t>
      </w:r>
      <w:r w:rsidRPr="003E07CC">
        <w:t>^{d_ff</w:t>
      </w:r>
      <w:r w:rsidRPr="003E07CC">
        <w:rPr>
          <w:rFonts w:ascii="Calibri" w:hAnsi="Calibri" w:cs="Calibri"/>
        </w:rPr>
        <w:t>×</w:t>
      </w:r>
      <w:r w:rsidRPr="003E07CC">
        <w:t xml:space="preserve">d}, and an expansion d </w:t>
      </w:r>
      <w:r w:rsidRPr="003E07CC">
        <w:rPr>
          <w:rFonts w:ascii="Calibri" w:hAnsi="Calibri" w:cs="Calibri"/>
        </w:rPr>
        <w:t>→</w:t>
      </w:r>
      <w:r w:rsidRPr="003E07CC">
        <w:t xml:space="preserve"> d_ff </w:t>
      </w:r>
      <w:r w:rsidRPr="003E07CC">
        <w:rPr>
          <w:rFonts w:ascii="Calibri" w:hAnsi="Calibri" w:cs="Calibri"/>
        </w:rPr>
        <w:t>→</w:t>
      </w:r>
      <w:r w:rsidRPr="003E07CC">
        <w:t xml:space="preserve"> d (typically d_ff = 4d). The modern variants </w:t>
      </w:r>
      <w:r w:rsidRPr="003E07CC">
        <w:rPr>
          <w:rFonts w:ascii="Calibri" w:hAnsi="Calibri" w:cs="Calibri"/>
        </w:rPr>
        <w:t>—</w:t>
      </w:r>
      <w:r w:rsidRPr="003E07CC">
        <w:t xml:space="preserve"> GELU in place of ReLU, or the gated SwiGLU form </w:t>
      </w:r>
      <w:r w:rsidRPr="003E07CC">
        <w:rPr>
          <w:rFonts w:ascii="Calibri" w:hAnsi="Calibri" w:cs="Calibri"/>
        </w:rPr>
        <w:t>—</w:t>
      </w:r>
      <w:r w:rsidRPr="003E07CC">
        <w:t xml:space="preserve"> change the nonlinearity and, in the gated case, the number of matrices, but they preserve the two features that matter here: the network is applied </w:t>
      </w:r>
      <w:r w:rsidRPr="003E07CC">
        <w:rPr>
          <w:b/>
          <w:bCs/>
        </w:rPr>
        <w:t>position-wise</w:t>
      </w:r>
      <w:r w:rsidRPr="003E07CC">
        <w:t xml:space="preserve">, and its weights are </w:t>
      </w:r>
      <w:r w:rsidRPr="003E07CC">
        <w:rPr>
          <w:b/>
          <w:bCs/>
        </w:rPr>
        <w:t>shared across positions</w:t>
      </w:r>
      <w:r w:rsidRPr="003E07CC">
        <w:t>. The map does not depend on i.</w:t>
      </w:r>
    </w:p>
    <w:p w14:paraId="1EBCBDF5" w14:textId="77777777" w:rsidR="003E07CC" w:rsidRPr="003E07CC" w:rsidRDefault="003E07CC" w:rsidP="003E07CC">
      <w:pPr>
        <w:jc w:val="both"/>
      </w:pPr>
      <w:r w:rsidRPr="003E07CC">
        <w:t xml:space="preserve">In the framework's vocabulary, the FFN is a </w:t>
      </w:r>
      <w:r w:rsidRPr="003E07CC">
        <w:rPr>
          <w:b/>
          <w:bCs/>
        </w:rPr>
        <w:t>constant sheaf of maps</w:t>
      </w:r>
      <w:r w:rsidRPr="003E07CC">
        <w:t xml:space="preserve">: a single transformation law, the same algebraic geometry, imposed uniformly across the whole sequence. This is the precise structural inverse of attention. Attention is heterogeneous and local — every token glues from a different soft neighborhood along a different partition of unity. The FFN is homogeneous and global in its </w:t>
      </w:r>
      <w:r w:rsidRPr="003E07CC">
        <w:rPr>
          <w:i/>
          <w:iCs/>
        </w:rPr>
        <w:t>law</w:t>
      </w:r>
      <w:r w:rsidRPr="003E07CC">
        <w:t xml:space="preserve"> — whatever idiosyncratic context a token acquired during attention, it is now pushed through the identical expand-nonlinearity-contract map that every other token is pushed through. Attention varies the mixture token by token; the FFN equalizes the law token by token. The [LB] content is exactly this: the position-independence of W₁, W₂ is what a constant sheaf of maps means, and nothing is added by the name beyond what the shared weights already are.</w:t>
      </w:r>
    </w:p>
    <w:p w14:paraId="49D02C81" w14:textId="77777777" w:rsidR="003E07CC" w:rsidRPr="003E07CC" w:rsidRDefault="003E07CC" w:rsidP="003E07CC">
      <w:pPr>
        <w:jc w:val="both"/>
        <w:rPr>
          <w:b/>
          <w:bCs/>
        </w:rPr>
      </w:pPr>
      <w:r w:rsidRPr="003E07CC">
        <w:rPr>
          <w:b/>
          <w:bCs/>
        </w:rPr>
        <w:t>3.2 Comparability, not certification</w:t>
      </w:r>
    </w:p>
    <w:p w14:paraId="52483C29" w14:textId="77777777" w:rsidR="003E07CC" w:rsidRPr="003E07CC" w:rsidRDefault="003E07CC" w:rsidP="003E07CC">
      <w:pPr>
        <w:jc w:val="both"/>
      </w:pPr>
      <w:r w:rsidRPr="003E07CC">
        <w:rPr>
          <w:b/>
          <w:bCs/>
        </w:rPr>
        <w:t>The comparability reading [SUP].</w:t>
      </w:r>
      <w:r w:rsidRPr="003E07CC">
        <w:t xml:space="preserve"> Gluing in the framework's sense is not the mere superposition of local sections; it presupposes that the sections live in a </w:t>
      </w:r>
      <w:r w:rsidRPr="003E07CC">
        <w:rPr>
          <w:i/>
          <w:iCs/>
        </w:rPr>
        <w:t>compatible structure</w:t>
      </w:r>
      <w:r w:rsidRPr="003E07CC">
        <w:t xml:space="preserve">, one in which their transition maps can be written and compared. After attention, the tokens have been assembled from heterogeneous neighborhoods and need not yet inhabit a common frame. The framework reads the FFN's shared map as the enforcement of that common frame: by pushing every token through the identical transformation, the FFN returns them to a single algebraic structure in which they are mutually comparable — and in which, in particular, they can serve as queries and keys for the next layer's attention, whose inner products are only meaningful if the vectors being compared inhabit a common geometry. This is uniformity </w:t>
      </w:r>
      <w:r w:rsidRPr="003E07CC">
        <w:rPr>
          <w:i/>
          <w:iCs/>
        </w:rPr>
        <w:t>of law</w:t>
      </w:r>
      <w:r w:rsidRPr="003E07CC">
        <w:t xml:space="preserve">: the FFN supplies the comparability that the next round of gluing presupposes. The reading is [SUP] — that a position-shared map </w:t>
      </w:r>
      <w:r w:rsidRPr="003E07CC">
        <w:rPr>
          <w:i/>
          <w:iCs/>
        </w:rPr>
        <w:t>is</w:t>
      </w:r>
      <w:r w:rsidRPr="003E07CC">
        <w:t xml:space="preserve"> the compatibility condition for gluing is an interpretation laid on the operation, faithful because the operation has the right form (one law for all positions) but not forced by it.</w:t>
      </w:r>
    </w:p>
    <w:p w14:paraId="3838CEEE" w14:textId="77777777" w:rsidR="003E07CC" w:rsidRPr="003E07CC" w:rsidRDefault="003E07CC" w:rsidP="003E07CC">
      <w:pPr>
        <w:jc w:val="both"/>
      </w:pPr>
      <w:r w:rsidRPr="003E07CC">
        <w:rPr>
          <w:b/>
          <w:bCs/>
        </w:rPr>
        <w:t>The refusal of certification [LB observation].</w:t>
      </w:r>
      <w:r w:rsidRPr="003E07CC">
        <w:t xml:space="preserve"> Here the architecture invites a misreading that must be refused outright, and refusing it is the disciplined version of a claim the framework polices. It is tempting to say the FFN </w:t>
      </w:r>
      <w:r w:rsidRPr="003E07CC">
        <w:rPr>
          <w:i/>
          <w:iCs/>
        </w:rPr>
        <w:t>certifies</w:t>
      </w:r>
      <w:r w:rsidRPr="003E07CC">
        <w:t xml:space="preserve"> the token it processes — that by passing the attention-glued vector through its shared map, the network tests and confirms the vector's coherence. It does no such thing. A feedforward network is a deterministic nonlinear projection, and a projection transforms </w:t>
      </w:r>
      <w:r w:rsidRPr="003E07CC">
        <w:rPr>
          <w:i/>
          <w:iCs/>
        </w:rPr>
        <w:t>whatever input it receives</w:t>
      </w:r>
      <w:r w:rsidRPr="003E07CC">
        <w:t xml:space="preserve">. It computes no obstruction — there is no H¹ or Hⁿ anywhere in max(0, xW₁ + b₁)W₂ + b₂. It compares no transition maps for contradiction. And, decisively, it has no halting mechanism: there is no input on which an FFN declines to produce an output, no codomain element meaning "refuse," exactly as there was none for the softmax in §2.4. If attention has illegitimately glued </w:t>
      </w:r>
      <w:r w:rsidRPr="003E07CC">
        <w:rPr>
          <w:i/>
          <w:iCs/>
        </w:rPr>
        <w:t>cup</w:t>
      </w:r>
      <w:r w:rsidRPr="003E07CC">
        <w:t xml:space="preserve"> to </w:t>
      </w:r>
      <w:r w:rsidRPr="003E07CC">
        <w:rPr>
          <w:i/>
          <w:iCs/>
        </w:rPr>
        <w:t>upside-down</w:t>
      </w:r>
      <w:r w:rsidRPr="003E07CC">
        <w:t xml:space="preserve"> and </w:t>
      </w:r>
      <w:r w:rsidRPr="003E07CC">
        <w:rPr>
          <w:i/>
          <w:iCs/>
        </w:rPr>
        <w:t>contains water</w:t>
      </w:r>
      <w:r w:rsidRPr="003E07CC">
        <w:t xml:space="preserve"> — the false-zero composite of the hypercovering note, a binding that should not have been made — the FFN does not detect the incoherence and halt; it projects the hallucinated composite, faithfully and uniformly, into the next layer's representational space. The shared map equalizes the law; it does not evaluate the coherence of what the law is applied to.</w:t>
      </w:r>
    </w:p>
    <w:p w14:paraId="766758B9" w14:textId="77777777" w:rsidR="003E07CC" w:rsidRPr="003E07CC" w:rsidRDefault="003E07CC" w:rsidP="003E07CC">
      <w:pPr>
        <w:jc w:val="both"/>
      </w:pPr>
      <w:r w:rsidRPr="003E07CC">
        <w:t xml:space="preserve">So the FFN supplies the second thing a defensible system needs and the first thing attention lacked — a shared standard against which tokens are made comparable — and it conspicuously does </w:t>
      </w:r>
      <w:r w:rsidRPr="003E07CC">
        <w:rPr>
          <w:i/>
          <w:iCs/>
        </w:rPr>
        <w:t>not</w:t>
      </w:r>
      <w:r w:rsidRPr="003E07CC">
        <w:t xml:space="preserve"> supply the third — the evaluation of whether the gluing that produced those tokens was legitimate. After §2 and §3, the block can glue context (attention) and can render the result comparable (FFN), which is to say it has the two operations that </w:t>
      </w:r>
      <w:r w:rsidRPr="003E07CC">
        <w:rPr>
          <w:i/>
          <w:iCs/>
        </w:rPr>
        <w:t>prepare</w:t>
      </w:r>
      <w:r w:rsidRPr="003E07CC">
        <w:t xml:space="preserve"> a coherence check, and not the operation that </w:t>
      </w:r>
      <w:r w:rsidRPr="003E07CC">
        <w:rPr>
          <w:i/>
          <w:iCs/>
        </w:rPr>
        <w:t>performs</w:t>
      </w:r>
      <w:r w:rsidRPr="003E07CC">
        <w:t xml:space="preserve"> </w:t>
      </w:r>
      <w:r w:rsidRPr="003E07CC">
        <w:lastRenderedPageBreak/>
        <w:t>one. The capacity to compute an obstruction and refuse — the gate — is still nowhere in the block, and the next two sections show that normalization and the residual stream do not supply it either: §4 maintains the rung the gate would operate in, and §5 transports the provenance the gate would protect, but neither evaluates coherence. The absence is located, and §6 names what fills it.</w:t>
      </w:r>
    </w:p>
    <w:p w14:paraId="75C3B05B" w14:textId="77777777" w:rsidR="003E07CC" w:rsidRPr="003E07CC" w:rsidRDefault="003E07CC" w:rsidP="00BD7027">
      <w:pPr>
        <w:pStyle w:val="Heading1"/>
      </w:pPr>
      <w:r w:rsidRPr="003E07CC">
        <w:t>4. Normalization as Rung-Maintenance</w:t>
      </w:r>
    </w:p>
    <w:p w14:paraId="6F519CB3" w14:textId="77777777" w:rsidR="003E07CC" w:rsidRPr="003E07CC" w:rsidRDefault="003E07CC" w:rsidP="003E07CC">
      <w:pPr>
        <w:jc w:val="both"/>
      </w:pPr>
      <w:r w:rsidRPr="003E07CC">
        <w:t>Between and before the sublayers the block normalizes. The framework reads this not as a step on the ladder but as the maintenance of the rung the block already occupies — the operation that keeps the representation in the geometric regime where the inner-product machinery of attention and the shared map of the FFN remain valid. This section states the normalization geometry precisely, distinguishing the modern default from its predecessor (§4.1), and reads it as rung-maintenance (§4.2).</w:t>
      </w:r>
    </w:p>
    <w:p w14:paraId="28F572CB" w14:textId="77777777" w:rsidR="003E07CC" w:rsidRPr="003E07CC" w:rsidRDefault="003E07CC" w:rsidP="003E07CC">
      <w:pPr>
        <w:jc w:val="both"/>
        <w:rPr>
          <w:b/>
          <w:bCs/>
        </w:rPr>
      </w:pPr>
      <w:r w:rsidRPr="003E07CC">
        <w:rPr>
          <w:b/>
          <w:bCs/>
        </w:rPr>
        <w:t>4.1 The equations, and projection to the shell [LB]</w:t>
      </w:r>
    </w:p>
    <w:p w14:paraId="6B41A1A5" w14:textId="77777777" w:rsidR="003E07CC" w:rsidRPr="003E07CC" w:rsidRDefault="003E07CC" w:rsidP="003E07CC">
      <w:pPr>
        <w:jc w:val="both"/>
      </w:pPr>
      <w:r w:rsidRPr="003E07CC">
        <w:t xml:space="preserve">The cleanest case is </w:t>
      </w:r>
      <w:r w:rsidRPr="003E07CC">
        <w:rPr>
          <w:b/>
          <w:bCs/>
        </w:rPr>
        <w:t>RMSNorm</w:t>
      </w:r>
      <w:r w:rsidRPr="003E07CC">
        <w:t>, the normalization most current large models use. It rescales a representation by its root-mean-square magnitude and applies a learned per-coordinate gain:</w:t>
      </w:r>
    </w:p>
    <w:p w14:paraId="4FE33738" w14:textId="77777777" w:rsidR="003E07CC" w:rsidRPr="003E07CC" w:rsidRDefault="003E07CC" w:rsidP="00BD7027">
      <w:pPr>
        <w:jc w:val="center"/>
      </w:pPr>
      <w:r w:rsidRPr="003E07CC">
        <w:t xml:space="preserve">RMSNorm(x) = (x / RMS(x)) </w:t>
      </w:r>
      <w:r w:rsidRPr="003E07CC">
        <w:rPr>
          <w:rFonts w:ascii="Cambria Math" w:hAnsi="Cambria Math" w:cs="Cambria Math"/>
        </w:rPr>
        <w:t>⊙</w:t>
      </w:r>
      <w:r w:rsidRPr="003E07CC">
        <w:t xml:space="preserve"> </w:t>
      </w:r>
      <w:r w:rsidRPr="003E07CC">
        <w:rPr>
          <w:rFonts w:ascii="Calibri" w:hAnsi="Calibri" w:cs="Calibri"/>
        </w:rPr>
        <w:t>γ</w:t>
      </w:r>
      <w:r w:rsidRPr="003E07CC">
        <w:t xml:space="preserve">, RMS(x) = </w:t>
      </w:r>
      <w:r w:rsidRPr="003E07CC">
        <w:rPr>
          <w:rFonts w:ascii="Calibri" w:hAnsi="Calibri" w:cs="Calibri"/>
        </w:rPr>
        <w:t>√</w:t>
      </w:r>
      <w:r w:rsidRPr="003E07CC">
        <w:t xml:space="preserve">((1/d) </w:t>
      </w:r>
      <w:r w:rsidRPr="003E07CC">
        <w:rPr>
          <w:rFonts w:ascii="Calibri" w:hAnsi="Calibri" w:cs="Calibri"/>
        </w:rPr>
        <w:t>Σ</w:t>
      </w:r>
      <w:r w:rsidRPr="003E07CC">
        <w:t>ᵢ xᵢ²) = ‖x‖ / √d.</w:t>
      </w:r>
    </w:p>
    <w:p w14:paraId="5ACA37FC" w14:textId="77777777" w:rsidR="003E07CC" w:rsidRPr="003E07CC" w:rsidRDefault="003E07CC" w:rsidP="003E07CC">
      <w:pPr>
        <w:jc w:val="both"/>
      </w:pPr>
      <w:r w:rsidRPr="003E07CC">
        <w:t xml:space="preserve">The core operation x / RMS(x) = √d · x/‖x‖ is exact and geometrically transparent: it projects x onto the sphere of radius √d, </w:t>
      </w:r>
      <w:r w:rsidRPr="003E07CC">
        <w:rPr>
          <w:b/>
          <w:bCs/>
        </w:rPr>
        <w:t>preserving direction exactly</w:t>
      </w:r>
      <w:r w:rsidRPr="003E07CC">
        <w:t xml:space="preserve"> and discarding only magnitude. The learned gain </w:t>
      </w:r>
      <w:r w:rsidRPr="003E07CC">
        <w:rPr>
          <w:rFonts w:ascii="Cambria Math" w:hAnsi="Cambria Math" w:cs="Cambria Math"/>
        </w:rPr>
        <w:t>⊙</w:t>
      </w:r>
      <w:r w:rsidRPr="003E07CC">
        <w:t xml:space="preserve"> </w:t>
      </w:r>
      <w:r w:rsidRPr="003E07CC">
        <w:rPr>
          <w:rFonts w:ascii="Calibri" w:hAnsi="Calibri" w:cs="Calibri"/>
        </w:rPr>
        <w:t>γ</w:t>
      </w:r>
      <w:r w:rsidRPr="003E07CC">
        <w:t xml:space="preserve"> then rescales each coordinate; unless </w:t>
      </w:r>
      <w:r w:rsidRPr="003E07CC">
        <w:rPr>
          <w:rFonts w:ascii="Calibri" w:hAnsi="Calibri" w:cs="Calibri"/>
        </w:rPr>
        <w:t>γ</w:t>
      </w:r>
      <w:r w:rsidRPr="003E07CC">
        <w:t xml:space="preserve"> is constant this moves the vector off the pure sphere, by design </w:t>
      </w:r>
      <w:r w:rsidRPr="003E07CC">
        <w:rPr>
          <w:rFonts w:ascii="Calibri" w:hAnsi="Calibri" w:cs="Calibri"/>
        </w:rPr>
        <w:t>—</w:t>
      </w:r>
      <w:r w:rsidRPr="003E07CC">
        <w:t xml:space="preserve"> it is the controlled freedom the model is given to place the normalized vector where the next map needs it. RMSNorm has no mean subtraction and no additive bias, so up to the diagonal </w:t>
      </w:r>
      <w:r w:rsidRPr="003E07CC">
        <w:rPr>
          <w:rFonts w:ascii="Calibri" w:hAnsi="Calibri" w:cs="Calibri"/>
        </w:rPr>
        <w:t>γ</w:t>
      </w:r>
      <w:r w:rsidRPr="003E07CC">
        <w:t xml:space="preserve"> it is precisely projection to a fixed-radius shell.</w:t>
      </w:r>
    </w:p>
    <w:p w14:paraId="1AD293D1" w14:textId="77777777" w:rsidR="003E07CC" w:rsidRPr="003E07CC" w:rsidRDefault="003E07CC" w:rsidP="003E07CC">
      <w:pPr>
        <w:jc w:val="both"/>
      </w:pPr>
      <w:r w:rsidRPr="003E07CC">
        <w:rPr>
          <w:b/>
          <w:bCs/>
        </w:rPr>
        <w:t>LayerNorm</w:t>
      </w:r>
      <w:r w:rsidRPr="003E07CC">
        <w:t>, the original, adds a mean subtraction:</w:t>
      </w:r>
    </w:p>
    <w:p w14:paraId="1B7D8787" w14:textId="77777777" w:rsidR="003E07CC" w:rsidRPr="003E07CC" w:rsidRDefault="003E07CC" w:rsidP="00BD7027">
      <w:pPr>
        <w:jc w:val="center"/>
      </w:pPr>
      <w:r w:rsidRPr="003E07CC">
        <w:t xml:space="preserve">LayerNorm(x) = ((x − μ) / σ) </w:t>
      </w:r>
      <w:r w:rsidRPr="003E07CC">
        <w:rPr>
          <w:rFonts w:ascii="Cambria Math" w:hAnsi="Cambria Math" w:cs="Cambria Math"/>
        </w:rPr>
        <w:t>⊙</w:t>
      </w:r>
      <w:r w:rsidRPr="003E07CC">
        <w:t xml:space="preserve"> </w:t>
      </w:r>
      <w:r w:rsidRPr="003E07CC">
        <w:rPr>
          <w:rFonts w:ascii="Calibri" w:hAnsi="Calibri" w:cs="Calibri"/>
        </w:rPr>
        <w:t>γ</w:t>
      </w:r>
      <w:r w:rsidRPr="003E07CC">
        <w:t xml:space="preserve"> + </w:t>
      </w:r>
      <w:r w:rsidRPr="003E07CC">
        <w:rPr>
          <w:rFonts w:ascii="Calibri" w:hAnsi="Calibri" w:cs="Calibri"/>
        </w:rPr>
        <w:t>β</w:t>
      </w:r>
      <w:r w:rsidRPr="003E07CC">
        <w:t xml:space="preserve">, </w:t>
      </w:r>
      <w:r w:rsidRPr="003E07CC">
        <w:rPr>
          <w:rFonts w:ascii="Calibri" w:hAnsi="Calibri" w:cs="Calibri"/>
        </w:rPr>
        <w:t>μ</w:t>
      </w:r>
      <w:r w:rsidRPr="003E07CC">
        <w:t xml:space="preserve"> = (1/d) </w:t>
      </w:r>
      <w:r w:rsidRPr="003E07CC">
        <w:rPr>
          <w:rFonts w:ascii="Calibri" w:hAnsi="Calibri" w:cs="Calibri"/>
        </w:rPr>
        <w:t>Σ</w:t>
      </w:r>
      <w:r w:rsidRPr="003E07CC">
        <w:t>ᵢ xᵢ, σ = ‖x − μ</w:t>
      </w:r>
      <w:r w:rsidRPr="003E07CC">
        <w:rPr>
          <w:rFonts w:ascii="Cambria Math" w:hAnsi="Cambria Math" w:cs="Cambria Math"/>
        </w:rPr>
        <w:t>𝟙</w:t>
      </w:r>
      <w:r w:rsidRPr="003E07CC">
        <w:t>‖ / √d.</w:t>
      </w:r>
    </w:p>
    <w:p w14:paraId="39C50E46" w14:textId="77777777" w:rsidR="003E07CC" w:rsidRPr="003E07CC" w:rsidRDefault="003E07CC" w:rsidP="003E07CC">
      <w:pPr>
        <w:jc w:val="both"/>
      </w:pPr>
      <w:r w:rsidRPr="003E07CC">
        <w:t xml:space="preserve">Geometrically this is two projections rather than one: subtracting the component mean μ projects x onto the zero-sum hyperplane Σᵢ xᵢ = 0, and dividing by σ then projects the result onto the radius-√d sphere </w:t>
      </w:r>
      <w:r w:rsidRPr="003E07CC">
        <w:rPr>
          <w:i/>
          <w:iCs/>
        </w:rPr>
        <w:t>within</w:t>
      </w:r>
      <w:r w:rsidRPr="003E07CC">
        <w:t xml:space="preserve"> that hyperplane. The learned affine </w:t>
      </w:r>
      <w:r w:rsidRPr="003E07CC">
        <w:rPr>
          <w:rFonts w:ascii="Cambria Math" w:hAnsi="Cambria Math" w:cs="Cambria Math"/>
        </w:rPr>
        <w:t>⊙</w:t>
      </w:r>
      <w:r w:rsidRPr="003E07CC">
        <w:t xml:space="preserve"> </w:t>
      </w:r>
      <w:r w:rsidRPr="003E07CC">
        <w:rPr>
          <w:rFonts w:ascii="Calibri" w:hAnsi="Calibri" w:cs="Calibri"/>
        </w:rPr>
        <w:t>γ</w:t>
      </w:r>
      <w:r w:rsidRPr="003E07CC">
        <w:t xml:space="preserve"> + </w:t>
      </w:r>
      <w:r w:rsidRPr="003E07CC">
        <w:rPr>
          <w:rFonts w:ascii="Calibri" w:hAnsi="Calibri" w:cs="Calibri"/>
        </w:rPr>
        <w:t>β</w:t>
      </w:r>
      <w:r w:rsidRPr="003E07CC">
        <w:t xml:space="preserve"> follows, the additive </w:t>
      </w:r>
      <w:r w:rsidRPr="003E07CC">
        <w:rPr>
          <w:rFonts w:ascii="Calibri" w:hAnsi="Calibri" w:cs="Calibri"/>
        </w:rPr>
        <w:t>β</w:t>
      </w:r>
      <w:r w:rsidRPr="003E07CC">
        <w:t xml:space="preserve"> shifting off the hyperplane and </w:t>
      </w:r>
      <w:r w:rsidRPr="003E07CC">
        <w:rPr>
          <w:rFonts w:ascii="Calibri" w:hAnsi="Calibri" w:cs="Calibri"/>
        </w:rPr>
        <w:t>γ</w:t>
      </w:r>
      <w:r w:rsidRPr="003E07CC">
        <w:t xml:space="preserve"> rescaling off the sphere. So the honest statement, for both norms, is that the </w:t>
      </w:r>
      <w:r w:rsidRPr="003E07CC">
        <w:rPr>
          <w:i/>
          <w:iCs/>
        </w:rPr>
        <w:t>normalization core</w:t>
      </w:r>
      <w:r w:rsidRPr="003E07CC">
        <w:t xml:space="preserve"> — the part before the learned affine — is projection to a fixed-scale shell (a full sphere for RMSNorm, a sphere within the zero-mean hyperplane for LayerNorm), and the learned affine is a deliberate, controlled departure from that shell. The "projection to a shell, direction preserved" picture is exact for the RMSNorm core, exact within the hyperplane for the LayerNorm core, and modified by the affine in both. This precision matters because the rung-maintenance reading of §4.2 rests on the shell geometry, and the shell geometry is a property of the core, not of the affine.</w:t>
      </w:r>
    </w:p>
    <w:p w14:paraId="57C1712A" w14:textId="77777777" w:rsidR="003E07CC" w:rsidRPr="003E07CC" w:rsidRDefault="003E07CC" w:rsidP="003E07CC">
      <w:pPr>
        <w:jc w:val="both"/>
        <w:rPr>
          <w:b/>
          <w:bCs/>
        </w:rPr>
      </w:pPr>
      <w:r w:rsidRPr="003E07CC">
        <w:rPr>
          <w:b/>
          <w:bCs/>
        </w:rPr>
        <w:t>4.2 Rung-maintenance [SUP, on an LB observation]</w:t>
      </w:r>
    </w:p>
    <w:p w14:paraId="331F3B04" w14:textId="77777777" w:rsidR="003E07CC" w:rsidRPr="003E07CC" w:rsidRDefault="003E07CC" w:rsidP="003E07CC">
      <w:pPr>
        <w:jc w:val="both"/>
      </w:pPr>
      <w:r w:rsidRPr="003E07CC">
        <w:t xml:space="preserve">The block operates entirely within the inner-product rung — every operation in §§2–3 is a dot product or a map on normed vectors — and the inner-product rung has a precondition that the architecture must actively maintain: the representations must stay in the magnitude regime where dot products measure </w:t>
      </w:r>
      <w:r w:rsidRPr="003E07CC">
        <w:rPr>
          <w:i/>
          <w:iCs/>
        </w:rPr>
        <w:t>alignment</w:t>
      </w:r>
      <w:r w:rsidRPr="003E07CC">
        <w:t xml:space="preserve"> rather than mere scale. That precondition is under continual threat, because attention and the FFN enter the representation as </w:t>
      </w:r>
      <w:r w:rsidRPr="003E07CC">
        <w:rPr>
          <w:i/>
          <w:iCs/>
        </w:rPr>
        <w:t>additive</w:t>
      </w:r>
      <w:r w:rsidRPr="003E07CC">
        <w:t xml:space="preserve"> increments through the residual stream (§5), and an additive stream drifts. In a pre-norm block the residual stream x is not itself normalized; it accumulates increment upon increment, and its magnitude grows with depth. Each sublayer, </w:t>
      </w:r>
      <w:r w:rsidRPr="003E07CC">
        <w:lastRenderedPageBreak/>
        <w:t xml:space="preserve">however, reads a </w:t>
      </w:r>
      <w:r w:rsidRPr="003E07CC">
        <w:rPr>
          <w:i/>
          <w:iCs/>
        </w:rPr>
        <w:t>normalized</w:t>
      </w:r>
      <w:r w:rsidRPr="003E07CC">
        <w:t xml:space="preserve"> version of it: Attn(Norm(x)) and FFN(Norm(x)) operate on the shell-projected input, not on the drifting stream directly.</w:t>
      </w:r>
    </w:p>
    <w:p w14:paraId="5027CB5D" w14:textId="77777777" w:rsidR="003E07CC" w:rsidRPr="003E07CC" w:rsidRDefault="003E07CC" w:rsidP="003E07CC">
      <w:pPr>
        <w:jc w:val="both"/>
      </w:pPr>
      <w:r w:rsidRPr="003E07CC">
        <w:t>This is the [LB] observation the reading rests on: if a vector's magnitude were allowed to inflate without bound before entering a sublayer, the rung's operations would degrade in specific, computable ways. The attention scores qᵢ · kⱼ = ‖qᵢ‖‖kⱼ‖ cos θ would come to be dominated by the magnitudes ‖q‖, ‖k‖ rather than the alignment cos θ, so the softmax would saturate toward whichever tokens happened to carry the largest norm, and the partition of unity would collapse toward a hard selection unrelated to similarity. The FFN's nonlinearity would saturate, its activations pinned at the flat extremes of GELU or in the dead/​linear regions of ReLU, where the shared map carries little information. Normalization forestalls both: by re-projecting each sublayer's input onto the shell, it returns the vector to the regime where cos θ governs the score and the nonlinearity is informative.</w:t>
      </w:r>
    </w:p>
    <w:p w14:paraId="21B1907E" w14:textId="77777777" w:rsidR="003E07CC" w:rsidRPr="003E07CC" w:rsidRDefault="003E07CC" w:rsidP="003E07CC">
      <w:pPr>
        <w:jc w:val="both"/>
      </w:pPr>
      <w:r w:rsidRPr="003E07CC">
        <w:t xml:space="preserve">The framework reads this as </w:t>
      </w:r>
      <w:r w:rsidRPr="003E07CC">
        <w:rPr>
          <w:b/>
          <w:bCs/>
        </w:rPr>
        <w:t>rung-maintenance</w:t>
      </w:r>
      <w:r w:rsidRPr="003E07CC">
        <w:t xml:space="preserve">, and the [SUP] reading is the word, not the mechanism. Normalization does not lift the representation to a higher rung — it computes no new structure, enriches nothing, and produces no information the input did not contain; it strips magnitude and returns the vector to the inner-product regime it had begun to leave. It maintains the rung </w:t>
      </w:r>
      <w:r w:rsidRPr="003E07CC">
        <w:rPr>
          <w:i/>
          <w:iCs/>
        </w:rPr>
        <w:t>at the point of computation</w:t>
      </w:r>
      <w:r w:rsidRPr="003E07CC">
        <w:t>: it does not prevent the residual stream from drifting — in a pre-norm block the stream keeps growing — but it ensures that every read of the stream, every place a sublayer actually computes, sees a de-drifted vector on the shell. This is the precise content of "rung-maintenance, not ladder-ascent": the operation that holds the representation in the geometry the rung requires, applied wherever that geometry is about to be used.</w:t>
      </w:r>
    </w:p>
    <w:p w14:paraId="34010638" w14:textId="77777777" w:rsidR="003E07CC" w:rsidRPr="003E07CC" w:rsidRDefault="003E07CC" w:rsidP="003E07CC">
      <w:pPr>
        <w:jc w:val="both"/>
      </w:pPr>
      <w:r w:rsidRPr="003E07CC">
        <w:t>And, as with attention and the FFN, normalization is not the missing gate. It conditions the vector for the rung's operations, but it evaluates no coherence: a perfectly normalized vector can encode a perfectly illegitimate gluing, and normalization will project it to the shell as faithfully as it projects a legitimate one. The block can now glue (attention), render comparable (FFN), and hold the geometric regime (normalization) — three operations that prepare and sustain the inner-product rung — and still has no operation that asks whether what it computed should have been computed. Section 5 shows that the residual stream, which carries the result forward, does not supply that operation either; it protects identity, which is a different service, and §6 names the one the block lacks.</w:t>
      </w:r>
    </w:p>
    <w:p w14:paraId="26586105" w14:textId="77777777" w:rsidR="003E07CC" w:rsidRPr="003E07CC" w:rsidRDefault="003E07CC" w:rsidP="00BD7027">
      <w:pPr>
        <w:pStyle w:val="Heading1"/>
      </w:pPr>
      <w:r w:rsidRPr="003E07CC">
        <w:t xml:space="preserve">5. Residual Connections </w:t>
      </w:r>
      <w:r w:rsidRPr="00BD7027">
        <w:rPr>
          <w:sz w:val="32"/>
          <w:szCs w:val="32"/>
        </w:rPr>
        <w:t>as Provenance-Preserving Transport</w:t>
      </w:r>
    </w:p>
    <w:p w14:paraId="278ECC04" w14:textId="77777777" w:rsidR="003E07CC" w:rsidRPr="003E07CC" w:rsidRDefault="003E07CC" w:rsidP="003E07CC">
      <w:pPr>
        <w:jc w:val="both"/>
      </w:pPr>
      <w:r w:rsidRPr="003E07CC">
        <w:t>The micro-cycles of the block are stitched together by the residual stream, and the framework reads that stream as the architecture's one native provenance mechanism — the carrier that preserves a token's identity across the layer rather than replacing it. This section states the additive structure (§5.1), reads it as provenance-preserving transport (§5.2), and is precise about the limit of that protection, which turns out to be exactly what motivates the gate's placement in §6 (§5.3).</w:t>
      </w:r>
    </w:p>
    <w:p w14:paraId="2C358F12" w14:textId="77777777" w:rsidR="003E07CC" w:rsidRPr="003E07CC" w:rsidRDefault="003E07CC" w:rsidP="003E07CC">
      <w:pPr>
        <w:jc w:val="both"/>
        <w:rPr>
          <w:b/>
          <w:bCs/>
        </w:rPr>
      </w:pPr>
      <w:r w:rsidRPr="003E07CC">
        <w:rPr>
          <w:b/>
          <w:bCs/>
        </w:rPr>
        <w:t>5.1 The additive increment [LB]</w:t>
      </w:r>
    </w:p>
    <w:p w14:paraId="1DBE624F" w14:textId="77777777" w:rsidR="003E07CC" w:rsidRPr="003E07CC" w:rsidRDefault="003E07CC" w:rsidP="003E07CC">
      <w:pPr>
        <w:jc w:val="both"/>
      </w:pPr>
      <w:r w:rsidRPr="003E07CC">
        <w:t>The Transformer does not replace its state from layer to layer; it adds to it. Each sublayer contributes an increment that is summed into the stream rather than substituted for it:</w:t>
      </w:r>
    </w:p>
    <w:p w14:paraId="2BCE3017" w14:textId="77777777" w:rsidR="003E07CC" w:rsidRPr="003E07CC" w:rsidRDefault="003E07CC" w:rsidP="00BD7027">
      <w:pPr>
        <w:jc w:val="center"/>
      </w:pPr>
      <w:r w:rsidRPr="003E07CC">
        <w:t>h = x + Attn(Norm(x)), y = h + FFN(Norm(h)),</w:t>
      </w:r>
    </w:p>
    <w:p w14:paraId="2017AF75" w14:textId="77777777" w:rsidR="003E07CC" w:rsidRPr="003E07CC" w:rsidRDefault="003E07CC" w:rsidP="003E07CC">
      <w:pPr>
        <w:jc w:val="both"/>
      </w:pPr>
      <w:r w:rsidRPr="003E07CC">
        <w:t>and across the full depth the stream is a running sum,</w:t>
      </w:r>
    </w:p>
    <w:p w14:paraId="47B2F1D2" w14:textId="77777777" w:rsidR="003E07CC" w:rsidRPr="003E07CC" w:rsidRDefault="003E07CC" w:rsidP="00BD7027">
      <w:pPr>
        <w:jc w:val="center"/>
      </w:pPr>
      <w:r w:rsidRPr="003E07CC">
        <w:t>x^{(L)} = x^{(0)} + Σₗ Δ^{(ℓ)},</w:t>
      </w:r>
    </w:p>
    <w:p w14:paraId="36F3E8B8" w14:textId="77777777" w:rsidR="003E07CC" w:rsidRPr="003E07CC" w:rsidRDefault="003E07CC" w:rsidP="003E07CC">
      <w:pPr>
        <w:jc w:val="both"/>
      </w:pPr>
      <w:r w:rsidRPr="003E07CC">
        <w:lastRenderedPageBreak/>
        <w:t xml:space="preserve">where each Δ^{(ℓ)} is the (normalized-input) attention or feedforward increment of layer ℓ. The structural consequence is exact and worth stating plainly: the initial embedding x^{(0)} is a </w:t>
      </w:r>
      <w:r w:rsidRPr="003E07CC">
        <w:rPr>
          <w:i/>
          <w:iCs/>
        </w:rPr>
        <w:t>literal additive term</w:t>
      </w:r>
      <w:r w:rsidRPr="003E07CC">
        <w:t xml:space="preserve"> in every downstream representation, and so is each intermediate state — the stream carries forward everything it has ever held, superposing new increments rather than overwriting old contents. This is state </w:t>
      </w:r>
      <w:r w:rsidRPr="003E07CC">
        <w:rPr>
          <w:i/>
          <w:iCs/>
        </w:rPr>
        <w:t>transport</w:t>
      </w:r>
      <w:r w:rsidRPr="003E07CC">
        <w:t xml:space="preserve">, not state </w:t>
      </w:r>
      <w:r w:rsidRPr="003E07CC">
        <w:rPr>
          <w:i/>
          <w:iCs/>
        </w:rPr>
        <w:t>replacement</w:t>
      </w:r>
      <w:r w:rsidRPr="003E07CC">
        <w:t>: a pure feedforward stack computes x^{(ℓ+1)} = f(x^{(ℓ)}), in which x^{(ℓ)} is consumed and gone after the map, whereas the residual form keeps it as a summand. The [LB] content is this running-sum structure; nothing is read into it yet beyond what x + Δ already is.</w:t>
      </w:r>
    </w:p>
    <w:p w14:paraId="4633B61B" w14:textId="77777777" w:rsidR="003E07CC" w:rsidRPr="003E07CC" w:rsidRDefault="003E07CC" w:rsidP="003E07CC">
      <w:pPr>
        <w:jc w:val="both"/>
        <w:rPr>
          <w:b/>
          <w:bCs/>
        </w:rPr>
      </w:pPr>
      <w:r w:rsidRPr="003E07CC">
        <w:rPr>
          <w:b/>
          <w:bCs/>
        </w:rPr>
        <w:t>5.2 Provenance-preserving transport [SUP]</w:t>
      </w:r>
    </w:p>
    <w:p w14:paraId="48DE0CCA" w14:textId="77777777" w:rsidR="003E07CC" w:rsidRPr="003E07CC" w:rsidRDefault="003E07CC" w:rsidP="003E07CC">
      <w:pPr>
        <w:jc w:val="both"/>
      </w:pPr>
      <w:r w:rsidRPr="003E07CC">
        <w:t xml:space="preserve">Paper 3 required that legitimate gluing track the </w:t>
      </w:r>
      <w:r w:rsidRPr="003E07CC">
        <w:rPr>
          <w:i/>
          <w:iCs/>
        </w:rPr>
        <w:t>provenance</w:t>
      </w:r>
      <w:r w:rsidRPr="003E07CC">
        <w:t xml:space="preserve"> of a representation — that the identity of a local section not be erased by the contextual transition maps that bind it to others — and the gluing-discipline addendum made provenance a non-erasable type carried through fusion. The residual stream is the Transformer's native realization of that requirement. Because each sublayer's output enters as an additive Δ and the prior state passes straight through, the token's identity is transported forward intact: the context that attention glued in </w:t>
      </w:r>
      <w:r w:rsidRPr="003E07CC">
        <w:rPr>
          <w:i/>
          <w:iCs/>
        </w:rPr>
        <w:t>shifts</w:t>
      </w:r>
      <w:r w:rsidRPr="003E07CC">
        <w:t xml:space="preserve"> the representation without </w:t>
      </w:r>
      <w:r w:rsidRPr="003E07CC">
        <w:rPr>
          <w:i/>
          <w:iCs/>
        </w:rPr>
        <w:t>overwriting</w:t>
      </w:r>
      <w:r w:rsidRPr="003E07CC">
        <w:t xml:space="preserve"> it, and the base identity remains present as a summand no matter how much context was added. This is the architecture's one structural defense against over-association — the failure in which a token's own identity is dissolved into the context it attends to. Context may influence identity; it cannot, through an additive residual, substitute for it.</w:t>
      </w:r>
    </w:p>
    <w:p w14:paraId="099D7934" w14:textId="77777777" w:rsidR="003E07CC" w:rsidRPr="003E07CC" w:rsidRDefault="003E07CC" w:rsidP="003E07CC">
      <w:pPr>
        <w:jc w:val="both"/>
      </w:pPr>
      <w:r w:rsidRPr="003E07CC">
        <w:t xml:space="preserve">The reading is [SUP], and one qualification keeps it honest. This is </w:t>
      </w:r>
      <w:r w:rsidRPr="003E07CC">
        <w:rPr>
          <w:i/>
          <w:iCs/>
        </w:rPr>
        <w:t>structural</w:t>
      </w:r>
      <w:r w:rsidRPr="003E07CC">
        <w:t xml:space="preserve"> provenance, not an enforced audit trail. The residual stream preserves identity in the precise sense that x^{(0)} is never removed from the sum — it is recoverable in the linear term — but this is a mathematical property of the additive architecture, not a guarantee enforced the way a cryptographic log enforces a record. Calling the residual path an "immutable audit trail" overstates it; the defensible claim is that identity is </w:t>
      </w:r>
      <w:r w:rsidRPr="003E07CC">
        <w:rPr>
          <w:i/>
          <w:iCs/>
        </w:rPr>
        <w:t>non-erased</w:t>
      </w:r>
      <w:r w:rsidRPr="003E07CC">
        <w:t>, carried as an additive summand through the traversal, which is a real and useful property and a weaker one than an enforced provenance guarantee.</w:t>
      </w:r>
    </w:p>
    <w:p w14:paraId="793F6EDE" w14:textId="77777777" w:rsidR="003E07CC" w:rsidRPr="003E07CC" w:rsidRDefault="003E07CC" w:rsidP="003E07CC">
      <w:pPr>
        <w:jc w:val="both"/>
        <w:rPr>
          <w:b/>
          <w:bCs/>
        </w:rPr>
      </w:pPr>
      <w:r w:rsidRPr="003E07CC">
        <w:rPr>
          <w:b/>
          <w:bCs/>
        </w:rPr>
        <w:t>5.3 The limit: overwriting versus swamping [LB observation / setup]</w:t>
      </w:r>
    </w:p>
    <w:p w14:paraId="118D3695" w14:textId="77777777" w:rsidR="003E07CC" w:rsidRPr="003E07CC" w:rsidRDefault="003E07CC" w:rsidP="003E07CC">
      <w:pPr>
        <w:jc w:val="both"/>
      </w:pPr>
      <w:r w:rsidRPr="003E07CC">
        <w:t xml:space="preserve">The precise limit of this protection is what connects §5 to the gate. Residuals prevent </w:t>
      </w:r>
      <w:r w:rsidRPr="003E07CC">
        <w:rPr>
          <w:i/>
          <w:iCs/>
        </w:rPr>
        <w:t>overwriting</w:t>
      </w:r>
      <w:r w:rsidRPr="003E07CC">
        <w:t xml:space="preserve"> — the substitution by which a feedforward map discards its input — but they do not prevent </w:t>
      </w:r>
      <w:r w:rsidRPr="003E07CC">
        <w:rPr>
          <w:i/>
          <w:iCs/>
        </w:rPr>
        <w:t>swamping</w:t>
      </w:r>
      <w:r w:rsidRPr="003E07CC">
        <w:t xml:space="preserve">. Because the final representation is x^{(0)} + Σ Δ^{(ℓ)}, the initial identity is always a summand, yet its </w:t>
      </w:r>
      <w:r w:rsidRPr="003E07CC">
        <w:rPr>
          <w:i/>
          <w:iCs/>
        </w:rPr>
        <w:t>relative</w:t>
      </w:r>
      <w:r w:rsidRPr="003E07CC">
        <w:t xml:space="preserve"> contribution can become arbitrarily small: if the accumulated increments are large, ‖Σ Δ‖ </w:t>
      </w:r>
      <w:r w:rsidRPr="003E07CC">
        <w:rPr>
          <w:rFonts w:ascii="Cambria Math" w:hAnsi="Cambria Math" w:cs="Cambria Math"/>
        </w:rPr>
        <w:t>≫</w:t>
      </w:r>
      <w:r w:rsidRPr="003E07CC">
        <w:t xml:space="preserve"> </w:t>
      </w:r>
      <w:r w:rsidRPr="003E07CC">
        <w:rPr>
          <w:rFonts w:ascii="Calibri" w:hAnsi="Calibri" w:cs="Calibri"/>
        </w:rPr>
        <w:t>‖</w:t>
      </w:r>
      <w:r w:rsidRPr="003E07CC">
        <w:t>x^{(0)}</w:t>
      </w:r>
      <w:r w:rsidRPr="003E07CC">
        <w:rPr>
          <w:rFonts w:ascii="Calibri" w:hAnsi="Calibri" w:cs="Calibri"/>
        </w:rPr>
        <w:t>‖</w:t>
      </w:r>
      <w:r w:rsidRPr="003E07CC">
        <w:t xml:space="preserve">, then x^{(L)} </w:t>
      </w:r>
      <w:r w:rsidRPr="003E07CC">
        <w:rPr>
          <w:rFonts w:ascii="Calibri" w:hAnsi="Calibri" w:cs="Calibri"/>
        </w:rPr>
        <w:t>≈</w:t>
      </w:r>
      <w:r w:rsidRPr="003E07CC">
        <w:t xml:space="preserve"> </w:t>
      </w:r>
      <w:r w:rsidRPr="003E07CC">
        <w:rPr>
          <w:rFonts w:ascii="Calibri" w:hAnsi="Calibri" w:cs="Calibri"/>
        </w:rPr>
        <w:t>Σ</w:t>
      </w:r>
      <w:r w:rsidRPr="003E07CC">
        <w:t xml:space="preserve"> </w:t>
      </w:r>
      <w:r w:rsidRPr="003E07CC">
        <w:rPr>
          <w:rFonts w:ascii="Calibri" w:hAnsi="Calibri" w:cs="Calibri"/>
        </w:rPr>
        <w:t>Δ</w:t>
      </w:r>
      <w:r w:rsidRPr="003E07CC">
        <w:t xml:space="preserve">, and the identity, though never erased, is dominated. Non-erasure as a summand is therefore weaker than preservation of influence: the residual stream guarantees the former and not the latter. A large increment from an illegitimate gluing does not delete the token's identity, but it can swamp it </w:t>
      </w:r>
      <w:r w:rsidRPr="003E07CC">
        <w:rPr>
          <w:rFonts w:ascii="Calibri" w:hAnsi="Calibri" w:cs="Calibri"/>
        </w:rPr>
        <w:t>—</w:t>
      </w:r>
      <w:r w:rsidRPr="003E07CC">
        <w:t xml:space="preserve"> leaving the identity formally present and practically overridden.</w:t>
      </w:r>
    </w:p>
    <w:p w14:paraId="7173B663" w14:textId="77777777" w:rsidR="003E07CC" w:rsidRPr="003E07CC" w:rsidRDefault="003E07CC" w:rsidP="003E07CC">
      <w:pPr>
        <w:jc w:val="both"/>
      </w:pPr>
      <w:r w:rsidRPr="003E07CC">
        <w:t xml:space="preserve">This is precisely why the protection of §5 is not enough on its own and why the gate of §6 must sit where it does. The residual stream faithfully transports whatever increment it is handed, legitimate or not; it has no more capacity to evaluate Δ than attention had to refuse a gluing or the FFN had to certify one. If a large illegitimate Δ is allowed into the stream, the residual will transport it and let it swamp the identity it was meant to protect — and once transported, it is summed in and carried to every subsequent layer. The implication is structural: the only place to protect the provenance the residual carries is </w:t>
      </w:r>
      <w:r w:rsidRPr="003E07CC">
        <w:rPr>
          <w:i/>
          <w:iCs/>
        </w:rPr>
        <w:t>before the increment enters the stream</w:t>
      </w:r>
      <w:r w:rsidRPr="003E07CC">
        <w:t xml:space="preserve">. An obstruction gate that evaluated Δ after it had been added would be too late, the identity already swamped; the gate must evaluate the gluing at the boundary of the residual stream, before the additive transport commits it. With this, every component </w:t>
      </w:r>
      <w:r w:rsidRPr="003E07CC">
        <w:lastRenderedPageBreak/>
        <w:t>of the block is accounted for — gluing, comparability, rung-maintenance, transport — and none evaluates coherence; §6 names the operation that would, and the boundary at which §5 has just shown it must act.</w:t>
      </w:r>
    </w:p>
    <w:p w14:paraId="7F28E002" w14:textId="77777777" w:rsidR="003E07CC" w:rsidRPr="003E07CC" w:rsidRDefault="003E07CC" w:rsidP="00BD7027">
      <w:pPr>
        <w:pStyle w:val="Heading1"/>
      </w:pPr>
      <w:r w:rsidRPr="003E07CC">
        <w:t>6. The Missing Gate and the Candidate Implementation</w:t>
      </w:r>
    </w:p>
    <w:p w14:paraId="5E26AA3B" w14:textId="77777777" w:rsidR="003E07CC" w:rsidRPr="003E07CC" w:rsidRDefault="003E07CC" w:rsidP="003E07CC">
      <w:pPr>
        <w:jc w:val="both"/>
      </w:pPr>
      <w:r w:rsidRPr="003E07CC">
        <w:t xml:space="preserve">The four operations are now translated, and the deficit is exact. The block glues context (attention, §2), renders the result comparable (the FFN, §3), maintains the inner-product regime (normalization, §4), and transports provenance forward (the residual, §5). What no component does is compute an obstruction and refuse. This section states the deficit precisely (§6.1), specifies what an obstruction would have to be computed </w:t>
      </w:r>
      <w:r w:rsidRPr="003E07CC">
        <w:rPr>
          <w:i/>
          <w:iCs/>
        </w:rPr>
        <w:t>over</w:t>
      </w:r>
      <w:r w:rsidRPr="003E07CC">
        <w:t xml:space="preserve"> — which is where the architecture's vacuity becomes a theorem rather than a complaint (§6.2) — states the criterion correctly as class-nontriviality (§6.3), locates the gate's insertion point as a motivated but not settled candidate (§6.4), and names what the implementation series must establish (§6.5).</w:t>
      </w:r>
    </w:p>
    <w:p w14:paraId="0C5D7CDE" w14:textId="77777777" w:rsidR="003E07CC" w:rsidRPr="003E07CC" w:rsidRDefault="003E07CC" w:rsidP="003E07CC">
      <w:pPr>
        <w:jc w:val="both"/>
        <w:rPr>
          <w:b/>
          <w:bCs/>
        </w:rPr>
      </w:pPr>
      <w:r w:rsidRPr="003E07CC">
        <w:rPr>
          <w:b/>
          <w:bCs/>
        </w:rPr>
        <w:t>6.1 The unconditional engine [LB observation]</w:t>
      </w:r>
    </w:p>
    <w:p w14:paraId="798C058B" w14:textId="77777777" w:rsidR="003E07CC" w:rsidRPr="003E07CC" w:rsidRDefault="003E07CC" w:rsidP="003E07CC">
      <w:pPr>
        <w:jc w:val="both"/>
      </w:pPr>
      <w:r w:rsidRPr="003E07CC">
        <w:t xml:space="preserve">Two operations in the block are unconditional by the mathematics of their codomains. The softmax maps onto the simplex, so attention always produces a valid partition of unity and always glues (§2.4); the feedforward map is a total function, so the FFN always transforms whatever it receives (§3.2). Normalization conditions the vector and the residual transports it, and neither evaluates anything. The block therefore runs the framework's Dynamic Predictive Gluing with the obstruction step deleted: it assembles local sections into a global one at every layer and never computes whether the assembly was legitimate. In the framework's terms, the standard Transformer </w:t>
      </w:r>
      <w:r w:rsidRPr="003E07CC">
        <w:rPr>
          <w:b/>
          <w:bCs/>
        </w:rPr>
        <w:t>assumes every cover is Leray and every gluing legitimate</w:t>
      </w:r>
      <w:r w:rsidRPr="003E07CC">
        <w:t xml:space="preserve"> — it proceeds as though no overlap hid an obstruction and no binding could fail to cohere. It has no mechanism to halt the forward pass, to quarantine a representation, or to route to an offline regime. The hallucination of a Transformer is, on this reading, the exact and predictable consequence of running predictive gluing without ever evaluating the obstruction — neither the first-order H¹ of the addendum nor the hypercovering H^n_hyp of the false-zero case.</w:t>
      </w:r>
    </w:p>
    <w:p w14:paraId="0BBDAED8" w14:textId="77777777" w:rsidR="003E07CC" w:rsidRPr="003E07CC" w:rsidRDefault="003E07CC" w:rsidP="003E07CC">
      <w:pPr>
        <w:jc w:val="both"/>
        <w:rPr>
          <w:b/>
          <w:bCs/>
        </w:rPr>
      </w:pPr>
      <w:r w:rsidRPr="003E07CC">
        <w:rPr>
          <w:b/>
          <w:bCs/>
        </w:rPr>
        <w:t>6.2 What an obstruction would be computed over [CAND]</w:t>
      </w:r>
    </w:p>
    <w:p w14:paraId="06E94600" w14:textId="77777777" w:rsidR="003E07CC" w:rsidRPr="003E07CC" w:rsidRDefault="003E07CC" w:rsidP="003E07CC">
      <w:pPr>
        <w:jc w:val="both"/>
      </w:pPr>
      <w:r w:rsidRPr="003E07CC">
        <w:t xml:space="preserve">To insert a gate, one must say what the gate computes over — the cover, the local sections, and the transition maps whose inconsistency a H¹ class measures — and saying it precisely exposes why the architecture's obstruction is not merely unmeasured but </w:t>
      </w:r>
      <w:r w:rsidRPr="003E07CC">
        <w:rPr>
          <w:i/>
          <w:iCs/>
        </w:rPr>
        <w:t>vacuous by construction</w:t>
      </w:r>
      <w:r w:rsidRPr="003E07CC">
        <w:t>.</w:t>
      </w:r>
    </w:p>
    <w:p w14:paraId="3E2F23F3" w14:textId="77777777" w:rsidR="003E07CC" w:rsidRPr="003E07CC" w:rsidRDefault="003E07CC" w:rsidP="003E07CC">
      <w:pPr>
        <w:jc w:val="both"/>
      </w:pPr>
      <w:r w:rsidRPr="003E07CC">
        <w:t xml:space="preserve">The natural reading from §2 is at hand. The </w:t>
      </w:r>
      <w:r w:rsidRPr="003E07CC">
        <w:rPr>
          <w:b/>
          <w:bCs/>
        </w:rPr>
        <w:t>cover</w:t>
      </w:r>
      <w:r w:rsidRPr="003E07CC">
        <w:t xml:space="preserve"> is the token set, each token a region; the </w:t>
      </w:r>
      <w:r w:rsidRPr="003E07CC">
        <w:rPr>
          <w:b/>
          <w:bCs/>
        </w:rPr>
        <w:t>local sections</w:t>
      </w:r>
      <w:r w:rsidRPr="003E07CC">
        <w:t xml:space="preserve"> are the value-projected token representations vⱼ; the soft adjacency Aᵢⱼ records which regions overlap; and multi-head supplies several covers at once (§2.3). What is missing is the </w:t>
      </w:r>
      <w:r w:rsidRPr="003E07CC">
        <w:rPr>
          <w:b/>
          <w:bCs/>
        </w:rPr>
        <w:t>transition maps</w:t>
      </w:r>
      <w:r w:rsidRPr="003E07CC">
        <w:t xml:space="preserve"> — the comparisons of local sections on overlaps whose failure to compose around triples is the obstruction. And here is the decisive point: in vanilla attention these transition maps are </w:t>
      </w:r>
      <w:r w:rsidRPr="003E07CC">
        <w:rPr>
          <w:i/>
          <w:iCs/>
        </w:rPr>
        <w:t>trivial</w:t>
      </w:r>
      <w:r w:rsidRPr="003E07CC">
        <w:t xml:space="preserve">. The value vⱼ = xⱼW_V is </w:t>
      </w:r>
      <w:r w:rsidRPr="003E07CC">
        <w:rPr>
          <w:b/>
          <w:bCs/>
        </w:rPr>
        <w:t>query-independent</w:t>
      </w:r>
      <w:r w:rsidRPr="003E07CC">
        <w:t xml:space="preserve"> — every query that attends to token j receives the same vⱼ, scaled by a different scalar weight but never transformed. The contribution of j to i's gluing and to k's gluing differ only in weight, not in content, so the comparison of local sections across an overlap is the identity up to a scalar. With identity transition maps the triple-overlap cocycle condition is satisfied automatically — identities compose to the identity — and so H¹ is forced to zero. The obstruction is not </w:t>
      </w:r>
      <w:r w:rsidRPr="003E07CC">
        <w:rPr>
          <w:i/>
          <w:iCs/>
        </w:rPr>
        <w:t>small</w:t>
      </w:r>
      <w:r w:rsidRPr="003E07CC">
        <w:t xml:space="preserve">; it is </w:t>
      </w:r>
      <w:r w:rsidRPr="003E07CC">
        <w:rPr>
          <w:i/>
          <w:iCs/>
        </w:rPr>
        <w:t>vacuous</w:t>
      </w:r>
      <w:r w:rsidRPr="003E07CC">
        <w:t>, exactly as Paper 4 found for bottleneck-free shared attention and as the addendum's proposition stated: a single shared value projection yields trivial transitions and a trivial obstruction by construction.</w:t>
      </w:r>
    </w:p>
    <w:p w14:paraId="3182F2BA" w14:textId="77777777" w:rsidR="003E07CC" w:rsidRPr="003E07CC" w:rsidRDefault="003E07CC" w:rsidP="003E07CC">
      <w:pPr>
        <w:jc w:val="both"/>
      </w:pPr>
      <w:r w:rsidRPr="003E07CC">
        <w:lastRenderedPageBreak/>
        <w:t xml:space="preserve">This sharpens the missing-gate thesis into something stronger than "the architecture does not compute H¹." The architecture </w:t>
      </w:r>
      <w:r w:rsidRPr="003E07CC">
        <w:rPr>
          <w:i/>
          <w:iCs/>
        </w:rPr>
        <w:t>cannot</w:t>
      </w:r>
      <w:r w:rsidRPr="003E07CC">
        <w:t xml:space="preserve"> compute a meaningful H¹, because it represents no transition structure that could be inconsistent: there is nothing for the cocycle test to fail on. The gate's first requirement, therefore, is not to read off an obstruction the attention already contains but to </w:t>
      </w:r>
      <w:r w:rsidRPr="003E07CC">
        <w:rPr>
          <w:b/>
          <w:bCs/>
        </w:rPr>
        <w:t>supply the structured transition maps the architecture lacks</w:t>
      </w:r>
      <w:r w:rsidRPr="003E07CC">
        <w:t xml:space="preserve"> — query-pair-dependent comparisons of how two tokens' sections should align, maps that </w:t>
      </w:r>
      <w:r w:rsidRPr="003E07CC">
        <w:rPr>
          <w:i/>
          <w:iCs/>
        </w:rPr>
        <w:t>can</w:t>
      </w:r>
      <w:r w:rsidRPr="003E07CC">
        <w:t xml:space="preserve"> fail to compose around a triple. Only over structured transitions is H¹ a genuine test; over the trivial transitions of vanilla attention it is a foregone zero. This is the addendum's "structured transition maps required" stated as a diagnosis of the Transformer: the architecture hallucinates not because its obstruction is large and ignored but because its obstruction is vacuous and therefore silent.</w:t>
      </w:r>
    </w:p>
    <w:p w14:paraId="07A68E0F" w14:textId="77777777" w:rsidR="003E07CC" w:rsidRPr="003E07CC" w:rsidRDefault="003E07CC" w:rsidP="003E07CC">
      <w:pPr>
        <w:jc w:val="both"/>
      </w:pPr>
      <w:r w:rsidRPr="003E07CC">
        <w:t xml:space="preserve">The diagnosis is not an artifact of 2017 attention, and it is worth saying so, because the obvious objection is that deployed models no longer use vanilla multi-head attention. The query-independence of the value is preserved exactly across the KV-efficient variants that current large models actually use. Grouped-query attention (GQA, used in LLaMA 3) and multi-query attention (MQA, used in LLaMA 2) share the key and value projections across heads or head-groups but still compute each value from its own token, vⱼ = xⱼW_V, never from the querying token; multi-head latent attention (MLA, used in the DeepSeek models) compresses each token's key and value into a token-derived latent cⱼ = xⱼW_DKV and decompresses per head, which is again a token-indexed, query-independent value. In every case the value a token contributes is the same whichever token attends to it — the property the trivial-transition argument turns on — so the vacuous-obstruction result holds not for a historical toy but for the architectures in production today. A variant that genuinely broke it would have to make the contributed value depend on the querying token; that is precisely the structured transition map the gate must </w:t>
      </w:r>
      <w:r w:rsidRPr="003E07CC">
        <w:rPr>
          <w:i/>
          <w:iCs/>
        </w:rPr>
        <w:t>add</w:t>
      </w:r>
      <w:r w:rsidRPr="003E07CC">
        <w:t>, and no standard efficiency variant adds it.</w:t>
      </w:r>
    </w:p>
    <w:p w14:paraId="1BA489AD" w14:textId="77777777" w:rsidR="003E07CC" w:rsidRPr="003E07CC" w:rsidRDefault="003E07CC" w:rsidP="003E07CC">
      <w:pPr>
        <w:jc w:val="both"/>
      </w:pPr>
      <w:r w:rsidRPr="003E07CC">
        <w:t xml:space="preserve">Two orders of gate follow. The </w:t>
      </w:r>
      <w:r w:rsidRPr="003E07CC">
        <w:rPr>
          <w:b/>
          <w:bCs/>
        </w:rPr>
        <w:t>first-order</w:t>
      </w:r>
      <w:r w:rsidRPr="003E07CC">
        <w:t xml:space="preserve"> gate supplies structured transitions over a single cover and tests their triple-overlap consistency — a genuine H¹. The </w:t>
      </w:r>
      <w:r w:rsidRPr="003E07CC">
        <w:rPr>
          <w:b/>
          <w:bCs/>
        </w:rPr>
        <w:t>second-order</w:t>
      </w:r>
      <w:r w:rsidRPr="003E07CC">
        <w:t xml:space="preserve"> gate operates across the plural covers the heads already provide: bringing two heads' gluings of a token to a common base and testing whether they cohere is the cup-product H² of the cortex paper, and obtaining that common base for covers that do not share one is the hypercovering of the companion note. The architecture's multi-head structure thus already furnishes the plural covers the second-order gate needs; what it lacks, at both orders, is the transition structure and the test.</w:t>
      </w:r>
    </w:p>
    <w:p w14:paraId="12427C7B" w14:textId="77777777" w:rsidR="003E07CC" w:rsidRPr="003E07CC" w:rsidRDefault="003E07CC" w:rsidP="003E07CC">
      <w:pPr>
        <w:jc w:val="both"/>
        <w:rPr>
          <w:b/>
          <w:bCs/>
        </w:rPr>
      </w:pPr>
      <w:r w:rsidRPr="003E07CC">
        <w:rPr>
          <w:b/>
          <w:bCs/>
        </w:rPr>
        <w:t>6.3 The criterion: class-nontriviality at ε(Π) [CAND]</w:t>
      </w:r>
    </w:p>
    <w:p w14:paraId="1BAE2ADD" w14:textId="77777777" w:rsidR="003E07CC" w:rsidRPr="003E07CC" w:rsidRDefault="003E07CC" w:rsidP="003E07CC">
      <w:pPr>
        <w:jc w:val="both"/>
      </w:pPr>
      <w:r w:rsidRPr="003E07CC">
        <w:t xml:space="preserve">The gate's decision must be stated in the form the framework corrected to, not the form it corrected from. The criterion is </w:t>
      </w:r>
      <w:r w:rsidRPr="003E07CC">
        <w:rPr>
          <w:b/>
          <w:bCs/>
        </w:rPr>
        <w:t>not</w:t>
      </w:r>
      <w:r w:rsidRPr="003E07CC">
        <w:t xml:space="preserve"> a scalar magnitude compared to a threshold — not "H¹ &lt; ε(Π) proceed, H¹ ≥ ε(Π) withhold." The cortex paper established, through the submultiplicativity of the obstruction, that an obstruction is detected by the </w:t>
      </w:r>
      <w:r w:rsidRPr="003E07CC">
        <w:rPr>
          <w:b/>
          <w:bCs/>
        </w:rPr>
        <w:t>nontriviality of its cohomology class</w:t>
      </w:r>
      <w:r w:rsidRPr="003E07CC">
        <w:t xml:space="preserve">, not the norm of a representative: a class is an obstruction when it is not a coboundary — when no local correction removes it — regardless of magnitude, and ε(Π) tolerances the </w:t>
      </w:r>
      <w:r w:rsidRPr="003E07CC">
        <w:rPr>
          <w:i/>
          <w:iCs/>
        </w:rPr>
        <w:t>class</w:t>
      </w:r>
      <w:r w:rsidRPr="003E07CC">
        <w:t>, admitting those within ε(Π) of trivial and refusing those beyond it. The gate therefore reads: if the obstruction class is trivial within ε(Π), the gluing is legitimate and the increment proceeds into the residual stream; if the class is nontrivial beyond ε(Π), the gate withholds the increment, requests a hypercover refinement (the H-CAB, for a suspected false zero), or routes the representation to the offline regime. Stating the criterion as a scalar threshold would re-import precisely the error the cortex paper removed; the gate is a class-triviality decision at a chemically-set tolerance, at first order on H¹ and at second order on the cup-product H².</w:t>
      </w:r>
    </w:p>
    <w:p w14:paraId="03AF3243" w14:textId="77777777" w:rsidR="003E07CC" w:rsidRPr="003E07CC" w:rsidRDefault="003E07CC" w:rsidP="003E07CC">
      <w:pPr>
        <w:jc w:val="both"/>
        <w:rPr>
          <w:b/>
          <w:bCs/>
        </w:rPr>
      </w:pPr>
      <w:r w:rsidRPr="003E07CC">
        <w:rPr>
          <w:b/>
          <w:bCs/>
        </w:rPr>
        <w:t>6.4 The insertion point: a motivated candidate, not a settled one [CAND]</w:t>
      </w:r>
    </w:p>
    <w:p w14:paraId="7327DCE0" w14:textId="77777777" w:rsidR="003E07CC" w:rsidRPr="003E07CC" w:rsidRDefault="003E07CC" w:rsidP="003E07CC">
      <w:pPr>
        <w:jc w:val="both"/>
      </w:pPr>
      <w:r w:rsidRPr="003E07CC">
        <w:lastRenderedPageBreak/>
        <w:t xml:space="preserve">Where the gate inserts is a candidate claim, and §5 already argued the leading answer. Because the residual stream transports whatever increment it is handed and a large illegitimate increment swamps the identity once summed in (§5.3), the gate must act </w:t>
      </w:r>
      <w:r w:rsidRPr="003E07CC">
        <w:rPr>
          <w:i/>
          <w:iCs/>
        </w:rPr>
        <w:t>before the increment enters the stream</w:t>
      </w:r>
      <w:r w:rsidRPr="003E07CC">
        <w:t xml:space="preserve"> — evaluating the gluing at the boundary of the residual, after attention has computed Δ = Attn(Norm(x)) but before the additive transport h = x + Δ commits it. This is the </w:t>
      </w:r>
      <w:r w:rsidRPr="003E07CC">
        <w:rPr>
          <w:b/>
          <w:bCs/>
        </w:rPr>
        <w:t>leading candidate</w:t>
      </w:r>
      <w:r w:rsidRPr="003E07CC">
        <w:t>: gate the increment at the residual boundary, proceeding to h = x + Δ only if the obstruction class is trivial within ε(Π), and otherwise withholding, refining, or routing offline. Its motivation is structural — it is the last point at which provenance can be protected before swamping.</w:t>
      </w:r>
    </w:p>
    <w:p w14:paraId="5B51617A" w14:textId="77777777" w:rsidR="003E07CC" w:rsidRPr="003E07CC" w:rsidRDefault="003E07CC" w:rsidP="003E07CC">
      <w:pPr>
        <w:jc w:val="both"/>
      </w:pPr>
      <w:r w:rsidRPr="003E07CC">
        <w:t xml:space="preserve">It is the leading candidate, not the settled location, and the alternatives must be named because discriminating them is the implementation series' work. The gate might instead act at the </w:t>
      </w:r>
      <w:r w:rsidRPr="003E07CC">
        <w:rPr>
          <w:b/>
          <w:bCs/>
        </w:rPr>
        <w:t>read</w:t>
      </w:r>
      <w:r w:rsidRPr="003E07CC">
        <w:t xml:space="preserve"> from the residual stream — screening the vector before the next layer's attention consumes it — which catches a corrupted stream rather than a corrupting increment. Or the operative gate might be the </w:t>
      </w:r>
      <w:r w:rsidRPr="003E07CC">
        <w:rPr>
          <w:b/>
          <w:bCs/>
        </w:rPr>
        <w:t>second-order</w:t>
      </w:r>
      <w:r w:rsidRPr="003E07CC">
        <w:t xml:space="preserve"> one, screening the compound H² across heads rather than each head's H¹, on the grounds that single-cover obstructions are often benign and the dangerous failures are the cross-cover false zeros of §6.2. These are not equivalent, and the choice among them is empirical; the paper commits to the residual-boundary first-order gate as the best-motivated hypothesis and holds the alternatives open. The whole of §6.4 is [CAND]: a placement argued from §5's mathematics, not a result.</w:t>
      </w:r>
    </w:p>
    <w:p w14:paraId="5C1578EF" w14:textId="77777777" w:rsidR="003E07CC" w:rsidRPr="003E07CC" w:rsidRDefault="003E07CC" w:rsidP="003E07CC">
      <w:pPr>
        <w:jc w:val="both"/>
        <w:rPr>
          <w:b/>
          <w:bCs/>
        </w:rPr>
      </w:pPr>
      <w:r w:rsidRPr="003E07CC">
        <w:rPr>
          <w:b/>
          <w:bCs/>
        </w:rPr>
        <w:t>6.5 What the implementation series must establish [CAND]</w:t>
      </w:r>
    </w:p>
    <w:p w14:paraId="3ECD4D14" w14:textId="77777777" w:rsidR="003E07CC" w:rsidRPr="003E07CC" w:rsidRDefault="003E07CC" w:rsidP="003E07CC">
      <w:pPr>
        <w:jc w:val="both"/>
      </w:pPr>
      <w:r w:rsidRPr="003E07CC">
        <w:t>The translation done, the program is definite. The implementation papers must make the schematic of §6.2 concrete — construct the structured, query-pair-dependent transition maps the architecture lacks, over which H¹ is a genuine test rather than a foregone zero — and must specify the triple-overlap computation and the class-triviality decision of §6.3 in a form that runs at the scale Transformers operate at. They must discriminate the insertion points of §6.4 empirically, against the predictions the companion papers supply: the hidden-overlap advantage and the product-not-sum fingerprint of the hypercovering note, and the compound-failure signature of the cortex paper. And they must show that the gate, so inserted, catches the illegitimate and false-zero gluings the unconditional engine of §6.1 cannot — at a cost the thermodynamic termination of the companion note keeps bounded. The thesis this paper establishes is the target of that program: the Transformer is the framework's gluing engine with the gate removed, its hallucination the precise signature of the vacuous obstruction, and the Cohomological Attention Block and its hypercovering refinement the operation that, supplied with the transition structure the architecture lacks and inserted at the residual boundary, would make the engine defensible.</w:t>
      </w:r>
    </w:p>
    <w:p w14:paraId="6512D374" w14:textId="77777777" w:rsidR="003E07CC" w:rsidRPr="003E07CC" w:rsidRDefault="003E07CC" w:rsidP="003E07CC">
      <w:pPr>
        <w:jc w:val="both"/>
        <w:rPr>
          <w:b/>
          <w:bCs/>
        </w:rPr>
      </w:pPr>
      <w:r w:rsidRPr="003E07CC">
        <w:rPr>
          <w:b/>
          <w:bCs/>
        </w:rPr>
        <w:t>6.6 Two missing withholds, not one [CAND]</w:t>
      </w:r>
    </w:p>
    <w:p w14:paraId="1E46E528" w14:textId="77777777" w:rsidR="003E07CC" w:rsidRPr="003E07CC" w:rsidRDefault="003E07CC" w:rsidP="003E07CC">
      <w:pPr>
        <w:jc w:val="both"/>
      </w:pPr>
      <w:r w:rsidRPr="003E07CC">
        <w:t xml:space="preserve">A clarification the companion papers force, and that sharpens the central thesis rather than complicating it. This paper locates one absence — the </w:t>
      </w:r>
      <w:r w:rsidRPr="003E07CC">
        <w:rPr>
          <w:i/>
          <w:iCs/>
        </w:rPr>
        <w:t>certification</w:t>
      </w:r>
      <w:r w:rsidRPr="003E07CC">
        <w:t xml:space="preserve"> gate: the step that computes the obstruction class and refuses to commit an incoherent gluing (§6.1–§6.5). The entorhinal–hippocampal confluence locates a second, at a different point in the cycle: an online </w:t>
      </w:r>
      <w:r w:rsidRPr="003E07CC">
        <w:rPr>
          <w:i/>
          <w:iCs/>
        </w:rPr>
        <w:t>separation</w:t>
      </w:r>
      <w:r w:rsidRPr="003E07CC">
        <w:t xml:space="preserve"> stage </w:t>
      </w:r>
      <w:r w:rsidRPr="003E07CC">
        <w:rPr>
          <w:b/>
          <w:bCs/>
        </w:rPr>
        <w:t>before</w:t>
      </w:r>
      <w:r w:rsidRPr="003E07CC">
        <w:t xml:space="preserve"> the bind, the dentate-analogue that orthogonalizes the representations to be combined so that overlapping inputs do not interfere. These are complementary withholds, not the same one. Separation precedes binding and acts on the inputs (an Axis-3 operation — raising distinguishability on the T₀–T₄ ladder, </w:t>
      </w:r>
      <w:r w:rsidRPr="003E07CC">
        <w:rPr>
          <w:i/>
          <w:iCs/>
        </w:rPr>
        <w:t>The Separation Hierarchy</w:t>
      </w:r>
      <w:r w:rsidRPr="003E07CC">
        <w:t xml:space="preserve">); certification follows the increment and acts on the assembled section (the cup-product class-test of §6.3). The capacity argument of the confluence gives the separation withhold its bite: an associative bind fed un-orthogonalized inputs accumulates crosstalk that is a sum of inter-input inner-product overlaps, and past a critical load the retrievable </w:t>
      </w:r>
      <w:r w:rsidRPr="003E07CC">
        <w:lastRenderedPageBreak/>
        <w:t xml:space="preserve">structure collapses — the failure a separation stage exists to prevent upstream of any certification. So the precise form of this paper's thesis is that the Transformer is the gluing engine with </w:t>
      </w:r>
      <w:r w:rsidRPr="003E07CC">
        <w:rPr>
          <w:i/>
          <w:iCs/>
        </w:rPr>
        <w:t>both</w:t>
      </w:r>
      <w:r w:rsidRPr="003E07CC">
        <w:t xml:space="preserve"> withholds removed: it neither separates its inputs before combining them nor certifies the combination after. The certification gate is this series' insertion target; the separation stage is the confluence's; and §2.5's RoPE supplies the positional cover the bind runs over but performs neither withhold. Naming all three at once fixes what the architecture has (positional gluing) and what it lacks (separation, then certification).</w:t>
      </w:r>
    </w:p>
    <w:p w14:paraId="20D1E51B" w14:textId="77777777" w:rsidR="003E07CC" w:rsidRPr="003E07CC" w:rsidRDefault="003E07CC" w:rsidP="003E07CC">
      <w:pPr>
        <w:jc w:val="both"/>
      </w:pPr>
      <w:r w:rsidRPr="003E07CC">
        <w:t>The candidate tier holds: that the missing certification gate inserts at the residual boundary (§6.4) is a hypothesis for the implementation papers, and that a complementary separation stage belongs before the bind is the confluence's design conjecture, conditional on the inner-product attractor mechanism — neither is asserted here as a result.</w:t>
      </w:r>
    </w:p>
    <w:p w14:paraId="2F4F11C7" w14:textId="1DA40815" w:rsidR="003E07CC" w:rsidRPr="003E07CC" w:rsidRDefault="003E07CC" w:rsidP="00BD7027">
      <w:pPr>
        <w:pStyle w:val="Heading1"/>
      </w:pPr>
      <w:r w:rsidRPr="003E07CC">
        <w:t>Bibliography</w:t>
      </w:r>
    </w:p>
    <w:p w14:paraId="1AEBE73E" w14:textId="77777777" w:rsidR="003E07CC" w:rsidRPr="003E07CC" w:rsidRDefault="003E07CC" w:rsidP="00BD7027">
      <w:pPr>
        <w:pStyle w:val="Heading2"/>
      </w:pPr>
      <w:r w:rsidRPr="003E07CC">
        <w:t>The architecture</w:t>
      </w:r>
    </w:p>
    <w:p w14:paraId="6712EEC4" w14:textId="35A0F81C" w:rsidR="003E07CC" w:rsidRPr="003E07CC" w:rsidRDefault="003E07CC" w:rsidP="003E07CC">
      <w:pPr>
        <w:jc w:val="both"/>
      </w:pPr>
      <w:r w:rsidRPr="003E07CC">
        <w:t xml:space="preserve">Vaswani, A., Shazeer, N., Parmar, N., Uszkoreit, J., Jones, L., Gomez, A. N., Kaiser, Ł., &amp; Polosukhin, I. (2017). Attention is all you need. </w:t>
      </w:r>
      <w:r w:rsidRPr="003E07CC">
        <w:rPr>
          <w:i/>
          <w:iCs/>
        </w:rPr>
        <w:t>Advances in Neural Information Processing Systems 30</w:t>
      </w:r>
      <w:r w:rsidRPr="003E07CC">
        <w:t xml:space="preserve"> (NeurIPS 2017), 5998–6008. arXiv:1706.03762.</w:t>
      </w:r>
      <w:r w:rsidR="00BD7027">
        <w:t xml:space="preserve"> </w:t>
      </w:r>
      <w:r w:rsidRPr="003E07CC">
        <w:t>(The Transformer: scaled dot-product and multi-head self-attention, the position-wise feedforward network max(0, xW₁+b₁)W₂+b₂, residual connections, and layer normalization — the equations §§2–5 read. The eight authors are listed as equal contributors.)</w:t>
      </w:r>
    </w:p>
    <w:p w14:paraId="5C5ECCB6" w14:textId="6F67FC74" w:rsidR="003E07CC" w:rsidRPr="003E07CC" w:rsidRDefault="003E07CC" w:rsidP="003E07CC">
      <w:pPr>
        <w:jc w:val="both"/>
      </w:pPr>
      <w:r w:rsidRPr="003E07CC">
        <w:t>Ba, J. L., Kiros, J. R., &amp; Hinton, G. E. (2016). Layer Normalization. arXiv:1607.06450.</w:t>
      </w:r>
      <w:r w:rsidR="00BD7027">
        <w:t xml:space="preserve"> </w:t>
      </w:r>
      <w:r w:rsidRPr="003E07CC">
        <w:t>(LayerNorm: re-centering and re-scaling by the mean and standard deviation of a representation's components — the variant geometry of §4.1, projection to the radius-√d sphere within the zero-mean hyperplane, followed by the learned affine.)</w:t>
      </w:r>
    </w:p>
    <w:p w14:paraId="3BE05775" w14:textId="374F8F83" w:rsidR="003E07CC" w:rsidRPr="003E07CC" w:rsidRDefault="003E07CC" w:rsidP="003E07CC">
      <w:pPr>
        <w:jc w:val="both"/>
      </w:pPr>
      <w:r w:rsidRPr="003E07CC">
        <w:t xml:space="preserve">Zhang, B., &amp; Sennrich, R. (2019). Root Mean Square Layer Normalization. </w:t>
      </w:r>
      <w:r w:rsidRPr="003E07CC">
        <w:rPr>
          <w:i/>
          <w:iCs/>
        </w:rPr>
        <w:t>Advances in Neural Information Processing Systems 32</w:t>
      </w:r>
      <w:r w:rsidRPr="003E07CC">
        <w:t xml:space="preserve"> (NeurIPS 2019), 12360–12371. arXiv:1910.07467.</w:t>
      </w:r>
      <w:r w:rsidR="00BD7027">
        <w:t xml:space="preserve"> </w:t>
      </w:r>
      <w:r w:rsidRPr="003E07CC">
        <w:t xml:space="preserve">(RMSNorm: rescaling by the root-mean-square magnitude with no mean subtraction and no additive bias, x/RMS(x) </w:t>
      </w:r>
      <w:r w:rsidRPr="003E07CC">
        <w:rPr>
          <w:rFonts w:ascii="Cambria Math" w:hAnsi="Cambria Math" w:cs="Cambria Math"/>
        </w:rPr>
        <w:t>⊙</w:t>
      </w:r>
      <w:r w:rsidRPr="003E07CC">
        <w:t xml:space="preserve"> </w:t>
      </w:r>
      <w:r w:rsidRPr="003E07CC">
        <w:rPr>
          <w:rFonts w:ascii="Calibri" w:hAnsi="Calibri" w:cs="Calibri"/>
        </w:rPr>
        <w:t>γ</w:t>
      </w:r>
      <w:r w:rsidRPr="003E07CC">
        <w:t xml:space="preserve"> </w:t>
      </w:r>
      <w:r w:rsidRPr="003E07CC">
        <w:rPr>
          <w:rFonts w:ascii="Calibri" w:hAnsi="Calibri" w:cs="Calibri"/>
        </w:rPr>
        <w:t>—</w:t>
      </w:r>
      <w:r w:rsidRPr="003E07CC">
        <w:t xml:space="preserve"> the clean case of </w:t>
      </w:r>
      <w:r w:rsidRPr="003E07CC">
        <w:rPr>
          <w:rFonts w:ascii="Calibri" w:hAnsi="Calibri" w:cs="Calibri"/>
        </w:rPr>
        <w:t>§</w:t>
      </w:r>
      <w:r w:rsidRPr="003E07CC">
        <w:t>4.1, exact projection to the radius-</w:t>
      </w:r>
      <w:r w:rsidRPr="003E07CC">
        <w:rPr>
          <w:rFonts w:ascii="Calibri" w:hAnsi="Calibri" w:cs="Calibri"/>
        </w:rPr>
        <w:t>√</w:t>
      </w:r>
      <w:r w:rsidRPr="003E07CC">
        <w:t>d shell preserving direction up to the diagonal gain. The paper's thesis that re-centering is dispensable is why RMSNorm is the modern default and the clean shell case.)</w:t>
      </w:r>
    </w:p>
    <w:p w14:paraId="2887E837" w14:textId="22D77EE8" w:rsidR="003E07CC" w:rsidRPr="003E07CC" w:rsidRDefault="003E07CC" w:rsidP="003E07CC">
      <w:pPr>
        <w:jc w:val="both"/>
      </w:pPr>
      <w:r w:rsidRPr="003E07CC">
        <w:t xml:space="preserve">Xiong, R., Yang, Y., He, D., Zheng, K., Zheng, S., Xing, C., Zhang, H., Lan, Y., Wang, L., &amp; Liu, T.-Y. (2020). On Layer Normalization in the Transformer Architecture. </w:t>
      </w:r>
      <w:r w:rsidRPr="003E07CC">
        <w:rPr>
          <w:i/>
          <w:iCs/>
        </w:rPr>
        <w:t>Proceedings of the 37th International Conference on Machine Learning</w:t>
      </w:r>
      <w:r w:rsidRPr="003E07CC">
        <w:t xml:space="preserve"> (ICML 2020), PMLR 119. arXiv:2002.04745.</w:t>
      </w:r>
      <w:r w:rsidR="00BD7027">
        <w:t xml:space="preserve"> </w:t>
      </w:r>
      <w:r w:rsidRPr="003E07CC">
        <w:t>(The pre-norm versus post-norm distinction — normalization inside the residual branch and before each sublayer — which §1.3 commits to and §4.2 relies on for the reading that the residual stream drifts while each sublayer reads a re-projected input.)</w:t>
      </w:r>
    </w:p>
    <w:p w14:paraId="00E44F1D" w14:textId="7DFF107E" w:rsidR="003E07CC" w:rsidRPr="003E07CC" w:rsidRDefault="003E07CC" w:rsidP="003E07CC">
      <w:pPr>
        <w:jc w:val="both"/>
      </w:pPr>
      <w:r w:rsidRPr="003E07CC">
        <w:t>Shazeer, N. (2020). GLU Variants Improve Transformer. arXiv:2002.05202.</w:t>
      </w:r>
      <w:r w:rsidR="00BD7027">
        <w:t xml:space="preserve"> </w:t>
      </w:r>
      <w:r w:rsidRPr="003E07CC">
        <w:t>(SwiGLU and the gated-linear-unit feedforward variants — the modern FFN forms of §3.1 that change the nonlinearity and add a gating matrix while preserving the position-wise application and shared weights that make the network a constant sheaf of maps.)</w:t>
      </w:r>
    </w:p>
    <w:p w14:paraId="51BBC9CD" w14:textId="59F09BA4" w:rsidR="003E07CC" w:rsidRPr="003E07CC" w:rsidRDefault="003E07CC" w:rsidP="003E07CC">
      <w:pPr>
        <w:jc w:val="both"/>
      </w:pPr>
      <w:r w:rsidRPr="003E07CC">
        <w:t>Su, J., Lu, Y., Pan, S., Murtadha, A., Wen, B., &amp; Liu, Y. (2021). RoFormer: Enhanced Transformer with Rotary Position Embedding. arXiv:2104.09864.</w:t>
      </w:r>
      <w:r w:rsidR="00BD7027">
        <w:t xml:space="preserve"> </w:t>
      </w:r>
      <w:r w:rsidRPr="003E07CC">
        <w:t xml:space="preserve">(RoPE: rotating query and key vectors by a position-proportional angle in 2-D slices at a bank of frequencies, so the score depends on relative offset j − i </w:t>
      </w:r>
      <w:r w:rsidRPr="003E07CC">
        <w:lastRenderedPageBreak/>
        <w:t xml:space="preserve">— the relative-position property §2.5 reads as the positional modulation of the soft cover, within the inner-product rung. The grid-code reading of the same operation is developed in the companion </w:t>
      </w:r>
      <w:r w:rsidRPr="003E07CC">
        <w:rPr>
          <w:i/>
          <w:iCs/>
        </w:rPr>
        <w:t>RoPE as a Crude Grid Code</w:t>
      </w:r>
      <w:r w:rsidRPr="003E07CC">
        <w:t xml:space="preserve"> note.)</w:t>
      </w:r>
    </w:p>
    <w:p w14:paraId="2C399524" w14:textId="6F2199AA" w:rsidR="003E07CC" w:rsidRPr="003E07CC" w:rsidRDefault="003E07CC" w:rsidP="003E07CC">
      <w:pPr>
        <w:jc w:val="both"/>
      </w:pPr>
      <w:r w:rsidRPr="003E07CC">
        <w:t xml:space="preserve">Ainslie, J., Lee-Thorp, J., de Jong, M., Zemlyanskiy, Y., Lebrón, F., &amp; Sanghai, S. (2023). GQA: Training Generalized Multi-Query Transformer Models from Multi-Head Checkpoints. </w:t>
      </w:r>
      <w:r w:rsidRPr="003E07CC">
        <w:rPr>
          <w:i/>
          <w:iCs/>
        </w:rPr>
        <w:t>EMNLP 2023.</w:t>
      </w:r>
      <w:r w:rsidRPr="003E07CC">
        <w:t xml:space="preserve"> arXiv:2305.13245; Shazeer, N. (2019). Fast Transformer Decoding: One Write-Head is All You Need (MQA). arXiv:1911.02150; DeepSeek-AI (2024). DeepSeek-V2 (Multi-head Latent Attention, MLA). arXiv:2405.04434.</w:t>
      </w:r>
      <w:r w:rsidR="00BD7027">
        <w:t xml:space="preserve"> </w:t>
      </w:r>
      <w:r w:rsidRPr="003E07CC">
        <w:t>(The KV-cache-efficient attention variants deployed in current large models — GQA in LLaMA 3, MQA in LLaMA 2, MLA in the DeepSeek models — all of which share or compress key/value projections but compute each value from its own token, preserving the query-independence of the value that §6.2's vacuous-obstruction result turns on. Cited to establish that the diagnosis covers production architectures, not only 2017 multi-head attention.)</w:t>
      </w:r>
    </w:p>
    <w:p w14:paraId="0C303813" w14:textId="77777777" w:rsidR="003E07CC" w:rsidRPr="003E07CC" w:rsidRDefault="003E07CC" w:rsidP="00BD7027">
      <w:pPr>
        <w:pStyle w:val="Heading2"/>
      </w:pPr>
      <w:r w:rsidRPr="003E07CC">
        <w:t>Mathematics</w:t>
      </w:r>
    </w:p>
    <w:p w14:paraId="30E3E38E" w14:textId="70FBA03D" w:rsidR="003E07CC" w:rsidRPr="003E07CC" w:rsidRDefault="003E07CC" w:rsidP="003E07CC">
      <w:pPr>
        <w:jc w:val="both"/>
      </w:pPr>
      <w:r w:rsidRPr="003E07CC">
        <w:t xml:space="preserve">Bott, R., &amp; Tu, L. W. (1982). </w:t>
      </w:r>
      <w:r w:rsidRPr="003E07CC">
        <w:rPr>
          <w:i/>
          <w:iCs/>
        </w:rPr>
        <w:t>Differential Forms in Algebraic Topology.</w:t>
      </w:r>
      <w:r w:rsidRPr="003E07CC">
        <w:t xml:space="preserve"> Graduate Texts in Mathematics 82. Springer.</w:t>
      </w:r>
      <w:r w:rsidR="00BD7027">
        <w:t xml:space="preserve"> </w:t>
      </w:r>
      <w:r w:rsidRPr="003E07CC">
        <w:t>(Partitions of unity and the local-to-global passage — the structure §2.2 identifies the softmax row with; good covers and the Leray condition behind the "assumes every cover is Leray" reading of §6.1. Shared with the hypercovering note.)</w:t>
      </w:r>
    </w:p>
    <w:p w14:paraId="319D9055" w14:textId="158A9CFB" w:rsidR="003E07CC" w:rsidRPr="003E07CC" w:rsidRDefault="003E07CC" w:rsidP="003E07CC">
      <w:pPr>
        <w:jc w:val="both"/>
      </w:pPr>
      <w:r w:rsidRPr="003E07CC">
        <w:t xml:space="preserve">Godement, R. (1958). </w:t>
      </w:r>
      <w:r w:rsidRPr="003E07CC">
        <w:rPr>
          <w:i/>
          <w:iCs/>
        </w:rPr>
        <w:t>Topologie algébrique et théorie des faisceaux.</w:t>
      </w:r>
      <w:r w:rsidRPr="003E07CC">
        <w:t xml:space="preserve"> Hermann, Paris.</w:t>
      </w:r>
      <w:r w:rsidR="00BD7027">
        <w:t xml:space="preserve"> </w:t>
      </w:r>
      <w:r w:rsidRPr="003E07CC">
        <w:t>(Sheaf foundations: sections, restriction, gluing, and the constant sheaf — the vocabulary in which the FFN's position-shared map is read as a constant sheaf of maps (§3.1) and the obstruction to gluing is defined.)</w:t>
      </w:r>
    </w:p>
    <w:p w14:paraId="78B80743" w14:textId="77777777" w:rsidR="003E07CC" w:rsidRPr="003E07CC" w:rsidRDefault="003E07CC" w:rsidP="00BD7027">
      <w:pPr>
        <w:pStyle w:val="Heading2"/>
      </w:pPr>
      <w:r w:rsidRPr="003E07CC">
        <w:t>This framework</w:t>
      </w:r>
    </w:p>
    <w:p w14:paraId="46FB87D5" w14:textId="1A084003" w:rsidR="003E07CC" w:rsidRPr="003E07CC" w:rsidRDefault="003E07CC" w:rsidP="003E07CC">
      <w:pPr>
        <w:jc w:val="both"/>
      </w:pPr>
      <w:r w:rsidRPr="003E07CC">
        <w:t xml:space="preserve">Ghosh, D. P. (2025). </w:t>
      </w:r>
      <w:r w:rsidRPr="003E07CC">
        <w:rPr>
          <w:i/>
          <w:iCs/>
        </w:rPr>
        <w:t>The Geometry of Defensible Action.</w:t>
      </w:r>
      <w:r w:rsidRPr="003E07CC">
        <w:t xml:space="preserve"> (Paper 1 of this series.) DOI 10.13140/RG.2.2.24454.54080.</w:t>
      </w:r>
      <w:r w:rsidR="00BD7027">
        <w:t xml:space="preserve"> </w:t>
      </w:r>
      <w:r w:rsidRPr="003E07CC">
        <w:t>(The enrichment ladder, against which §1 argues the block does not ascend but operates within the inner-product rung; the free-descent/obstructed-ascent asymmetry behind the rung-maintenance reading of §4.)</w:t>
      </w:r>
    </w:p>
    <w:p w14:paraId="3A96BED6" w14:textId="2A133BB6" w:rsidR="003E07CC" w:rsidRPr="003E07CC" w:rsidRDefault="003E07CC" w:rsidP="003E07CC">
      <w:pPr>
        <w:jc w:val="both"/>
      </w:pPr>
      <w:r w:rsidRPr="003E07CC">
        <w:t xml:space="preserve">Ghosh, D. P. (2026). </w:t>
      </w:r>
      <w:r w:rsidRPr="003E07CC">
        <w:rPr>
          <w:i/>
          <w:iCs/>
        </w:rPr>
        <w:t>Dynamic Predictive Gluing: A Sheaf-Theoretic Theory of Consciousness and the Necessity of Sleep.</w:t>
      </w:r>
      <w:r w:rsidRPr="003E07CC">
        <w:t xml:space="preserve"> (Paper 3 of this series.) DOI 10.13140/RG.2.2.19848.99846.</w:t>
      </w:r>
      <w:r w:rsidR="00BD7027">
        <w:t xml:space="preserve"> </w:t>
      </w:r>
      <w:r w:rsidRPr="003E07CC">
        <w:t>(Binding as gluing with a cohomological obstruction; the provenance requirement §5 reads the residual stream as realizing; the offline regime §6.3 routes a withheld representation to. The Transformer is read as this process with the obstruction step deleted.)</w:t>
      </w:r>
    </w:p>
    <w:p w14:paraId="4423E405" w14:textId="2DD08122" w:rsidR="003E07CC" w:rsidRPr="003E07CC" w:rsidRDefault="003E07CC" w:rsidP="003E07CC">
      <w:pPr>
        <w:jc w:val="both"/>
      </w:pPr>
      <w:r w:rsidRPr="003E07CC">
        <w:t xml:space="preserve">Ghosh, D. P. </w:t>
      </w:r>
      <w:r w:rsidRPr="003E07CC">
        <w:rPr>
          <w:i/>
          <w:iCs/>
        </w:rPr>
        <w:t>The Hierarchy of Binding: Multimodal Dynamic Predictive Gluing and Why Language Must Enter at the Top.</w:t>
      </w:r>
      <w:r w:rsidRPr="003E07CC">
        <w:t xml:space="preserve"> (Paper 4 of this series.)</w:t>
      </w:r>
      <w:r w:rsidR="00BD7027">
        <w:t xml:space="preserve"> </w:t>
      </w:r>
      <w:r w:rsidRPr="003E07CC">
        <w:t>(The finding that bottleneck-free shared attention glues unconditionally, its obstruction vacuous by construction — the precedent for the §6.2 diagnosis that vanilla attention's query-independent values yield trivial transition maps and a vacuous H¹.)</w:t>
      </w:r>
    </w:p>
    <w:p w14:paraId="2FEF6A36" w14:textId="41A27A88" w:rsidR="003E07CC" w:rsidRPr="003E07CC" w:rsidRDefault="003E07CC" w:rsidP="003E07CC">
      <w:pPr>
        <w:jc w:val="both"/>
      </w:pPr>
      <w:r w:rsidRPr="003E07CC">
        <w:t xml:space="preserve">Ghosh, D. P. </w:t>
      </w:r>
      <w:r w:rsidRPr="003E07CC">
        <w:rPr>
          <w:i/>
          <w:iCs/>
        </w:rPr>
        <w:t>From Coboundary Norms to Persistent Čech H¹.</w:t>
      </w:r>
      <w:r w:rsidRPr="003E07CC">
        <w:t xml:space="preserve"> (Cohomological Attention Block addendum to this series.)</w:t>
      </w:r>
      <w:r w:rsidR="00BD7027">
        <w:t xml:space="preserve"> </w:t>
      </w:r>
      <w:r w:rsidRPr="003E07CC">
        <w:t>(The first-order obstruction gate, the persistence parameter ε(Π), and the proposition that a single shared projection gives a vacuous obstruction while structured transition maps are required — the result §6.2 applies to diagnose the Transformer and §6 proposes inserting.)</w:t>
      </w:r>
    </w:p>
    <w:p w14:paraId="0ECA5DA8" w14:textId="69B94299" w:rsidR="003E07CC" w:rsidRPr="003E07CC" w:rsidRDefault="003E07CC" w:rsidP="003E07CC">
      <w:pPr>
        <w:jc w:val="both"/>
      </w:pPr>
      <w:r w:rsidRPr="003E07CC">
        <w:t xml:space="preserve">Ghosh, D. P. </w:t>
      </w:r>
      <w:r w:rsidRPr="003E07CC">
        <w:rPr>
          <w:i/>
          <w:iCs/>
        </w:rPr>
        <w:t>The Algorithm of the 3→6-Layer Cortex: Tensor-Bound Storage, Contraction Retrieval, and the Cup-Product Gate, with N3 as the Offline Tensor Lift.</w:t>
      </w:r>
      <w:r w:rsidRPr="003E07CC">
        <w:t xml:space="preserve"> doi:10.13140/RG.2.2.14232.56328. (Companion paper to this series.)</w:t>
      </w:r>
      <w:r w:rsidR="00BD7027">
        <w:t xml:space="preserve"> </w:t>
      </w:r>
      <w:r w:rsidRPr="003E07CC">
        <w:t xml:space="preserve">(The second-order cup-product H² gate and, decisively, the </w:t>
      </w:r>
      <w:r w:rsidRPr="003E07CC">
        <w:lastRenderedPageBreak/>
        <w:t xml:space="preserve">correction that the gate's criterion is the </w:t>
      </w:r>
      <w:r w:rsidRPr="003E07CC">
        <w:rPr>
          <w:i/>
          <w:iCs/>
        </w:rPr>
        <w:t>nontriviality of the class</w:t>
      </w:r>
      <w:r w:rsidRPr="003E07CC">
        <w:t xml:space="preserve"> at ε(Π) and not a scalar magnitude — the form §6.3 adopts; the cross-head compound gate of §6.2 is this cup product over the plural covers attention supplies.)</w:t>
      </w:r>
    </w:p>
    <w:p w14:paraId="0477A6D0" w14:textId="4E4DACF7" w:rsidR="003E07CC" w:rsidRPr="003E07CC" w:rsidRDefault="003E07CC" w:rsidP="003E07CC">
      <w:pPr>
        <w:jc w:val="both"/>
      </w:pPr>
      <w:r w:rsidRPr="003E07CC">
        <w:t xml:space="preserve">Ghosh, D. P. </w:t>
      </w:r>
      <w:r w:rsidRPr="003E07CC">
        <w:rPr>
          <w:i/>
          <w:iCs/>
        </w:rPr>
        <w:t>RoPE as a Crude Grid Code: the positional substrate without the separation stage.</w:t>
      </w:r>
      <w:r w:rsidR="00BD7027">
        <w:t xml:space="preserve"> </w:t>
      </w:r>
      <w:r w:rsidRPr="003E07CC">
        <w:t>(The grid-code reading of rotary position encoding §2.5 cites and defers to: RoPE as a multi-frequency toroidal positional code, its bounded-window extrapolation failure, and the separation stage it lacks — kept out of this paper to hold the block reading at its scope.)</w:t>
      </w:r>
    </w:p>
    <w:p w14:paraId="7D47368D" w14:textId="098A8447" w:rsidR="003E07CC" w:rsidRPr="003E07CC" w:rsidRDefault="003E07CC" w:rsidP="003E07CC">
      <w:pPr>
        <w:jc w:val="both"/>
      </w:pPr>
      <w:r w:rsidRPr="003E07CC">
        <w:t xml:space="preserve">Ghosh, D. P. </w:t>
      </w:r>
      <w:r w:rsidRPr="003E07CC">
        <w:rPr>
          <w:i/>
          <w:iCs/>
        </w:rPr>
        <w:t>The Entorhinal–Hippocampal Confluence: A Normed Substrate, a Separation Operator, and a Fast Inner-Product Attractor.</w:t>
      </w:r>
      <w:r w:rsidR="00BD7027">
        <w:t xml:space="preserve"> </w:t>
      </w:r>
      <w:r w:rsidRPr="003E07CC">
        <w:t>(The online separation withhold of §6.6 — the dentate-analogue that orthogonalizes inputs before the bind — and the crosstalk/blackout capacity argument that gives it bite; complementary to this paper's certification gate.)</w:t>
      </w:r>
    </w:p>
    <w:p w14:paraId="3004B9E2" w14:textId="28D38F2B" w:rsidR="003E07CC" w:rsidRPr="003E07CC" w:rsidRDefault="003E07CC" w:rsidP="003E07CC">
      <w:pPr>
        <w:jc w:val="both"/>
      </w:pPr>
      <w:r w:rsidRPr="003E07CC">
        <w:t xml:space="preserve">Ghosh, D. P. </w:t>
      </w:r>
      <w:r w:rsidRPr="003E07CC">
        <w:rPr>
          <w:i/>
          <w:iCs/>
        </w:rPr>
        <w:t>The Separation Hierarchy: Axis 3 as the T₀–T₄ ladder, and where the operators sit.</w:t>
      </w:r>
      <w:r w:rsidR="00BD7027">
        <w:t xml:space="preserve"> </w:t>
      </w:r>
      <w:r w:rsidRPr="003E07CC">
        <w:t>(The separation axis §6.6 places the pre-bind orthogonalization on; the height a separation withhold raises representations to, distinct from the certification the gate performs.)</w:t>
      </w:r>
    </w:p>
    <w:p w14:paraId="405BD3EA" w14:textId="3B842279" w:rsidR="003E07CC" w:rsidRPr="003E07CC" w:rsidRDefault="003E07CC" w:rsidP="003E07CC">
      <w:pPr>
        <w:jc w:val="both"/>
      </w:pPr>
      <w:r w:rsidRPr="003E07CC">
        <w:t xml:space="preserve">Ghosh, D. P. </w:t>
      </w:r>
      <w:r w:rsidRPr="003E07CC">
        <w:rPr>
          <w:i/>
          <w:iCs/>
        </w:rPr>
        <w:t>Hypercovering and Descent: A Thalamo-Cortical Algorithm for Defensible Multimodal Gluing.</w:t>
      </w:r>
      <w:r w:rsidRPr="003E07CC">
        <w:t xml:space="preserve"> (Candidate companion to this series.)</w:t>
      </w:r>
      <w:r w:rsidR="00BD7027">
        <w:t xml:space="preserve"> </w:t>
      </w:r>
      <w:r w:rsidRPr="003E07CC">
        <w:t>(The false-zero failure of a non-Leray cover and its hypercovering refinement — the H-CAB §6.3 names as the route for a suspected false zero; the partition-of-unity/fine-sheaf licensing §2.2 draws on; the thermodynamic termination §6.5 cites for keeping the gate's cost bounded.)</w:t>
      </w:r>
    </w:p>
    <w:p w14:paraId="12BB8848" w14:textId="77777777" w:rsidR="00DC1523" w:rsidRDefault="00DC1523" w:rsidP="003E07CC">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2122D"/>
    <w:multiLevelType w:val="multilevel"/>
    <w:tmpl w:val="023C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76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6D"/>
    <w:rsid w:val="00222E7D"/>
    <w:rsid w:val="002C3F9C"/>
    <w:rsid w:val="003E07CC"/>
    <w:rsid w:val="003F3FDA"/>
    <w:rsid w:val="004A35EC"/>
    <w:rsid w:val="0067126D"/>
    <w:rsid w:val="008B08B7"/>
    <w:rsid w:val="00997E89"/>
    <w:rsid w:val="009B60AD"/>
    <w:rsid w:val="00BD7027"/>
    <w:rsid w:val="00C24516"/>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F9F4"/>
  <w15:chartTrackingRefBased/>
  <w15:docId w15:val="{B3348858-5365-4A0C-B925-2D8F9683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1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1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6D"/>
    <w:rPr>
      <w:rFonts w:eastAsiaTheme="majorEastAsia" w:cstheme="majorBidi"/>
      <w:color w:val="272727" w:themeColor="text1" w:themeTint="D8"/>
    </w:rPr>
  </w:style>
  <w:style w:type="paragraph" w:styleId="Title">
    <w:name w:val="Title"/>
    <w:basedOn w:val="Normal"/>
    <w:next w:val="Normal"/>
    <w:link w:val="TitleChar"/>
    <w:uiPriority w:val="10"/>
    <w:qFormat/>
    <w:rsid w:val="0067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6D"/>
    <w:pPr>
      <w:spacing w:before="160"/>
      <w:jc w:val="center"/>
    </w:pPr>
    <w:rPr>
      <w:i/>
      <w:iCs/>
      <w:color w:val="404040" w:themeColor="text1" w:themeTint="BF"/>
    </w:rPr>
  </w:style>
  <w:style w:type="character" w:customStyle="1" w:styleId="QuoteChar">
    <w:name w:val="Quote Char"/>
    <w:basedOn w:val="DefaultParagraphFont"/>
    <w:link w:val="Quote"/>
    <w:uiPriority w:val="29"/>
    <w:rsid w:val="0067126D"/>
    <w:rPr>
      <w:i/>
      <w:iCs/>
      <w:color w:val="404040" w:themeColor="text1" w:themeTint="BF"/>
    </w:rPr>
  </w:style>
  <w:style w:type="paragraph" w:styleId="ListParagraph">
    <w:name w:val="List Paragraph"/>
    <w:basedOn w:val="Normal"/>
    <w:uiPriority w:val="34"/>
    <w:qFormat/>
    <w:rsid w:val="0067126D"/>
    <w:pPr>
      <w:ind w:left="720"/>
      <w:contextualSpacing/>
    </w:pPr>
  </w:style>
  <w:style w:type="character" w:styleId="IntenseEmphasis">
    <w:name w:val="Intense Emphasis"/>
    <w:basedOn w:val="DefaultParagraphFont"/>
    <w:uiPriority w:val="21"/>
    <w:qFormat/>
    <w:rsid w:val="0067126D"/>
    <w:rPr>
      <w:i/>
      <w:iCs/>
      <w:color w:val="2F5496" w:themeColor="accent1" w:themeShade="BF"/>
    </w:rPr>
  </w:style>
  <w:style w:type="paragraph" w:styleId="IntenseQuote">
    <w:name w:val="Intense Quote"/>
    <w:basedOn w:val="Normal"/>
    <w:next w:val="Normal"/>
    <w:link w:val="IntenseQuoteChar"/>
    <w:uiPriority w:val="30"/>
    <w:qFormat/>
    <w:rsid w:val="0067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26D"/>
    <w:rPr>
      <w:i/>
      <w:iCs/>
      <w:color w:val="2F5496" w:themeColor="accent1" w:themeShade="BF"/>
    </w:rPr>
  </w:style>
  <w:style w:type="character" w:styleId="IntenseReference">
    <w:name w:val="Intense Reference"/>
    <w:basedOn w:val="DefaultParagraphFont"/>
    <w:uiPriority w:val="32"/>
    <w:qFormat/>
    <w:rsid w:val="0067126D"/>
    <w:rPr>
      <w:b/>
      <w:bCs/>
      <w:smallCaps/>
      <w:color w:val="2F5496" w:themeColor="accent1" w:themeShade="BF"/>
      <w:spacing w:val="5"/>
    </w:rPr>
  </w:style>
  <w:style w:type="character" w:styleId="Hyperlink">
    <w:name w:val="Hyperlink"/>
    <w:basedOn w:val="DefaultParagraphFont"/>
    <w:uiPriority w:val="99"/>
    <w:unhideWhenUsed/>
    <w:rsid w:val="009B60AD"/>
    <w:rPr>
      <w:color w:val="0563C1" w:themeColor="hyperlink"/>
      <w:u w:val="single"/>
    </w:rPr>
  </w:style>
  <w:style w:type="character" w:styleId="UnresolvedMention">
    <w:name w:val="Unresolved Mention"/>
    <w:basedOn w:val="DefaultParagraphFont"/>
    <w:uiPriority w:val="99"/>
    <w:semiHidden/>
    <w:unhideWhenUsed/>
    <w:rsid w:val="004A35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2726.02889"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5" Type="http://schemas.openxmlformats.org/officeDocument/2006/relationships/hyperlink" Target="mailto:debiprasadghosh@lntecc.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8887</Words>
  <Characters>50659</Characters>
  <Application>Microsoft Office Word</Application>
  <DocSecurity>0</DocSecurity>
  <Lines>422</Lines>
  <Paragraphs>118</Paragraphs>
  <ScaleCrop>false</ScaleCrop>
  <Company/>
  <LinksUpToDate>false</LinksUpToDate>
  <CharactersWithSpaces>59428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7</cp:revision>
  <cp:lastPrinted>2026-06-17T00:58:00Z</cp:lastPrinted>
  <dcterms:created xsi:type="dcterms:W3CDTF">2026-06-17T00:39:00Z</dcterms:created>
  <dcterms:modified xsi:type="dcterms:W3CDTF">2026-06-17T01:01:00Z</dcterms:modified>
</cp:coreProperties>
</file>