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0126" w14:textId="046A9DBF" w:rsidR="0037463C" w:rsidRPr="006B4CC5" w:rsidRDefault="0037463C" w:rsidP="0037463C">
      <w:pPr>
        <w:pStyle w:val="Title"/>
        <w:pBdr>
          <w:bottom w:val="single" w:sz="6" w:space="1" w:color="auto"/>
        </w:pBdr>
        <w:rPr>
          <w:rFonts w:asciiTheme="minorHAnsi" w:hAnsiTheme="minorHAnsi"/>
          <w:sz w:val="22"/>
          <w:szCs w:val="22"/>
        </w:rPr>
      </w:pPr>
      <w:r w:rsidRPr="006B4CC5">
        <w:rPr>
          <w:rFonts w:asciiTheme="minorHAnsi" w:hAnsiTheme="minorHAnsi"/>
          <w:sz w:val="22"/>
          <w:szCs w:val="22"/>
        </w:rPr>
        <w:t xml:space="preserve">Manuscript as of </w:t>
      </w:r>
      <w:r>
        <w:rPr>
          <w:rFonts w:asciiTheme="minorHAnsi" w:hAnsiTheme="minorHAnsi"/>
          <w:sz w:val="22"/>
          <w:szCs w:val="22"/>
        </w:rPr>
        <w:t>June</w:t>
      </w:r>
      <w:r w:rsidRPr="006B4CC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14</w:t>
      </w:r>
      <w:r w:rsidRPr="006B4CC5">
        <w:rPr>
          <w:rFonts w:asciiTheme="minorHAnsi" w:hAnsiTheme="minorHAnsi"/>
          <w:sz w:val="22"/>
          <w:szCs w:val="22"/>
        </w:rPr>
        <w:t>, 202</w:t>
      </w:r>
      <w:r>
        <w:rPr>
          <w:rFonts w:asciiTheme="minorHAnsi" w:hAnsiTheme="minorHAnsi"/>
          <w:sz w:val="22"/>
          <w:szCs w:val="22"/>
        </w:rPr>
        <w:t>6</w:t>
      </w:r>
      <w:r>
        <w:rPr>
          <w:rFonts w:asciiTheme="minorHAnsi" w:hAnsiTheme="minorHAnsi"/>
          <w:sz w:val="22"/>
          <w:szCs w:val="22"/>
        </w:rPr>
        <w:t>.</w:t>
      </w:r>
    </w:p>
    <w:p w14:paraId="5462B837" w14:textId="3C4BF6F6" w:rsidR="00623160" w:rsidRDefault="00623160" w:rsidP="007B6AD3">
      <w:pPr>
        <w:pStyle w:val="Title"/>
        <w:jc w:val="center"/>
        <w:rPr>
          <w:sz w:val="52"/>
          <w:szCs w:val="52"/>
        </w:rPr>
      </w:pPr>
      <w:r w:rsidRPr="007B6AD3">
        <w:rPr>
          <w:sz w:val="52"/>
          <w:szCs w:val="52"/>
        </w:rPr>
        <w:t>Settling and Traversing</w:t>
      </w:r>
      <w:r w:rsidRPr="007B6AD3">
        <w:rPr>
          <w:sz w:val="52"/>
          <w:szCs w:val="52"/>
        </w:rPr>
        <w:t xml:space="preserve">: </w:t>
      </w:r>
      <w:r w:rsidRPr="007B6AD3">
        <w:rPr>
          <w:sz w:val="52"/>
          <w:szCs w:val="52"/>
        </w:rPr>
        <w:t>The Cerebellum as a Kernel Machine at the Uniform–Coarse Pivot</w:t>
      </w:r>
    </w:p>
    <w:p w14:paraId="361F9B85" w14:textId="77777777" w:rsidR="0037463C" w:rsidRDefault="0037463C" w:rsidP="0037463C">
      <w:pPr>
        <w:jc w:val="center"/>
      </w:pPr>
      <w:r w:rsidRPr="006B4CC5">
        <w:t xml:space="preserve">Debi Prasad Ghosh, </w:t>
      </w:r>
      <w:hyperlink r:id="rId5" w:history="1">
        <w:r w:rsidRPr="006B4CC5">
          <w:rPr>
            <w:rStyle w:val="Hyperlink"/>
          </w:rPr>
          <w:t>debiprasadghosh@lntecc.com</w:t>
        </w:r>
      </w:hyperlink>
      <w:r>
        <w:t xml:space="preserve"> </w:t>
      </w:r>
      <w:r>
        <w:rPr>
          <w:noProof/>
        </w:rPr>
        <w:drawing>
          <wp:inline distT="0" distB="0" distL="0" distR="0" wp14:anchorId="2BD9CC91" wp14:editId="5D89A340">
            <wp:extent cx="133067" cy="133067"/>
            <wp:effectExtent l="0" t="0" r="635" b="635"/>
            <wp:docPr id="1305915393" name="Picture 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5393" name="Picture 7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2530" cy="14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9E1E7F" w14:textId="77777777" w:rsidR="0037463C" w:rsidRPr="006B4CC5" w:rsidRDefault="0037463C" w:rsidP="0037463C">
      <w:pPr>
        <w:jc w:val="center"/>
      </w:pPr>
      <w:r>
        <w:t>CTO, AI &amp;</w:t>
      </w:r>
      <w:r w:rsidRPr="006B4CC5">
        <w:t xml:space="preserve"> Automation</w:t>
      </w:r>
    </w:p>
    <w:p w14:paraId="4E04DE87" w14:textId="77777777" w:rsidR="0037463C" w:rsidRDefault="0037463C" w:rsidP="0037463C">
      <w:pPr>
        <w:jc w:val="center"/>
      </w:pPr>
      <w:r w:rsidRPr="00F5609C">
        <w:t>Engineering Design &amp; Research Center, Larsen &amp; Toubro Construction (M&amp;M) Kolkata, India</w:t>
      </w:r>
    </w:p>
    <w:p w14:paraId="24C3351A" w14:textId="7F2EF686" w:rsidR="00623160" w:rsidRPr="00623160" w:rsidRDefault="006A557D" w:rsidP="0037463C">
      <w:pPr>
        <w:jc w:val="center"/>
      </w:pPr>
      <w:hyperlink r:id="rId8" w:history="1">
        <w:r w:rsidRPr="00B32468">
          <w:rPr>
            <w:rStyle w:val="Hyperlink"/>
          </w:rPr>
          <w:t>https://doi.org/10.13140/RG.2.2.31186.72648</w:t>
        </w:r>
      </w:hyperlink>
      <w:r>
        <w:t xml:space="preserve"> </w:t>
      </w:r>
    </w:p>
    <w:p w14:paraId="598E4168" w14:textId="3B23A535" w:rsidR="00EF58F5" w:rsidRPr="00EF58F5" w:rsidRDefault="00623160" w:rsidP="00EF58F5">
      <w:pPr>
        <w:jc w:val="both"/>
      </w:pPr>
      <w:r w:rsidRPr="00623160">
        <w:rPr>
          <w:b/>
          <w:bCs/>
        </w:rPr>
        <w:t>Abstract</w:t>
      </w:r>
      <w:r>
        <w:rPr>
          <w:b/>
          <w:bCs/>
        </w:rPr>
        <w:t xml:space="preserve">: </w:t>
      </w:r>
      <w:r w:rsidR="00EF58F5" w:rsidRPr="00EF58F5">
        <w:t xml:space="preserve">The cerebellum has resisted clean placement in the enrichment ladder because it is not on a single rung. Its core computation is a </w:t>
      </w:r>
      <w:r w:rsidR="00EF58F5" w:rsidRPr="00EF58F5">
        <w:rPr>
          <w:b/>
          <w:bCs/>
        </w:rPr>
        <w:t>supervised kernel machine</w:t>
      </w:r>
      <w:r w:rsidR="00EF58F5" w:rsidRPr="00EF58F5">
        <w:t xml:space="preserve">: the granule-cell layer performs a high-dimensional basis expansion (a kernel feature map), and the Purkinje cell learns an </w:t>
      </w:r>
      <w:r w:rsidR="00EF58F5" w:rsidRPr="00EF58F5">
        <w:rPr>
          <w:b/>
          <w:bCs/>
        </w:rPr>
        <w:t>inner-product readout</w:t>
      </w:r>
      <w:r w:rsidR="00EF58F5" w:rsidRPr="00EF58F5">
        <w:t xml:space="preserve"> over that basis, supervised by the climbing-fibre error signal. That core sits at the inner-product reaches of the ladder. But around it run two regulatory structures of opposite </w:t>
      </w:r>
      <w:r w:rsidR="00EF58F5" w:rsidRPr="00EF58F5">
        <w:rPr>
          <w:i/>
          <w:iCs/>
        </w:rPr>
        <w:t>scale</w:t>
      </w:r>
      <w:r w:rsidR="00EF58F5" w:rsidRPr="00EF58F5">
        <w:t xml:space="preserve">, and naming them is the contribution. Coarse geometry is, by a standard result, the large-scale counterpart not of topology but of </w:t>
      </w:r>
      <w:r w:rsidR="00EF58F5" w:rsidRPr="00EF58F5">
        <w:rPr>
          <w:b/>
          <w:bCs/>
        </w:rPr>
        <w:t>uniform</w:t>
      </w:r>
      <w:r w:rsidR="00EF58F5" w:rsidRPr="00EF58F5">
        <w:t xml:space="preserve"> structure; the cerebellum is the first structure in this program to exploit </w:t>
      </w:r>
      <w:r w:rsidR="00EF58F5" w:rsidRPr="00EF58F5">
        <w:rPr>
          <w:i/>
          <w:iCs/>
        </w:rPr>
        <w:t>both ends</w:t>
      </w:r>
      <w:r w:rsidR="00EF58F5" w:rsidRPr="00EF58F5">
        <w:t xml:space="preserve"> of that mirror. On the small-scale (uniform) side, the molecular-layer interneurons sculpt the Purkinje output and the trial-indexed learning trajectory </w:t>
      </w:r>
      <w:r w:rsidR="00EF58F5" w:rsidRPr="00EF58F5">
        <w:rPr>
          <w:b/>
          <w:bCs/>
        </w:rPr>
        <w:t>settles</w:t>
      </w:r>
      <w:r w:rsidR="00EF58F5" w:rsidRPr="00EF58F5">
        <w:t xml:space="preserve"> — contracting into an ever-tighter error margin, a Cauchy net whose limit is the calibrated habit. On the large-scale (coarse) side, the Golgi loop bounds the granule representation, and execution </w:t>
      </w:r>
      <w:r w:rsidR="00EF58F5" w:rsidRPr="00EF58F5">
        <w:rPr>
          <w:b/>
          <w:bCs/>
        </w:rPr>
        <w:t>traverses</w:t>
      </w:r>
      <w:r w:rsidR="00EF58F5" w:rsidRPr="00EF58F5">
        <w:t xml:space="preserve"> the motor envelope as an E-chain: a sequence of discrete, bounded steps that stays coarsely connected (no impossible jumps) and never escapes to infinity (no runaway, no dysmetria). Settling is indexed by </w:t>
      </w:r>
      <w:r w:rsidR="00EF58F5" w:rsidRPr="00EF58F5">
        <w:rPr>
          <w:i/>
          <w:iCs/>
        </w:rPr>
        <w:t>trials</w:t>
      </w:r>
      <w:r w:rsidR="00EF58F5" w:rsidRPr="00EF58F5">
        <w:t xml:space="preserve">; traversing is indexed by </w:t>
      </w:r>
      <w:r w:rsidR="00EF58F5" w:rsidRPr="00EF58F5">
        <w:rPr>
          <w:i/>
          <w:iCs/>
        </w:rPr>
        <w:t>steps within a single movement</w:t>
      </w:r>
      <w:r w:rsidR="00EF58F5" w:rsidRPr="00EF58F5">
        <w:t xml:space="preserve">; they are different sequences doing different work, and conflating them is the main hazard the paper guards against. We add coarse geometry to the framework as a </w:t>
      </w:r>
      <w:r w:rsidR="00EF58F5" w:rsidRPr="00EF58F5">
        <w:rPr>
          <w:b/>
          <w:bCs/>
        </w:rPr>
        <w:t>new axis perpendicular to the enrichment ladder, hinged at the uniform rung</w:t>
      </w:r>
      <w:r w:rsidR="00EF58F5" w:rsidRPr="00EF58F5">
        <w:t xml:space="preserve">, place the cerebellum at that hinge, and state the contract with the cortex: the cerebellum does not certify — certification was paid once, up the ladder, during acquisition — it </w:t>
      </w:r>
      <w:r w:rsidR="00EF58F5" w:rsidRPr="00EF58F5">
        <w:rPr>
          <w:i/>
          <w:iCs/>
        </w:rPr>
        <w:t>executes</w:t>
      </w:r>
      <w:r w:rsidR="00EF58F5" w:rsidRPr="00EF58F5">
        <w:t xml:space="preserve"> a calibrated forward model whose graceful local absorption of small perturbations is bounded model prediction error. We give a falsifiable double dissociation (interneuron disruption breaks settling; Golgi disruption breaks bounded traversal) and a motor-equivalence test framed as coarse proximity. Two overclaims from an earlier draft are explicitly retired: the circuit is not asserted to be a complete topological vector space, and the geometric E-chain is not identified with the information-theoretic Markov blanket.</w:t>
      </w:r>
    </w:p>
    <w:p w14:paraId="2CC3B6C4" w14:textId="77777777" w:rsidR="00623160" w:rsidRPr="00623160" w:rsidRDefault="00623160" w:rsidP="00F14E38">
      <w:pPr>
        <w:jc w:val="both"/>
      </w:pPr>
      <w:r w:rsidRPr="00623160">
        <w:rPr>
          <w:i/>
          <w:iCs/>
        </w:rPr>
        <w:t xml:space="preserve">Part of the Defensible Intelligence program. This paper pins the cerebellum's place in the enrichment ladder. Its central structural claim — that the cerebellum sits at the pivot where the ladder's small-scale refinement axis meets its large-scale mirror — rests on a verified fact of coarse geometry; the computational core is a supported reading of established cerebellar physiology; the mappings of specific circuit elements are candidate structural isomorphisms, never identities. Tiers: </w:t>
      </w:r>
      <w:r w:rsidRPr="00623160">
        <w:rPr>
          <w:b/>
          <w:bCs/>
          <w:i/>
          <w:iCs/>
        </w:rPr>
        <w:t>[LB]</w:t>
      </w:r>
      <w:r w:rsidRPr="00623160">
        <w:rPr>
          <w:i/>
          <w:iCs/>
        </w:rPr>
        <w:t xml:space="preserve"> load-bearing mathematics; </w:t>
      </w:r>
      <w:r w:rsidRPr="00623160">
        <w:rPr>
          <w:b/>
          <w:bCs/>
          <w:i/>
          <w:iCs/>
        </w:rPr>
        <w:t>[SUP]</w:t>
      </w:r>
      <w:r w:rsidRPr="00623160">
        <w:rPr>
          <w:i/>
          <w:iCs/>
        </w:rPr>
        <w:t xml:space="preserve"> supported by cited physiology; </w:t>
      </w:r>
      <w:r w:rsidRPr="00623160">
        <w:rPr>
          <w:b/>
          <w:bCs/>
          <w:i/>
          <w:iCs/>
        </w:rPr>
        <w:t>[CAND]</w:t>
      </w:r>
      <w:r w:rsidRPr="00623160">
        <w:rPr>
          <w:i/>
          <w:iCs/>
        </w:rPr>
        <w:t xml:space="preserve"> falsifiable candidate or structural isomorphism; </w:t>
      </w:r>
      <w:r w:rsidRPr="00623160">
        <w:rPr>
          <w:b/>
          <w:bCs/>
          <w:i/>
          <w:iCs/>
        </w:rPr>
        <w:t>[HOR]</w:t>
      </w:r>
      <w:r w:rsidRPr="00623160">
        <w:rPr>
          <w:i/>
          <w:iCs/>
        </w:rPr>
        <w:t xml:space="preserve"> quarantined horizon.</w:t>
      </w:r>
    </w:p>
    <w:p w14:paraId="25D663E9" w14:textId="77777777" w:rsidR="00623160" w:rsidRPr="00623160" w:rsidRDefault="00623160" w:rsidP="00623160">
      <w:pPr>
        <w:jc w:val="both"/>
      </w:pPr>
    </w:p>
    <w:p w14:paraId="18E212F6" w14:textId="77777777" w:rsidR="00623160" w:rsidRPr="00623160" w:rsidRDefault="00623160" w:rsidP="00623160">
      <w:pPr>
        <w:pStyle w:val="Heading1"/>
      </w:pPr>
      <w:r w:rsidRPr="00623160">
        <w:lastRenderedPageBreak/>
        <w:t>1. The placement problem: a pivot, not a rung</w:t>
      </w:r>
    </w:p>
    <w:p w14:paraId="1202E3AF" w14:textId="77777777" w:rsidR="00EF58F5" w:rsidRPr="00EF58F5" w:rsidRDefault="00EF58F5" w:rsidP="00EF58F5">
      <w:pPr>
        <w:jc w:val="both"/>
      </w:pPr>
      <w:r w:rsidRPr="00EF58F5">
        <w:t xml:space="preserve">Every other substrate in this program has been assigned a rung: the cortex at the inner-product rung, the entorhinal scaffold at the normed rung, the fluid runtime base at proximity. The cerebellum has resisted this, and the reason is now clear: it is not </w:t>
      </w:r>
      <w:r w:rsidRPr="00EF58F5">
        <w:rPr>
          <w:i/>
          <w:iCs/>
        </w:rPr>
        <w:t>on</w:t>
      </w:r>
      <w:r w:rsidRPr="00EF58F5">
        <w:t xml:space="preserve"> a rung. It is at a </w:t>
      </w:r>
      <w:r w:rsidRPr="00EF58F5">
        <w:rPr>
          <w:b/>
          <w:bCs/>
        </w:rPr>
        <w:t>pivot</w:t>
      </w:r>
      <w:r w:rsidRPr="00EF58F5">
        <w:t>, and to see the pivot one must first add a structure the ladder did not yet contain.</w:t>
      </w:r>
    </w:p>
    <w:p w14:paraId="13E57A3B" w14:textId="77777777" w:rsidR="00EF58F5" w:rsidRPr="00EF58F5" w:rsidRDefault="00EF58F5" w:rsidP="00EF58F5">
      <w:pPr>
        <w:jc w:val="both"/>
      </w:pPr>
      <w:r w:rsidRPr="00EF58F5">
        <w:t xml:space="preserve">The enrichment ladder — topological, proximity, uniform, metric, normed, inner-product — is a hierarchy of </w:t>
      </w:r>
      <w:r w:rsidRPr="00EF58F5">
        <w:rPr>
          <w:b/>
          <w:bCs/>
        </w:rPr>
        <w:t>small-scale</w:t>
      </w:r>
      <w:r w:rsidRPr="00EF58F5">
        <w:t xml:space="preserve"> refinement: each rung adds local structure, sharpening how finely the space resolves nearness. There is a second large-scale structure entirely absent from that hierarchy, and a standard result tells us exactly where it attaches: </w:t>
      </w:r>
      <w:r w:rsidRPr="00EF58F5">
        <w:rPr>
          <w:b/>
          <w:bCs/>
        </w:rPr>
        <w:t xml:space="preserve">a coarse structure is properly the large-scale counterpart not of a topological structure but of a </w:t>
      </w:r>
      <w:r w:rsidRPr="00EF58F5">
        <w:rPr>
          <w:b/>
          <w:bCs/>
          <w:i/>
          <w:iCs/>
        </w:rPr>
        <w:t>uniform</w:t>
      </w:r>
      <w:r w:rsidRPr="00EF58F5">
        <w:rPr>
          <w:b/>
          <w:bCs/>
        </w:rPr>
        <w:t xml:space="preserve"> one.</w:t>
      </w:r>
      <w:r w:rsidRPr="00EF58F5">
        <w:t xml:space="preserve"> Both are built from entourages — collections of subsets of X × X measuring how pairs relate to the diagonal — but a uniformity records how pairs </w:t>
      </w:r>
      <w:r w:rsidRPr="00EF58F5">
        <w:rPr>
          <w:i/>
          <w:iCs/>
        </w:rPr>
        <w:t>shrink toward</w:t>
      </w:r>
      <w:r w:rsidRPr="00EF58F5">
        <w:t xml:space="preserve"> the diagonal (small scale) while a coarse structure records how they stay </w:t>
      </w:r>
      <w:r w:rsidRPr="00EF58F5">
        <w:rPr>
          <w:i/>
          <w:iCs/>
        </w:rPr>
        <w:t>boundedly far from</w:t>
      </w:r>
      <w:r w:rsidRPr="00EF58F5">
        <w:t xml:space="preserve"> it (large scale). The uniform rung therefore has a mirror image across scale, and that mirror — coarse geometry, with its bornology, its E-chains, its Higson corona — is what the cerebellum's second regulatory system lives in.</w:t>
      </w:r>
    </w:p>
    <w:p w14:paraId="658EF21D" w14:textId="77777777" w:rsidR="00EF58F5" w:rsidRPr="00EF58F5" w:rsidRDefault="00EF58F5" w:rsidP="00EF58F5">
      <w:pPr>
        <w:jc w:val="both"/>
      </w:pPr>
      <w:r w:rsidRPr="00EF58F5">
        <w:t xml:space="preserve">So the cerebellum sits at the </w:t>
      </w:r>
      <w:r w:rsidRPr="00EF58F5">
        <w:rPr>
          <w:b/>
          <w:bCs/>
        </w:rPr>
        <w:t>uniform pivot, extended in both scale-directions</w:t>
      </w:r>
      <w:r w:rsidRPr="00EF58F5">
        <w:t xml:space="preserve">: small-scale machinery to </w:t>
      </w:r>
      <w:r w:rsidRPr="00EF58F5">
        <w:rPr>
          <w:i/>
          <w:iCs/>
        </w:rPr>
        <w:t>settle</w:t>
      </w:r>
      <w:r w:rsidRPr="00EF58F5">
        <w:t xml:space="preserve">, large-scale machinery to </w:t>
      </w:r>
      <w:r w:rsidRPr="00EF58F5">
        <w:rPr>
          <w:i/>
          <w:iCs/>
        </w:rPr>
        <w:t>traverse</w:t>
      </w:r>
      <w:r w:rsidRPr="00EF58F5">
        <w:t xml:space="preserve">. The rest of this paper makes that precise, but the headline correction is structural and worth stating once plainly: coarse geometry is </w:t>
      </w:r>
      <w:r w:rsidRPr="00EF58F5">
        <w:rPr>
          <w:b/>
          <w:bCs/>
        </w:rPr>
        <w:t>not a rung beneath uniform</w:t>
      </w:r>
      <w:r w:rsidRPr="00EF58F5">
        <w:t xml:space="preserve"> on the enrichment ladder. It is a </w:t>
      </w:r>
      <w:r w:rsidRPr="00EF58F5">
        <w:rPr>
          <w:b/>
          <w:bCs/>
        </w:rPr>
        <w:t>new axis, perpendicular to the ladder, meeting it at the uniform rung.</w:t>
      </w:r>
      <w:r w:rsidRPr="00EF58F5">
        <w:t xml:space="preserve"> The cerebellum is the structure that occupies the crossing.</w:t>
      </w:r>
    </w:p>
    <w:p w14:paraId="0ABA68B3" w14:textId="77777777" w:rsidR="00623160" w:rsidRPr="00623160" w:rsidRDefault="00623160" w:rsidP="00623160">
      <w:pPr>
        <w:pStyle w:val="Heading1"/>
      </w:pPr>
      <w:r w:rsidRPr="00623160">
        <w:t>2. The kernel core [SUP]</w:t>
      </w:r>
    </w:p>
    <w:p w14:paraId="754D8248" w14:textId="2C2ECB91" w:rsidR="00EF58F5" w:rsidRPr="00EF58F5" w:rsidRDefault="00EF58F5" w:rsidP="00EF58F5">
      <w:pPr>
        <w:jc w:val="both"/>
      </w:pPr>
      <w:r w:rsidRPr="00EF58F5">
        <w:t xml:space="preserve">Beneath both regulatory faces, the cerebellum computes one thing, and it is well established. The granule-cell layer takes the mossy-fibre input and recodes it into a vastly higher-dimensional, sparse representation — an </w:t>
      </w:r>
      <w:r w:rsidRPr="00EF58F5">
        <w:rPr>
          <w:b/>
          <w:bCs/>
        </w:rPr>
        <w:t>expansion coding</w:t>
      </w:r>
      <w:r w:rsidRPr="00EF58F5">
        <w:t xml:space="preserve"> in which each granule cell behaves like a basis function, so that the cerebellar cortex operates as a </w:t>
      </w:r>
      <w:r w:rsidRPr="00EF58F5">
        <w:rPr>
          <w:b/>
          <w:bCs/>
        </w:rPr>
        <w:t>kernel machine</w:t>
      </w:r>
      <w:r w:rsidRPr="00EF58F5">
        <w:t xml:space="preserve"> mapping inputs into a high-dimensional feature space (the </w:t>
      </w:r>
      <w:hyperlink r:id="rId9" w:history="1">
        <w:r w:rsidRPr="00863941">
          <w:rPr>
            <w:rStyle w:val="Hyperlink"/>
          </w:rPr>
          <w:t>Marr–Albus–Ito tradition</w:t>
        </w:r>
      </w:hyperlink>
      <w:r w:rsidRPr="00EF58F5">
        <w:t xml:space="preserve">; </w:t>
      </w:r>
      <w:hyperlink r:id="rId10" w:history="1">
        <w:r w:rsidRPr="00863941">
          <w:rPr>
            <w:rStyle w:val="Hyperlink"/>
          </w:rPr>
          <w:t>Sanger, Yamashita &amp; Kawato</w:t>
        </w:r>
      </w:hyperlink>
      <w:r w:rsidRPr="00EF58F5">
        <w:t xml:space="preserve">). The Purkinje cell then computes a </w:t>
      </w:r>
      <w:r w:rsidRPr="00EF58F5">
        <w:rPr>
          <w:b/>
          <w:bCs/>
        </w:rPr>
        <w:t>weighted sum over that basis</w:t>
      </w:r>
      <w:r w:rsidRPr="00EF58F5">
        <w:t xml:space="preserve"> — an inner product of the granule activity with a learned weight vector — and that readout is shaped by climbing-fibre teaching signals through synaptic depression. The cerebellar core is thus a </w:t>
      </w:r>
      <w:r w:rsidRPr="00EF58F5">
        <w:rPr>
          <w:b/>
          <w:bCs/>
        </w:rPr>
        <w:t>supervised inner-product readout on a kernel expansion</w:t>
      </w:r>
      <w:r w:rsidRPr="00EF58F5">
        <w:t xml:space="preserve">: representation by expansion, computation by inner product, supervision by error. This places the </w:t>
      </w:r>
      <w:r w:rsidRPr="00EF58F5">
        <w:rPr>
          <w:i/>
          <w:iCs/>
        </w:rPr>
        <w:t>core</w:t>
      </w:r>
      <w:r w:rsidRPr="00EF58F5">
        <w:t xml:space="preserve"> at the inner-product reaches of the ladder — kernel methods are inner-product methods — and it is why the cerebellum can be a </w:t>
      </w:r>
      <w:r w:rsidRPr="00EF58F5">
        <w:rPr>
          <w:i/>
          <w:iCs/>
        </w:rPr>
        <w:t>calibration</w:t>
      </w:r>
      <w:r w:rsidRPr="00EF58F5">
        <w:t xml:space="preserve"> engine at all: a learned readout over a rich basis is exactly a tunable forward model. What it is not is a uniform mesh applying one correction everywhere; the readout is learned and context-specific, and the regulatory structure around it, not the core, is where uniform and coarse enter.</w:t>
      </w:r>
    </w:p>
    <w:p w14:paraId="398BFEBD" w14:textId="77777777" w:rsidR="00EF58F5" w:rsidRPr="00EF58F5" w:rsidRDefault="00EF58F5" w:rsidP="00EF58F5">
      <w:pPr>
        <w:jc w:val="both"/>
        <w:rPr>
          <w:b/>
          <w:bCs/>
        </w:rPr>
      </w:pPr>
      <w:r w:rsidRPr="00EF58F5">
        <w:rPr>
          <w:b/>
          <w:bCs/>
        </w:rPr>
        <w:t>2.1 The parameter economy: a fixed expansion, a thin learned readout [SUP / CAND for design]</w:t>
      </w:r>
    </w:p>
    <w:p w14:paraId="4AB878CB" w14:textId="152F06A2" w:rsidR="00EF58F5" w:rsidRPr="00EF58F5" w:rsidRDefault="00EF58F5" w:rsidP="00EF58F5">
      <w:pPr>
        <w:jc w:val="both"/>
      </w:pPr>
      <w:r w:rsidRPr="00EF58F5">
        <w:t xml:space="preserve">One consequence of the kernel-machine reading is sharp enough to be a design principle, and it is independently established: </w:t>
      </w:r>
      <w:r w:rsidRPr="00EF58F5">
        <w:rPr>
          <w:b/>
          <w:bCs/>
        </w:rPr>
        <w:t>learning is confined to the readout; the expansion is fixed.</w:t>
      </w:r>
      <w:r w:rsidRPr="00EF58F5">
        <w:t xml:space="preserve"> This is exactly the structure of </w:t>
      </w:r>
      <w:r w:rsidRPr="00EF58F5">
        <w:rPr>
          <w:i/>
          <w:iCs/>
        </w:rPr>
        <w:t>reservoir computing</w:t>
      </w:r>
      <w:r w:rsidRPr="00EF58F5">
        <w:t xml:space="preserve"> — the cerebellum has been modelled as a liquid state machine in which the granular layer is the </w:t>
      </w:r>
      <w:r w:rsidRPr="00EF58F5">
        <w:rPr>
          <w:b/>
          <w:bCs/>
        </w:rPr>
        <w:t>fixed reservoir</w:t>
      </w:r>
      <w:r w:rsidRPr="00EF58F5">
        <w:t xml:space="preserve"> and the Purkinje cells are the </w:t>
      </w:r>
      <w:r w:rsidRPr="00EF58F5">
        <w:rPr>
          <w:b/>
          <w:bCs/>
        </w:rPr>
        <w:t>trained readout</w:t>
      </w:r>
      <w:r w:rsidRPr="00EF58F5">
        <w:t xml:space="preserve"> (</w:t>
      </w:r>
      <w:hyperlink r:id="rId11" w:history="1">
        <w:r w:rsidRPr="00863941">
          <w:rPr>
            <w:rStyle w:val="Hyperlink"/>
          </w:rPr>
          <w:t>Yamazaki &amp; Tanaka, 2007</w:t>
        </w:r>
      </w:hyperlink>
      <w:r w:rsidRPr="00EF58F5">
        <w:t xml:space="preserve">), with the standard reservoir advantage of fast, low-cost learning because only the readout is fit. The granule expansion that does the heavy representational work is, in these models, a </w:t>
      </w:r>
      <w:r w:rsidRPr="00EF58F5">
        <w:rPr>
          <w:b/>
          <w:bCs/>
        </w:rPr>
        <w:lastRenderedPageBreak/>
        <w:t>fixed, random-ish projection</w:t>
      </w:r>
      <w:r w:rsidRPr="00EF58F5">
        <w:t xml:space="preserve"> — random networks in the granule layer supply the signal separation from which Purkinje cells build their basis filters — and the Golgi loop holds parallel-fibre traffic to a fixed, narrow range by contacts made "at random subject to a fixed probability" (</w:t>
      </w:r>
      <w:hyperlink r:id="rId12" w:history="1">
        <w:r w:rsidRPr="00863941">
          <w:rPr>
            <w:rStyle w:val="Hyperlink"/>
          </w:rPr>
          <w:t>Gilbert &amp; Miall, 2022</w:t>
        </w:r>
      </w:hyperlink>
      <w:r w:rsidRPr="00EF58F5">
        <w:t xml:space="preserve">). So across the circuit the division is: </w:t>
      </w:r>
      <w:r w:rsidRPr="00EF58F5">
        <w:rPr>
          <w:b/>
          <w:bCs/>
        </w:rPr>
        <w:t>the large parameter set — the expansion reservoir and the Golgi-bounded gain control — is fixed and non-task-learned; the comparatively thin parameter set — the Purkinje readout — carries the learning.</w:t>
      </w:r>
    </w:p>
    <w:p w14:paraId="21FEDF50" w14:textId="77777777" w:rsidR="00EF58F5" w:rsidRPr="00EF58F5" w:rsidRDefault="00EF58F5" w:rsidP="00EF58F5">
      <w:pPr>
        <w:jc w:val="both"/>
      </w:pPr>
      <w:r w:rsidRPr="00EF58F5">
        <w:t xml:space="preserve">This has a corollary the biology already exploits, and it answers a real question: how does a genome that cannot specify tens of billions of individual granule-cell connections build an expansion that large? It does not store the expansion; it stores a </w:t>
      </w:r>
      <w:r w:rsidRPr="00EF58F5">
        <w:rPr>
          <w:b/>
          <w:bCs/>
        </w:rPr>
        <w:t>compact developmental rule that generates it</w:t>
      </w:r>
      <w:r w:rsidRPr="00EF58F5">
        <w:t xml:space="preserve"> — a rule that lays down a random-but-constrained projection. The genome is the seed; the vast expansion is generated, not enumerated. This is the biological form of the design move the question proposes: </w:t>
      </w:r>
      <w:r w:rsidRPr="00EF58F5">
        <w:rPr>
          <w:b/>
          <w:bCs/>
        </w:rPr>
        <w:t>generate the large fixed expansion from a compact pseudo-random key, and learn only the readout.</w:t>
      </w:r>
      <w:r w:rsidRPr="00EF58F5">
        <w:t xml:space="preserve"> The same move is standard in machine learning under several names — reservoir computing, extreme learning machines, random-feature kernel approximations — all of which keep a large fixed random feature map and train a thin linear readout.</w:t>
      </w:r>
    </w:p>
    <w:p w14:paraId="49C9B230" w14:textId="77777777" w:rsidR="00EF58F5" w:rsidRPr="00EF58F5" w:rsidRDefault="00EF58F5" w:rsidP="00EF58F5">
      <w:pPr>
        <w:jc w:val="both"/>
      </w:pPr>
      <w:r w:rsidRPr="00EF58F5">
        <w:t>Three disciplines on the design claim, so it is not over-read:</w:t>
      </w:r>
    </w:p>
    <w:p w14:paraId="59C5C922" w14:textId="77777777" w:rsidR="00EF58F5" w:rsidRPr="00EF58F5" w:rsidRDefault="00EF58F5" w:rsidP="00EF58F5">
      <w:pPr>
        <w:numPr>
          <w:ilvl w:val="0"/>
          <w:numId w:val="7"/>
        </w:numPr>
        <w:jc w:val="both"/>
      </w:pPr>
      <w:r w:rsidRPr="00EF58F5">
        <w:rPr>
          <w:b/>
          <w:bCs/>
        </w:rPr>
        <w:t>It is the kernel/coarse-pivot component's economy, not the whole system's.</w:t>
      </w:r>
      <w:r w:rsidRPr="00EF58F5">
        <w:t xml:space="preserve"> The ladder (cortex) does </w:t>
      </w:r>
      <w:r w:rsidRPr="00EF58F5">
        <w:rPr>
          <w:i/>
          <w:iCs/>
        </w:rPr>
        <w:t>not</w:t>
      </w:r>
      <w:r w:rsidRPr="00EF58F5">
        <w:t xml:space="preserve"> use a fixed random expansion; it </w:t>
      </w:r>
      <w:r w:rsidRPr="00EF58F5">
        <w:rPr>
          <w:i/>
          <w:iCs/>
        </w:rPr>
        <w:t>learns</w:t>
      </w:r>
      <w:r w:rsidRPr="00EF58F5">
        <w:t xml:space="preserve"> structured, orthogonalised representations through the expensive obstructed ascent. So an architecture spanning both axes has </w:t>
      </w:r>
      <w:r w:rsidRPr="00EF58F5">
        <w:rPr>
          <w:b/>
          <w:bCs/>
        </w:rPr>
        <w:t>two parameter economies</w:t>
      </w:r>
      <w:r w:rsidRPr="00EF58F5">
        <w:t xml:space="preserve">: the ladder learns its representations (expensive, slow, structured), while the cerebellar/kernel/coarse-pivot components are mostly </w:t>
      </w:r>
      <w:r w:rsidRPr="00EF58F5">
        <w:rPr>
          <w:b/>
          <w:bCs/>
        </w:rPr>
        <w:t>fixed-random with a thin learned readout</w:t>
      </w:r>
      <w:r w:rsidRPr="00EF58F5">
        <w:t xml:space="preserve"> (cheap, fast). "A large number of parameters generated from a pseudo-random key" is a true and useful claim </w:t>
      </w:r>
      <w:r w:rsidRPr="00EF58F5">
        <w:rPr>
          <w:i/>
          <w:iCs/>
        </w:rPr>
        <w:t>for the kernel/coarse components</w:t>
      </w:r>
      <w:r w:rsidRPr="00EF58F5">
        <w:t xml:space="preserve"> — not a description of the ladder, which must still learn.</w:t>
      </w:r>
    </w:p>
    <w:p w14:paraId="13C1F432" w14:textId="72220B51" w:rsidR="00EF58F5" w:rsidRPr="00EF58F5" w:rsidRDefault="00EF58F5" w:rsidP="00EF58F5">
      <w:pPr>
        <w:numPr>
          <w:ilvl w:val="0"/>
          <w:numId w:val="7"/>
        </w:numPr>
        <w:jc w:val="both"/>
      </w:pPr>
      <w:r w:rsidRPr="00EF58F5">
        <w:rPr>
          <w:b/>
          <w:bCs/>
        </w:rPr>
        <w:t xml:space="preserve">The expansion must be random </w:t>
      </w:r>
      <w:r w:rsidRPr="00EF58F5">
        <w:rPr>
          <w:b/>
          <w:bCs/>
          <w:i/>
          <w:iCs/>
        </w:rPr>
        <w:t>at criticality</w:t>
      </w:r>
      <w:r w:rsidRPr="00EF58F5">
        <w:rPr>
          <w:b/>
          <w:bCs/>
        </w:rPr>
        <w:t>, not arbitrary.</w:t>
      </w:r>
      <w:r w:rsidRPr="00EF58F5">
        <w:t xml:space="preserve"> A reservoir only separates patterns well when it is tuned near the </w:t>
      </w:r>
      <w:r w:rsidRPr="00EF58F5">
        <w:rPr>
          <w:b/>
          <w:bCs/>
        </w:rPr>
        <w:t>edge of chaos</w:t>
      </w:r>
      <w:r w:rsidRPr="00EF58F5">
        <w:t xml:space="preserve">, with the right sparsity and scaling; an arbitrary random matrix is a poor reservoir. The "key" must therefore generate a </w:t>
      </w:r>
      <w:r w:rsidRPr="00EF58F5">
        <w:rPr>
          <w:i/>
          <w:iCs/>
        </w:rPr>
        <w:t>well-conditioned</w:t>
      </w:r>
      <w:r w:rsidRPr="00EF58F5">
        <w:t xml:space="preserve"> expansion (critical, sparse), not white noise. The compactness of the key is real; the freedom in it is not total.</w:t>
      </w:r>
    </w:p>
    <w:p w14:paraId="12C1E9A6" w14:textId="77777777" w:rsidR="00EF58F5" w:rsidRPr="00EF58F5" w:rsidRDefault="00EF58F5" w:rsidP="00EF58F5">
      <w:pPr>
        <w:numPr>
          <w:ilvl w:val="0"/>
          <w:numId w:val="7"/>
        </w:numPr>
        <w:jc w:val="both"/>
      </w:pPr>
      <w:r w:rsidRPr="00EF58F5">
        <w:rPr>
          <w:b/>
          <w:bCs/>
        </w:rPr>
        <w:t>Fixed does not mean unregulated.</w:t>
      </w:r>
      <w:r w:rsidRPr="00EF58F5">
        <w:t xml:space="preserve"> The expansion is non-</w:t>
      </w:r>
      <w:r w:rsidRPr="00EF58F5">
        <w:rPr>
          <w:i/>
          <w:iCs/>
        </w:rPr>
        <w:t>learned</w:t>
      </w:r>
      <w:r w:rsidRPr="00EF58F5">
        <w:t xml:space="preserve"> but still </w:t>
      </w:r>
      <w:r w:rsidRPr="00EF58F5">
        <w:rPr>
          <w:i/>
          <w:iCs/>
        </w:rPr>
        <w:t>gain-controlled</w:t>
      </w:r>
      <w:r w:rsidRPr="00EF58F5">
        <w:t xml:space="preserve"> — the Golgi loop continuously bounds it (the coarse face, §5). Fixed-random generation supplies the structure; homeostatic gain control keeps it in range. Both are non-task-learning; neither is absent.</w:t>
      </w:r>
    </w:p>
    <w:p w14:paraId="342D43B9" w14:textId="77777777" w:rsidR="00EF58F5" w:rsidRPr="00EF58F5" w:rsidRDefault="00EF58F5" w:rsidP="00EF58F5">
      <w:pPr>
        <w:jc w:val="both"/>
      </w:pPr>
      <w:r w:rsidRPr="00EF58F5">
        <w:t xml:space="preserve">The upshot, which the AGI horizon note can carry: a general architecture's </w:t>
      </w:r>
      <w:r w:rsidRPr="00EF58F5">
        <w:rPr>
          <w:b/>
          <w:bCs/>
        </w:rPr>
        <w:t>coarse/kernel components can be instantiated mostly from a compact pseudo-random key and trained only at their readouts</w:t>
      </w:r>
      <w:r w:rsidRPr="00EF58F5">
        <w:t xml:space="preserve">, while its </w:t>
      </w:r>
      <w:r w:rsidRPr="00EF58F5">
        <w:rPr>
          <w:b/>
          <w:bCs/>
        </w:rPr>
        <w:t>ladder components must still pay to learn their representations</w:t>
      </w:r>
      <w:r w:rsidRPr="00EF58F5">
        <w:t xml:space="preserve"> — two different parameter economies on the two axes, and a concrete reason the coarse axis is cheap enough to build at scale.</w:t>
      </w:r>
    </w:p>
    <w:p w14:paraId="7827AC2E" w14:textId="77777777" w:rsidR="00623160" w:rsidRPr="00623160" w:rsidRDefault="00623160" w:rsidP="00623160">
      <w:pPr>
        <w:pStyle w:val="Heading1"/>
      </w:pPr>
      <w:r w:rsidRPr="00623160">
        <w:t>3. The two faces, and why they must not be merged</w:t>
      </w:r>
    </w:p>
    <w:p w14:paraId="2C0485E4" w14:textId="77777777" w:rsidR="00EF58F5" w:rsidRPr="00EF58F5" w:rsidRDefault="00EF58F5" w:rsidP="00EF58F5">
      <w:pPr>
        <w:jc w:val="both"/>
      </w:pPr>
      <w:r w:rsidRPr="00EF58F5">
        <w:t>The two regulatory systems flank the kernel core on opposite sides of the circuit and on opposite ends of scale.</w:t>
      </w:r>
    </w:p>
    <w:p w14:paraId="449146AE" w14:textId="749E089A" w:rsidR="00EF58F5" w:rsidRPr="00EF58F5" w:rsidRDefault="00EF58F5" w:rsidP="00EF58F5">
      <w:pPr>
        <w:numPr>
          <w:ilvl w:val="0"/>
          <w:numId w:val="8"/>
        </w:numPr>
        <w:jc w:val="both"/>
      </w:pPr>
      <w:r w:rsidRPr="00EF58F5">
        <w:t xml:space="preserve">The </w:t>
      </w:r>
      <w:r w:rsidRPr="00EF58F5">
        <w:rPr>
          <w:b/>
          <w:bCs/>
        </w:rPr>
        <w:t>molecular-layer interneurons</w:t>
      </w:r>
      <w:r w:rsidRPr="00EF58F5">
        <w:t xml:space="preserve"> (basket and stellate cells), in the molecular layer with the Purkinje dendrites and parallel fibres, are the </w:t>
      </w:r>
      <w:r w:rsidRPr="00EF58F5">
        <w:rPr>
          <w:b/>
          <w:bCs/>
        </w:rPr>
        <w:t>uniform / small-scale</w:t>
      </w:r>
      <w:r w:rsidRPr="00EF58F5">
        <w:t xml:space="preserve"> face. They sculpt the </w:t>
      </w:r>
      <w:r w:rsidRPr="00EF58F5">
        <w:lastRenderedPageBreak/>
        <w:t xml:space="preserve">Purkinje output — basket cells clamping at the axon initial segment via the pinceau, stellate cells trimming the distal dendrites — and empirically they shape the rate and temporal pattern of Purkinje firing (basket-cell loss raises simple-spike rate; stellate-cell loss alters its regularity; </w:t>
      </w:r>
      <w:hyperlink r:id="rId13" w:history="1">
        <w:r w:rsidRPr="00863941">
          <w:rPr>
            <w:rStyle w:val="Hyperlink"/>
          </w:rPr>
          <w:t>Brown et al., 2019</w:t>
        </w:r>
      </w:hyperlink>
      <w:r w:rsidRPr="00EF58F5">
        <w:t>).</w:t>
      </w:r>
    </w:p>
    <w:p w14:paraId="14516CA9" w14:textId="77777777" w:rsidR="00EF58F5" w:rsidRPr="00EF58F5" w:rsidRDefault="00EF58F5" w:rsidP="00EF58F5">
      <w:pPr>
        <w:numPr>
          <w:ilvl w:val="0"/>
          <w:numId w:val="8"/>
        </w:numPr>
        <w:jc w:val="both"/>
      </w:pPr>
      <w:r w:rsidRPr="00EF58F5">
        <w:t xml:space="preserve">The </w:t>
      </w:r>
      <w:r w:rsidRPr="00EF58F5">
        <w:rPr>
          <w:b/>
          <w:bCs/>
        </w:rPr>
        <w:t>Golgi loop</w:t>
      </w:r>
      <w:r w:rsidRPr="00EF58F5">
        <w:t xml:space="preserve">, in the granule layer, is the </w:t>
      </w:r>
      <w:r w:rsidRPr="00EF58F5">
        <w:rPr>
          <w:b/>
          <w:bCs/>
        </w:rPr>
        <w:t>coarse / large-scale</w:t>
      </w:r>
      <w:r w:rsidRPr="00EF58F5">
        <w:t xml:space="preserve"> face. Golgi feedforward-and-feedback inhibition controls the granule-cell threshold and enforces sparse, temporally-windowed granule activity — the gain control that bounds the representation.</w:t>
      </w:r>
    </w:p>
    <w:p w14:paraId="12C25502" w14:textId="77777777" w:rsidR="00EF58F5" w:rsidRPr="00EF58F5" w:rsidRDefault="00EF58F5" w:rsidP="00EF58F5">
      <w:pPr>
        <w:jc w:val="both"/>
      </w:pPr>
      <w:r w:rsidRPr="00EF58F5">
        <w:t xml:space="preserve">The single most important discipline in reading these is that </w:t>
      </w:r>
      <w:r w:rsidRPr="00EF58F5">
        <w:rPr>
          <w:b/>
          <w:bCs/>
        </w:rPr>
        <w:t>they index different sequences.</w:t>
      </w:r>
      <w:r w:rsidRPr="00EF58F5">
        <w:t xml:space="preserve"> The uniform face governs a sequence indexed by </w:t>
      </w:r>
      <w:r w:rsidRPr="00EF58F5">
        <w:rPr>
          <w:b/>
          <w:bCs/>
        </w:rPr>
        <w:t>trials</w:t>
      </w:r>
      <w:r w:rsidRPr="00EF58F5">
        <w:t xml:space="preserve">: across repeated attempts, the learning trajectory contracts (§4). The coarse face governs a sequence indexed by </w:t>
      </w:r>
      <w:r w:rsidRPr="00EF58F5">
        <w:rPr>
          <w:b/>
          <w:bCs/>
        </w:rPr>
        <w:t>steps within one movement</w:t>
      </w:r>
      <w:r w:rsidRPr="00EF58F5">
        <w:t xml:space="preserve">: across the points of a single tennis serve, execution must stay bounded (§5). "The cerebellum is at once a uniform space and a coarse space" is only coherent when read this way — </w:t>
      </w:r>
      <w:r w:rsidRPr="00EF58F5">
        <w:rPr>
          <w:i/>
          <w:iCs/>
        </w:rPr>
        <w:t>small-scale structure governs convergence across learning; large-scale structure governs bounded traversal within an act.</w:t>
      </w:r>
      <w:r w:rsidRPr="00EF58F5">
        <w:t xml:space="preserve"> Two index sets, two roles, one circuit.</w:t>
      </w:r>
    </w:p>
    <w:p w14:paraId="4443D763" w14:textId="77777777" w:rsidR="00EF58F5" w:rsidRPr="00EF58F5" w:rsidRDefault="00EF58F5" w:rsidP="0020562C">
      <w:pPr>
        <w:pStyle w:val="Heading1"/>
      </w:pPr>
      <w:r w:rsidRPr="00EF58F5">
        <w:t>4. The uniform face: settling [SUP anatomy / CAND reading]</w:t>
      </w:r>
    </w:p>
    <w:p w14:paraId="79AACA80" w14:textId="77777777" w:rsidR="00EF58F5" w:rsidRPr="00EF58F5" w:rsidRDefault="00EF58F5" w:rsidP="00EF58F5">
      <w:pPr>
        <w:jc w:val="both"/>
      </w:pPr>
      <w:r w:rsidRPr="00EF58F5">
        <w:t xml:space="preserve">As a skill is learned, the trial-indexed sequence of Purkinje outputs </w:t>
      </w:r>
      <w:r w:rsidRPr="00EF58F5">
        <w:rPr>
          <w:b/>
          <w:bCs/>
        </w:rPr>
        <w:t>contracts</w:t>
      </w:r>
      <w:r w:rsidRPr="00EF58F5">
        <w:t xml:space="preserve">. Early trials are variable; with each climbing-fibre-corrected repetition the output falls into a tighter band, until — once variance drops below the precision tolerance ε(Π) — it is held in a stable, narrow envelope. This is naturally read as a </w:t>
      </w:r>
      <w:r w:rsidRPr="00EF58F5">
        <w:rPr>
          <w:b/>
          <w:bCs/>
        </w:rPr>
        <w:t>Cauchy net</w:t>
      </w:r>
      <w:r w:rsidRPr="00EF58F5">
        <w:t xml:space="preserve"> indexed by trials: for every error margin (entourage) there is a trial after which all later outputs lie within it. The molecular-layer interneurons are the plausible [CAND] realization of the contracting margin, sculpting the Purkinje firing band trial-over-trial; the limit of the net is the </w:t>
      </w:r>
      <w:r w:rsidRPr="00EF58F5">
        <w:rPr>
          <w:b/>
          <w:bCs/>
        </w:rPr>
        <w:t>calibrated habit</w:t>
      </w:r>
      <w:r w:rsidRPr="00EF58F5">
        <w:t>.</w:t>
      </w:r>
    </w:p>
    <w:p w14:paraId="28279307" w14:textId="77777777" w:rsidR="00EF58F5" w:rsidRPr="00EF58F5" w:rsidRDefault="00EF58F5" w:rsidP="00EF58F5">
      <w:pPr>
        <w:jc w:val="both"/>
      </w:pPr>
      <w:r w:rsidRPr="00EF58F5">
        <w:t xml:space="preserve">Two cautions keep this honest. First, the convergence is a </w:t>
      </w:r>
      <w:r w:rsidRPr="00EF58F5">
        <w:rPr>
          <w:b/>
          <w:bCs/>
        </w:rPr>
        <w:t>dynamical fact</w:t>
      </w:r>
      <w:r w:rsidRPr="00EF58F5">
        <w:t xml:space="preserve"> — it is produced by the climbing-fibre error signal driving plasticity — and is </w:t>
      </w:r>
      <w:r w:rsidRPr="00EF58F5">
        <w:rPr>
          <w:i/>
          <w:iCs/>
        </w:rPr>
        <w:t>described</w:t>
      </w:r>
      <w:r w:rsidRPr="00EF58F5">
        <w:t xml:space="preserve"> by the Cauchy-net language, not </w:t>
      </w:r>
      <w:r w:rsidRPr="00EF58F5">
        <w:rPr>
          <w:i/>
          <w:iCs/>
        </w:rPr>
        <w:t>guaranteed</w:t>
      </w:r>
      <w:r w:rsidRPr="00EF58F5">
        <w:t xml:space="preserve"> by it. The earlier formulation that "the circuit is a complete topological vector space, so the Cauchy net must converge" is </w:t>
      </w:r>
      <w:r w:rsidRPr="00EF58F5">
        <w:rPr>
          <w:b/>
          <w:bCs/>
        </w:rPr>
        <w:t>retired</w:t>
      </w:r>
      <w:r w:rsidRPr="00EF58F5">
        <w:t>: the circuit is not shown to carry topological-vector-space structure, and abstract completeness cannot be the reason a biological learning process settles. The Cauchy net is a description of measured contraction, tagged [CAND]. Second, the classical picture of molecular-layer interneurons as simple feedforward inhibition is now regarded as too simple (they form inhibitory networks among themselves and carry richer dynamics); the "margin-sculpting" reading is therefore [CAND], consistent with the shaping role that is established but not asserting the mechanism is settled.</w:t>
      </w:r>
    </w:p>
    <w:p w14:paraId="11403735" w14:textId="77777777" w:rsidR="00EF58F5" w:rsidRPr="00EF58F5" w:rsidRDefault="00EF58F5" w:rsidP="0020562C">
      <w:pPr>
        <w:pStyle w:val="Heading1"/>
      </w:pPr>
      <w:r w:rsidRPr="00EF58F5">
        <w:t>5. The coarse face: traversing [LB math / SUP anatomy / CAND application]</w:t>
      </w:r>
    </w:p>
    <w:p w14:paraId="6792A08D" w14:textId="77777777" w:rsidR="00EF58F5" w:rsidRPr="00EF58F5" w:rsidRDefault="00EF58F5" w:rsidP="00EF58F5">
      <w:pPr>
        <w:jc w:val="both"/>
      </w:pPr>
      <w:r w:rsidRPr="00EF58F5">
        <w:t xml:space="preserve">A single skilled movement is, at the neural level, a sequence of discrete states — successive Purkinje population patterns — not a continuous curve. The question the coarse face answers is how a discrete, noisy sequence yields a smooth, safe macroscopic act. The answer is an </w:t>
      </w:r>
      <w:r w:rsidRPr="00EF58F5">
        <w:rPr>
          <w:b/>
          <w:bCs/>
        </w:rPr>
        <w:t>E-chain</w:t>
      </w:r>
      <w:r w:rsidRPr="00EF58F5">
        <w:t>.</w:t>
      </w:r>
    </w:p>
    <w:p w14:paraId="7F26392E" w14:textId="77777777" w:rsidR="00EF58F5" w:rsidRPr="00EF58F5" w:rsidRDefault="00EF58F5" w:rsidP="00EF58F5">
      <w:pPr>
        <w:jc w:val="both"/>
      </w:pPr>
      <w:r w:rsidRPr="00EF58F5">
        <w:lastRenderedPageBreak/>
        <w:t xml:space="preserve">The mathematics is [LB]. In a coarse space with controlled sets E, an E-chain is a sequence (x₀, …, xₙ) with each consecutive pair (xᵢ, xᵢ₊₁) </w:t>
      </w:r>
      <w:r w:rsidRPr="00EF58F5">
        <w:rPr>
          <w:rFonts w:ascii="Cambria Math" w:hAnsi="Cambria Math" w:cs="Cambria Math"/>
        </w:rPr>
        <w:t>∈</w:t>
      </w:r>
      <w:r w:rsidRPr="00EF58F5">
        <w:t xml:space="preserve"> E; if any two points are joined by an E-chain the space is </w:t>
      </w:r>
      <w:r w:rsidRPr="00EF58F5">
        <w:rPr>
          <w:b/>
          <w:bCs/>
        </w:rPr>
        <w:t>coarsely connected</w:t>
      </w:r>
      <w:r w:rsidRPr="00EF58F5">
        <w:t xml:space="preserve">, and the </w:t>
      </w:r>
      <w:r w:rsidRPr="00EF58F5">
        <w:rPr>
          <w:b/>
          <w:bCs/>
        </w:rPr>
        <w:t>bornology</w:t>
      </w:r>
      <w:r w:rsidRPr="00EF58F5">
        <w:t xml:space="preserve"> induced by the coarse structure says which sets count as bounded. Two large-scale guarantees follow, and both map onto real motor-control demands [SUP]:</w:t>
      </w:r>
    </w:p>
    <w:p w14:paraId="786C927E" w14:textId="77777777" w:rsidR="00EF58F5" w:rsidRPr="00EF58F5" w:rsidRDefault="00EF58F5" w:rsidP="00EF58F5">
      <w:pPr>
        <w:numPr>
          <w:ilvl w:val="0"/>
          <w:numId w:val="9"/>
        </w:numPr>
        <w:jc w:val="both"/>
      </w:pPr>
      <w:r w:rsidRPr="00EF58F5">
        <w:rPr>
          <w:b/>
          <w:bCs/>
        </w:rPr>
        <w:t>Bornology — no runaway.</w:t>
      </w:r>
      <w:r w:rsidRPr="00EF58F5">
        <w:t xml:space="preserve"> A safe movement must not let the state escape every bounded set; the failure mode is a motor state diverging past biomechanical limits (hyperextension, the runaway of dysmetria). The Golgi loop, bounding the granule representation, is the [CAND] warden that keeps the execution sequence inside the bornology.</w:t>
      </w:r>
    </w:p>
    <w:p w14:paraId="783CE47B" w14:textId="77777777" w:rsidR="00EF58F5" w:rsidRPr="00EF58F5" w:rsidRDefault="00EF58F5" w:rsidP="00EF58F5">
      <w:pPr>
        <w:numPr>
          <w:ilvl w:val="0"/>
          <w:numId w:val="9"/>
        </w:numPr>
        <w:jc w:val="both"/>
      </w:pPr>
      <w:r w:rsidRPr="00EF58F5">
        <w:rPr>
          <w:b/>
          <w:bCs/>
        </w:rPr>
        <w:t>E-chain — no tears.</w:t>
      </w:r>
      <w:r w:rsidRPr="00EF58F5">
        <w:t xml:space="preserve"> A safe movement must traverse the envelope without an impossible instantaneous jump. Bounded consecutive steps guarantee coarse connectedness: the act gets from the start of the swing to the end without the trajectory tearing. The </w:t>
      </w:r>
      <w:r w:rsidRPr="00EF58F5">
        <w:rPr>
          <w:b/>
          <w:bCs/>
        </w:rPr>
        <w:t>shadowing lemma</w:t>
      </w:r>
      <w:r w:rsidRPr="00EF58F5">
        <w:t xml:space="preserve"> of hyperbolic dynamics gives the matching ideal: a bounded discrete pseudo-orbit is shadowed by a true continuous trajectory — discrete bounded neural steps faithfully approximate the smooth physics.</w:t>
      </w:r>
    </w:p>
    <w:p w14:paraId="53163480" w14:textId="77777777" w:rsidR="00EF58F5" w:rsidRPr="00EF58F5" w:rsidRDefault="00EF58F5" w:rsidP="00EF58F5">
      <w:pPr>
        <w:jc w:val="both"/>
      </w:pPr>
      <w:r w:rsidRPr="00EF58F5">
        <w:t xml:space="preserve">One earlier mapping is downgraded: that parallel-fibre </w:t>
      </w:r>
      <w:r w:rsidRPr="00EF58F5">
        <w:rPr>
          <w:i/>
          <w:iCs/>
        </w:rPr>
        <w:t>length</w:t>
      </w:r>
      <w:r w:rsidRPr="00EF58F5">
        <w:t xml:space="preserve"> enforces the step bound E. Parallel-fibre length sets the spatial reach of granule→Purkinje influence along the folium; reading it directly as a bound on step size </w:t>
      </w:r>
      <w:r w:rsidRPr="00EF58F5">
        <w:rPr>
          <w:i/>
          <w:iCs/>
        </w:rPr>
        <w:t>in motor-state space</w:t>
      </w:r>
      <w:r w:rsidRPr="00EF58F5">
        <w:t xml:space="preserve"> equivocates anatomical distance with state-space distance. The E-chain bound rests on Golgi gain control instead, tagged [CAND]; the parallel-fibre version is [CAND, weak] and not load-bearing.</w:t>
      </w:r>
    </w:p>
    <w:p w14:paraId="15E8E90C" w14:textId="77777777" w:rsidR="00EF58F5" w:rsidRPr="00EF58F5" w:rsidRDefault="00EF58F5" w:rsidP="0020562C">
      <w:pPr>
        <w:pStyle w:val="Heading1"/>
      </w:pPr>
      <w:r w:rsidRPr="00EF58F5">
        <w:t>6. Motor equivalence as coarse proximity [CAND]</w:t>
      </w:r>
    </w:p>
    <w:p w14:paraId="23411CF8" w14:textId="77777777" w:rsidR="00EF58F5" w:rsidRPr="00EF58F5" w:rsidRDefault="00EF58F5" w:rsidP="00EF58F5">
      <w:pPr>
        <w:jc w:val="both"/>
      </w:pPr>
      <w:r w:rsidRPr="00EF58F5">
        <w:t xml:space="preserve">A coarse structure induces not a proximity but an </w:t>
      </w:r>
      <w:r w:rsidRPr="00EF58F5">
        <w:rPr>
          <w:b/>
          <w:bCs/>
        </w:rPr>
        <w:t>asymptotic (coarse) proximity</w:t>
      </w:r>
      <w:r w:rsidRPr="00EF58F5">
        <w:t xml:space="preserve"> — a notion of two trajectories being near </w:t>
      </w:r>
      <w:r w:rsidRPr="00EF58F5">
        <w:rPr>
          <w:i/>
          <w:iCs/>
        </w:rPr>
        <w:t>at the horizon</w:t>
      </w:r>
      <w:r w:rsidRPr="00EF58F5">
        <w:t xml:space="preserve"> even when they differ locally (a real and recent area; Weighill; Mitra–Siegert). This is the natural reading of </w:t>
      </w:r>
      <w:r w:rsidRPr="00EF58F5">
        <w:rPr>
          <w:b/>
          <w:bCs/>
        </w:rPr>
        <w:t>motor equivalence</w:t>
      </w:r>
      <w:r w:rsidRPr="00EF58F5">
        <w:t xml:space="preserve">: writing one's name with the wrist or with the whole arm uses entirely different local trajectories — not near in the small-scale proximity sense — yet both reach the same macroscopic target. In the coarse sense they are </w:t>
      </w:r>
      <w:r w:rsidRPr="00EF58F5">
        <w:rPr>
          <w:i/>
          <w:iCs/>
        </w:rPr>
        <w:t>asymptotically near</w:t>
      </w:r>
      <w:r w:rsidRPr="00EF58F5">
        <w:t>: widened by a bounded controlled set, they meet at the goal. The coarse face, caring about macroscopic bounds rather than the micro-trajectory, evaluates them as equivalent. This is a [CAND] structural reading, but it is a clean one: motor equivalence is precisely a large-scale identification that ignores small-scale path, which is what asymptotic proximity formalizes.</w:t>
      </w:r>
    </w:p>
    <w:p w14:paraId="140124FF" w14:textId="77777777" w:rsidR="00EF58F5" w:rsidRPr="00EF58F5" w:rsidRDefault="00EF58F5" w:rsidP="0020562C">
      <w:pPr>
        <w:pStyle w:val="Heading1"/>
      </w:pPr>
      <w:r w:rsidRPr="00EF58F5">
        <w:t>7. The Markov-blanket reading: a separate candidate, not the E-chain [CAND]</w:t>
      </w:r>
    </w:p>
    <w:p w14:paraId="0AF50862" w14:textId="77777777" w:rsidR="00EF58F5" w:rsidRPr="00EF58F5" w:rsidRDefault="00EF58F5" w:rsidP="00EF58F5">
      <w:pPr>
        <w:jc w:val="both"/>
      </w:pPr>
      <w:r w:rsidRPr="00EF58F5">
        <w:t xml:space="preserve">The Golgi loop's enforcement of sparse, locally-windowed granule activity also invites an </w:t>
      </w:r>
      <w:r w:rsidRPr="00EF58F5">
        <w:rPr>
          <w:b/>
          <w:bCs/>
        </w:rPr>
        <w:t>information-theoretic</w:t>
      </w:r>
      <w:r w:rsidRPr="00EF58F5">
        <w:t xml:space="preserve"> reading: by limiting the active input, it renders the Purkinje computation approximately conditionally independent of the rest of the network given the local granule state — a Markov-blanket-like shielding that would make execution an O(1)-ish local evaluation rather than a global one. This reading is worth keeping, but it must be kept </w:t>
      </w:r>
      <w:r w:rsidRPr="00EF58F5">
        <w:rPr>
          <w:b/>
          <w:bCs/>
        </w:rPr>
        <w:t>separate</w:t>
      </w:r>
      <w:r w:rsidRPr="00EF58F5">
        <w:t xml:space="preserve">. The E-chain is </w:t>
      </w:r>
      <w:r w:rsidRPr="00EF58F5">
        <w:rPr>
          <w:b/>
          <w:bCs/>
        </w:rPr>
        <w:t>geometric</w:t>
      </w:r>
      <w:r w:rsidRPr="00EF58F5">
        <w:t xml:space="preserve"> locality (bounded steps); the Markov blanket is </w:t>
      </w:r>
      <w:r w:rsidRPr="00EF58F5">
        <w:rPr>
          <w:b/>
          <w:bCs/>
        </w:rPr>
        <w:t>statistical</w:t>
      </w:r>
      <w:r w:rsidRPr="00EF58F5">
        <w:t xml:space="preserve"> locality (conditional independence given neighbours). They are analogous — both say "only the local horizon matters" — but they are different structures, and the Markov blanket is </w:t>
      </w:r>
      <w:r w:rsidRPr="00EF58F5">
        <w:rPr>
          <w:b/>
          <w:bCs/>
        </w:rPr>
        <w:t>not a coarse-geometry object</w:t>
      </w:r>
      <w:r w:rsidRPr="00EF58F5">
        <w:t xml:space="preserve">. The earlier claim that the E-chain and the Markov boundary are "the exact same concept" is retired; the Golgi→Markov-blanket mapping stands as its </w:t>
      </w:r>
      <w:r w:rsidRPr="00EF58F5">
        <w:lastRenderedPageBreak/>
        <w:t>own [CAND] information-theoretic hypothesis, parallel to the Golgi→bornology mapping, not identical with it.</w:t>
      </w:r>
    </w:p>
    <w:p w14:paraId="754F3E7D" w14:textId="77777777" w:rsidR="00EF58F5" w:rsidRPr="00EF58F5" w:rsidRDefault="00EF58F5" w:rsidP="0020562C">
      <w:pPr>
        <w:pStyle w:val="Heading1"/>
      </w:pPr>
      <w:r w:rsidRPr="00EF58F5">
        <w:t>8. The contract with the cortex [SUP/CAND]</w:t>
      </w:r>
    </w:p>
    <w:p w14:paraId="7C1D25A9" w14:textId="77777777" w:rsidR="00EF58F5" w:rsidRPr="00EF58F5" w:rsidRDefault="00EF58F5" w:rsidP="00EF58F5">
      <w:pPr>
        <w:jc w:val="both"/>
      </w:pPr>
      <w:r w:rsidRPr="00EF58F5">
        <w:t xml:space="preserve">The cerebellum does not certify. The obstruction gate of this program (H¹/H²) is definable only at the inner-product rung where structured transition maps exist; the uniform and coarse faces carry no such gate, and a kernel readout is a function approximator, not a certifier. So the division of labour is: the </w:t>
      </w:r>
      <w:r w:rsidRPr="00EF58F5">
        <w:rPr>
          <w:b/>
          <w:bCs/>
        </w:rPr>
        <w:t>cortex</w:t>
      </w:r>
      <w:r w:rsidRPr="00EF58F5">
        <w:t xml:space="preserve"> performs the expensive, obstructed ascent of </w:t>
      </w:r>
      <w:r w:rsidRPr="00EF58F5">
        <w:rPr>
          <w:i/>
          <w:iCs/>
        </w:rPr>
        <w:t>acquisition</w:t>
      </w:r>
      <w:r w:rsidRPr="00EF58F5">
        <w:t xml:space="preserve"> and pays for certification once; the </w:t>
      </w:r>
      <w:r w:rsidRPr="00EF58F5">
        <w:rPr>
          <w:b/>
          <w:bCs/>
        </w:rPr>
        <w:t>cerebellum</w:t>
      </w:r>
      <w:r w:rsidRPr="00EF58F5">
        <w:t xml:space="preserve"> stores and executes the resulting </w:t>
      </w:r>
      <w:r w:rsidRPr="00EF58F5">
        <w:rPr>
          <w:b/>
          <w:bCs/>
        </w:rPr>
        <w:t>calibrated forward model</w:t>
      </w:r>
      <w:r w:rsidRPr="00EF58F5">
        <w:t xml:space="preserve">, settling it (uniform face) and traversing safely with it (coarse face). Graceful absorption of a small perturbation — a pothole, a gust — is then not the uniform continuity of a uniform space but the </w:t>
      </w:r>
      <w:r w:rsidRPr="00EF58F5">
        <w:rPr>
          <w:b/>
          <w:bCs/>
        </w:rPr>
        <w:t>bounded prediction error of a trained internal model</w:t>
      </w:r>
      <w:r w:rsidRPr="00EF58F5">
        <w:t>: small inputs yield small, locally-corrected outputs because the model is calibrated there. A perturbation large enough to exceed the model's bounded region is exactly what re-recruits the cortex. This is the corrected version of "bypassing the gate": nothing in the cerebellum certifies; it runs a policy certified elsewhere, cheaply, within bounds.</w:t>
      </w:r>
    </w:p>
    <w:p w14:paraId="053AC619" w14:textId="77777777" w:rsidR="00EF58F5" w:rsidRPr="00EF58F5" w:rsidRDefault="00EF58F5" w:rsidP="0020562C">
      <w:pPr>
        <w:pStyle w:val="Heading1"/>
      </w:pPr>
      <w:r w:rsidRPr="00EF58F5">
        <w:t>9. Predictions [TEST]</w:t>
      </w:r>
    </w:p>
    <w:p w14:paraId="3ACE70BE" w14:textId="77777777" w:rsidR="00EF58F5" w:rsidRPr="00EF58F5" w:rsidRDefault="00EF58F5" w:rsidP="00EF58F5">
      <w:pPr>
        <w:jc w:val="both"/>
      </w:pPr>
      <w:r w:rsidRPr="00EF58F5">
        <w:t>The two faces are dissociable, and that is the paper's empirical purchase.</w:t>
      </w:r>
    </w:p>
    <w:p w14:paraId="1CC803B0" w14:textId="77777777" w:rsidR="00EF58F5" w:rsidRPr="00EF58F5" w:rsidRDefault="00EF58F5" w:rsidP="00EF58F5">
      <w:pPr>
        <w:numPr>
          <w:ilvl w:val="0"/>
          <w:numId w:val="10"/>
        </w:numPr>
        <w:jc w:val="both"/>
      </w:pPr>
      <w:r w:rsidRPr="00EF58F5">
        <w:rPr>
          <w:b/>
          <w:bCs/>
        </w:rPr>
        <w:t>P1 — double dissociation of settling and traversing.</w:t>
      </w:r>
      <w:r w:rsidRPr="00EF58F5">
        <w:t xml:space="preserve"> Disrupting the molecular-layer interneurons should impair </w:t>
      </w:r>
      <w:r w:rsidRPr="00EF58F5">
        <w:rPr>
          <w:b/>
          <w:bCs/>
        </w:rPr>
        <w:t>settling</w:t>
      </w:r>
      <w:r w:rsidRPr="00EF58F5">
        <w:t xml:space="preserve"> — the trial-over-trial contraction of motor variance (the Cauchy net fails to tighten), degrading </w:t>
      </w:r>
      <w:r w:rsidRPr="00EF58F5">
        <w:rPr>
          <w:i/>
          <w:iCs/>
        </w:rPr>
        <w:t>calibration/precision</w:t>
      </w:r>
      <w:r w:rsidRPr="00EF58F5">
        <w:t xml:space="preserve"> — while leaving gross bounded traversal intact. Disrupting the Golgi loop should impair </w:t>
      </w:r>
      <w:r w:rsidRPr="00EF58F5">
        <w:rPr>
          <w:b/>
          <w:bCs/>
        </w:rPr>
        <w:t>traversing</w:t>
      </w:r>
      <w:r w:rsidRPr="00EF58F5">
        <w:t xml:space="preserve"> — bounded, coarsely-connected execution — producing </w:t>
      </w:r>
      <w:r w:rsidRPr="00EF58F5">
        <w:rPr>
          <w:i/>
          <w:iCs/>
        </w:rPr>
        <w:t>dysmetria and runaway</w:t>
      </w:r>
      <w:r w:rsidRPr="00EF58F5">
        <w:t xml:space="preserve"> (escape from the bornology) while leaving the capacity to slowly re-settle relatively spared. A clean double dissociation supports the two-face structure; a single shared deficit refutes it.</w:t>
      </w:r>
    </w:p>
    <w:p w14:paraId="40424889" w14:textId="77777777" w:rsidR="00EF58F5" w:rsidRPr="00EF58F5" w:rsidRDefault="00EF58F5" w:rsidP="00EF58F5">
      <w:pPr>
        <w:numPr>
          <w:ilvl w:val="0"/>
          <w:numId w:val="10"/>
        </w:numPr>
        <w:jc w:val="both"/>
      </w:pPr>
      <w:r w:rsidRPr="00EF58F5">
        <w:rPr>
          <w:b/>
          <w:bCs/>
        </w:rPr>
        <w:t>P2 — the index distinction is real.</w:t>
      </w:r>
      <w:r w:rsidRPr="00EF58F5">
        <w:t xml:space="preserve"> Settling deficits should appear </w:t>
      </w:r>
      <w:r w:rsidRPr="00EF58F5">
        <w:rPr>
          <w:i/>
          <w:iCs/>
        </w:rPr>
        <w:t>across trials</w:t>
      </w:r>
      <w:r w:rsidRPr="00EF58F5">
        <w:t xml:space="preserve"> (learning curves fail to converge); traversing deficits should appear </w:t>
      </w:r>
      <w:r w:rsidRPr="00EF58F5">
        <w:rPr>
          <w:i/>
          <w:iCs/>
        </w:rPr>
        <w:t>within a single movement</w:t>
      </w:r>
      <w:r w:rsidRPr="00EF58F5">
        <w:t xml:space="preserve"> (mid-trajectory tearing or overshoot), even on already-learned skills. If both deficits collapse onto the same timescale, the trial-vs-step distinction the paper rests on is wrong.</w:t>
      </w:r>
    </w:p>
    <w:p w14:paraId="49E58231" w14:textId="77777777" w:rsidR="00EF58F5" w:rsidRPr="00EF58F5" w:rsidRDefault="00EF58F5" w:rsidP="00EF58F5">
      <w:pPr>
        <w:numPr>
          <w:ilvl w:val="0"/>
          <w:numId w:val="10"/>
        </w:numPr>
        <w:jc w:val="both"/>
      </w:pPr>
      <w:r w:rsidRPr="00EF58F5">
        <w:rPr>
          <w:b/>
          <w:bCs/>
        </w:rPr>
        <w:t>P3 — motor equivalence is a coarse identification.</w:t>
      </w:r>
      <w:r w:rsidRPr="00EF58F5">
        <w:t xml:space="preserve"> Trajectories that are maximally different locally but reach the same macroscopic target should be treated by the coarse face as equivalent: their interchangeability should survive manipulations that scramble local path while preserving macroscopic bounds, and fail under manipulations that violate the bounds. If interchangeability tracks local similarity instead, the asymptotic-proximity reading is wrong.</w:t>
      </w:r>
    </w:p>
    <w:p w14:paraId="04C06427" w14:textId="77777777" w:rsidR="00EF58F5" w:rsidRPr="00EF58F5" w:rsidRDefault="00EF58F5" w:rsidP="00EF58F5">
      <w:pPr>
        <w:pStyle w:val="Heading1"/>
      </w:pPr>
      <w:r w:rsidRPr="00EF58F5">
        <w:t>10. Tiering ledger and quarantine</w:t>
      </w:r>
    </w:p>
    <w:p w14:paraId="63CED12E" w14:textId="77777777" w:rsidR="00EF58F5" w:rsidRPr="00EF58F5" w:rsidRDefault="00EF58F5" w:rsidP="00EF58F5">
      <w:pPr>
        <w:jc w:val="both"/>
      </w:pPr>
      <w:r w:rsidRPr="00EF58F5">
        <w:t xml:space="preserve">[LB] — the coarse-geometry mathematics (bornology, E-chains, coarse connectedness, the uniform↔coarse counterpart relation) and the shadowing lemma. [SUP] — the kernel core (granule expansion, Purkinje inner-product readout, climbing-fibre supervision), the interneuron and Golgi physiology, cerebellar dysmetria as a bounding failure. [CAND] — every mapping from circuit element to mathematical role (MLI→entourage-margin, Golgi→bornology-warden, learning→Cauchy net, motor equivalence→asymptotic proximity, Golgi→Markov blanket), and the placement of the </w:t>
      </w:r>
      <w:r w:rsidRPr="00EF58F5">
        <w:lastRenderedPageBreak/>
        <w:t xml:space="preserve">cerebellum at the pivot. [HOR] — quarantined: any claim that the coarse↔uniform relation is a </w:t>
      </w:r>
      <w:r w:rsidRPr="00EF58F5">
        <w:rPr>
          <w:i/>
          <w:iCs/>
        </w:rPr>
        <w:t>formal categorical duality</w:t>
      </w:r>
      <w:r w:rsidRPr="00EF58F5">
        <w:t xml:space="preserve"> (it is a recognized counterpart relation, not a proven duality functor); and any topological-vector-space/completeness machinery, retired here. The honest summary: the mathematics is real and the placement is novel and defensible, but the cerebellum earns its spot at the pivot by a family of candidate isomorphisms, not by identities — and the paper's job is to have made those candidates sharp enough to break.</w:t>
      </w:r>
    </w:p>
    <w:p w14:paraId="60642186" w14:textId="77777777" w:rsidR="00EF58F5" w:rsidRPr="00EF58F5" w:rsidRDefault="00EF58F5" w:rsidP="00EF58F5">
      <w:pPr>
        <w:pStyle w:val="Heading1"/>
      </w:pPr>
      <w:r w:rsidRPr="00EF58F5">
        <w:t>Bibliography</w:t>
      </w:r>
    </w:p>
    <w:p w14:paraId="7C670AAF" w14:textId="77777777" w:rsidR="00EF58F5" w:rsidRPr="00EF58F5" w:rsidRDefault="00EF58F5" w:rsidP="00EF58F5">
      <w:pPr>
        <w:pStyle w:val="Heading2"/>
      </w:pPr>
      <w:r w:rsidRPr="00EF58F5">
        <w:t>Coarse geometry [LB].</w:t>
      </w:r>
    </w:p>
    <w:p w14:paraId="1811E931" w14:textId="2279F2CB" w:rsidR="00EF58F5" w:rsidRPr="00EF58F5" w:rsidRDefault="00EF58F5" w:rsidP="00EF58F5">
      <w:pPr>
        <w:numPr>
          <w:ilvl w:val="0"/>
          <w:numId w:val="11"/>
        </w:numPr>
        <w:jc w:val="both"/>
      </w:pPr>
      <w:r w:rsidRPr="00EF58F5">
        <w:t xml:space="preserve">Roe, J. (2003). </w:t>
      </w:r>
      <w:r w:rsidRPr="00EF58F5">
        <w:rPr>
          <w:i/>
          <w:iCs/>
        </w:rPr>
        <w:t>Lectures on Coarse Geometry.</w:t>
      </w:r>
      <w:r w:rsidRPr="00EF58F5">
        <w:t xml:space="preserve"> University Lecture Series 31, American Mathematical Society. (Coarse structures, controlled sets, bornology, coarse connectedness, Higson corona.)</w:t>
      </w:r>
      <w:r w:rsidR="003970CE">
        <w:t xml:space="preserve"> </w:t>
      </w:r>
      <w:hyperlink r:id="rId14" w:history="1">
        <w:r w:rsidR="003970CE" w:rsidRPr="00B32468">
          <w:rPr>
            <w:rStyle w:val="Hyperlink"/>
          </w:rPr>
          <w:t>https://pubs.ams.org/ebooks/ulect/031/</w:t>
        </w:r>
      </w:hyperlink>
      <w:r w:rsidR="003970CE">
        <w:t xml:space="preserve"> </w:t>
      </w:r>
    </w:p>
    <w:p w14:paraId="022BBBF8" w14:textId="5230D70E" w:rsidR="00EF58F5" w:rsidRPr="00EF58F5" w:rsidRDefault="00EF58F5" w:rsidP="00EF58F5">
      <w:pPr>
        <w:numPr>
          <w:ilvl w:val="0"/>
          <w:numId w:val="11"/>
        </w:numPr>
        <w:jc w:val="both"/>
      </w:pPr>
      <w:r w:rsidRPr="00EF58F5">
        <w:t xml:space="preserve">Rosendal, C. (2022). </w:t>
      </w:r>
      <w:r w:rsidRPr="00EF58F5">
        <w:rPr>
          <w:i/>
          <w:iCs/>
        </w:rPr>
        <w:t>Coarse Geometry of Topological Groups.</w:t>
      </w:r>
      <w:r w:rsidRPr="00EF58F5">
        <w:t xml:space="preserve"> Cambridge University Press. (Coarse structure as the large-scale counterpart of uniform structure.)</w:t>
      </w:r>
      <w:r w:rsidR="003970CE">
        <w:t xml:space="preserve"> </w:t>
      </w:r>
      <w:hyperlink r:id="rId15" w:history="1">
        <w:r w:rsidR="003970CE" w:rsidRPr="00B32468">
          <w:rPr>
            <w:rStyle w:val="Hyperlink"/>
          </w:rPr>
          <w:t>https://homepages.math.uic.edu/~rosendal/PapersWebsite/Coarse-Geometry-Book23.pdf</w:t>
        </w:r>
      </w:hyperlink>
      <w:r w:rsidR="003970CE">
        <w:t xml:space="preserve"> </w:t>
      </w:r>
    </w:p>
    <w:p w14:paraId="62D6D14A" w14:textId="58D87F9F" w:rsidR="00EF58F5" w:rsidRPr="00EF58F5" w:rsidRDefault="00EF58F5" w:rsidP="00EF58F5">
      <w:pPr>
        <w:numPr>
          <w:ilvl w:val="0"/>
          <w:numId w:val="11"/>
        </w:numPr>
        <w:jc w:val="both"/>
      </w:pPr>
      <w:r w:rsidRPr="00EF58F5">
        <w:t xml:space="preserve">Weighill, T. (2016). On spaces with connected Higson coronas. </w:t>
      </w:r>
      <w:r w:rsidRPr="00EF58F5">
        <w:rPr>
          <w:i/>
          <w:iCs/>
        </w:rPr>
        <w:t>Topology and its Applications, 209</w:t>
      </w:r>
      <w:r w:rsidRPr="00EF58F5">
        <w:t>, 301–315; and the coarse-proximity line of Mitra &amp; Siegert. (Asymptotic/coarse proximity.)</w:t>
      </w:r>
      <w:r w:rsidR="003970CE">
        <w:t xml:space="preserve"> </w:t>
      </w:r>
      <w:hyperlink r:id="rId16" w:history="1">
        <w:r w:rsidR="003970CE" w:rsidRPr="00B32468">
          <w:rPr>
            <w:rStyle w:val="Hyperlink"/>
          </w:rPr>
          <w:t>https://arxiv.org/abs/1602.06991</w:t>
        </w:r>
      </w:hyperlink>
      <w:r w:rsidR="003970CE">
        <w:t xml:space="preserve"> </w:t>
      </w:r>
    </w:p>
    <w:p w14:paraId="6627E690" w14:textId="7685ADBA" w:rsidR="00EF58F5" w:rsidRPr="00EF58F5" w:rsidRDefault="00EF58F5" w:rsidP="00EF58F5">
      <w:pPr>
        <w:numPr>
          <w:ilvl w:val="0"/>
          <w:numId w:val="11"/>
        </w:numPr>
        <w:jc w:val="both"/>
      </w:pPr>
      <w:r w:rsidRPr="00EF58F5">
        <w:t>Shadowing/pseudo-orbits: standard hyperbolic-dynamics result (Anosov; Bowen).</w:t>
      </w:r>
      <w:r w:rsidR="003970CE">
        <w:t xml:space="preserve"> </w:t>
      </w:r>
      <w:hyperlink r:id="rId17" w:history="1">
        <w:r w:rsidR="003970CE" w:rsidRPr="00B32468">
          <w:rPr>
            <w:rStyle w:val="Hyperlink"/>
          </w:rPr>
          <w:t>https://en.wikipedia.org/wiki/Shadowing_lemma</w:t>
        </w:r>
      </w:hyperlink>
      <w:r w:rsidR="003970CE">
        <w:t xml:space="preserve"> </w:t>
      </w:r>
    </w:p>
    <w:p w14:paraId="23C51BA0" w14:textId="77777777" w:rsidR="00EF58F5" w:rsidRPr="00EF58F5" w:rsidRDefault="00EF58F5" w:rsidP="00EF58F5">
      <w:pPr>
        <w:pStyle w:val="Heading2"/>
      </w:pPr>
      <w:r w:rsidRPr="00EF58F5">
        <w:t>Cerebellar computation [SUP].</w:t>
      </w:r>
    </w:p>
    <w:p w14:paraId="5BC17F86" w14:textId="3ABF62EB" w:rsidR="00EF58F5" w:rsidRPr="00EF58F5" w:rsidRDefault="00EF58F5" w:rsidP="00EF58F5">
      <w:pPr>
        <w:numPr>
          <w:ilvl w:val="0"/>
          <w:numId w:val="12"/>
        </w:numPr>
        <w:jc w:val="both"/>
      </w:pPr>
      <w:r w:rsidRPr="00EF58F5">
        <w:t xml:space="preserve">Marr, D. (1969). A theory of cerebellar cortex. </w:t>
      </w:r>
      <w:r w:rsidRPr="00EF58F5">
        <w:rPr>
          <w:i/>
          <w:iCs/>
        </w:rPr>
        <w:t>J. Physiol.</w:t>
      </w:r>
      <w:r w:rsidRPr="00EF58F5">
        <w:t xml:space="preserve"> 202, 437–470; Albus, J. S. (1971). A theory of cerebellar function. </w:t>
      </w:r>
      <w:r w:rsidRPr="00EF58F5">
        <w:rPr>
          <w:i/>
          <w:iCs/>
        </w:rPr>
        <w:t>Math. Biosci.</w:t>
      </w:r>
      <w:r w:rsidRPr="00EF58F5">
        <w:t xml:space="preserve"> 10, 25–61; Ito, M. (1984). </w:t>
      </w:r>
      <w:r w:rsidRPr="00EF58F5">
        <w:rPr>
          <w:i/>
          <w:iCs/>
        </w:rPr>
        <w:t>The Cerebellum and Neural Control.</w:t>
      </w:r>
      <w:r w:rsidR="003970CE">
        <w:rPr>
          <w:i/>
          <w:iCs/>
        </w:rPr>
        <w:t xml:space="preserve"> </w:t>
      </w:r>
      <w:hyperlink r:id="rId18" w:history="1">
        <w:r w:rsidR="003970CE" w:rsidRPr="00B32468">
          <w:rPr>
            <w:rStyle w:val="Hyperlink"/>
            <w:i/>
            <w:iCs/>
          </w:rPr>
          <w:t>https://doi.org/10.1113/jphysiol.1969.sp008820</w:t>
        </w:r>
      </w:hyperlink>
      <w:r w:rsidR="003970CE">
        <w:rPr>
          <w:i/>
          <w:iCs/>
        </w:rPr>
        <w:t xml:space="preserve"> </w:t>
      </w:r>
    </w:p>
    <w:p w14:paraId="33BA7553" w14:textId="4BDE5282" w:rsidR="003970CE" w:rsidRPr="003970CE" w:rsidRDefault="00EF58F5" w:rsidP="00EF58F5">
      <w:pPr>
        <w:numPr>
          <w:ilvl w:val="0"/>
          <w:numId w:val="12"/>
        </w:numPr>
        <w:jc w:val="both"/>
      </w:pPr>
      <w:r w:rsidRPr="00EF58F5">
        <w:t xml:space="preserve">Sanger, T. D., Yamashita, O., &amp; Kawato, M. (2020). Expansion coding and computation in the cerebellum. </w:t>
      </w:r>
      <w:r w:rsidRPr="00EF58F5">
        <w:rPr>
          <w:i/>
          <w:iCs/>
        </w:rPr>
        <w:t>J. Physiol.</w:t>
      </w:r>
      <w:r w:rsidRPr="00EF58F5">
        <w:t xml:space="preserve"> 598(5). </w:t>
      </w:r>
      <w:hyperlink r:id="rId19" w:history="1">
        <w:r w:rsidR="003970CE" w:rsidRPr="00B32468">
          <w:rPr>
            <w:rStyle w:val="Hyperlink"/>
          </w:rPr>
          <w:t>https://doi.org/10.1113/jp278745</w:t>
        </w:r>
      </w:hyperlink>
      <w:r w:rsidR="003970CE">
        <w:t xml:space="preserve"> </w:t>
      </w:r>
    </w:p>
    <w:p w14:paraId="29460C93" w14:textId="72745558" w:rsidR="00EF58F5" w:rsidRPr="00EF58F5" w:rsidRDefault="00EF58F5" w:rsidP="00EF58F5">
      <w:pPr>
        <w:numPr>
          <w:ilvl w:val="0"/>
          <w:numId w:val="12"/>
        </w:numPr>
        <w:jc w:val="both"/>
      </w:pPr>
      <w:r w:rsidRPr="00EF58F5">
        <w:t xml:space="preserve">Kawato, M., et al. (2021). 50 years since the Marr, Ito, and Albus models of the cerebellum. </w:t>
      </w:r>
      <w:r w:rsidRPr="00EF58F5">
        <w:rPr>
          <w:i/>
          <w:iCs/>
        </w:rPr>
        <w:t>Neuroscience</w:t>
      </w:r>
      <w:r w:rsidRPr="00EF58F5">
        <w:t xml:space="preserve"> 462, 151–174. (Kernel/expansion core; supervised learning; non-uniform representations.)</w:t>
      </w:r>
      <w:r w:rsidR="003970CE">
        <w:t xml:space="preserve"> </w:t>
      </w:r>
      <w:hyperlink r:id="rId20" w:history="1">
        <w:r w:rsidR="003970CE" w:rsidRPr="00B32468">
          <w:rPr>
            <w:rStyle w:val="Hyperlink"/>
          </w:rPr>
          <w:t>https://doi.org/10.1016/j.neuroscience.2020.06.019</w:t>
        </w:r>
      </w:hyperlink>
      <w:r w:rsidR="003970CE">
        <w:t xml:space="preserve"> </w:t>
      </w:r>
    </w:p>
    <w:p w14:paraId="7F5D3585" w14:textId="1C0AE82F" w:rsidR="00EF58F5" w:rsidRPr="00EF58F5" w:rsidRDefault="00EF58F5" w:rsidP="00EF58F5">
      <w:pPr>
        <w:numPr>
          <w:ilvl w:val="0"/>
          <w:numId w:val="12"/>
        </w:numPr>
        <w:jc w:val="both"/>
      </w:pPr>
      <w:r w:rsidRPr="00EF58F5">
        <w:t xml:space="preserve">Brown, A. M., et al. (2019). Molecular layer interneurons shape the spike activity of cerebellar Purkinje cells. </w:t>
      </w:r>
      <w:r w:rsidRPr="00EF58F5">
        <w:rPr>
          <w:i/>
          <w:iCs/>
        </w:rPr>
        <w:t>Scientific Reports</w:t>
      </w:r>
      <w:r w:rsidRPr="00EF58F5">
        <w:t xml:space="preserve"> 9, 1742. (Complementary basket vs stellate roles in shaping Purkinje rate and pattern.)</w:t>
      </w:r>
      <w:r w:rsidR="003970CE">
        <w:t xml:space="preserve"> </w:t>
      </w:r>
      <w:hyperlink r:id="rId21" w:history="1">
        <w:r w:rsidR="003970CE" w:rsidRPr="00B32468">
          <w:rPr>
            <w:rStyle w:val="Hyperlink"/>
          </w:rPr>
          <w:t>https://doi.org/10.1038/s41598-018-38264-1</w:t>
        </w:r>
      </w:hyperlink>
      <w:r w:rsidR="003970CE">
        <w:t xml:space="preserve"> </w:t>
      </w:r>
    </w:p>
    <w:p w14:paraId="35DB3284" w14:textId="4D9B39A5" w:rsidR="00EF58F5" w:rsidRPr="00EF58F5" w:rsidRDefault="00EF58F5" w:rsidP="00EF58F5">
      <w:pPr>
        <w:numPr>
          <w:ilvl w:val="0"/>
          <w:numId w:val="12"/>
        </w:numPr>
        <w:jc w:val="both"/>
      </w:pPr>
      <w:r w:rsidRPr="00EF58F5">
        <w:t xml:space="preserve">Hull, C., &amp; Regehr, W. G. (2022). The cerebellar cortex. </w:t>
      </w:r>
      <w:r w:rsidRPr="00EF58F5">
        <w:rPr>
          <w:i/>
          <w:iCs/>
        </w:rPr>
        <w:t>Annual Review of Neuroscience</w:t>
      </w:r>
      <w:r w:rsidRPr="00EF58F5">
        <w:t xml:space="preserve"> 45, 151–175. (Circuit overview; Golgi feedforward/feedback inhibition; the caution that the feedforward-only view of MLIs is too simple.)</w:t>
      </w:r>
      <w:r w:rsidR="003970CE">
        <w:t xml:space="preserve"> </w:t>
      </w:r>
      <w:hyperlink r:id="rId22" w:history="1">
        <w:r w:rsidR="003970CE" w:rsidRPr="00B32468">
          <w:rPr>
            <w:rStyle w:val="Hyperlink"/>
          </w:rPr>
          <w:t>https://doi.org/10.1146/annurev-neuro-091421-125115</w:t>
        </w:r>
      </w:hyperlink>
      <w:r w:rsidR="003970CE">
        <w:t xml:space="preserve"> </w:t>
      </w:r>
    </w:p>
    <w:p w14:paraId="352DCDE4" w14:textId="5259DD3F" w:rsidR="00EF58F5" w:rsidRPr="00EF58F5" w:rsidRDefault="00EF58F5" w:rsidP="00EF58F5">
      <w:pPr>
        <w:numPr>
          <w:ilvl w:val="0"/>
          <w:numId w:val="12"/>
        </w:numPr>
        <w:jc w:val="both"/>
      </w:pPr>
      <w:r w:rsidRPr="00EF58F5">
        <w:t xml:space="preserve">Wolpert, D. M., Miall, R. C., &amp; Kawato, M. (1998). Internal models in the cerebellum. </w:t>
      </w:r>
      <w:r w:rsidRPr="00EF58F5">
        <w:rPr>
          <w:i/>
          <w:iCs/>
        </w:rPr>
        <w:t>Trends Cogn. Sci.</w:t>
      </w:r>
      <w:r w:rsidRPr="00EF58F5">
        <w:t xml:space="preserve"> 2(9), 338–347.</w:t>
      </w:r>
      <w:r w:rsidR="003970CE">
        <w:t xml:space="preserve"> </w:t>
      </w:r>
      <w:r w:rsidR="003970CE">
        <w:t>(</w:t>
      </w:r>
      <w:r w:rsidR="003970CE" w:rsidRPr="00EF58F5">
        <w:t>Forward-model/internal-model account</w:t>
      </w:r>
      <w:r w:rsidR="003970CE">
        <w:t>)</w:t>
      </w:r>
      <w:r w:rsidRPr="00EF58F5">
        <w:t xml:space="preserve"> </w:t>
      </w:r>
      <w:hyperlink r:id="rId23" w:history="1">
        <w:r w:rsidR="003970CE" w:rsidRPr="00B32468">
          <w:rPr>
            <w:rStyle w:val="Hyperlink"/>
          </w:rPr>
          <w:t>https://doi.org/10.1016/s1364-6613(98)01221-2</w:t>
        </w:r>
      </w:hyperlink>
      <w:r w:rsidR="003970CE">
        <w:t xml:space="preserve"> </w:t>
      </w:r>
    </w:p>
    <w:p w14:paraId="67D21D5C" w14:textId="7EAD9E1A" w:rsidR="006B100B" w:rsidRDefault="006B100B" w:rsidP="00EF58F5">
      <w:pPr>
        <w:numPr>
          <w:ilvl w:val="0"/>
          <w:numId w:val="12"/>
        </w:numPr>
        <w:jc w:val="both"/>
      </w:pPr>
      <w:r w:rsidRPr="006B100B">
        <w:lastRenderedPageBreak/>
        <w:t>Yamazaki, Tadashi, and Shigeru Tanaka.</w:t>
      </w:r>
      <w:r>
        <w:t xml:space="preserve"> (</w:t>
      </w:r>
      <w:r w:rsidRPr="006B100B">
        <w:t>2007</w:t>
      </w:r>
      <w:r>
        <w:t>).</w:t>
      </w:r>
      <w:r w:rsidRPr="006B100B">
        <w:t xml:space="preserve"> "The Cerebellum As a Liquid State Machine." Neural Networks, vol. 20, no. 3, pp. 290-297,  </w:t>
      </w:r>
      <w:hyperlink r:id="rId24" w:history="1">
        <w:r w:rsidRPr="00B32468">
          <w:rPr>
            <w:rStyle w:val="Hyperlink"/>
          </w:rPr>
          <w:t>https://doi.org/10.1016/j.neunet.2007.04.004</w:t>
        </w:r>
      </w:hyperlink>
      <w:r w:rsidRPr="006B100B">
        <w:t>.</w:t>
      </w:r>
      <w:r>
        <w:t xml:space="preserve"> </w:t>
      </w:r>
    </w:p>
    <w:p w14:paraId="272D24BC" w14:textId="07B893F7" w:rsidR="006B100B" w:rsidRPr="00EF58F5" w:rsidRDefault="006B100B" w:rsidP="00EF58F5">
      <w:pPr>
        <w:numPr>
          <w:ilvl w:val="0"/>
          <w:numId w:val="12"/>
        </w:numPr>
        <w:jc w:val="both"/>
      </w:pPr>
      <w:r w:rsidRPr="006B100B">
        <w:t>Baladron J, Vitay J, Fietzek T, Hamker FH (2023) Correction: The contribution of the basal ganglia and cerebellum to motor learning: A neuro-computational approach. PLOS Computational Biology 19(6): e1011243. </w:t>
      </w:r>
      <w:hyperlink r:id="rId25" w:history="1">
        <w:r w:rsidRPr="006B100B">
          <w:rPr>
            <w:rStyle w:val="Hyperlink"/>
          </w:rPr>
          <w:t>https://doi.org/10.1371/journal.pcbi.1011243</w:t>
        </w:r>
      </w:hyperlink>
    </w:p>
    <w:p w14:paraId="79670332" w14:textId="7515B9F1" w:rsidR="00EF58F5" w:rsidRDefault="00EF58F5" w:rsidP="00EF58F5">
      <w:pPr>
        <w:numPr>
          <w:ilvl w:val="0"/>
          <w:numId w:val="12"/>
        </w:numPr>
        <w:jc w:val="both"/>
      </w:pPr>
      <w:r w:rsidRPr="00EF58F5">
        <w:t xml:space="preserve">Gilbert, M., &amp; Miall, R. C. (2022). How and why the cerebellum recodes input signals. </w:t>
      </w:r>
      <w:r w:rsidRPr="00EF58F5">
        <w:rPr>
          <w:i/>
          <w:iCs/>
        </w:rPr>
        <w:t>The Neuroscientist</w:t>
      </w:r>
      <w:r w:rsidRPr="00EF58F5">
        <w:t>. (Golgi control of parallel-fibre traffic to a fixed, narrow range; random-subject-to-fixed-probability contact.)</w:t>
      </w:r>
      <w:r w:rsidR="006B100B">
        <w:t xml:space="preserve"> </w:t>
      </w:r>
      <w:r w:rsidR="006B100B" w:rsidRPr="00EF58F5">
        <w:t>Granule recoding and Golgi fixed-probability gain control</w:t>
      </w:r>
      <w:r w:rsidR="006B100B">
        <w:t xml:space="preserve">. </w:t>
      </w:r>
      <w:hyperlink r:id="rId26" w:history="1">
        <w:r w:rsidR="006B100B" w:rsidRPr="00B32468">
          <w:rPr>
            <w:rStyle w:val="Hyperlink"/>
          </w:rPr>
          <w:t>https://doi.org/10.1177/1073858420986795</w:t>
        </w:r>
      </w:hyperlink>
      <w:r w:rsidR="006B100B">
        <w:t xml:space="preserve"> </w:t>
      </w:r>
    </w:p>
    <w:p w14:paraId="42F9EA0D" w14:textId="61D4835E" w:rsidR="006B100B" w:rsidRPr="00EF58F5" w:rsidRDefault="006B100B" w:rsidP="00EF58F5">
      <w:pPr>
        <w:numPr>
          <w:ilvl w:val="0"/>
          <w:numId w:val="12"/>
        </w:numPr>
        <w:jc w:val="both"/>
      </w:pPr>
      <w:r w:rsidRPr="006B100B">
        <w:t xml:space="preserve">McDonald, Nathan. "Reservoir Computing and Extreme Learning Machines Using Pairs of Cellular Automata Rules." ArXiv, 2017,  </w:t>
      </w:r>
      <w:hyperlink r:id="rId27" w:history="1">
        <w:r w:rsidRPr="00B32468">
          <w:rPr>
            <w:rStyle w:val="Hyperlink"/>
          </w:rPr>
          <w:t>https://arxiv.org/abs/1703.05807</w:t>
        </w:r>
      </w:hyperlink>
      <w:r w:rsidRPr="006B100B">
        <w:t>.</w:t>
      </w:r>
      <w:r>
        <w:t xml:space="preserve"> </w:t>
      </w:r>
    </w:p>
    <w:p w14:paraId="7FF2943D" w14:textId="650974ED" w:rsidR="00EF58F5" w:rsidRPr="00EF58F5" w:rsidRDefault="00EF58F5" w:rsidP="00EF58F5">
      <w:pPr>
        <w:numPr>
          <w:ilvl w:val="0"/>
          <w:numId w:val="12"/>
        </w:numPr>
        <w:jc w:val="both"/>
      </w:pPr>
      <w:r w:rsidRPr="00EF58F5">
        <w:t>Reservoir computing / extreme learning machines / random features (the ML siblings of the fixed-expansion-thin-readout economy): standard (Jaeger; Maass; Huang et al.; Rahimi &amp; Recht).</w:t>
      </w:r>
    </w:p>
    <w:p w14:paraId="21735150" w14:textId="77777777" w:rsidR="00623160" w:rsidRPr="00623160" w:rsidRDefault="00623160" w:rsidP="00623160">
      <w:pPr>
        <w:pStyle w:val="Heading2"/>
      </w:pPr>
      <w:r w:rsidRPr="00623160">
        <w:t>This framework.</w:t>
      </w:r>
    </w:p>
    <w:p w14:paraId="60033810" w14:textId="74EB69CD" w:rsidR="00623160" w:rsidRPr="00623160" w:rsidRDefault="00623160" w:rsidP="00623160">
      <w:pPr>
        <w:numPr>
          <w:ilvl w:val="0"/>
          <w:numId w:val="6"/>
        </w:numPr>
        <w:jc w:val="both"/>
      </w:pPr>
      <w:r w:rsidRPr="00623160">
        <w:t xml:space="preserve">Ghosh, D. P. </w:t>
      </w:r>
      <w:r w:rsidRPr="00623160">
        <w:rPr>
          <w:i/>
          <w:iCs/>
        </w:rPr>
        <w:t>The Algorithm of the 3→6-Layer Cortex …</w:t>
      </w:r>
      <w:r w:rsidRPr="00623160">
        <w:t xml:space="preserve"> (the inner-product certification gate the cerebellum executes beneath but does not run); </w:t>
      </w:r>
      <w:r w:rsidRPr="00623160">
        <w:rPr>
          <w:i/>
          <w:iCs/>
        </w:rPr>
        <w:t>Proximity, Uniformity, and Provenance …</w:t>
      </w:r>
      <w:r w:rsidRPr="00623160">
        <w:t xml:space="preserve"> and </w:t>
      </w:r>
      <w:r w:rsidRPr="00623160">
        <w:rPr>
          <w:i/>
          <w:iCs/>
        </w:rPr>
        <w:t>From Proximity to Uniformity …</w:t>
      </w:r>
      <w:r w:rsidRPr="00623160">
        <w:t xml:space="preserve"> (the enrichment ladder and the uniform rung this paper hinges the coarse axis onto).</w:t>
      </w:r>
    </w:p>
    <w:p w14:paraId="768A9B05" w14:textId="33140DA5" w:rsidR="00623160" w:rsidRPr="00623160" w:rsidRDefault="00623160" w:rsidP="00623160">
      <w:pPr>
        <w:jc w:val="both"/>
      </w:pPr>
    </w:p>
    <w:p w14:paraId="12BBEDAC" w14:textId="77777777" w:rsidR="00DC1523" w:rsidRDefault="00DC1523" w:rsidP="00623160">
      <w:pPr>
        <w:jc w:val="both"/>
      </w:pPr>
    </w:p>
    <w:sectPr w:rsidR="00DC1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0159"/>
    <w:multiLevelType w:val="multilevel"/>
    <w:tmpl w:val="A61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27BC2"/>
    <w:multiLevelType w:val="multilevel"/>
    <w:tmpl w:val="2FF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D22FD"/>
    <w:multiLevelType w:val="multilevel"/>
    <w:tmpl w:val="0316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62ADC"/>
    <w:multiLevelType w:val="multilevel"/>
    <w:tmpl w:val="E7B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7110C"/>
    <w:multiLevelType w:val="multilevel"/>
    <w:tmpl w:val="64AC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07E7A"/>
    <w:multiLevelType w:val="multilevel"/>
    <w:tmpl w:val="AA9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F30D4"/>
    <w:multiLevelType w:val="multilevel"/>
    <w:tmpl w:val="F93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50CA0"/>
    <w:multiLevelType w:val="multilevel"/>
    <w:tmpl w:val="090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00068"/>
    <w:multiLevelType w:val="multilevel"/>
    <w:tmpl w:val="A3C4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46BDB"/>
    <w:multiLevelType w:val="multilevel"/>
    <w:tmpl w:val="FF94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D7258"/>
    <w:multiLevelType w:val="multilevel"/>
    <w:tmpl w:val="C94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E690E"/>
    <w:multiLevelType w:val="multilevel"/>
    <w:tmpl w:val="2AA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653150">
    <w:abstractNumId w:val="2"/>
  </w:num>
  <w:num w:numId="2" w16cid:durableId="1795758075">
    <w:abstractNumId w:val="0"/>
  </w:num>
  <w:num w:numId="3" w16cid:durableId="1997027366">
    <w:abstractNumId w:val="3"/>
  </w:num>
  <w:num w:numId="4" w16cid:durableId="997223635">
    <w:abstractNumId w:val="7"/>
  </w:num>
  <w:num w:numId="5" w16cid:durableId="1181241639">
    <w:abstractNumId w:val="4"/>
  </w:num>
  <w:num w:numId="6" w16cid:durableId="1855147418">
    <w:abstractNumId w:val="11"/>
  </w:num>
  <w:num w:numId="7" w16cid:durableId="528571791">
    <w:abstractNumId w:val="8"/>
  </w:num>
  <w:num w:numId="8" w16cid:durableId="1098142570">
    <w:abstractNumId w:val="6"/>
  </w:num>
  <w:num w:numId="9" w16cid:durableId="2071925960">
    <w:abstractNumId w:val="5"/>
  </w:num>
  <w:num w:numId="10" w16cid:durableId="845170649">
    <w:abstractNumId w:val="9"/>
  </w:num>
  <w:num w:numId="11" w16cid:durableId="2009676006">
    <w:abstractNumId w:val="1"/>
  </w:num>
  <w:num w:numId="12" w16cid:durableId="8264408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6C"/>
    <w:rsid w:val="0020562C"/>
    <w:rsid w:val="002C3F9C"/>
    <w:rsid w:val="0037463C"/>
    <w:rsid w:val="003970CE"/>
    <w:rsid w:val="003C70AF"/>
    <w:rsid w:val="00623160"/>
    <w:rsid w:val="006A557D"/>
    <w:rsid w:val="006B100B"/>
    <w:rsid w:val="007B6AD3"/>
    <w:rsid w:val="00863941"/>
    <w:rsid w:val="008B08B7"/>
    <w:rsid w:val="009747C0"/>
    <w:rsid w:val="0099776C"/>
    <w:rsid w:val="00997E89"/>
    <w:rsid w:val="00B438ED"/>
    <w:rsid w:val="00B62354"/>
    <w:rsid w:val="00BF5A37"/>
    <w:rsid w:val="00C24516"/>
    <w:rsid w:val="00DC1523"/>
    <w:rsid w:val="00EC2904"/>
    <w:rsid w:val="00EF58F5"/>
    <w:rsid w:val="00F008CA"/>
    <w:rsid w:val="00F14E38"/>
    <w:rsid w:val="00F4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5925"/>
  <w15:chartTrackingRefBased/>
  <w15:docId w15:val="{342D2105-8DCF-47ED-ABC1-9FEB89DC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7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3140/RG.2.2.31186.72648" TargetMode="External"/><Relationship Id="rId13" Type="http://schemas.openxmlformats.org/officeDocument/2006/relationships/hyperlink" Target="https://doi.org/10.1038/s41598-018-38264-1" TargetMode="External"/><Relationship Id="rId18" Type="http://schemas.openxmlformats.org/officeDocument/2006/relationships/hyperlink" Target="https://doi.org/10.1113/jphysiol.1969.sp008820" TargetMode="External"/><Relationship Id="rId26" Type="http://schemas.openxmlformats.org/officeDocument/2006/relationships/hyperlink" Target="https://doi.org/10.1177/107385842098679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38/s41598-018-38264-1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i.org/10.1177/1073858420986795" TargetMode="External"/><Relationship Id="rId17" Type="http://schemas.openxmlformats.org/officeDocument/2006/relationships/hyperlink" Target="https://en.wikipedia.org/wiki/Shadowing_lemma" TargetMode="External"/><Relationship Id="rId25" Type="http://schemas.openxmlformats.org/officeDocument/2006/relationships/hyperlink" Target="https://doi.org/10.1371/journal.pcbi.1011243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1602.06991" TargetMode="External"/><Relationship Id="rId20" Type="http://schemas.openxmlformats.org/officeDocument/2006/relationships/hyperlink" Target="https://doi.org/10.1016/j.neuroscience.2020.06.019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rcid.org/0000-0001-7393-2907" TargetMode="External"/><Relationship Id="rId11" Type="http://schemas.openxmlformats.org/officeDocument/2006/relationships/hyperlink" Target="https://doi.org/10.1016/j.neunet.2007.04.004" TargetMode="External"/><Relationship Id="rId24" Type="http://schemas.openxmlformats.org/officeDocument/2006/relationships/hyperlink" Target="https://doi.org/10.1016/j.neunet.2007.04.004" TargetMode="External"/><Relationship Id="rId5" Type="http://schemas.openxmlformats.org/officeDocument/2006/relationships/hyperlink" Target="mailto:debiprasadghosh@lntecc.com" TargetMode="External"/><Relationship Id="rId15" Type="http://schemas.openxmlformats.org/officeDocument/2006/relationships/hyperlink" Target="https://homepages.math.uic.edu/~rosendal/PapersWebsite/Coarse-Geometry-Book23.pdf" TargetMode="External"/><Relationship Id="rId23" Type="http://schemas.openxmlformats.org/officeDocument/2006/relationships/hyperlink" Target="https://doi.org/10.1016/s1364-6613(98)01221-2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i.org/10.1113/jp278745" TargetMode="External"/><Relationship Id="rId19" Type="http://schemas.openxmlformats.org/officeDocument/2006/relationships/hyperlink" Target="https://doi.org/10.1113/jp2787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neuroscience.2020.06.019" TargetMode="External"/><Relationship Id="rId14" Type="http://schemas.openxmlformats.org/officeDocument/2006/relationships/hyperlink" Target="https://pubs.ams.org/ebooks/ulect/031/" TargetMode="External"/><Relationship Id="rId22" Type="http://schemas.openxmlformats.org/officeDocument/2006/relationships/hyperlink" Target="https://doi.org/10.1146/annurev-neuro-091421-125115" TargetMode="External"/><Relationship Id="rId27" Type="http://schemas.openxmlformats.org/officeDocument/2006/relationships/hyperlink" Target="https://arxiv.org/abs/1703.05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3917</Words>
  <Characters>22331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Debiprasad Ghosh</dc:creator>
  <cp:keywords/>
  <dc:description/>
  <cp:lastModifiedBy>Debiprasad Ghosh</cp:lastModifiedBy>
  <cp:revision>11</cp:revision>
  <cp:lastPrinted>2026-06-12T17:45:00Z</cp:lastPrinted>
  <dcterms:created xsi:type="dcterms:W3CDTF">2026-06-12T14:23:00Z</dcterms:created>
  <dcterms:modified xsi:type="dcterms:W3CDTF">2026-06-12T17:51:00Z</dcterms:modified>
</cp:coreProperties>
</file>