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48FBF" w14:textId="77777777" w:rsidR="003C631E" w:rsidRPr="006B4CC5" w:rsidRDefault="003C631E" w:rsidP="003C631E">
      <w:pPr>
        <w:pStyle w:val="Title"/>
        <w:pBdr>
          <w:bottom w:val="single" w:sz="6" w:space="1" w:color="auto"/>
        </w:pBdr>
        <w:rPr>
          <w:rFonts w:asciiTheme="minorHAnsi" w:hAnsiTheme="minorHAnsi"/>
          <w:sz w:val="22"/>
          <w:szCs w:val="22"/>
        </w:rPr>
      </w:pPr>
      <w:r w:rsidRPr="006B4CC5">
        <w:rPr>
          <w:rFonts w:asciiTheme="minorHAnsi" w:hAnsiTheme="minorHAnsi"/>
          <w:sz w:val="22"/>
          <w:szCs w:val="22"/>
        </w:rPr>
        <w:t xml:space="preserve">Manuscript as of </w:t>
      </w:r>
      <w:r>
        <w:rPr>
          <w:rFonts w:asciiTheme="minorHAnsi" w:hAnsiTheme="minorHAnsi"/>
          <w:sz w:val="22"/>
          <w:szCs w:val="22"/>
        </w:rPr>
        <w:t>June 14</w:t>
      </w:r>
      <w:r w:rsidRPr="006B4CC5">
        <w:rPr>
          <w:rFonts w:asciiTheme="minorHAnsi" w:hAnsiTheme="minorHAnsi"/>
          <w:sz w:val="22"/>
          <w:szCs w:val="22"/>
        </w:rPr>
        <w:t>, 202</w:t>
      </w:r>
      <w:r>
        <w:rPr>
          <w:rFonts w:asciiTheme="minorHAnsi" w:hAnsiTheme="minorHAnsi"/>
          <w:sz w:val="22"/>
          <w:szCs w:val="22"/>
        </w:rPr>
        <w:t>6.</w:t>
      </w:r>
    </w:p>
    <w:p w14:paraId="29637A7A" w14:textId="77777777" w:rsidR="00E95611" w:rsidRDefault="00E95611" w:rsidP="00E95611">
      <w:pPr>
        <w:pStyle w:val="Title"/>
        <w:jc w:val="center"/>
        <w:rPr>
          <w:sz w:val="32"/>
          <w:szCs w:val="32"/>
        </w:rPr>
      </w:pPr>
      <w:r w:rsidRPr="003C631E">
        <w:rPr>
          <w:sz w:val="36"/>
          <w:szCs w:val="36"/>
        </w:rPr>
        <w:t>The Algorithm</w:t>
      </w:r>
      <w:r w:rsidRPr="00BB0D7E">
        <w:rPr>
          <w:sz w:val="28"/>
          <w:szCs w:val="28"/>
        </w:rPr>
        <w:t xml:space="preserve"> of the 3→6-Layer Cortex</w:t>
      </w:r>
      <w:r w:rsidRPr="00E95611">
        <w:rPr>
          <w:sz w:val="32"/>
          <w:szCs w:val="32"/>
        </w:rPr>
        <w:t>: Tensor-Bound Storage, Contraction Retrieval, and the Cup-Product Gate, with N3 as the Offline Tensor Lift</w:t>
      </w:r>
    </w:p>
    <w:p w14:paraId="6CCC83D3" w14:textId="77777777" w:rsidR="003C631E" w:rsidRDefault="003C631E" w:rsidP="003C631E">
      <w:pPr>
        <w:jc w:val="center"/>
      </w:pPr>
      <w:r w:rsidRPr="006B4CC5">
        <w:t xml:space="preserve">Debi Prasad Ghosh, </w:t>
      </w:r>
      <w:hyperlink r:id="rId5" w:history="1">
        <w:r w:rsidRPr="006B4CC5">
          <w:rPr>
            <w:rStyle w:val="Hyperlink"/>
          </w:rPr>
          <w:t>debiprasadghosh@lntecc.com</w:t>
        </w:r>
      </w:hyperlink>
      <w:r>
        <w:t xml:space="preserve"> </w:t>
      </w:r>
      <w:r>
        <w:rPr>
          <w:noProof/>
        </w:rPr>
        <w:drawing>
          <wp:inline distT="0" distB="0" distL="0" distR="0" wp14:anchorId="78D50F75" wp14:editId="20BF0586">
            <wp:extent cx="133067" cy="133067"/>
            <wp:effectExtent l="0" t="0" r="635" b="635"/>
            <wp:docPr id="1305915393" name="Picture 7">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915393" name="Picture 7">
                      <a:hlinkClick r:id="rId6"/>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flipH="1">
                      <a:off x="0" y="0"/>
                      <a:ext cx="142530" cy="142530"/>
                    </a:xfrm>
                    <a:prstGeom prst="rect">
                      <a:avLst/>
                    </a:prstGeom>
                    <a:noFill/>
                  </pic:spPr>
                </pic:pic>
              </a:graphicData>
            </a:graphic>
          </wp:inline>
        </w:drawing>
      </w:r>
    </w:p>
    <w:p w14:paraId="7CEA1A0E" w14:textId="77777777" w:rsidR="003C631E" w:rsidRPr="006B4CC5" w:rsidRDefault="003C631E" w:rsidP="003C631E">
      <w:pPr>
        <w:jc w:val="center"/>
      </w:pPr>
      <w:r>
        <w:t>CTO, AI &amp;</w:t>
      </w:r>
      <w:r w:rsidRPr="006B4CC5">
        <w:t xml:space="preserve"> Automation</w:t>
      </w:r>
    </w:p>
    <w:p w14:paraId="3BF67436" w14:textId="77777777" w:rsidR="003C631E" w:rsidRDefault="003C631E" w:rsidP="003C631E">
      <w:pPr>
        <w:jc w:val="center"/>
      </w:pPr>
      <w:r w:rsidRPr="00F5609C">
        <w:t>Engineering Design &amp; Research Center, Larsen &amp; Toubro Construction (M&amp;M) Kolkata, India</w:t>
      </w:r>
    </w:p>
    <w:p w14:paraId="126FA8DE" w14:textId="51A5C035" w:rsidR="00E95611" w:rsidRPr="00E95611" w:rsidRDefault="00055901" w:rsidP="003C631E">
      <w:pPr>
        <w:jc w:val="center"/>
        <w:rPr>
          <w:b/>
          <w:bCs/>
        </w:rPr>
      </w:pPr>
      <w:hyperlink r:id="rId8" w:history="1">
        <w:r w:rsidRPr="00A03C61">
          <w:rPr>
            <w:rStyle w:val="Hyperlink"/>
            <w:b/>
            <w:bCs/>
          </w:rPr>
          <w:t>https://doi.org/10.13140/RG.2.2.14232.56328</w:t>
        </w:r>
      </w:hyperlink>
      <w:r>
        <w:rPr>
          <w:b/>
          <w:bCs/>
        </w:rPr>
        <w:t xml:space="preserve"> </w:t>
      </w:r>
    </w:p>
    <w:p w14:paraId="0795DD5C" w14:textId="542237F3" w:rsidR="00E95611" w:rsidRPr="00E95611" w:rsidRDefault="00E95611" w:rsidP="00E95611">
      <w:pPr>
        <w:jc w:val="both"/>
        <w:rPr>
          <w:b/>
          <w:bCs/>
        </w:rPr>
      </w:pPr>
      <w:r w:rsidRPr="00E95611">
        <w:rPr>
          <w:b/>
          <w:bCs/>
        </w:rPr>
        <w:t>Abstract</w:t>
      </w:r>
      <w:r>
        <w:rPr>
          <w:b/>
          <w:bCs/>
        </w:rPr>
        <w:t xml:space="preserve">: </w:t>
      </w:r>
      <w:r w:rsidRPr="00E95611">
        <w:t xml:space="preserve">The neocortex must do four things to its memories at once, and the four pull against one another: store structured bindings without collapsing the assignment of fillers to roles, retrieve them without interference, refuse to compose retrieved fragments into incoherent wholes, and consolidate without fabricating. We argue that one object meets all four — the cortex at the inner-product rung of the framework's enrichment ladder, read as a tensor-product memory algebra with a cohomological safety gate. Adapting Smolensky's tensor-product variable binding and placing it at the rung the ladder specifies, a trace is stored as a sum of bound terms, </w:t>
      </w:r>
      <w:r w:rsidRPr="00727AE2">
        <w:rPr>
          <w:color w:val="00B0F0"/>
        </w:rPr>
        <w:t xml:space="preserve">content </w:t>
      </w:r>
      <w:r w:rsidRPr="00727AE2">
        <w:rPr>
          <w:rFonts w:ascii="Cambria Math" w:hAnsi="Cambria Math" w:cs="Cambria Math"/>
          <w:color w:val="00B0F0"/>
        </w:rPr>
        <w:t>⊗</w:t>
      </w:r>
      <w:r w:rsidRPr="00727AE2">
        <w:rPr>
          <w:color w:val="00B0F0"/>
        </w:rPr>
        <w:t xml:space="preserve"> role </w:t>
      </w:r>
      <w:r w:rsidRPr="00727AE2">
        <w:rPr>
          <w:rFonts w:ascii="Cambria Math" w:hAnsi="Cambria Math" w:cs="Cambria Math"/>
          <w:color w:val="00B0F0"/>
        </w:rPr>
        <w:t>⊗</w:t>
      </w:r>
      <w:r w:rsidRPr="00727AE2">
        <w:rPr>
          <w:color w:val="00B0F0"/>
        </w:rPr>
        <w:t xml:space="preserve"> context </w:t>
      </w:r>
      <w:r w:rsidRPr="00727AE2">
        <w:rPr>
          <w:rFonts w:ascii="Cambria Math" w:hAnsi="Cambria Math" w:cs="Cambria Math"/>
          <w:color w:val="00B0F0"/>
        </w:rPr>
        <w:t>⊗</w:t>
      </w:r>
      <w:r w:rsidRPr="00727AE2">
        <w:rPr>
          <w:color w:val="00B0F0"/>
        </w:rPr>
        <w:t xml:space="preserve"> time</w:t>
      </w:r>
      <w:r w:rsidRPr="00E95611">
        <w:t xml:space="preserve">, and retrieved by inner-product contraction against a role or context key; contraction is the first-class unbinding operation the framework had posited but left unspecified, and it returns bound content cleanly only when the role basis is orthogonal. We extend the framework's obstruction gate from first to second order: where two bindings each cohere individually yet fail jointly — the compound failure characteristic of multimodal systems — the cup product of their marginal obstructions yields a class in H²(X, A </w:t>
      </w:r>
      <w:r w:rsidRPr="00E95611">
        <w:rPr>
          <w:rFonts w:ascii="Cambria Math" w:hAnsi="Cambria Math" w:cs="Cambria Math"/>
        </w:rPr>
        <w:t>⊗</w:t>
      </w:r>
      <w:r w:rsidRPr="00E95611">
        <w:t xml:space="preserve"> B), and the gate withholds when that class is non-trivial. The criterion is class-nontriviality and not magnitude, because the cup product is submultiplicative and a magnitude criterion would predict that small marginals yield a smaller compound, the reverse of detection; the trigger is the framework's existing precision parameter </w:t>
      </w:r>
      <w:r w:rsidRPr="00E95611">
        <w:rPr>
          <w:rFonts w:ascii="Calibri" w:hAnsi="Calibri" w:cs="Calibri"/>
        </w:rPr>
        <w:t>ε</w:t>
      </w:r>
      <w:r w:rsidRPr="00E95611">
        <w:t>(Π) applied to the second-order class, introducing no new threshold; and the second-order gate is shown to be necessary, and not merely sufficient, by the bilinearity that makes a compound failure vanish if either marginal is removed. The keystone connects the construction to the rest of the framework: the orthogonal basis that clean contraction requires is built not in waking but offline, by the N3 lift established in Paper 1, whose Hahn–Banach norm-preservation is the guarantee against fabricated bindings — so that waking uses the algebra and sleep builds it, and the necessity of sleep reappears here as the necessity of keeping a memory algebra contractible. The account is testable, most decisively, by whether compound failures scale with the product of their factors rather than their sum — refuted by additive scaling, which would demote the cup product to an emblem — and by whether the loss of N3 degrades retrieval in a typed, interference-laden way, as role and context intrusions, rather than as general forgetting. A laminar and developmental reading of the cortical substrate, including progressive myelination as the developmental freezing of the base, is offered at a supported tier and adds nothing the load-bearing case requires. The construction sharpens the framework's standing cover-definition debt — the cup product requires that two modalities' covers be brought into register as one common base — and incurs a new one, since deciding the triviality of a second-order class is harder than comparing a norm to a threshold; and it leaves operator-algebraic and Fock-space language quarantined, since a tensor-product algebra is necessary but not sufficient for Fock structure. Throughout, the claims are structural isomorphisms and not identities.</w:t>
      </w:r>
    </w:p>
    <w:p w14:paraId="1B59C17B" w14:textId="77777777" w:rsidR="00E95611" w:rsidRPr="00E95611" w:rsidRDefault="00E95611" w:rsidP="00E95611">
      <w:pPr>
        <w:jc w:val="both"/>
      </w:pPr>
      <w:r w:rsidRPr="00E95611">
        <w:rPr>
          <w:b/>
          <w:bCs/>
        </w:rPr>
        <w:t>Keywords:</w:t>
      </w:r>
      <w:r w:rsidRPr="00E95611">
        <w:t xml:space="preserve"> tensor-product representation; variable binding; inner-product contraction; cup product; cohomological gate; sheaf cohomology; N3 sleep; memory consolidation; defensible intelligence.</w:t>
      </w:r>
    </w:p>
    <w:p w14:paraId="5D6041DB" w14:textId="77777777" w:rsidR="00E95611" w:rsidRPr="00E95611" w:rsidRDefault="00E95611" w:rsidP="006811F6">
      <w:pPr>
        <w:pStyle w:val="Heading1"/>
      </w:pPr>
      <w:r w:rsidRPr="00E95611">
        <w:lastRenderedPageBreak/>
        <w:t>1. Introduction</w:t>
      </w:r>
    </w:p>
    <w:p w14:paraId="50CB54E9" w14:textId="77777777" w:rsidR="00E95611" w:rsidRPr="00E95611" w:rsidRDefault="00E95611" w:rsidP="00E95611">
      <w:pPr>
        <w:jc w:val="both"/>
        <w:rPr>
          <w:b/>
          <w:bCs/>
        </w:rPr>
      </w:pPr>
      <w:r w:rsidRPr="00E95611">
        <w:rPr>
          <w:b/>
          <w:bCs/>
        </w:rPr>
        <w:t>1.1 The problem</w:t>
      </w:r>
    </w:p>
    <w:p w14:paraId="23854D22" w14:textId="77777777" w:rsidR="00E95611" w:rsidRPr="00E95611" w:rsidRDefault="00E95611" w:rsidP="00E95611">
      <w:pPr>
        <w:jc w:val="both"/>
      </w:pPr>
      <w:r w:rsidRPr="00E95611">
        <w:t xml:space="preserve">The neocortex must do four things to its memories at once, and the four pull against one another. It must </w:t>
      </w:r>
      <w:r w:rsidRPr="00E95611">
        <w:rPr>
          <w:b/>
          <w:bCs/>
        </w:rPr>
        <w:t>store structure</w:t>
      </w:r>
      <w:r w:rsidRPr="00E95611">
        <w:t xml:space="preserve"> — not merely that a cup and a table and the colour red were present, but that the red filled the colour role and the cup the object role, a binding that a simple superposition of features destroys. It must </w:t>
      </w:r>
      <w:r w:rsidRPr="00E95611">
        <w:rPr>
          <w:b/>
          <w:bCs/>
        </w:rPr>
        <w:t>retrieve cleanly</w:t>
      </w:r>
      <w:r w:rsidRPr="00E95611">
        <w:t xml:space="preserve"> — recover what filled a given role without dragging in everything stored alongside it, which a distributed associative memory does only when its contents do not interfere. It must </w:t>
      </w:r>
      <w:r w:rsidRPr="00E95611">
        <w:rPr>
          <w:b/>
          <w:bCs/>
        </w:rPr>
        <w:t>refuse incoherent compositions</w:t>
      </w:r>
      <w:r w:rsidRPr="00E95611">
        <w:t xml:space="preserve"> — decline to bind retrieved fragments into a whole that cannot hold together, rather than confabulating one. And it must </w:t>
      </w:r>
      <w:r w:rsidRPr="00E95611">
        <w:rPr>
          <w:b/>
          <w:bCs/>
        </w:rPr>
        <w:t>not fabricate</w:t>
      </w:r>
      <w:r w:rsidRPr="00E95611">
        <w:t xml:space="preserve"> — reorganise and consolidate what it has learned without inventing memories that were never laid down. Clean retrieval wants decorrelated contents; structured storage wants those contents bound; safety wants a gate that can refuse; integrity wants a guarantee against invention. A substrate that meets any one of these can fail the others.</w:t>
      </w:r>
    </w:p>
    <w:p w14:paraId="4BECC6B3" w14:textId="77777777" w:rsidR="00E95611" w:rsidRPr="00E95611" w:rsidRDefault="00E95611" w:rsidP="00E95611">
      <w:pPr>
        <w:jc w:val="both"/>
      </w:pPr>
      <w:r w:rsidRPr="00E95611">
        <w:t xml:space="preserve">This paper argues that one object meets all four, and that it is the object the framework's earlier volumes already implied. The neocortex at the inner-product rung of the enrichment ladder is a </w:t>
      </w:r>
      <w:r w:rsidRPr="00E95611">
        <w:rPr>
          <w:b/>
          <w:bCs/>
        </w:rPr>
        <w:t>tensor-product memory algebra with a cohomological safety gate</w:t>
      </w:r>
      <w:r w:rsidRPr="00E95611">
        <w:t xml:space="preserve">: it stores experience as tensor-bound local sections, retrieves them by inner-product contraction, and gates the composition of retrieved fragments by the obstruction test that decides whether they may be glued. The four demands are met by the four faces of this single algebra — tensor binding stores structure, contraction retrieves it cleanly, the obstruction gate refuses incoherent compositions, and a norm-preserving offline operation reorganises without fabricating. The deepest of these claims, and the one that makes this the next paper in the framework rather than an addition to it, concerns the last: the operation that </w:t>
      </w:r>
      <w:r w:rsidRPr="00E95611">
        <w:rPr>
          <w:i/>
          <w:iCs/>
        </w:rPr>
        <w:t>builds</w:t>
      </w:r>
      <w:r w:rsidRPr="00E95611">
        <w:t xml:space="preserve"> the clean, contractible algebra is not a waking process but the </w:t>
      </w:r>
      <w:r w:rsidRPr="00E95611">
        <w:rPr>
          <w:b/>
          <w:bCs/>
        </w:rPr>
        <w:t>N3 offline lift</w:t>
      </w:r>
      <w:r w:rsidRPr="00E95611">
        <w:t xml:space="preserve"> established in Paper 1. Waking </w:t>
      </w:r>
      <w:r w:rsidRPr="00E95611">
        <w:rPr>
          <w:i/>
          <w:iCs/>
        </w:rPr>
        <w:t>uses</w:t>
      </w:r>
      <w:r w:rsidRPr="00E95611">
        <w:t xml:space="preserve"> the algebra — it writes content, retrieves by contraction, and gates compositions — and necessarily accumulates interference it has no budget to clear; sleep </w:t>
      </w:r>
      <w:r w:rsidRPr="00E95611">
        <w:rPr>
          <w:i/>
          <w:iCs/>
        </w:rPr>
        <w:t>constructs and maintains</w:t>
      </w:r>
      <w:r w:rsidRPr="00E95611">
        <w:t xml:space="preserve"> the algebra, performing offline the lift that orthogonalises what waking entangled. The cortex's read-side and its write-side maintenance are two operations on one structure, and the write-side is the lift the framework already had.</w:t>
      </w:r>
    </w:p>
    <w:p w14:paraId="558FA774" w14:textId="77777777" w:rsidR="00E95611" w:rsidRPr="00E95611" w:rsidRDefault="00E95611" w:rsidP="00E95611">
      <w:pPr>
        <w:jc w:val="both"/>
        <w:rPr>
          <w:b/>
          <w:bCs/>
        </w:rPr>
      </w:pPr>
      <w:r w:rsidRPr="00E95611">
        <w:rPr>
          <w:b/>
          <w:bCs/>
        </w:rPr>
        <w:t>1.2 The framework and what this paper adds</w:t>
      </w:r>
    </w:p>
    <w:p w14:paraId="0317F299" w14:textId="77777777" w:rsidR="00E95611" w:rsidRPr="00E95611" w:rsidRDefault="00E95611" w:rsidP="00E95611">
      <w:pPr>
        <w:jc w:val="both"/>
      </w:pPr>
      <w:r w:rsidRPr="00E95611">
        <w:t xml:space="preserve">The framework's earlier work supplies the pieces this paper assembles. The enrichment ladder placed the most abstract, orthogonalised representations at the inner-product rung; binding was characterised as the gluing of local sections with a cohomological obstruction, and a companion addendum made that obstruction an explicit architectural operation — the Cohomological Attention Block — that binds, deliberates, or withholds according to a first-order (H¹) coherence test at a chemically-set tolerance. Paper 1 established the offline lift up the ladder, performed in N3 sleep by the polarisation identity and guaranteed against fabrication by Hahn–Banach norm-preservation. Paper 3 divided cognition into an online regime that corrects the model against the world and an offline regime that repairs it against itself. And the gluing discipline required a first-class </w:t>
      </w:r>
      <w:r w:rsidRPr="00E95611">
        <w:rPr>
          <w:i/>
          <w:iCs/>
        </w:rPr>
        <w:t>unglue</w:t>
      </w:r>
      <w:r w:rsidRPr="00E95611">
        <w:t xml:space="preserve"> operation — the counterpart to binding, needed because over-coupling is a characteristic failure — but left its mechanism unspecified.</w:t>
      </w:r>
    </w:p>
    <w:p w14:paraId="48C288CF" w14:textId="77777777" w:rsidR="00E95611" w:rsidRPr="00E95611" w:rsidRDefault="00E95611" w:rsidP="00E95611">
      <w:pPr>
        <w:jc w:val="both"/>
      </w:pPr>
      <w:r w:rsidRPr="00E95611">
        <w:t xml:space="preserve">This paper adds three things to that structure, and each is an identification rather than an invention. </w:t>
      </w:r>
      <w:r w:rsidRPr="006811F6">
        <w:rPr>
          <w:color w:val="00B0F0"/>
        </w:rPr>
        <w:t>First</w:t>
      </w:r>
      <w:r w:rsidRPr="00E95611">
        <w:t xml:space="preserve">, it supplies the </w:t>
      </w:r>
      <w:r w:rsidRPr="00E95611">
        <w:rPr>
          <w:b/>
          <w:bCs/>
        </w:rPr>
        <w:t>mechanism of storage and unbinding</w:t>
      </w:r>
      <w:r w:rsidRPr="00E95611">
        <w:t xml:space="preserve"> the framework was missing: the cortex stores by tensor-product binding and retrieves by contraction, and contraction </w:t>
      </w:r>
      <w:r w:rsidRPr="00E95611">
        <w:rPr>
          <w:i/>
          <w:iCs/>
        </w:rPr>
        <w:t>is</w:t>
      </w:r>
      <w:r w:rsidRPr="00E95611">
        <w:t xml:space="preserve"> the first-class unglue — unbinding is the inner-product adjoint of the outer product that bound the trace, not a separate </w:t>
      </w:r>
      <w:r w:rsidRPr="00E95611">
        <w:lastRenderedPageBreak/>
        <w:t xml:space="preserve">machinery. The tensor-product formalism here is Smolensky's (1990); the framework's contribution is to place it at the inner-product rung and to gate it. </w:t>
      </w:r>
      <w:r w:rsidRPr="006811F6">
        <w:rPr>
          <w:color w:val="00B0F0"/>
        </w:rPr>
        <w:t>Second</w:t>
      </w:r>
      <w:r w:rsidRPr="00E95611">
        <w:t xml:space="preserve">, it </w:t>
      </w:r>
      <w:r w:rsidRPr="00E95611">
        <w:rPr>
          <w:b/>
          <w:bCs/>
        </w:rPr>
        <w:t>extends the gate to second order</w:t>
      </w:r>
      <w:r w:rsidRPr="00E95611">
        <w:t xml:space="preserve">. The first-order CAB is structurally blind to compound failures — cases where two bindings each cohere individually yet cannot cohere jointly — and this is exactly the failure multimodal systems exhibit. The cup product of two marginal obstructions detects it: a nontrivial class in H² that no first-order test can see, because the compound is not a function of the marginals' magnitudes. </w:t>
      </w:r>
      <w:r w:rsidRPr="006811F6">
        <w:rPr>
          <w:color w:val="00B0F0"/>
        </w:rPr>
        <w:t>Third</w:t>
      </w:r>
      <w:r w:rsidRPr="00E95611">
        <w:t xml:space="preserve">, and as the keystone, it </w:t>
      </w:r>
      <w:r w:rsidRPr="00E95611">
        <w:rPr>
          <w:b/>
          <w:bCs/>
        </w:rPr>
        <w:t>identifies the N3 lift as the constructor of the tensor store</w:t>
      </w:r>
      <w:r w:rsidRPr="00E95611">
        <w:t xml:space="preserve"> — showing that clean contraction requires an orthogonalised basis, that orthogonalisation is the inner-product lift of Paper 1, that the lift must be offline by Paper 3's irreducibility argument, and that its norm-preservation is the framework's guarantee against sleep-generated false memory. The progressive, chronological stabilisation of cortex by maturation then appears, at the supported tier, as the developmental construction of the same stable base the gate and the lift require.</w:t>
      </w:r>
    </w:p>
    <w:p w14:paraId="6A075400" w14:textId="77777777" w:rsidR="00E95611" w:rsidRPr="00E95611" w:rsidRDefault="00E95611" w:rsidP="00E95611">
      <w:pPr>
        <w:jc w:val="both"/>
        <w:rPr>
          <w:b/>
          <w:bCs/>
        </w:rPr>
      </w:pPr>
      <w:r w:rsidRPr="00E95611">
        <w:rPr>
          <w:b/>
          <w:bCs/>
        </w:rPr>
        <w:t>1.3 Method, tiers, and discipline</w:t>
      </w:r>
    </w:p>
    <w:p w14:paraId="362E7CEF" w14:textId="6D1D970F" w:rsidR="00E95611" w:rsidRPr="00E95611" w:rsidRDefault="00E95611" w:rsidP="00E95611">
      <w:pPr>
        <w:jc w:val="both"/>
      </w:pPr>
      <w:r w:rsidRPr="00E95611">
        <w:t>The paper keeps the framework's tiering. The load-bearing tier is §2–</w:t>
      </w:r>
      <w:r w:rsidR="006811F6" w:rsidRPr="00E95611">
        <w:t>§</w:t>
      </w:r>
      <w:r w:rsidRPr="00E95611">
        <w:t>4: the tensor algebra and contraction retrieval, the second-order cup-product gate, and the N3-lift connection. These rest on linear algebra, on an established binding formalism, and on results already in the series, and depend on no claim about the brain. The supported tier is §5: the reading of cortical layers as the algebra's registers and of progressive myelination as the developmental freezing of the base. It is offered as plausibility and adds nothing to the load-bearing case.</w:t>
      </w:r>
    </w:p>
    <w:p w14:paraId="307BBD1C" w14:textId="77777777" w:rsidR="00E95611" w:rsidRPr="00E95611" w:rsidRDefault="00E95611" w:rsidP="00E95611">
      <w:pPr>
        <w:jc w:val="both"/>
      </w:pPr>
      <w:r w:rsidRPr="00E95611">
        <w:t xml:space="preserve">Three points of discipline govern the load-bearing tier and are stated here because they are where the argument is most exposed. The gate's trigger is the framework's existing precision parameter ε(Π) applied to the second-order class — no new threshold is introduced — and its criterion is the </w:t>
      </w:r>
      <w:r w:rsidRPr="00E95611">
        <w:rPr>
          <w:b/>
          <w:bCs/>
        </w:rPr>
        <w:t>nontriviality of the cohomology class, not the magnitude of a representative</w:t>
      </w:r>
      <w:r w:rsidRPr="00E95611">
        <w:t xml:space="preserve">: a magnitude criterion would, by the submultiplicativity of the cup product, predict that small marginals yield a smaller compound, which is the reverse of detection, so the class reading is forced rather than chosen. The cup-product extension also incurs two debts, both named rather than hidden. It sharpens the framework's standing </w:t>
      </w:r>
      <w:r w:rsidRPr="00E95611">
        <w:rPr>
          <w:b/>
          <w:bCs/>
        </w:rPr>
        <w:t>cover-definition debt</w:t>
      </w:r>
      <w:r w:rsidRPr="00E95611">
        <w:t xml:space="preserve"> — the cup product requires that two modalities' covers have been brought into register as one common base, which is available only on already-lifted top-rung representations and is unsolved for learned systems in general — and it incurs a new </w:t>
      </w:r>
      <w:r w:rsidRPr="00E95611">
        <w:rPr>
          <w:b/>
          <w:bCs/>
        </w:rPr>
        <w:t>decidability debt</w:t>
      </w:r>
      <w:r w:rsidRPr="00E95611">
        <w:t xml:space="preserve">, since deciding whether a class is trivial is strictly harder than comparing a norm to a threshold, and how to do it in a working network is open. Finally, the connection to operator-algebraic and Fock-space machinery remains at the interpretive horizon: a tensor-product memory algebra is necessary but not sufficient for Fock structure, which additionally requires definite exchange symmetry and the canonical relations, and the present construction is therefore </w:t>
      </w:r>
      <w:r w:rsidRPr="00E95611">
        <w:rPr>
          <w:i/>
          <w:iCs/>
        </w:rPr>
        <w:t>progress toward</w:t>
      </w:r>
      <w:r w:rsidRPr="00E95611">
        <w:t xml:space="preserve"> those licensing conditions, not a grant of them. As throughout the framework, the claims are structural isomorphisms and not identities: the cortex is read as </w:t>
      </w:r>
      <w:r w:rsidRPr="00E95611">
        <w:rPr>
          <w:i/>
          <w:iCs/>
        </w:rPr>
        <w:t>having the structure of</w:t>
      </w:r>
      <w:r w:rsidRPr="00E95611">
        <w:t xml:space="preserve"> a gated tensor algebra, not as literally being one.</w:t>
      </w:r>
    </w:p>
    <w:p w14:paraId="16129E4F" w14:textId="77777777" w:rsidR="00E95611" w:rsidRPr="00E95611" w:rsidRDefault="00E95611" w:rsidP="00E95611">
      <w:pPr>
        <w:jc w:val="both"/>
        <w:rPr>
          <w:b/>
          <w:bCs/>
        </w:rPr>
      </w:pPr>
      <w:r w:rsidRPr="00E95611">
        <w:rPr>
          <w:b/>
          <w:bCs/>
        </w:rPr>
        <w:t>1.4 Plan of the paper</w:t>
      </w:r>
    </w:p>
    <w:p w14:paraId="63500CF2" w14:textId="77777777" w:rsidR="00E95611" w:rsidRPr="00E95611" w:rsidRDefault="00E95611" w:rsidP="00E95611">
      <w:pPr>
        <w:jc w:val="both"/>
      </w:pPr>
      <w:r w:rsidRPr="00E95611">
        <w:t xml:space="preserve">Section 2 establishes the tensor-product memory algebra: why a flat vector cannot store structure, how tensor binding stores it, how contraction retrieves it, and why contraction is the first-class unglue — with the orthogonality precondition that clean retrieval requires, stated and deferred. Section 3 develops the cup-product gate: the first-order gate's structural blind spot, the second-order cup-product criterion stated in terms of class-nontriviality, the bilinear construction that proves the second-order gate necessary and not merely sufficient, the pairing, the cover, and the two debts the extension incurs, and the tolerance ε(Π) as one parameter under layered control, the gate's coupling </w:t>
      </w:r>
      <w:r w:rsidRPr="00E95611">
        <w:lastRenderedPageBreak/>
        <w:t>to Paper 2. Section 4 is the keystone: N3 as the offline tensor lift, discharging §2's orthogonality precondition by identifying the lift that builds the decorrelated basis, with Hahn–Banach norm-preservation as the no-fabrication guarantee and the two offline regimes building the structured and affective factors respectively. Section 5 gives the supported-tier reading of the cortical substrate: the laminar routing of the algebra, the single-circuit pyramidal hardware that integrates-and-gates, and developmental myelination as the freezing of the base. Section 6 states the predictions, led by the two the construction makes decisive — the cross-talk signature of N3 disruption and the product-not-sum fingerprint of the cup-product gate. Section 7 states the scope and the standing commitments on which the account rests.</w:t>
      </w:r>
    </w:p>
    <w:p w14:paraId="110D8E5D" w14:textId="77777777" w:rsidR="00E95611" w:rsidRPr="00E95611" w:rsidRDefault="00E95611" w:rsidP="001218D7">
      <w:pPr>
        <w:pStyle w:val="Heading1"/>
      </w:pPr>
      <w:r w:rsidRPr="00E95611">
        <w:t>2. Tensor-Bound Storage and Contraction Retrieval</w:t>
      </w:r>
    </w:p>
    <w:p w14:paraId="501B2F38" w14:textId="77777777" w:rsidR="00E95611" w:rsidRPr="00E95611" w:rsidRDefault="00E95611" w:rsidP="00E95611">
      <w:pPr>
        <w:jc w:val="both"/>
      </w:pPr>
      <w:r w:rsidRPr="00E95611">
        <w:t>This section establishes the object the rest of the paper operates on: the neocortex at the inner-product rung as a tensor-product memory algebra. The claim is load-bearing and rests on linear algebra and an established formalism, not on the laminar interpretation of §5. We state the binding problem the algebra solves (§2.1), the storage operation (§2.2), the retrieval operation and the precondition it imposes (§2.3), and the identification of that retrieval with the framework's first-class unbinding (§2.4).</w:t>
      </w:r>
    </w:p>
    <w:p w14:paraId="3DEF6258" w14:textId="77777777" w:rsidR="00E95611" w:rsidRPr="00E95611" w:rsidRDefault="00E95611" w:rsidP="00E95611">
      <w:pPr>
        <w:jc w:val="both"/>
        <w:rPr>
          <w:b/>
          <w:bCs/>
        </w:rPr>
      </w:pPr>
      <w:r w:rsidRPr="00E95611">
        <w:rPr>
          <w:b/>
          <w:bCs/>
        </w:rPr>
        <w:t>2.1 The binding problem and why a flat vector fails [LB]</w:t>
      </w:r>
    </w:p>
    <w:p w14:paraId="239C8C22" w14:textId="77777777" w:rsidR="00E95611" w:rsidRPr="00E95611" w:rsidRDefault="00E95611" w:rsidP="00E95611">
      <w:pPr>
        <w:jc w:val="both"/>
      </w:pPr>
      <w:r w:rsidRPr="00E95611">
        <w:t xml:space="preserve">A representation that must store </w:t>
      </w:r>
      <w:r w:rsidRPr="00E95611">
        <w:rPr>
          <w:i/>
          <w:iCs/>
        </w:rPr>
        <w:t>what</w:t>
      </w:r>
      <w:r w:rsidRPr="00E95611">
        <w:t xml:space="preserve"> together with </w:t>
      </w:r>
      <w:r w:rsidRPr="00E95611">
        <w:rPr>
          <w:i/>
          <w:iCs/>
        </w:rPr>
        <w:t>where</w:t>
      </w:r>
      <w:r w:rsidRPr="00E95611">
        <w:t xml:space="preserve">, </w:t>
      </w:r>
      <w:r w:rsidRPr="00E95611">
        <w:rPr>
          <w:i/>
          <w:iCs/>
        </w:rPr>
        <w:t>when</w:t>
      </w:r>
      <w:r w:rsidRPr="00E95611">
        <w:t xml:space="preserve">, </w:t>
      </w:r>
      <w:r w:rsidRPr="00E95611">
        <w:rPr>
          <w:i/>
          <w:iCs/>
        </w:rPr>
        <w:t>which role</w:t>
      </w:r>
      <w:r w:rsidRPr="00E95611">
        <w:t xml:space="preserve">, and </w:t>
      </w:r>
      <w:r w:rsidRPr="00E95611">
        <w:rPr>
          <w:i/>
          <w:iCs/>
        </w:rPr>
        <w:t>in what context</w:t>
      </w:r>
      <w:r w:rsidRPr="00E95611">
        <w:t xml:space="preserve"> faces a constraint that a single undifferentiated vector cannot meet. Suppose the system encodes "red cup on the table" by superposing — adding — vectors for red, cup, and table. The sum retains the features but loses their assignment: it no longer records that </w:t>
      </w:r>
      <w:r w:rsidRPr="00E95611">
        <w:rPr>
          <w:i/>
          <w:iCs/>
        </w:rPr>
        <w:t>red</w:t>
      </w:r>
      <w:r w:rsidRPr="00E95611">
        <w:t xml:space="preserve"> filled the colour role and </w:t>
      </w:r>
      <w:r w:rsidRPr="00E95611">
        <w:rPr>
          <w:i/>
          <w:iCs/>
        </w:rPr>
        <w:t>cup</w:t>
      </w:r>
      <w:r w:rsidRPr="00E95611">
        <w:t xml:space="preserve"> the object role rather than the reverse, and it cannot distinguish "red cup on a brown table" from "brown cup on a red table." Superposition binds the </w:t>
      </w:r>
      <w:r w:rsidRPr="00E95611">
        <w:rPr>
          <w:i/>
          <w:iCs/>
        </w:rPr>
        <w:t>presence</w:t>
      </w:r>
      <w:r w:rsidRPr="00E95611">
        <w:t xml:space="preserve"> of features at the cost of their </w:t>
      </w:r>
      <w:r w:rsidRPr="00E95611">
        <w:rPr>
          <w:i/>
          <w:iCs/>
        </w:rPr>
        <w:t>structure</w:t>
      </w:r>
      <w:r w:rsidRPr="00E95611">
        <w:t>. This is the binding problem in its representational form, and it is the reason a memory cannot be a flat vector: the factors that make a memory usable — what is bound to which role — are exactly the factors that addition destroys.</w:t>
      </w:r>
    </w:p>
    <w:p w14:paraId="47B8B6BD" w14:textId="77777777" w:rsidR="00E95611" w:rsidRPr="00E95611" w:rsidRDefault="00E95611" w:rsidP="00E95611">
      <w:pPr>
        <w:jc w:val="both"/>
      </w:pPr>
      <w:r w:rsidRPr="00E95611">
        <w:t xml:space="preserve">The operation that binds without collapsing is the tensor product, and the framework adopts here the tensor-product representation introduced by Smolensky (1990), in which a value is bound to a role by their outer product content </w:t>
      </w:r>
      <w:r w:rsidRPr="00E95611">
        <w:rPr>
          <w:rFonts w:ascii="Cambria Math" w:hAnsi="Cambria Math" w:cs="Cambria Math"/>
        </w:rPr>
        <w:t>⊗</w:t>
      </w:r>
      <w:r w:rsidRPr="00E95611">
        <w:t xml:space="preserve"> role and multiple bindings are superposed by summing the resulting tensors. The outer product preserves the assignment that addition loses: red </w:t>
      </w:r>
      <w:r w:rsidRPr="00E95611">
        <w:rPr>
          <w:rFonts w:ascii="Cambria Math" w:hAnsi="Cambria Math" w:cs="Cambria Math"/>
        </w:rPr>
        <w:t>⊗</w:t>
      </w:r>
      <w:r w:rsidRPr="00E95611">
        <w:t xml:space="preserve"> colour-role is a distinct object from red </w:t>
      </w:r>
      <w:r w:rsidRPr="00E95611">
        <w:rPr>
          <w:rFonts w:ascii="Cambria Math" w:hAnsi="Cambria Math" w:cs="Cambria Math"/>
        </w:rPr>
        <w:t>⊗</w:t>
      </w:r>
      <w:r w:rsidRPr="00E95611">
        <w:t xml:space="preserve"> object-role, so the structure of the binding survives. The framework's contribution is not the formalism — that is Smolensky's — but its placement: the tensor-product memory algebra is what the cortex looks like </w:t>
      </w:r>
      <w:r w:rsidRPr="00E95611">
        <w:rPr>
          <w:i/>
          <w:iCs/>
        </w:rPr>
        <w:t>at the inner-product rung</w:t>
      </w:r>
      <w:r w:rsidRPr="00E95611">
        <w:t xml:space="preserve"> of the enrichment ladder, and it is guarded by the obstruction gate of §3 and built by the offline lift of §4. The choice of the tensor product over compressive binding schemes — circular convolution and the holographic representations that compress a binding back into a vector of the original size — is deliberate and on-architecture: compression is lossy and returns noisy approximations on retrieval, whereas the framework requires bindings to be recoverable cleanly and, more importantly, requires their discrepancies to remain </w:t>
      </w:r>
      <w:r w:rsidRPr="00E95611">
        <w:rPr>
          <w:i/>
          <w:iCs/>
        </w:rPr>
        <w:t>visible</w:t>
      </w:r>
      <w:r w:rsidRPr="00E95611">
        <w:t xml:space="preserve"> to the obstruction gate. A binding compressed into a single vector has, in the terms of the companion addendum, hidden its overlaps; the uncompressed tensor product keeps them exposed, which is what makes the gate possible at all.</w:t>
      </w:r>
    </w:p>
    <w:p w14:paraId="144747F4" w14:textId="77777777" w:rsidR="00E95611" w:rsidRPr="00E95611" w:rsidRDefault="00E95611" w:rsidP="00E95611">
      <w:pPr>
        <w:jc w:val="both"/>
        <w:rPr>
          <w:b/>
          <w:bCs/>
        </w:rPr>
      </w:pPr>
      <w:r w:rsidRPr="00E95611">
        <w:rPr>
          <w:b/>
          <w:bCs/>
        </w:rPr>
        <w:t>2.2 The memory trace as a sum of bound terms [LB]</w:t>
      </w:r>
    </w:p>
    <w:p w14:paraId="0DA02693" w14:textId="77777777" w:rsidR="00E95611" w:rsidRPr="00E95611" w:rsidRDefault="00E95611" w:rsidP="00E95611">
      <w:pPr>
        <w:jc w:val="both"/>
      </w:pPr>
      <w:r w:rsidRPr="00E95611">
        <w:t>A memory trace is then a sum of tensor-bound terms, one factor per structural dimension the trace must keep separable:</w:t>
      </w:r>
    </w:p>
    <w:p w14:paraId="53F47B17" w14:textId="77777777" w:rsidR="00E95611" w:rsidRPr="00E95611" w:rsidRDefault="00E95611" w:rsidP="001218D7">
      <w:pPr>
        <w:jc w:val="center"/>
      </w:pPr>
      <w:r w:rsidRPr="00E95611">
        <w:lastRenderedPageBreak/>
        <w:t xml:space="preserve">T = Σ_k content_k </w:t>
      </w:r>
      <w:r w:rsidRPr="00E95611">
        <w:rPr>
          <w:rFonts w:ascii="Cambria Math" w:hAnsi="Cambria Math" w:cs="Cambria Math"/>
        </w:rPr>
        <w:t>⊗</w:t>
      </w:r>
      <w:r w:rsidRPr="00E95611">
        <w:t xml:space="preserve"> role_k </w:t>
      </w:r>
      <w:r w:rsidRPr="00E95611">
        <w:rPr>
          <w:rFonts w:ascii="Cambria Math" w:hAnsi="Cambria Math" w:cs="Cambria Math"/>
        </w:rPr>
        <w:t>⊗</w:t>
      </w:r>
      <w:r w:rsidRPr="00E95611">
        <w:t xml:space="preserve"> context_k </w:t>
      </w:r>
      <w:r w:rsidRPr="00E95611">
        <w:rPr>
          <w:rFonts w:ascii="Cambria Math" w:hAnsi="Cambria Math" w:cs="Cambria Math"/>
        </w:rPr>
        <w:t>⊗</w:t>
      </w:r>
      <w:r w:rsidRPr="00E95611">
        <w:t xml:space="preserve"> time_k.</w:t>
      </w:r>
    </w:p>
    <w:p w14:paraId="65230934" w14:textId="77777777" w:rsidR="00E95611" w:rsidRPr="00E95611" w:rsidRDefault="00E95611" w:rsidP="00E95611">
      <w:pPr>
        <w:jc w:val="both"/>
      </w:pPr>
      <w:r w:rsidRPr="00E95611">
        <w:t>"A red cup on the table yesterday" is stored not as one vector but as a structured tensor in which red is bound to the colour role, cup to the object role, table to the support role, and the episode to its temporal and contextual indices, each binding a distinct term in the sum. The factorisation is the point: the trace records, recoverably, which content filled which role in which context at which time, and it does so in a single distributed object rather than a list of slots. Two episodes that share content but differ in structure — the cup on the table yesterday versus the cup in the cupboard today — are different tensors, distinguishable by contraction against the differing factors, where a superposition of their features would have conflated them.</w:t>
      </w:r>
    </w:p>
    <w:p w14:paraId="0C2506A8" w14:textId="77777777" w:rsidR="00E95611" w:rsidRPr="00E95611" w:rsidRDefault="00E95611" w:rsidP="00E95611">
      <w:pPr>
        <w:jc w:val="both"/>
        <w:rPr>
          <w:b/>
          <w:bCs/>
        </w:rPr>
      </w:pPr>
      <w:r w:rsidRPr="00E95611">
        <w:rPr>
          <w:b/>
          <w:bCs/>
        </w:rPr>
        <w:t>2.3 Retrieval as inner-product contraction [LB]</w:t>
      </w:r>
    </w:p>
    <w:p w14:paraId="037D0AB1" w14:textId="77777777" w:rsidR="00E95611" w:rsidRPr="00E95611" w:rsidRDefault="00E95611" w:rsidP="00E95611">
      <w:pPr>
        <w:jc w:val="both"/>
      </w:pPr>
      <w:r w:rsidRPr="00E95611">
        <w:t>Retrieval from such a store is not a search through a list of traces; it is a single algebraic operation, the partial contraction of the tensor against a key. A query supplies a key on one or more factors — a role, a context, a time — and the store is contracted along those axes. Querying "what object was on the table?" supplies the support-role and object-role keys and contracts:</w:t>
      </w:r>
    </w:p>
    <w:p w14:paraId="6F0FC97E" w14:textId="77777777" w:rsidR="00E95611" w:rsidRPr="00E95611" w:rsidRDefault="00E95611" w:rsidP="005D51B4">
      <w:pPr>
        <w:jc w:val="center"/>
      </w:pPr>
      <w:r w:rsidRPr="00E95611">
        <w:t xml:space="preserve">x̂ = Σ_k </w:t>
      </w:r>
      <w:r w:rsidRPr="00E95611">
        <w:rPr>
          <w:rFonts w:ascii="Cambria Math" w:hAnsi="Cambria Math" w:cs="Cambria Math"/>
        </w:rPr>
        <w:t>⟨</w:t>
      </w:r>
      <w:r w:rsidRPr="00E95611">
        <w:t>q_role, role_k</w:t>
      </w:r>
      <w:r w:rsidRPr="00E95611">
        <w:rPr>
          <w:rFonts w:ascii="Cambria Math" w:hAnsi="Cambria Math" w:cs="Cambria Math"/>
        </w:rPr>
        <w:t>⟩</w:t>
      </w:r>
      <w:r w:rsidRPr="00E95611">
        <w:t xml:space="preserve"> · </w:t>
      </w:r>
      <w:r w:rsidRPr="00E95611">
        <w:rPr>
          <w:rFonts w:ascii="Cambria Math" w:hAnsi="Cambria Math" w:cs="Cambria Math"/>
        </w:rPr>
        <w:t>⟨</w:t>
      </w:r>
      <w:r w:rsidRPr="00E95611">
        <w:t>q_context, context_k</w:t>
      </w:r>
      <w:r w:rsidRPr="00E95611">
        <w:rPr>
          <w:rFonts w:ascii="Cambria Math" w:hAnsi="Cambria Math" w:cs="Cambria Math"/>
        </w:rPr>
        <w:t>⟩</w:t>
      </w:r>
      <w:r w:rsidRPr="00E95611">
        <w:t xml:space="preserve"> · content_k.</w:t>
      </w:r>
    </w:p>
    <w:p w14:paraId="4BB1D285" w14:textId="77777777" w:rsidR="00E95611" w:rsidRPr="00E95611" w:rsidRDefault="00E95611" w:rsidP="00E95611">
      <w:pPr>
        <w:jc w:val="both"/>
      </w:pPr>
      <w:r w:rsidRPr="00E95611">
        <w:t xml:space="preserve">The inner products </w:t>
      </w:r>
      <w:r w:rsidRPr="00E95611">
        <w:rPr>
          <w:rFonts w:ascii="Cambria Math" w:hAnsi="Cambria Math" w:cs="Cambria Math"/>
        </w:rPr>
        <w:t>⟨</w:t>
      </w:r>
      <w:r w:rsidRPr="00E95611">
        <w:t>q, ·</w:t>
      </w:r>
      <w:r w:rsidRPr="00E95611">
        <w:rPr>
          <w:rFonts w:ascii="Cambria Math" w:hAnsi="Cambria Math" w:cs="Cambria Math"/>
        </w:rPr>
        <w:t>⟩</w:t>
      </w:r>
      <w:r w:rsidRPr="00E95611">
        <w:t xml:space="preserve"> select the terms whose role and context match the query and weight their content accordingly; the contraction returns the bound content without enumerating the store. Retrieval is, in the framework's phrase, </w:t>
      </w:r>
      <w:r w:rsidRPr="00E95611">
        <w:rPr>
          <w:i/>
          <w:iCs/>
        </w:rPr>
        <w:t>unbinding by inner product</w:t>
      </w:r>
      <w:r w:rsidRPr="00E95611">
        <w:t xml:space="preserve"> — the recovery of a filler by projecting the trace onto the key of the role it filled.</w:t>
      </w:r>
    </w:p>
    <w:p w14:paraId="7FE619F2" w14:textId="77777777" w:rsidR="00E95611" w:rsidRPr="00E95611" w:rsidRDefault="00E95611" w:rsidP="00E95611">
      <w:pPr>
        <w:jc w:val="both"/>
      </w:pPr>
      <w:r w:rsidRPr="00E95611">
        <w:t xml:space="preserve">This operation imposes a precondition that drives §4 and must be stated here, because it is where the paper's two halves meet. The contraction returns the intended content cleanly only if the role factors are mutually orthogonal — only if </w:t>
      </w:r>
      <w:r w:rsidRPr="00E95611">
        <w:rPr>
          <w:rFonts w:ascii="Cambria Math" w:hAnsi="Cambria Math" w:cs="Cambria Math"/>
        </w:rPr>
        <w:t>⟨</w:t>
      </w:r>
      <w:r w:rsidRPr="00E95611">
        <w:t>q_role, role_k</w:t>
      </w:r>
      <w:r w:rsidRPr="00E95611">
        <w:rPr>
          <w:rFonts w:ascii="Cambria Math" w:hAnsi="Cambria Math" w:cs="Cambria Math"/>
        </w:rPr>
        <w:t>⟩</w:t>
      </w:r>
      <w:r w:rsidRPr="00E95611">
        <w:t xml:space="preserve"> is appreciable on the queried role and near zero on the others. Where the roles are correlated, the contraction admits content bound to neighbouring roles as cross-talk, and retrieval degrades into interference; Smolensky's own analysis already framed the interference of stored structures as the central limit on associative tensor memories. Clean retrieval therefore requires a decorrelated, orthogonalised role basis. The present section establishes that contraction </w:t>
      </w:r>
      <w:r w:rsidRPr="00E95611">
        <w:rPr>
          <w:i/>
          <w:iCs/>
        </w:rPr>
        <w:t>is</w:t>
      </w:r>
      <w:r w:rsidRPr="00E95611">
        <w:t xml:space="preserve"> the retrieval operation and that it </w:t>
      </w:r>
      <w:r w:rsidRPr="00E95611">
        <w:rPr>
          <w:i/>
          <w:iCs/>
        </w:rPr>
        <w:t>requires</w:t>
      </w:r>
      <w:r w:rsidRPr="00E95611">
        <w:t xml:space="preserve"> this basis; §4 establishes where the basis comes from — that it is built offline by the N3 polarisation lift, which orthogonalises the role factors that waking accumulates in entangled form. The store of §2 is usable only because the lift of §4 maintains it; we state the requirement here and discharge it there.</w:t>
      </w:r>
    </w:p>
    <w:p w14:paraId="397E4CC1" w14:textId="77777777" w:rsidR="00E95611" w:rsidRPr="00E95611" w:rsidRDefault="00E95611" w:rsidP="00E95611">
      <w:pPr>
        <w:jc w:val="both"/>
        <w:rPr>
          <w:b/>
          <w:bCs/>
        </w:rPr>
      </w:pPr>
      <w:r w:rsidRPr="00E95611">
        <w:rPr>
          <w:b/>
          <w:bCs/>
        </w:rPr>
        <w:t>2.4 Contraction is the first-class unglue [LB]</w:t>
      </w:r>
    </w:p>
    <w:p w14:paraId="3D535B0F" w14:textId="77777777" w:rsidR="00E95611" w:rsidRPr="00E95611" w:rsidRDefault="00E95611" w:rsidP="00E95611">
      <w:pPr>
        <w:jc w:val="both"/>
      </w:pPr>
      <w:r w:rsidRPr="00E95611">
        <w:t>The retrieval operation closes a gap the framework had left open. Paper 3 and the gluing discipline both required an unbinding operation — a first-class unglue that takes a bound representation apart, the counterpart to gluing, needed because over-coupling is a characteristic failure and a defensible system must be able to separate what it has joined. Both posited the operation as necessary and left its mechanism unspecified. The tensor-product memory algebra supplies it: to unglue is to contract against a role key. Unbinding is not a separate machinery bolted beside binding; it is the inner-product adjoint of the outer product that bound the trace in the first place, and the same algebra that stores by tensor product retrieves, and separates, by contraction.</w:t>
      </w:r>
    </w:p>
    <w:p w14:paraId="41D92B36" w14:textId="77777777" w:rsidR="00E95611" w:rsidRPr="00E95611" w:rsidRDefault="00E95611" w:rsidP="00E95611">
      <w:pPr>
        <w:jc w:val="both"/>
      </w:pPr>
      <w:r w:rsidRPr="00E95611">
        <w:t xml:space="preserve">This also fixes why the memory algebra lives at the inner-product rung and nowhere lower on the ladder. Both of its operations are inner-product operations: binding is the outer product on vector spaces equipped with an inner product, and unbinding is the contraction that </w:t>
      </w:r>
      <w:r w:rsidRPr="00E95611">
        <w:rPr>
          <w:i/>
          <w:iCs/>
        </w:rPr>
        <w:t>is</w:t>
      </w:r>
      <w:r w:rsidRPr="00E95611">
        <w:t xml:space="preserve"> the inner product applied along a factor. A representation with only metric or normed structure has neither the outer </w:t>
      </w:r>
      <w:r w:rsidRPr="00E95611">
        <w:lastRenderedPageBreak/>
        <w:t>product that binds cleanly nor the contraction that unbinds cleanly, and in particular lacks the orthogonality on which §2.3's clean retrieval depends. The tensor-product memory algebra is therefore not placed at the inner-product rung by stipulation; it is placed there because its defining operations are exactly the operations that rung supplies. This is the same rung at which §3 will run the obstruction gate, and the connection is direct: the stored tensors are the local sections the gate compares, and the binding of two retrieved tensors into a larger relational structure is the operation at which the gate computes its obstruction and decides whether to bind, deliberate, or withhold. Section 2 supplies the objects and their write and read operations; §3 supplies the gate that decides which combinations of them may be released.</w:t>
      </w:r>
    </w:p>
    <w:p w14:paraId="435B8B83" w14:textId="77777777" w:rsidR="00E95611" w:rsidRPr="00E95611" w:rsidRDefault="00E95611" w:rsidP="005D51B4">
      <w:pPr>
        <w:pStyle w:val="Heading1"/>
      </w:pPr>
      <w:r w:rsidRPr="00E95611">
        <w:t>3. The Cup-Product Gate</w:t>
      </w:r>
    </w:p>
    <w:p w14:paraId="2A03F2B7" w14:textId="77777777" w:rsidR="00E95611" w:rsidRPr="00E95611" w:rsidRDefault="00E95611" w:rsidP="00E95611">
      <w:pPr>
        <w:jc w:val="both"/>
      </w:pPr>
      <w:r w:rsidRPr="00E95611">
        <w:t xml:space="preserve">The companion addendum specified the obstruction gate as a </w:t>
      </w:r>
      <w:r w:rsidRPr="00E95611">
        <w:rPr>
          <w:i/>
          <w:iCs/>
        </w:rPr>
        <w:t>first-order</w:t>
      </w:r>
      <w:r w:rsidRPr="00E95611">
        <w:t xml:space="preserve"> test: given the local sections over a cover, it computes the cohomological obstruction to gluing them — a class in H¹ — and binds, deliberates, or withholds according to whether that class vanishes within tolerance. This section establishes that the first-order gate has a structural blind spot, that the blind spot is exactly the compound failure characteristic of multimodal systems, and that closing it requires extending the gate to </w:t>
      </w:r>
      <w:r w:rsidRPr="00E95611">
        <w:rPr>
          <w:i/>
          <w:iCs/>
        </w:rPr>
        <w:t>second</w:t>
      </w:r>
      <w:r w:rsidRPr="00E95611">
        <w:t xml:space="preserve"> order through the cup product. We state the blind spot (§3.1), the cup-product criterion and why it must be stated in terms of class-nontriviality rather than magnitude (§3.2), the construction that proves the second-order gate necessary and not merely sufficient (§3.3), and the two debts the extension incurs (§3.4).</w:t>
      </w:r>
    </w:p>
    <w:p w14:paraId="74830CF3" w14:textId="77777777" w:rsidR="00E95611" w:rsidRPr="00E95611" w:rsidRDefault="00E95611" w:rsidP="00E95611">
      <w:pPr>
        <w:jc w:val="both"/>
        <w:rPr>
          <w:b/>
          <w:bCs/>
        </w:rPr>
      </w:pPr>
      <w:r w:rsidRPr="00E95611">
        <w:rPr>
          <w:b/>
          <w:bCs/>
        </w:rPr>
        <w:t>3.1 The blind spot of the first-order gate [LB]</w:t>
      </w:r>
    </w:p>
    <w:p w14:paraId="6294C880" w14:textId="77777777" w:rsidR="00E95611" w:rsidRPr="00E95611" w:rsidRDefault="00E95611" w:rsidP="00E95611">
      <w:pPr>
        <w:jc w:val="both"/>
      </w:pPr>
      <w:r w:rsidRPr="00E95611">
        <w:t xml:space="preserve">A first-order gate asks, of a single binding, whether its local sections cohere: it tests the H¹ obstruction over their overlaps and releases the binding when that obstruction is trivial within tolerance ε(Π). Run on two separate bindings, it asks the question twice and independently — does binding A cohere? does binding B cohere? — and if each clears its own tolerance, it releases both. But two bindings that each cohere </w:t>
      </w:r>
      <w:r w:rsidRPr="00E95611">
        <w:rPr>
          <w:i/>
          <w:iCs/>
        </w:rPr>
        <w:t>individually</w:t>
      </w:r>
      <w:r w:rsidRPr="00E95611">
        <w:t xml:space="preserve"> can fail to cohere </w:t>
      </w:r>
      <w:r w:rsidRPr="00E95611">
        <w:rPr>
          <w:i/>
          <w:iCs/>
        </w:rPr>
        <w:t>jointly</w:t>
      </w:r>
      <w:r w:rsidRPr="00E95611">
        <w:t>: the residual obstruction that each carries within tolerance can interact, when the two are composed into a larger relational structure, to produce an incoherence that neither carried alone. The first-order gate cannot see this, because it never forms the joint object; it checks each binding against itself and never checks the two against each other at the next order. This is not a sensitivity gap that a tighter ε(Π) would close — tightening the first-order tolerance would only reject more individual bindings, including coherent ones, while still never computing the interaction. The blind spot is structural: a first-order gate is the wrong order of test for a second-order failure.</w:t>
      </w:r>
    </w:p>
    <w:p w14:paraId="00DCCB05" w14:textId="77777777" w:rsidR="00E95611" w:rsidRPr="00E95611" w:rsidRDefault="00E95611" w:rsidP="00E95611">
      <w:pPr>
        <w:jc w:val="both"/>
      </w:pPr>
      <w:r w:rsidRPr="00E95611">
        <w:t>This is the failure mode multimodal systems exhibit, and it is why §2's tensor store needs more than the first-order gate to be safe. Two retrieved tensors — a linguistic binding and a visual binding, say — may each pass their own coherence check and still, when bound into a joint action tensor, specify something impossible. The incoherence lives not in either binding but in their composition, and detecting it requires a test that operates on the composition.</w:t>
      </w:r>
    </w:p>
    <w:p w14:paraId="31651D3D" w14:textId="77777777" w:rsidR="00E95611" w:rsidRPr="00E95611" w:rsidRDefault="00E95611" w:rsidP="00E95611">
      <w:pPr>
        <w:jc w:val="both"/>
        <w:rPr>
          <w:b/>
          <w:bCs/>
        </w:rPr>
      </w:pPr>
      <w:r w:rsidRPr="00E95611">
        <w:rPr>
          <w:b/>
          <w:bCs/>
        </w:rPr>
        <w:t>3.2 The cup product and the class-nontriviality criterion [LB]</w:t>
      </w:r>
    </w:p>
    <w:p w14:paraId="0F1F7D43" w14:textId="07230622" w:rsidR="00E95611" w:rsidRPr="00E95611" w:rsidRDefault="00E95611" w:rsidP="00E95611">
      <w:pPr>
        <w:jc w:val="both"/>
      </w:pPr>
      <w:r w:rsidRPr="00E95611">
        <w:t xml:space="preserve">The operation that forms the second-order test is the cup product. Given a marginal obstruction [u] </w:t>
      </w:r>
      <w:r w:rsidRPr="00E95611">
        <w:rPr>
          <w:rFonts w:ascii="Cambria Math" w:hAnsi="Cambria Math" w:cs="Cambria Math"/>
        </w:rPr>
        <w:t>∈</w:t>
      </w:r>
      <w:r w:rsidRPr="00E95611">
        <w:t xml:space="preserve"> H</w:t>
      </w:r>
      <w:r w:rsidRPr="00E95611">
        <w:rPr>
          <w:rFonts w:ascii="Calibri" w:hAnsi="Calibri" w:cs="Calibri"/>
        </w:rPr>
        <w:t>¹</w:t>
      </w:r>
      <w:r w:rsidRPr="00E95611">
        <w:t>(X, A) carried by one binding and</w:t>
      </w:r>
      <w:r w:rsidR="00F93E48">
        <w:t xml:space="preserve"> </w:t>
      </w:r>
      <w:r w:rsidRPr="00E95611">
        <w:rPr>
          <w:rFonts w:ascii="Cambria Math" w:hAnsi="Cambria Math" w:cs="Cambria Math"/>
        </w:rPr>
        <w:t>∈</w:t>
      </w:r>
      <w:r w:rsidRPr="00E95611">
        <w:t xml:space="preserve"> H</w:t>
      </w:r>
      <w:r w:rsidRPr="00E95611">
        <w:rPr>
          <w:rFonts w:ascii="Calibri" w:hAnsi="Calibri" w:cs="Calibri"/>
        </w:rPr>
        <w:t>¹</w:t>
      </w:r>
      <w:r w:rsidRPr="00E95611">
        <w:t xml:space="preserve">(X, B) carried by another, together with a coefficient pairing A </w:t>
      </w:r>
      <w:r w:rsidRPr="00E95611">
        <w:rPr>
          <w:rFonts w:ascii="Cambria Math" w:hAnsi="Cambria Math" w:cs="Cambria Math"/>
        </w:rPr>
        <w:t>⊗</w:t>
      </w:r>
      <w:r w:rsidRPr="00E95611">
        <w:t xml:space="preserve"> B </w:t>
      </w:r>
      <w:r w:rsidRPr="00E95611">
        <w:rPr>
          <w:rFonts w:ascii="Calibri" w:hAnsi="Calibri" w:cs="Calibri"/>
        </w:rPr>
        <w:t>→</w:t>
      </w:r>
      <w:r w:rsidRPr="00E95611">
        <w:t xml:space="preserve"> C, the cup product yields a class</w:t>
      </w:r>
    </w:p>
    <w:p w14:paraId="461538FC" w14:textId="02B082D7" w:rsidR="00E95611" w:rsidRPr="00E95611" w:rsidRDefault="00E95611" w:rsidP="005D51B4">
      <w:pPr>
        <w:jc w:val="center"/>
      </w:pPr>
      <w:r w:rsidRPr="00E95611">
        <w:t xml:space="preserve">[u] </w:t>
      </w:r>
      <w:r w:rsidRPr="00E95611">
        <w:rPr>
          <w:rFonts w:ascii="Cambria Math" w:hAnsi="Cambria Math" w:cs="Cambria Math"/>
        </w:rPr>
        <w:t>⌣</w:t>
      </w:r>
      <w:r w:rsidR="00F93E48">
        <w:t xml:space="preserve"> </w:t>
      </w:r>
      <w:r w:rsidRPr="00E95611">
        <w:rPr>
          <w:rFonts w:ascii="Cambria Math" w:hAnsi="Cambria Math" w:cs="Cambria Math"/>
        </w:rPr>
        <w:t>∈</w:t>
      </w:r>
      <w:r w:rsidRPr="00E95611">
        <w:t xml:space="preserve"> H</w:t>
      </w:r>
      <w:r w:rsidRPr="00E95611">
        <w:rPr>
          <w:rFonts w:ascii="Calibri" w:hAnsi="Calibri" w:cs="Calibri"/>
        </w:rPr>
        <w:t>²</w:t>
      </w:r>
      <w:r w:rsidRPr="00E95611">
        <w:t xml:space="preserve">(X, A </w:t>
      </w:r>
      <w:r w:rsidRPr="00E95611">
        <w:rPr>
          <w:rFonts w:ascii="Cambria Math" w:hAnsi="Cambria Math" w:cs="Cambria Math"/>
        </w:rPr>
        <w:t>⊗</w:t>
      </w:r>
      <w:r w:rsidRPr="00E95611">
        <w:t xml:space="preserve"> B),</w:t>
      </w:r>
    </w:p>
    <w:p w14:paraId="3738023D" w14:textId="1125A873" w:rsidR="00E95611" w:rsidRPr="00E95611" w:rsidRDefault="00E95611" w:rsidP="00E95611">
      <w:pPr>
        <w:jc w:val="both"/>
      </w:pPr>
      <w:r w:rsidRPr="00E95611">
        <w:lastRenderedPageBreak/>
        <w:t xml:space="preserve">built, at the cochain level, by combining u on one overlap with v on the adjacent overlap across a triple intersection. The cup product is bilinear and descends to cohomology — it is well defined on the classes, not merely on representative cochains — and the second-order gate's criterion is the </w:t>
      </w:r>
      <w:r w:rsidRPr="00E95611">
        <w:rPr>
          <w:b/>
          <w:bCs/>
        </w:rPr>
        <w:t>nontriviality of this class</w:t>
      </w:r>
      <w:r w:rsidRPr="00E95611">
        <w:t xml:space="preserve">: the gate withholds when [u] </w:t>
      </w:r>
      <w:r w:rsidRPr="00E95611">
        <w:rPr>
          <w:rFonts w:ascii="Cambria Math" w:hAnsi="Cambria Math" w:cs="Cambria Math"/>
        </w:rPr>
        <w:t>⌣</w:t>
      </w:r>
      <w:r w:rsidR="00F93E48">
        <w:t xml:space="preserve"> </w:t>
      </w:r>
      <w:r w:rsidRPr="00E95611">
        <w:rPr>
          <w:rFonts w:ascii="Calibri" w:hAnsi="Calibri" w:cs="Calibri"/>
        </w:rPr>
        <w:t>≠</w:t>
      </w:r>
      <w:r w:rsidRPr="00E95611">
        <w:t xml:space="preserve"> 0 in H</w:t>
      </w:r>
      <w:r w:rsidRPr="00E95611">
        <w:rPr>
          <w:rFonts w:ascii="Calibri" w:hAnsi="Calibri" w:cs="Calibri"/>
        </w:rPr>
        <w:t>²</w:t>
      </w:r>
      <w:r w:rsidRPr="00E95611">
        <w:t xml:space="preserve">(X, A </w:t>
      </w:r>
      <w:r w:rsidRPr="00E95611">
        <w:rPr>
          <w:rFonts w:ascii="Cambria Math" w:hAnsi="Cambria Math" w:cs="Cambria Math"/>
        </w:rPr>
        <w:t>⊗</w:t>
      </w:r>
      <w:r w:rsidRPr="00E95611">
        <w:t xml:space="preserve"> B), at the same chemical tolerance </w:t>
      </w:r>
      <w:r w:rsidRPr="00E95611">
        <w:rPr>
          <w:rFonts w:ascii="Calibri" w:hAnsi="Calibri" w:cs="Calibri"/>
        </w:rPr>
        <w:t>ε</w:t>
      </w:r>
      <w:r w:rsidRPr="00E95611">
        <w:t>(</w:t>
      </w:r>
      <w:r w:rsidRPr="00E95611">
        <w:rPr>
          <w:rFonts w:ascii="Calibri" w:hAnsi="Calibri" w:cs="Calibri"/>
        </w:rPr>
        <w:t>Π</w:t>
      </w:r>
      <w:r w:rsidRPr="00E95611">
        <w:t>) that governs the first-order gate, now read on the second-order class. No new threshold is introduced; the persistence parameter of Paper 2 and the addendum is the sole tolerance, applied one order up.</w:t>
      </w:r>
    </w:p>
    <w:p w14:paraId="7ABAA27E" w14:textId="05DA9E51" w:rsidR="00E95611" w:rsidRPr="00E95611" w:rsidRDefault="00E95611" w:rsidP="00E95611">
      <w:pPr>
        <w:jc w:val="both"/>
      </w:pPr>
      <w:r w:rsidRPr="00E95611">
        <w:t xml:space="preserve">It is essential that the criterion is nontriviality of the </w:t>
      </w:r>
      <w:r w:rsidRPr="00E95611">
        <w:rPr>
          <w:i/>
          <w:iCs/>
        </w:rPr>
        <w:t>class</w:t>
      </w:r>
      <w:r w:rsidRPr="00E95611">
        <w:t xml:space="preserve"> and not the </w:t>
      </w:r>
      <w:r w:rsidRPr="00E95611">
        <w:rPr>
          <w:i/>
          <w:iCs/>
        </w:rPr>
        <w:t>magnitude</w:t>
      </w:r>
      <w:r w:rsidRPr="00E95611">
        <w:t xml:space="preserve"> of a representative, and the reason is a point that a naive formulation gets backwards. The cup product is bilinear, so at the cochain level it is submultiplicative: ‖u </w:t>
      </w:r>
      <w:r w:rsidRPr="00E95611">
        <w:rPr>
          <w:rFonts w:ascii="Cambria Math" w:hAnsi="Cambria Math" w:cs="Cambria Math"/>
        </w:rPr>
        <w:t>⌣</w:t>
      </w:r>
      <w:r w:rsidRPr="00E95611">
        <w:t xml:space="preserve"> v</w:t>
      </w:r>
      <w:r w:rsidRPr="00E95611">
        <w:rPr>
          <w:rFonts w:ascii="Calibri" w:hAnsi="Calibri" w:cs="Calibri"/>
        </w:rPr>
        <w:t>‖</w:t>
      </w:r>
      <w:r w:rsidRPr="00E95611">
        <w:t xml:space="preserve"> </w:t>
      </w:r>
      <w:r w:rsidRPr="00E95611">
        <w:rPr>
          <w:rFonts w:ascii="Calibri" w:hAnsi="Calibri" w:cs="Calibri"/>
        </w:rPr>
        <w:t>≤</w:t>
      </w:r>
      <w:r w:rsidRPr="00E95611">
        <w:t xml:space="preserve"> C </w:t>
      </w:r>
      <w:r w:rsidRPr="00E95611">
        <w:rPr>
          <w:rFonts w:ascii="Calibri" w:hAnsi="Calibri" w:cs="Calibri"/>
        </w:rPr>
        <w:t>·</w:t>
      </w:r>
      <w:r w:rsidRPr="00E95611">
        <w:t xml:space="preserve"> </w:t>
      </w:r>
      <w:r w:rsidRPr="00E95611">
        <w:rPr>
          <w:rFonts w:ascii="Calibri" w:hAnsi="Calibri" w:cs="Calibri"/>
        </w:rPr>
        <w:t>‖</w:t>
      </w:r>
      <w:r w:rsidRPr="00E95611">
        <w:t>u</w:t>
      </w:r>
      <w:r w:rsidRPr="00E95611">
        <w:rPr>
          <w:rFonts w:ascii="Calibri" w:hAnsi="Calibri" w:cs="Calibri"/>
        </w:rPr>
        <w:t>‖</w:t>
      </w:r>
      <w:r w:rsidRPr="00E95611">
        <w:t xml:space="preserve"> </w:t>
      </w:r>
      <w:r w:rsidRPr="00E95611">
        <w:rPr>
          <w:rFonts w:ascii="Calibri" w:hAnsi="Calibri" w:cs="Calibri"/>
        </w:rPr>
        <w:t>·</w:t>
      </w:r>
      <w:r w:rsidRPr="00E95611">
        <w:t xml:space="preserve"> </w:t>
      </w:r>
      <w:r w:rsidRPr="00E95611">
        <w:rPr>
          <w:rFonts w:ascii="Calibri" w:hAnsi="Calibri" w:cs="Calibri"/>
        </w:rPr>
        <w:t>‖</w:t>
      </w:r>
      <w:r w:rsidRPr="00E95611">
        <w:t>v</w:t>
      </w:r>
      <w:r w:rsidRPr="00E95611">
        <w:rPr>
          <w:rFonts w:ascii="Calibri" w:hAnsi="Calibri" w:cs="Calibri"/>
        </w:rPr>
        <w:t>‖</w:t>
      </w:r>
      <w:r w:rsidRPr="00E95611">
        <w:t xml:space="preserve">. If the two marginals are individually small </w:t>
      </w:r>
      <w:r w:rsidRPr="00E95611">
        <w:rPr>
          <w:rFonts w:ascii="Calibri" w:hAnsi="Calibri" w:cs="Calibri"/>
        </w:rPr>
        <w:t>—</w:t>
      </w:r>
      <w:r w:rsidRPr="00E95611">
        <w:t xml:space="preserve"> as they are precisely in the case the gate must catch, where each was tolerated by the first-order gate </w:t>
      </w:r>
      <w:r w:rsidRPr="00E95611">
        <w:rPr>
          <w:rFonts w:ascii="Calibri" w:hAnsi="Calibri" w:cs="Calibri"/>
        </w:rPr>
        <w:t>—</w:t>
      </w:r>
      <w:r w:rsidRPr="00E95611">
        <w:t xml:space="preserve"> then this inequality bounds the product </w:t>
      </w:r>
      <w:r w:rsidRPr="00E95611">
        <w:rPr>
          <w:i/>
          <w:iCs/>
        </w:rPr>
        <w:t>below</w:t>
      </w:r>
      <w:r w:rsidRPr="00E95611">
        <w:t xml:space="preserve"> their individual sizes, not above. A magnitude criterion would therefore predict that small marginals produce an even smaller compound, which is the opposite of detection: it would conclude that two barely-tolerated bindings compose into something more tolerable still. The compound obstruction is not large in norm; it is </w:t>
      </w:r>
      <w:r w:rsidRPr="00E95611">
        <w:rPr>
          <w:i/>
          <w:iCs/>
        </w:rPr>
        <w:t>irreducible in class</w:t>
      </w:r>
      <w:r w:rsidRPr="00E95611">
        <w:t xml:space="preserve">. What makes [u] </w:t>
      </w:r>
      <w:r w:rsidRPr="00E95611">
        <w:rPr>
          <w:rFonts w:ascii="Cambria Math" w:hAnsi="Cambria Math" w:cs="Cambria Math"/>
        </w:rPr>
        <w:t>⌣</w:t>
      </w:r>
      <w:r w:rsidR="00F93E48">
        <w:t xml:space="preserve"> </w:t>
      </w:r>
      <w:r w:rsidRPr="00E95611">
        <w:t xml:space="preserve">an obstruction is not that it has grown but that it is a nontrivial cohomology class </w:t>
      </w:r>
      <w:r w:rsidRPr="00E95611">
        <w:rPr>
          <w:rFonts w:ascii="Calibri" w:hAnsi="Calibri" w:cs="Calibri"/>
        </w:rPr>
        <w:t>—</w:t>
      </w:r>
      <w:r w:rsidRPr="00E95611">
        <w:t xml:space="preserve"> a cocycle that is not a coboundary, an incoherence that no local correction over the cover can remove </w:t>
      </w:r>
      <w:r w:rsidRPr="00E95611">
        <w:rPr>
          <w:rFonts w:ascii="Calibri" w:hAnsi="Calibri" w:cs="Calibri"/>
        </w:rPr>
        <w:t>—</w:t>
      </w:r>
      <w:r w:rsidRPr="00E95611">
        <w:t xml:space="preserve"> and whether a class is a coboundary is not governed by the norms of the factors. The framework's own definition of obstruction, inherited from Paper 3, is exactly this: an obstruction is what survives when local correction cannot remove it, never a magnitude. The second-order gate applies that definition at second order, and the submultiplicativity of the cup product is the precise reason the magnitude reading must be abandoned in favour of the class reading.</w:t>
      </w:r>
    </w:p>
    <w:p w14:paraId="64F8AEC9" w14:textId="77777777" w:rsidR="00E95611" w:rsidRPr="00E95611" w:rsidRDefault="00E95611" w:rsidP="00E95611">
      <w:pPr>
        <w:jc w:val="both"/>
        <w:rPr>
          <w:b/>
          <w:bCs/>
        </w:rPr>
      </w:pPr>
      <w:r w:rsidRPr="00E95611">
        <w:rPr>
          <w:b/>
          <w:bCs/>
        </w:rPr>
        <w:t>3.3 The bilinear construction: why the second-order gate is necessary [LB]</w:t>
      </w:r>
    </w:p>
    <w:p w14:paraId="33564E54" w14:textId="06F71C8E" w:rsidR="00E95611" w:rsidRPr="00E95611" w:rsidRDefault="00E95611" w:rsidP="00E95611">
      <w:pPr>
        <w:jc w:val="both"/>
      </w:pPr>
      <w:r w:rsidRPr="00E95611">
        <w:t xml:space="preserve">A second-order gate is </w:t>
      </w:r>
      <w:r w:rsidRPr="00E95611">
        <w:rPr>
          <w:i/>
          <w:iCs/>
        </w:rPr>
        <w:t>sufficient</w:t>
      </w:r>
      <w:r w:rsidRPr="00E95611">
        <w:t xml:space="preserve"> to catch compound failures by construction. To show it is </w:t>
      </w:r>
      <w:r w:rsidRPr="00E95611">
        <w:rPr>
          <w:i/>
          <w:iCs/>
        </w:rPr>
        <w:t>necessary</w:t>
      </w:r>
      <w:r w:rsidRPr="00E95611">
        <w:t xml:space="preserve"> — that a first-order gate is genuinely blind and not merely coarser — the compound failure must be one that a first-order gate cannot in principle resolve into its marginals: it must vanish if either marginal is removed, so that no single-modality check could have caught it. This is exactly the property the cup product's bilinearity supplies, because bilinearity descending to cohomology gives [u] = 0 </w:t>
      </w:r>
      <w:r w:rsidRPr="00E95611">
        <w:rPr>
          <w:rFonts w:ascii="Cambria Math" w:hAnsi="Cambria Math" w:cs="Cambria Math"/>
        </w:rPr>
        <w:t>⟹</w:t>
      </w:r>
      <w:r w:rsidRPr="00E95611">
        <w:t xml:space="preserve"> [u] </w:t>
      </w:r>
      <w:r w:rsidRPr="00E95611">
        <w:rPr>
          <w:rFonts w:ascii="Cambria Math" w:hAnsi="Cambria Math" w:cs="Cambria Math"/>
        </w:rPr>
        <w:t>⌣</w:t>
      </w:r>
      <w:r w:rsidR="00F93E48">
        <w:t xml:space="preserve"> </w:t>
      </w:r>
      <w:r w:rsidRPr="00E95611">
        <w:t xml:space="preserve">= 0 and likewise for : a compound obstruction exists only when </w:t>
      </w:r>
      <w:r w:rsidRPr="00E95611">
        <w:rPr>
          <w:i/>
          <w:iCs/>
        </w:rPr>
        <w:t>both</w:t>
      </w:r>
      <w:r w:rsidRPr="00E95611">
        <w:t xml:space="preserve"> marginals are nonzero classes, and disappears the moment either is cleared.</w:t>
      </w:r>
    </w:p>
    <w:p w14:paraId="1107C948" w14:textId="11C6B469" w:rsidR="00E95611" w:rsidRPr="00E95611" w:rsidRDefault="00E95611" w:rsidP="00E95611">
      <w:pPr>
        <w:jc w:val="both"/>
      </w:pPr>
      <w:r w:rsidRPr="00E95611">
        <w:t>Consider the concrete case the construction turns on: a robot generating a grasp from a linguistic command and a visual state. The linguistic parse of "grasp the glass" carries a residual semantic obstruction [u] — an ambiguity in material, fragile glass versus rigid plastic — and the visual parse carries a residual metric obstruction</w:t>
      </w:r>
      <w:r w:rsidR="00F93E48">
        <w:t xml:space="preserve"> </w:t>
      </w:r>
      <w:r w:rsidRPr="00E95611">
        <w:t xml:space="preserve">— a small depth error at the contact point. Each is a nonzero class, and each is individually </w:t>
      </w:r>
      <w:r w:rsidRPr="00E95611">
        <w:rPr>
          <w:i/>
          <w:iCs/>
        </w:rPr>
        <w:t>sub-threshold</w:t>
      </w:r>
      <w:r w:rsidRPr="00E95611">
        <w:t xml:space="preserve">: tolerated by the first-order gate, because each alone is recoverable. If the material were known with the depth error present ([u] = 0), active force control would absorb the depth error; if the depth were exact with the material ambiguous ( = 0), a generic compliant grip would absorb the material ambiguity. In each case the compound vanishes, exactly as bilinearity requires. The failure — the trajectory that shatters the object — occurs only when both residuals are present together: the wrong compliance assumption applied at the wrong contact point. The incoherence is irreducibly second-order, living in [u] </w:t>
      </w:r>
      <w:r w:rsidRPr="00E95611">
        <w:rPr>
          <w:rFonts w:ascii="Cambria Math" w:hAnsi="Cambria Math" w:cs="Cambria Math"/>
        </w:rPr>
        <w:t>⌣</w:t>
      </w:r>
      <w:r w:rsidR="00F93E48">
        <w:t xml:space="preserve"> </w:t>
      </w:r>
      <w:r w:rsidRPr="00E95611">
        <w:rPr>
          <w:rFonts w:ascii="Cambria Math" w:hAnsi="Cambria Math" w:cs="Cambria Math"/>
        </w:rPr>
        <w:t>∈</w:t>
      </w:r>
      <w:r w:rsidRPr="00E95611">
        <w:t xml:space="preserve"> H</w:t>
      </w:r>
      <w:r w:rsidRPr="00E95611">
        <w:rPr>
          <w:rFonts w:ascii="Calibri" w:hAnsi="Calibri" w:cs="Calibri"/>
        </w:rPr>
        <w:t>²</w:t>
      </w:r>
      <w:r w:rsidRPr="00E95611">
        <w:t xml:space="preserve"> and in neither marginal, and a first-order gate, seeing two sub-threshold H</w:t>
      </w:r>
      <w:r w:rsidRPr="00E95611">
        <w:rPr>
          <w:rFonts w:ascii="Calibri" w:hAnsi="Calibri" w:cs="Calibri"/>
        </w:rPr>
        <w:t>¹</w:t>
      </w:r>
      <w:r w:rsidRPr="00E95611">
        <w:t xml:space="preserve"> classes and computing no interaction, releases the action. The cup-product gate computes the interaction, finds the H</w:t>
      </w:r>
      <w:r w:rsidRPr="00E95611">
        <w:rPr>
          <w:rFonts w:ascii="Calibri" w:hAnsi="Calibri" w:cs="Calibri"/>
        </w:rPr>
        <w:t>²</w:t>
      </w:r>
      <w:r w:rsidRPr="00E95611">
        <w:t xml:space="preserve"> class nontrivial, and withholds.</w:t>
      </w:r>
    </w:p>
    <w:p w14:paraId="72C17DAF" w14:textId="77777777" w:rsidR="00E95611" w:rsidRPr="00E95611" w:rsidRDefault="00E95611" w:rsidP="00E95611">
      <w:pPr>
        <w:jc w:val="both"/>
      </w:pPr>
      <w:r w:rsidRPr="00E95611">
        <w:t xml:space="preserve">The structural claim and its empirical fingerprint should be kept distinct. The structural claim is bilinearity: the failure vanishes if either factor is zero, and is therefore invisible to any test that </w:t>
      </w:r>
      <w:r w:rsidRPr="00E95611">
        <w:lastRenderedPageBreak/>
        <w:t xml:space="preserve">examines the factors separately. The empirical fingerprint, which §6 develops into a decisive test, is that the failure rate scales with the </w:t>
      </w:r>
      <w:r w:rsidRPr="00E95611">
        <w:rPr>
          <w:i/>
          <w:iCs/>
        </w:rPr>
        <w:t>product</w:t>
      </w:r>
      <w:r w:rsidRPr="00E95611">
        <w:t xml:space="preserve"> of the two perturbation magnitudes rather than their sum — multiplicative interaction, not additive accumulation. Additive scaling would mean a first-order gate with a joint margin could have caught the failure, and would demote the cup product to an emblem; multiplicative scaling with the bilinear vanishing property is the signature that the obstruction is genuinely second-order and the gate genuinely load-bearing. The construction thus does double duty: it proves necessity here and specifies the measurement that would confirm or refute it in §6.</w:t>
      </w:r>
    </w:p>
    <w:p w14:paraId="03FF9B10" w14:textId="77777777" w:rsidR="00E95611" w:rsidRPr="00E95611" w:rsidRDefault="00E95611" w:rsidP="00E95611">
      <w:pPr>
        <w:jc w:val="both"/>
        <w:rPr>
          <w:b/>
          <w:bCs/>
        </w:rPr>
      </w:pPr>
      <w:r w:rsidRPr="00E95611">
        <w:rPr>
          <w:b/>
          <w:bCs/>
        </w:rPr>
        <w:t>3.4 The pairing, the cover, and two debts [LB / DEBT]</w:t>
      </w:r>
    </w:p>
    <w:p w14:paraId="7FEC6B48" w14:textId="77777777" w:rsidR="00E95611" w:rsidRPr="00E95611" w:rsidRDefault="00E95611" w:rsidP="00E95611">
      <w:pPr>
        <w:jc w:val="both"/>
      </w:pPr>
      <w:r w:rsidRPr="00E95611">
        <w:t>The cup product is not free, and stating its costs honestly is required, because they are where the framework's standing debt resurfaces and where a new one appears.</w:t>
      </w:r>
    </w:p>
    <w:p w14:paraId="2BDCAB62" w14:textId="77777777" w:rsidR="00E95611" w:rsidRPr="00E95611" w:rsidRDefault="00E95611" w:rsidP="00E95611">
      <w:pPr>
        <w:jc w:val="both"/>
      </w:pPr>
      <w:r w:rsidRPr="00E95611">
        <w:t xml:space="preserve">First, the cup product requires a </w:t>
      </w:r>
      <w:r w:rsidRPr="00E95611">
        <w:rPr>
          <w:b/>
          <w:bCs/>
        </w:rPr>
        <w:t>coefficient pairing</w:t>
      </w:r>
      <w:r w:rsidRPr="00E95611">
        <w:t xml:space="preserve"> A </w:t>
      </w:r>
      <w:r w:rsidRPr="00E95611">
        <w:rPr>
          <w:rFonts w:ascii="Cambria Math" w:hAnsi="Cambria Math" w:cs="Cambria Math"/>
        </w:rPr>
        <w:t>⊗</w:t>
      </w:r>
      <w:r w:rsidRPr="00E95611">
        <w:t xml:space="preserve"> B </w:t>
      </w:r>
      <w:r w:rsidRPr="00E95611">
        <w:rPr>
          <w:rFonts w:ascii="Calibri" w:hAnsi="Calibri" w:cs="Calibri"/>
        </w:rPr>
        <w:t>→</w:t>
      </w:r>
      <w:r w:rsidRPr="00E95611">
        <w:t xml:space="preserve"> C, and the pairing must be named, not assumed. In the grasp example it is (compliance-role) </w:t>
      </w:r>
      <w:r w:rsidRPr="00E95611">
        <w:rPr>
          <w:rFonts w:ascii="Cambria Math" w:hAnsi="Cambria Math" w:cs="Cambria Math"/>
        </w:rPr>
        <w:t>⊗</w:t>
      </w:r>
      <w:r w:rsidRPr="00E95611">
        <w:t xml:space="preserve"> (contact-geometry) </w:t>
      </w:r>
      <w:r w:rsidRPr="00E95611">
        <w:rPr>
          <w:rFonts w:ascii="Calibri" w:hAnsi="Calibri" w:cs="Calibri"/>
        </w:rPr>
        <w:t>→</w:t>
      </w:r>
      <w:r w:rsidRPr="00E95611">
        <w:t xml:space="preserve"> (predicted-contact-outcome): the operation that takes a material-compliance assumption and a contact location and returns the predicted physical result of acting on the one at the other. The pairing is what makes the two obstructions </w:t>
      </w:r>
      <w:r w:rsidRPr="00E95611">
        <w:rPr>
          <w:i/>
          <w:iCs/>
        </w:rPr>
        <w:t>interact</w:t>
      </w:r>
      <w:r w:rsidRPr="00E95611">
        <w:t xml:space="preserve"> rather than merely coexist, and it is domain-specific; the gate is only as meaningful as the pairing is faithful to the physics it models.</w:t>
      </w:r>
    </w:p>
    <w:p w14:paraId="4BA79CC0" w14:textId="77777777" w:rsidR="00E95611" w:rsidRPr="00E95611" w:rsidRDefault="00E95611" w:rsidP="00E95611">
      <w:pPr>
        <w:jc w:val="both"/>
      </w:pPr>
      <w:r w:rsidRPr="00E95611">
        <w:t xml:space="preserve">Second, and more fundamentally, the cup product requires a </w:t>
      </w:r>
      <w:r w:rsidRPr="00E95611">
        <w:rPr>
          <w:b/>
          <w:bCs/>
        </w:rPr>
        <w:t>common base cover</w:t>
      </w:r>
      <w:r w:rsidRPr="00E95611">
        <w:t xml:space="preserve"> X over which both classes are defined. Two obstructions can be cupped only if they live over the same individuated base — the same cover, the same overlaps — and obtaining that shared base for a learned multimodal representation is precisely the cover-definition problem the framework has carried as its principal debt since Paper 3, now in a sharpened form. The first-order gate already presupposed a cover; the second-order gate presupposes that </w:t>
      </w:r>
      <w:r w:rsidRPr="00E95611">
        <w:rPr>
          <w:i/>
          <w:iCs/>
        </w:rPr>
        <w:t>two modalities' covers have been brought into register</w:t>
      </w:r>
      <w:r w:rsidRPr="00E95611">
        <w:t xml:space="preserve"> as one. This is available only at the top of the hierarchy, on representations that the vertical lifts have already raised into a common, commensurable space — which is why the cup-product gate operates on already-lifted top-rung tensors and not across raw modalities at the bottom, where no shared base yet exists. The compound hallucination is detected over the bound representation, after lifting; it cannot be detected before. We state this as the debt it is: the gate specifies the test to perform once the shared cover and the pairing are given, and it does not supply the shared cover for a learned system.</w:t>
      </w:r>
    </w:p>
    <w:p w14:paraId="78355CE5" w14:textId="77777777" w:rsidR="00E95611" w:rsidRPr="00E95611" w:rsidRDefault="00E95611" w:rsidP="00E95611">
      <w:pPr>
        <w:jc w:val="both"/>
      </w:pPr>
      <w:r w:rsidRPr="00E95611">
        <w:t xml:space="preserve">Third, the extension incurs a debt the first-order gate did not. The first-order gate, in its tolerant form, could be read as comparing a magnitude to ε(Π); the second-order gate cannot, because §3.2 showed magnitude to be the wrong criterion. The second-order gate must instead decide whether a class is trivial — whether a cocycle is a coboundary — and that is a strictly harder operation than a norm comparison, with no general guarantee of being cheaply computable for a learned representation. The framework therefore gains detection power and, in the same step, takes on a </w:t>
      </w:r>
      <w:r w:rsidRPr="00E95611">
        <w:rPr>
          <w:b/>
          <w:bCs/>
        </w:rPr>
        <w:t>decidability debt</w:t>
      </w:r>
      <w:r w:rsidRPr="00E95611">
        <w:t>: how to decide H²-class triviality in a working network is an open problem, additional to the cover-definition debt and not reducible to it. Naming it is the framework's discipline; we do not claim to have solved it.</w:t>
      </w:r>
    </w:p>
    <w:p w14:paraId="3239B3A7" w14:textId="0F316CCD" w:rsidR="00E95611" w:rsidRPr="00E95611" w:rsidRDefault="00E95611" w:rsidP="00E95611">
      <w:pPr>
        <w:jc w:val="both"/>
      </w:pPr>
      <w:r w:rsidRPr="00E95611">
        <w:t xml:space="preserve">With the class identified as nontrivial, the routing is the framework's existing one. A nontrivial second-order class is an irreducible compound obstruction, and the gate withholds the binding rather than releasing it — the same withhold decision the first-order gate makes, now triggered one order up — and routes the carried obstruction to the endogenous, offline re-gluing of Paper 3, where the model is repaired against itself rather than discharged online. The first-order gate keeps an individual binding from being released over its own obstruction; the second-order gate keeps a composition from being released over an obstruction that neither of its parts contained. Together they are the read-side </w:t>
      </w:r>
      <w:r w:rsidRPr="00E95611">
        <w:lastRenderedPageBreak/>
        <w:t>guarantee whose write-side complement — the norm-preserving offline lift that keeps fabricated bindings from being written in the first place — is the subject of §4.</w:t>
      </w:r>
    </w:p>
    <w:p w14:paraId="6AADEE40" w14:textId="77777777" w:rsidR="00E95611" w:rsidRPr="00E95611" w:rsidRDefault="00E95611" w:rsidP="00E95611">
      <w:pPr>
        <w:jc w:val="both"/>
        <w:rPr>
          <w:b/>
          <w:bCs/>
        </w:rPr>
      </w:pPr>
      <w:r w:rsidRPr="00E95611">
        <w:rPr>
          <w:b/>
          <w:bCs/>
        </w:rPr>
        <w:t>3.5 The tolerance ε(Π): one parameter under layered control [LB clarification / SUP coupling]</w:t>
      </w:r>
    </w:p>
    <w:p w14:paraId="2D99EC43" w14:textId="0EBC1149" w:rsidR="00E95611" w:rsidRPr="00E95611" w:rsidRDefault="00E95611" w:rsidP="00E95611">
      <w:pPr>
        <w:jc w:val="both"/>
      </w:pPr>
      <w:r w:rsidRPr="00E95611">
        <w:t>The gate of §3.1–</w:t>
      </w:r>
      <w:r w:rsidR="00180F9E" w:rsidRPr="00E95611">
        <w:t>§</w:t>
      </w:r>
      <w:r w:rsidRPr="00E95611">
        <w:t xml:space="preserve">3.4 has a single free parameter, the tolerance ε(Π), and finalising the gate requires saying precisely what it is and what sets it, because a loose reading of ε(Π) would quietly undo the class criterion of §3.2. ε(Π) is </w:t>
      </w:r>
      <w:r w:rsidRPr="00E95611">
        <w:rPr>
          <w:b/>
          <w:bCs/>
        </w:rPr>
        <w:t>not a magnitude threshold</w:t>
      </w:r>
      <w:r w:rsidRPr="00E95611">
        <w:t xml:space="preserve">. The criterion is the nontriviality of the cohomology class, and §3.2 showed the magnitude reading to run backwards; what ε(Π) controls is the </w:t>
      </w:r>
      <w:r w:rsidRPr="00E95611">
        <w:rPr>
          <w:b/>
          <w:bCs/>
        </w:rPr>
        <w:t>resolution at which class-triviality is decided</w:t>
      </w:r>
      <w:r w:rsidRPr="00E95611">
        <w:t xml:space="preserve"> — the precision with which the gate judges whether a cocycle is a coboundary. Tightening ε(Π) does not lower a bar that a larger obstruction must clear; it raises the resolution at which an obstruction class counts as irreducible, so that under a tight ε(Π) even a small representative reads as a nontrivial class and the gate withholds. This is the difference between the framework's gate and an ordinary error threshold, and it is the form in which ε(Π) couples to the rest of the framework.</w:t>
      </w:r>
    </w:p>
    <w:p w14:paraId="0509861C" w14:textId="77777777" w:rsidR="00E95611" w:rsidRPr="00E95611" w:rsidRDefault="00E95611" w:rsidP="00E95611">
      <w:pPr>
        <w:jc w:val="both"/>
      </w:pPr>
      <w:r w:rsidRPr="00E95611">
        <w:t xml:space="preserve">So described, ε(Π) is the precision parameter of Paper 2 — the persistence/tolerance term of the thermodynamic–electric coupling, read here at the inner-product rung as the resolution of the obstruction gate. The gate does not own a tolerance of its own; it consumes Paper 2's. That single parameter is under </w:t>
      </w:r>
      <w:r w:rsidRPr="00E95611">
        <w:rPr>
          <w:b/>
          <w:bCs/>
        </w:rPr>
        <w:t>layered control</w:t>
      </w:r>
      <w:r w:rsidRPr="00E95611">
        <w:t xml:space="preserve"> at three timescales and scopes, and the finalised account states it as one parameter with three controllers rather than as three tolerances:</w:t>
      </w:r>
    </w:p>
    <w:p w14:paraId="596A8363" w14:textId="77777777" w:rsidR="00E95611" w:rsidRPr="00E95611" w:rsidRDefault="00E95611" w:rsidP="00E95611">
      <w:pPr>
        <w:numPr>
          <w:ilvl w:val="0"/>
          <w:numId w:val="1"/>
        </w:numPr>
        <w:jc w:val="both"/>
      </w:pPr>
      <w:r w:rsidRPr="00E95611">
        <w:t xml:space="preserve">a </w:t>
      </w:r>
      <w:r w:rsidRPr="00E95611">
        <w:rPr>
          <w:b/>
          <w:bCs/>
        </w:rPr>
        <w:t>slow local baseline</w:t>
      </w:r>
      <w:r w:rsidRPr="00E95611">
        <w:t xml:space="preserve"> — the chronic per-region precision set by glial and astrocytic regulation, the standing resolution of a cortical territory;</w:t>
      </w:r>
    </w:p>
    <w:p w14:paraId="663F550A" w14:textId="77777777" w:rsidR="00E95611" w:rsidRPr="00E95611" w:rsidRDefault="00E95611" w:rsidP="00E95611">
      <w:pPr>
        <w:numPr>
          <w:ilvl w:val="0"/>
          <w:numId w:val="1"/>
        </w:numPr>
        <w:jc w:val="both"/>
      </w:pPr>
      <w:r w:rsidRPr="00E95611">
        <w:t xml:space="preserve">a </w:t>
      </w:r>
      <w:r w:rsidRPr="00E95611">
        <w:rPr>
          <w:b/>
          <w:bCs/>
        </w:rPr>
        <w:t>global regime term</w:t>
      </w:r>
      <w:r w:rsidRPr="00E95611">
        <w:t xml:space="preserve"> — set by neuromodulatory and thalamic state, moving the whole system between the regimes §4.5 already names: the strict tolerance of waking and high-fidelity N3, the loosened tolerance of REM;</w:t>
      </w:r>
    </w:p>
    <w:p w14:paraId="26AE45F0" w14:textId="77777777" w:rsidR="00E95611" w:rsidRPr="00E95611" w:rsidRDefault="00E95611" w:rsidP="00E95611">
      <w:pPr>
        <w:numPr>
          <w:ilvl w:val="0"/>
          <w:numId w:val="1"/>
        </w:numPr>
        <w:jc w:val="both"/>
      </w:pPr>
      <w:r w:rsidRPr="00E95611">
        <w:t xml:space="preserve">a </w:t>
      </w:r>
      <w:r w:rsidRPr="00E95611">
        <w:rPr>
          <w:b/>
          <w:bCs/>
        </w:rPr>
        <w:t>fast, zone-local term</w:t>
      </w:r>
      <w:r w:rsidRPr="00E95611">
        <w:t xml:space="preserve"> — driven by physiological cost, the salience signal T: rising cost tightens ε(Π) for the content implicated, demanding near-pristine coherence before a binding touching that content is released.</w:t>
      </w:r>
    </w:p>
    <w:p w14:paraId="06BDD1D9" w14:textId="77777777" w:rsidR="00E95611" w:rsidRPr="00E95611" w:rsidRDefault="00E95611" w:rsidP="00E95611">
      <w:pPr>
        <w:jc w:val="both"/>
      </w:pPr>
      <w:r w:rsidRPr="00E95611">
        <w:t>These introduce no new thresholds; they are three controllers turning the one knob Paper 2 supplies, at the timescales of glia-and-development, of the sleep–wake regime, and of the moment's salience. Their physical point of action is identified in §5.2: the dendrite-targeting inhibition that vetoes the apical coincidence is the gate's withhold, and the strength of that inhibition is ε(Π) made physical. The global regime term has a further, layer-level effector: layer-6 gain control (§5.1), the corticothalamic knob that scales a column's responsiveness without altering its tuning (Olsen et al. 2012), is where convergent neuromodulatory and thalamic signals set the column-wide precision. This is not a fourth controller but the cortical substrate through which the existing global term acts — the column-wide counterpart to the local apical inhibition, raising or lowering the resolution at which the whole column's obstructions are judged.</w:t>
      </w:r>
    </w:p>
    <w:p w14:paraId="3B281426" w14:textId="77777777" w:rsidR="00E95611" w:rsidRPr="00E95611" w:rsidRDefault="00E95611" w:rsidP="00E95611">
      <w:pPr>
        <w:jc w:val="both"/>
      </w:pPr>
      <w:r w:rsidRPr="00E95611">
        <w:t xml:space="preserve">The coupling closes a loop across the framework. The same ε(Π) that sets the resolution of the cross-modal cup-product gate at the top of the ladder is, through the cost term T, the tolerance that constricts under threat — the zone-local lock by which a high physiological cost forces the system to demand flawless coherence before acting. The binding gate at the apex and the cost-driven tolerance lock are therefore one parameter under one coupling, which is what connects the most abstract operation in the cortex — the gating of multimodal semantic binding — back down to the proximity floor where the raw cost magnitude is born. (The loosened-ε regime of REM has a familiar interpretive </w:t>
      </w:r>
      <w:r w:rsidRPr="00E95611">
        <w:lastRenderedPageBreak/>
        <w:t>reading, the fluid associative recombination of dreaming; the gate's account does not rest on it, and it is left at the interpretive horizon.)</w:t>
      </w:r>
    </w:p>
    <w:p w14:paraId="0B99D6FD" w14:textId="05C49414" w:rsidR="00E95611" w:rsidRPr="00E95611" w:rsidRDefault="00E95611" w:rsidP="00CE5D42">
      <w:pPr>
        <w:pStyle w:val="Heading1"/>
      </w:pPr>
      <w:r w:rsidRPr="00E95611">
        <w:t>4. N3 as the Offline Tensor Lift</w:t>
      </w:r>
      <w:r w:rsidR="00CE5D42">
        <w:tab/>
      </w:r>
    </w:p>
    <w:p w14:paraId="27D971F1" w14:textId="77777777" w:rsidR="00E95611" w:rsidRPr="00E95611" w:rsidRDefault="00E95611" w:rsidP="00E95611">
      <w:pPr>
        <w:jc w:val="both"/>
      </w:pPr>
      <w:r w:rsidRPr="00E95611">
        <w:t xml:space="preserve">The two preceding sections described the neocortex at the inner-product rung as a tensor-product memory algebra (§2) guarded by a first- and second-order obstruction gate (§3). Both took for granted that the algebra is </w:t>
      </w:r>
      <w:r w:rsidRPr="00E95611">
        <w:rPr>
          <w:i/>
          <w:iCs/>
        </w:rPr>
        <w:t>usable</w:t>
      </w:r>
      <w:r w:rsidRPr="00E95611">
        <w:t xml:space="preserve"> — that a stored trace can be retrieved by contraction without the retrieval bleeding in everything else stored alongside it, and that the gate's transition maps are expressed in a stable basis. This section asks where that usable structure comes from, and gives the paper its load-bearing connection to the rest of the series: the clean tensor store is not written during waking, it is </w:t>
      </w:r>
      <w:r w:rsidRPr="00E95611">
        <w:rPr>
          <w:i/>
          <w:iCs/>
        </w:rPr>
        <w:t>built offline</w:t>
      </w:r>
      <w:r w:rsidRPr="00E95611">
        <w:t xml:space="preserve">, and the operation that builds it is the N3 lift of Paper 1. Waking </w:t>
      </w:r>
      <w:r w:rsidRPr="00E95611">
        <w:rPr>
          <w:i/>
          <w:iCs/>
        </w:rPr>
        <w:t>uses</w:t>
      </w:r>
      <w:r w:rsidRPr="00E95611">
        <w:t xml:space="preserve"> the algebra; sleep </w:t>
      </w:r>
      <w:r w:rsidRPr="00E95611">
        <w:rPr>
          <w:i/>
          <w:iCs/>
        </w:rPr>
        <w:t>constructs and maintains</w:t>
      </w:r>
      <w:r w:rsidRPr="00E95611">
        <w:t xml:space="preserve"> it. The gate of §3 and the lift of this section are the read-side and the write-side maintenance of one object.</w:t>
      </w:r>
    </w:p>
    <w:p w14:paraId="5BF4EFB5" w14:textId="77777777" w:rsidR="00E95611" w:rsidRPr="00E95611" w:rsidRDefault="00E95611" w:rsidP="00E95611">
      <w:pPr>
        <w:jc w:val="both"/>
        <w:rPr>
          <w:b/>
          <w:bCs/>
        </w:rPr>
      </w:pPr>
      <w:r w:rsidRPr="00E95611">
        <w:rPr>
          <w:b/>
          <w:bCs/>
        </w:rPr>
        <w:t>4.1 The demand contraction places on the representation [LB]</w:t>
      </w:r>
    </w:p>
    <w:p w14:paraId="5E9CE5B1" w14:textId="77777777" w:rsidR="00E95611" w:rsidRPr="00E95611" w:rsidRDefault="00E95611" w:rsidP="00E95611">
      <w:pPr>
        <w:jc w:val="both"/>
      </w:pPr>
      <w:r w:rsidRPr="00E95611">
        <w:t xml:space="preserve">Begin with what retrieval requires, because the requirement is exact and it drives everything else. A trace is stored as T = Σ_k content_k </w:t>
      </w:r>
      <w:r w:rsidRPr="00E95611">
        <w:rPr>
          <w:rFonts w:ascii="Cambria Math" w:hAnsi="Cambria Math" w:cs="Cambria Math"/>
        </w:rPr>
        <w:t>⊗</w:t>
      </w:r>
      <w:r w:rsidRPr="00E95611">
        <w:t xml:space="preserve"> role_k </w:t>
      </w:r>
      <w:r w:rsidRPr="00E95611">
        <w:rPr>
          <w:rFonts w:ascii="Cambria Math" w:hAnsi="Cambria Math" w:cs="Cambria Math"/>
        </w:rPr>
        <w:t>⊗</w:t>
      </w:r>
      <w:r w:rsidRPr="00E95611">
        <w:t xml:space="preserve"> context_k </w:t>
      </w:r>
      <w:r w:rsidRPr="00E95611">
        <w:rPr>
          <w:rFonts w:ascii="Cambria Math" w:hAnsi="Cambria Math" w:cs="Cambria Math"/>
        </w:rPr>
        <w:t>⊗</w:t>
      </w:r>
      <w:r w:rsidRPr="00E95611">
        <w:t xml:space="preserve"> time_k, and retrieval against a role key q is the partial contraction that returns the content bound to that role. The recovered content is</w:t>
      </w:r>
    </w:p>
    <w:p w14:paraId="4424A991" w14:textId="77777777" w:rsidR="00E95611" w:rsidRPr="00E95611" w:rsidRDefault="00E95611" w:rsidP="00CE5D42">
      <w:pPr>
        <w:jc w:val="center"/>
      </w:pPr>
      <w:r w:rsidRPr="00E95611">
        <w:t xml:space="preserve">x̂ = Σ_k </w:t>
      </w:r>
      <w:r w:rsidRPr="00E95611">
        <w:rPr>
          <w:rFonts w:ascii="Cambria Math" w:hAnsi="Cambria Math" w:cs="Cambria Math"/>
        </w:rPr>
        <w:t>⟨</w:t>
      </w:r>
      <w:r w:rsidRPr="00E95611">
        <w:t>q, role_k</w:t>
      </w:r>
      <w:r w:rsidRPr="00E95611">
        <w:rPr>
          <w:rFonts w:ascii="Cambria Math" w:hAnsi="Cambria Math" w:cs="Cambria Math"/>
        </w:rPr>
        <w:t>⟩</w:t>
      </w:r>
      <w:r w:rsidRPr="00E95611">
        <w:t xml:space="preserve"> · content_k.</w:t>
      </w:r>
    </w:p>
    <w:p w14:paraId="4D89F997" w14:textId="77777777" w:rsidR="00E95611" w:rsidRPr="00E95611" w:rsidRDefault="00E95611" w:rsidP="00E95611">
      <w:pPr>
        <w:jc w:val="both"/>
      </w:pPr>
      <w:r w:rsidRPr="00E95611">
        <w:t xml:space="preserve">This returns the intended content cleanly only if the role factors are mutually orthogonal: if </w:t>
      </w:r>
      <w:r w:rsidRPr="00E95611">
        <w:rPr>
          <w:rFonts w:ascii="Cambria Math" w:hAnsi="Cambria Math" w:cs="Cambria Math"/>
        </w:rPr>
        <w:t>⟨</w:t>
      </w:r>
      <w:r w:rsidRPr="00E95611">
        <w:t>q, role_k</w:t>
      </w:r>
      <w:r w:rsidRPr="00E95611">
        <w:rPr>
          <w:rFonts w:ascii="Cambria Math" w:hAnsi="Cambria Math" w:cs="Cambria Math"/>
        </w:rPr>
        <w:t>⟩</w:t>
      </w:r>
      <w:r w:rsidRPr="00E95611">
        <w:t xml:space="preserve"> ≈ δ on the intended role and near zero on the others, the contraction isolates the right content; if the roles are correlated — if </w:t>
      </w:r>
      <w:r w:rsidRPr="00E95611">
        <w:rPr>
          <w:rFonts w:ascii="Cambria Math" w:hAnsi="Cambria Math" w:cs="Cambria Math"/>
        </w:rPr>
        <w:t>⟨</w:t>
      </w:r>
      <w:r w:rsidRPr="00E95611">
        <w:t>q, role_j</w:t>
      </w:r>
      <w:r w:rsidRPr="00E95611">
        <w:rPr>
          <w:rFonts w:ascii="Cambria Math" w:hAnsi="Cambria Math" w:cs="Cambria Math"/>
        </w:rPr>
        <w:t>⟩</w:t>
      </w:r>
      <w:r w:rsidRPr="00E95611">
        <w:t xml:space="preserve"> is appreciable for roles j other than the queried one — then content bound to those other roles bleeds into the result. Non-orthogonal roles produce </w:t>
      </w:r>
      <w:r w:rsidRPr="00E95611">
        <w:rPr>
          <w:i/>
          <w:iCs/>
        </w:rPr>
        <w:t>cross-talk</w:t>
      </w:r>
      <w:r w:rsidRPr="00E95611">
        <w:t xml:space="preserve">: the retrieval of "what was on the table" returns a blend contaminated by what was held, what was seen elsewhere, what was expected. This is linear algebra, not interpretation, and it is the precise sense in which a tensor-product memory is only as good as the decorrelation of its factors. Clean unbinding — the first-class unglue operation §2 identified — </w:t>
      </w:r>
      <w:r w:rsidRPr="00E95611">
        <w:rPr>
          <w:i/>
          <w:iCs/>
        </w:rPr>
        <w:t>requires an orthogonalized role basis</w:t>
      </w:r>
      <w:r w:rsidRPr="00E95611">
        <w:t>. A store whose roles are entangled does not support contraction retrieval; it supports only blurred, interference-laden recall.</w:t>
      </w:r>
    </w:p>
    <w:p w14:paraId="4138EE7F" w14:textId="77777777" w:rsidR="00E95611" w:rsidRPr="00E95611" w:rsidRDefault="00E95611" w:rsidP="00E95611">
      <w:pPr>
        <w:jc w:val="both"/>
        <w:rPr>
          <w:b/>
          <w:bCs/>
        </w:rPr>
      </w:pPr>
      <w:r w:rsidRPr="00E95611">
        <w:rPr>
          <w:b/>
          <w:bCs/>
        </w:rPr>
        <w:t>4.2 Orthogonalization is the inner-product lift [LB]</w:t>
      </w:r>
    </w:p>
    <w:p w14:paraId="40225368" w14:textId="77777777" w:rsidR="00E95611" w:rsidRPr="00E95611" w:rsidRDefault="00E95611" w:rsidP="00E95611">
      <w:pPr>
        <w:jc w:val="both"/>
      </w:pPr>
      <w:r w:rsidRPr="00E95611">
        <w:t xml:space="preserve">Orthogonality is not available at every rung of the enrichment ladder. A metric space has distance, a normed space has length, but neither has </w:t>
      </w:r>
      <w:r w:rsidRPr="00E95611">
        <w:rPr>
          <w:i/>
          <w:iCs/>
        </w:rPr>
        <w:t>angle</w:t>
      </w:r>
      <w:r w:rsidRPr="00E95611">
        <w:t xml:space="preserve">, and orthogonality is an angular notion: it is the structure of the inner-product rung at the top of the ladder. The capacity to ask whether two roles are orthogonal, and to make them so, is therefore precisely the structure that distinguishes the inner-product rung from the rungs below it. The decorrelated role basis that §4.1 showed retrieval to require </w:t>
      </w:r>
      <w:r w:rsidRPr="00E95611">
        <w:rPr>
          <w:i/>
          <w:iCs/>
        </w:rPr>
        <w:t>lives at the inner-product rung</w:t>
      </w:r>
      <w:r w:rsidRPr="00E95611">
        <w:t>, and obtaining it from a representation that has only metric or normed structure is the obstructed, upward direction of the ladder.</w:t>
      </w:r>
    </w:p>
    <w:p w14:paraId="7FE68B61" w14:textId="77777777" w:rsidR="00E95611" w:rsidRPr="00E95611" w:rsidRDefault="00E95611" w:rsidP="00E95611">
      <w:pPr>
        <w:jc w:val="both"/>
      </w:pPr>
      <w:r w:rsidRPr="00E95611">
        <w:t>The operation that performs that ascent is the one Paper 1 already named: the polarization identity. For a real space the inner product is recovered from the norm by</w:t>
      </w:r>
    </w:p>
    <w:p w14:paraId="4A7DF6D5" w14:textId="1EDC6797" w:rsidR="00E95611" w:rsidRPr="00E95611" w:rsidRDefault="00E95611" w:rsidP="00CE5D42">
      <w:pPr>
        <w:tabs>
          <w:tab w:val="left" w:pos="3032"/>
        </w:tabs>
        <w:jc w:val="center"/>
      </w:pPr>
      <w:r w:rsidRPr="00E95611">
        <w:rPr>
          <w:rFonts w:ascii="Cambria Math" w:hAnsi="Cambria Math" w:cs="Cambria Math"/>
        </w:rPr>
        <w:t>⟨</w:t>
      </w:r>
      <w:r w:rsidRPr="00E95611">
        <w:t>x, y</w:t>
      </w:r>
      <w:r w:rsidRPr="00E95611">
        <w:rPr>
          <w:rFonts w:ascii="Cambria Math" w:hAnsi="Cambria Math" w:cs="Cambria Math"/>
        </w:rPr>
        <w:t>⟩</w:t>
      </w:r>
      <w:r w:rsidRPr="00E95611">
        <w:t xml:space="preserve"> = ¼(‖x + y‖² − ‖x − y‖²),</w:t>
      </w:r>
    </w:p>
    <w:p w14:paraId="5D73271D" w14:textId="77777777" w:rsidR="00E95611" w:rsidRPr="00E95611" w:rsidRDefault="00E95611" w:rsidP="00E95611">
      <w:pPr>
        <w:jc w:val="both"/>
      </w:pPr>
      <w:r w:rsidRPr="00E95611">
        <w:t xml:space="preserve">and this recovery succeeds exactly when the norm obeys the parallelogram law. Polarization is, in the framework's terms, the normed-to-inner-product lift — the operation that turns lengths into angles </w:t>
      </w:r>
      <w:r w:rsidRPr="00E95611">
        <w:lastRenderedPageBreak/>
        <w:t xml:space="preserve">and so makes orthogonality, and hence decorrelation, possible. Paper 1 located this lift in N3 sleep and showed it to be the framework's offline ascent up the ladder. The present paper adds its </w:t>
      </w:r>
      <w:r w:rsidRPr="00E95611">
        <w:rPr>
          <w:i/>
          <w:iCs/>
        </w:rPr>
        <w:t>function</w:t>
      </w:r>
      <w:r w:rsidRPr="00E95611">
        <w:t>: the N3 polarization lift is the operation that builds the orthogonal role basis on which contraction retrieval depends. What Paper 1 described as an abstract upward lift is here given a concrete computational payoff — it is the construction of the decorrelated tensor factors that make the cortex a usable memory algebra rather than an interfering superposition.</w:t>
      </w:r>
    </w:p>
    <w:p w14:paraId="25B0664B" w14:textId="77777777" w:rsidR="00E95611" w:rsidRPr="00E95611" w:rsidRDefault="00E95611" w:rsidP="00E95611">
      <w:pPr>
        <w:jc w:val="both"/>
        <w:rPr>
          <w:b/>
          <w:bCs/>
        </w:rPr>
      </w:pPr>
      <w:r w:rsidRPr="00E95611">
        <w:rPr>
          <w:b/>
          <w:bCs/>
        </w:rPr>
        <w:t>4.3 Why the lift must be offline [LB]</w:t>
      </w:r>
    </w:p>
    <w:p w14:paraId="7B510E27" w14:textId="77777777" w:rsidR="00E95611" w:rsidRPr="00E95611" w:rsidRDefault="00E95611" w:rsidP="00E95611">
      <w:pPr>
        <w:jc w:val="both"/>
      </w:pPr>
      <w:r w:rsidRPr="00E95611">
        <w:t xml:space="preserve">It remains to say why this operation cannot be done during waking, and the answer is already in Paper 3. Orthogonalizing the role basis is a </w:t>
      </w:r>
      <w:r w:rsidRPr="00E95611">
        <w:rPr>
          <w:i/>
          <w:iCs/>
        </w:rPr>
        <w:t>global</w:t>
      </w:r>
      <w:r w:rsidRPr="00E95611">
        <w:t xml:space="preserve"> re-coordinatization: it is not a local adjustment to one trace but a re-expression of the whole accumulated store in a basis in which the roles are mutually orthogonal. Paper 3 established that global re-covering requires a frozen base — that one can track a moving base by local re-gluing but cannot re-cover it globally while it moves, which is the online-irreducibility result that forces an offline regime to exist. The orthogonalization lift is exactly such a global re-covering, and so it inherits the irreducibility: it cannot be performed while the cortex is coupled to an arriving sensory stream that keeps writing new, locally-coordinated content.</w:t>
      </w:r>
    </w:p>
    <w:p w14:paraId="6F98F63C" w14:textId="77777777" w:rsidR="00E95611" w:rsidRPr="00E95611" w:rsidRDefault="00E95611" w:rsidP="00E95611">
      <w:pPr>
        <w:jc w:val="both"/>
      </w:pPr>
      <w:r w:rsidRPr="00E95611">
        <w:t xml:space="preserve">This fixes the division of labor precisely. During waking, layer 4 writes new content at whatever local coordinates are available, and these writes are necessarily </w:t>
      </w:r>
      <w:r w:rsidRPr="00E95611">
        <w:rPr>
          <w:i/>
          <w:iCs/>
        </w:rPr>
        <w:t>not</w:t>
      </w:r>
      <w:r w:rsidRPr="00E95611">
        <w:t xml:space="preserve"> decorrelated against the existing store — a new trace bound during the day shares structure with traces already present, because waking has no budget to re-coordinatize the whole store against each arrival. Waking therefore accumulates an increasingly entangled, cross-talk-prone store. N3 performs the offline global lift that re-expresses the accumulated content in the orthogonal basis, paying down the entanglement that waking necessarily incurred. The cortex must sleep to keep its memory algebra contractible, and this is the same necessity Paper 3 derived, now seen from the read-side: without the offline lift, the role basis degrades, contraction retrieval fills with cross-talk, and the gate of §3 — whose transition maps are expressed in that basis — begins to see spurious obstructions where roles overlap and to miss real ones where the basis has collapsed. Sleep deprivation, on this reading, is tensor-store degradation, and it degrades retrieval and gating together.</w:t>
      </w:r>
    </w:p>
    <w:p w14:paraId="5A2B569A" w14:textId="77777777" w:rsidR="00E95611" w:rsidRPr="00E95611" w:rsidRDefault="00E95611" w:rsidP="00E95611">
      <w:pPr>
        <w:jc w:val="both"/>
        <w:rPr>
          <w:b/>
          <w:bCs/>
        </w:rPr>
      </w:pPr>
      <w:r w:rsidRPr="00E95611">
        <w:rPr>
          <w:b/>
          <w:bCs/>
        </w:rPr>
        <w:t>4.4 No fabrication: Hahn–Banach norm-preservation [LB]</w:t>
      </w:r>
    </w:p>
    <w:p w14:paraId="4BA6470F" w14:textId="77777777" w:rsidR="00E95611" w:rsidRPr="00E95611" w:rsidRDefault="00E95611" w:rsidP="00E95611">
      <w:pPr>
        <w:jc w:val="both"/>
      </w:pPr>
      <w:r w:rsidRPr="00E95611">
        <w:t xml:space="preserve">An offline operation that reorganizes the entire store is dangerous in a specific way: a lift that </w:t>
      </w:r>
      <w:r w:rsidRPr="00E95611">
        <w:rPr>
          <w:i/>
          <w:iCs/>
        </w:rPr>
        <w:t>added</w:t>
      </w:r>
      <w:r w:rsidRPr="00E95611">
        <w:t xml:space="preserve"> structure could manufacture bindings the waking data never contained — a false memory, a confabulated association indistinguishable, after the fact, from a real one. The framework's guard against this is the one Paper 1 supplied: the lift is a </w:t>
      </w:r>
      <w:r w:rsidRPr="00E95611">
        <w:rPr>
          <w:i/>
          <w:iCs/>
        </w:rPr>
        <w:t>norm-preserving</w:t>
      </w:r>
      <w:r w:rsidRPr="00E95611">
        <w:t xml:space="preserve"> extension, in the Hahn–Banach sense. The Hahn–Banach theorem extends a functional to a larger space without increasing its norm, and the framework reads the offline lift as exactly such an extension — it re-expresses the existing content in the orthogonal basis without inflating any of it. Norm-preservation is the formal statement that consolidation </w:t>
      </w:r>
      <w:r w:rsidRPr="00E95611">
        <w:rPr>
          <w:i/>
          <w:iCs/>
        </w:rPr>
        <w:t>reorganizes without inventing</w:t>
      </w:r>
      <w:r w:rsidRPr="00E95611">
        <w:t>: it may decorrelate, index, and re-coordinatize what waking encoded, but it cannot create magnitude, and so it cannot create a binding, that was not already present in the day's traces.</w:t>
      </w:r>
    </w:p>
    <w:p w14:paraId="4500E09E" w14:textId="77777777" w:rsidR="00E95611" w:rsidRPr="00E95611" w:rsidRDefault="00E95611" w:rsidP="00E95611">
      <w:pPr>
        <w:jc w:val="both"/>
      </w:pPr>
      <w:r w:rsidRPr="00E95611">
        <w:t>This is the tensor-store form of the framework's standing anti-fabrication commitment — the same guarantee that Paper 3 attached to legitimate gluing and that the gluing discipline encoded as a non-erasable provenance type. A norm-</w:t>
      </w:r>
      <w:r w:rsidRPr="00E95611">
        <w:rPr>
          <w:i/>
          <w:iCs/>
        </w:rPr>
        <w:t>increasing</w:t>
      </w:r>
      <w:r w:rsidRPr="00E95611">
        <w:t xml:space="preserve"> offline lift would be the mechanism of sleep-generated false binding; the framework predicts that the healthy lift is norm-preserving and that fabrication is the signature of its failure. The H² gate of §3 is the waking complement of this offline guarantee: the lift prevents fabricated bindings from being </w:t>
      </w:r>
      <w:r w:rsidRPr="00E95611">
        <w:rPr>
          <w:i/>
          <w:iCs/>
        </w:rPr>
        <w:t>written</w:t>
      </w:r>
      <w:r w:rsidRPr="00E95611">
        <w:t xml:space="preserve"> during consolidation, and the gate prevents </w:t>
      </w:r>
      <w:r w:rsidRPr="00E95611">
        <w:lastRenderedPageBreak/>
        <w:t xml:space="preserve">compound incoherences from being </w:t>
      </w:r>
      <w:r w:rsidRPr="00E95611">
        <w:rPr>
          <w:i/>
          <w:iCs/>
        </w:rPr>
        <w:t>released</w:t>
      </w:r>
      <w:r w:rsidRPr="00E95611">
        <w:t xml:space="preserve"> during retrieval. Write-side and read-side, the same commitment.</w:t>
      </w:r>
    </w:p>
    <w:p w14:paraId="4DB5E2E4" w14:textId="77777777" w:rsidR="00E95611" w:rsidRPr="00E95611" w:rsidRDefault="00E95611" w:rsidP="00E95611">
      <w:pPr>
        <w:jc w:val="both"/>
      </w:pPr>
      <w:r w:rsidRPr="00E95611">
        <w:rPr>
          <w:b/>
          <w:bCs/>
        </w:rPr>
        <w:t xml:space="preserve">What norm-preservation does </w:t>
      </w:r>
      <w:r w:rsidRPr="00E95611">
        <w:rPr>
          <w:b/>
          <w:bCs/>
          <w:i/>
          <w:iCs/>
        </w:rPr>
        <w:t>not</w:t>
      </w:r>
      <w:r w:rsidRPr="00E95611">
        <w:rPr>
          <w:b/>
          <w:bCs/>
        </w:rPr>
        <w:t xml:space="preserve"> preserve: the origin.</w:t>
      </w:r>
      <w:r w:rsidRPr="00E95611">
        <w:t xml:space="preserve"> Norm-preservation bounds what the lift may keep — it cannot inflate content, hence cannot fabricate — but it says nothing about what the lift </w:t>
      </w:r>
      <w:r w:rsidRPr="00E95611">
        <w:rPr>
          <w:i/>
          <w:iCs/>
        </w:rPr>
        <w:t>removes</w:t>
      </w:r>
      <w:r w:rsidRPr="00E95611">
        <w:t xml:space="preserve">, and the lift removes something specific and predictable. The waking trace is content </w:t>
      </w:r>
      <w:r w:rsidRPr="00E95611">
        <w:rPr>
          <w:rFonts w:ascii="Cambria Math" w:hAnsi="Cambria Math" w:cs="Cambria Math"/>
        </w:rPr>
        <w:t>⊗</w:t>
      </w:r>
      <w:r w:rsidRPr="00E95611">
        <w:t xml:space="preserve"> role </w:t>
      </w:r>
      <w:r w:rsidRPr="00E95611">
        <w:rPr>
          <w:rFonts w:ascii="Cambria Math" w:hAnsi="Cambria Math" w:cs="Cambria Math"/>
        </w:rPr>
        <w:t>⊗</w:t>
      </w:r>
      <w:r w:rsidRPr="00E95611">
        <w:t xml:space="preserve"> context </w:t>
      </w:r>
      <w:r w:rsidRPr="00E95611">
        <w:rPr>
          <w:rFonts w:ascii="Cambria Math" w:hAnsi="Cambria Math" w:cs="Cambria Math"/>
        </w:rPr>
        <w:t>⊗</w:t>
      </w:r>
      <w:r w:rsidRPr="00E95611">
        <w:t xml:space="preserve"> time: an episode is anchored to a place-and-time reference frame, which on the ladder is the </w:t>
      </w:r>
      <w:r w:rsidRPr="00E95611">
        <w:rPr>
          <w:i/>
          <w:iCs/>
        </w:rPr>
        <w:t>origin</w:t>
      </w:r>
      <w:r w:rsidRPr="00E95611">
        <w:t xml:space="preserve"> of its normed coordinate system. The inner-product rung is coordinate-</w:t>
      </w:r>
      <w:r w:rsidRPr="00E95611">
        <w:rPr>
          <w:i/>
          <w:iCs/>
        </w:rPr>
        <w:t>free</w:t>
      </w:r>
      <w:r w:rsidRPr="00E95611">
        <w:t xml:space="preserve">: it carries angles and magnitudes among contents but no absolute origin. So the normed→inner-product lift, by the very change of rung it performs, drops the context </w:t>
      </w:r>
      <w:r w:rsidRPr="00E95611">
        <w:rPr>
          <w:rFonts w:ascii="Cambria Math" w:hAnsi="Cambria Math" w:cs="Cambria Math"/>
        </w:rPr>
        <w:t>⊗</w:t>
      </w:r>
      <w:r w:rsidRPr="00E95611">
        <w:t xml:space="preserve"> time factors </w:t>
      </w:r>
      <w:r w:rsidRPr="00E95611">
        <w:rPr>
          <w:rFonts w:ascii="Calibri" w:hAnsi="Calibri" w:cs="Calibri"/>
        </w:rPr>
        <w:t>—</w:t>
      </w:r>
      <w:r w:rsidRPr="00E95611">
        <w:t xml:space="preserve"> the episodic provenance, the </w:t>
      </w:r>
      <w:r w:rsidRPr="00E95611">
        <w:rPr>
          <w:i/>
          <w:iCs/>
        </w:rPr>
        <w:t>where</w:t>
      </w:r>
      <w:r w:rsidRPr="00E95611">
        <w:t xml:space="preserve"> and </w:t>
      </w:r>
      <w:r w:rsidRPr="00E95611">
        <w:rPr>
          <w:i/>
          <w:iCs/>
        </w:rPr>
        <w:t>when</w:t>
      </w:r>
      <w:r w:rsidRPr="00E95611">
        <w:t xml:space="preserve"> — while preserving, at constant norm, the content </w:t>
      </w:r>
      <w:r w:rsidRPr="00E95611">
        <w:rPr>
          <w:rFonts w:ascii="Cambria Math" w:hAnsi="Cambria Math" w:cs="Cambria Math"/>
        </w:rPr>
        <w:t>⊗</w:t>
      </w:r>
      <w:r w:rsidRPr="00E95611">
        <w:t xml:space="preserve"> role structure. Decontextualization is therefore not a side effect of the lift but its defining geometric action: the same operation that re-coordinatizes content into an orthogonal basis (so it can be retrieved cleanly and reasoned about generally) necessarily strips the origin that made it a located episode. Norm-preservation and provenance-stripping are two faces of one lift </w:t>
      </w:r>
      <w:r w:rsidRPr="00E95611">
        <w:rPr>
          <w:rFonts w:ascii="Calibri" w:hAnsi="Calibri" w:cs="Calibri"/>
        </w:rPr>
        <w:t>—</w:t>
      </w:r>
      <w:r w:rsidRPr="00E95611">
        <w:t xml:space="preserve"> what survives is the content/role magnitude, what is shed is the absolute coordinate frame. (This is a different sense of "provenance" from the engineering discipline's </w:t>
      </w:r>
      <w:r w:rsidRPr="00E95611">
        <w:rPr>
          <w:i/>
          <w:iCs/>
        </w:rPr>
        <w:t>non-erasable validity domain</w:t>
      </w:r>
      <w:r w:rsidRPr="00E95611">
        <w:t xml:space="preserve">, which tracks where a representation may be safely used; the lift strips the </w:t>
      </w:r>
      <w:r w:rsidRPr="00E95611">
        <w:rPr>
          <w:i/>
          <w:iCs/>
        </w:rPr>
        <w:t>episodic</w:t>
      </w:r>
      <w:r w:rsidRPr="00E95611">
        <w:t xml:space="preserve"> origin of one experience while abstracting a regularity legitimately held across many — it decontextualizes, it does not licence misuse.)</w:t>
      </w:r>
    </w:p>
    <w:p w14:paraId="55CE2855" w14:textId="77777777" w:rsidR="00E95611" w:rsidRPr="00E95611" w:rsidRDefault="00E95611" w:rsidP="00E95611">
      <w:pPr>
        <w:jc w:val="both"/>
      </w:pPr>
      <w:r w:rsidRPr="00E95611">
        <w:t xml:space="preserve">This predicts a precise and now-documented signature [SUP]. The consolidation literature describes exactly this profile under the name </w:t>
      </w:r>
      <w:r w:rsidRPr="00E95611">
        <w:rPr>
          <w:i/>
          <w:iCs/>
        </w:rPr>
        <w:t>semanticization</w:t>
      </w:r>
      <w:r w:rsidRPr="00E95611">
        <w:t xml:space="preserve">: episodic memories are progressively </w:t>
      </w:r>
      <w:r w:rsidRPr="00E95611">
        <w:rPr>
          <w:i/>
          <w:iCs/>
        </w:rPr>
        <w:t>decoupled from their associated contexts</w:t>
      </w:r>
      <w:r w:rsidRPr="00E95611">
        <w:t xml:space="preserve"> and transformed into gist-like semantic representations, with the striking property that the </w:t>
      </w:r>
      <w:r w:rsidRPr="00E95611">
        <w:rPr>
          <w:b/>
          <w:bCs/>
        </w:rPr>
        <w:t>content trace remains intact while its context can no longer be retrieved</w:t>
      </w:r>
      <w:r w:rsidRPr="00E95611">
        <w:t xml:space="preserve"> (Moscovitch and colleagues' transformational account; Winocur et al. on decontextualization). Human behavioural work makes the gradient measurable — the conceptual (content) features of a memory are accessed faster than its perceptual (contextual) features, and this content-over-context gap </w:t>
      </w:r>
      <w:r w:rsidRPr="00E95611">
        <w:rPr>
          <w:i/>
          <w:iCs/>
        </w:rPr>
        <w:t>widens</w:t>
      </w:r>
      <w:r w:rsidRPr="00E95611">
        <w:t xml:space="preserve"> across a consolidation delay and with repeated remembering (Lifanov, Linde-Domingo &amp; Wimber, 2021), with recent circuit models reproducing the decoupling as the loss of context while the item survives. The framework reads this detail-to-gist, episode-to-concept gradient as the visible trace of the lift: the context </w:t>
      </w:r>
      <w:r w:rsidRPr="00E95611">
        <w:rPr>
          <w:rFonts w:ascii="Cambria Math" w:hAnsi="Cambria Math" w:cs="Cambria Math"/>
        </w:rPr>
        <w:t>⊗</w:t>
      </w:r>
      <w:r w:rsidRPr="00E95611">
        <w:t xml:space="preserve"> time factors are shed, the content </w:t>
      </w:r>
      <w:r w:rsidRPr="00E95611">
        <w:rPr>
          <w:rFonts w:ascii="Cambria Math" w:hAnsi="Cambria Math" w:cs="Cambria Math"/>
        </w:rPr>
        <w:t>⊗</w:t>
      </w:r>
      <w:r w:rsidRPr="00E95611">
        <w:t xml:space="preserve"> role factors are norm-preserved. The sharpened, falsifiable form: consolidation should produce a </w:t>
      </w:r>
      <w:r w:rsidRPr="00E95611">
        <w:rPr>
          <w:b/>
          <w:bCs/>
        </w:rPr>
        <w:t>typed</w:t>
      </w:r>
      <w:r w:rsidRPr="00E95611">
        <w:t xml:space="preserve"> loss — provenance (source, where, when) degrading while content and its role-structure are spared — and not generic, undifferentiated forgetting. </w:t>
      </w:r>
      <w:r w:rsidRPr="00E95611">
        <w:rPr>
          <w:i/>
          <w:iCs/>
        </w:rPr>
        <w:t>Falsified</w:t>
      </w:r>
      <w:r w:rsidRPr="00E95611">
        <w:t xml:space="preserve"> if consolidation degrades content and provenance equally, or if the episodic origin is retained as robustly as the content it anchored. This is distinct from the cross-talk prediction P2: there, provenance-stripping run </w:t>
      </w:r>
      <w:r w:rsidRPr="00E95611">
        <w:rPr>
          <w:i/>
          <w:iCs/>
        </w:rPr>
        <w:t>too far or onto the wrong basis</w:t>
      </w:r>
      <w:r w:rsidRPr="00E95611">
        <w:t xml:space="preserve"> is the pathology; here, controlled provenance-stripping is the lift's healthy and defining function.</w:t>
      </w:r>
    </w:p>
    <w:p w14:paraId="60EE271C" w14:textId="77777777" w:rsidR="00E95611" w:rsidRPr="00E95611" w:rsidRDefault="00E95611" w:rsidP="00E95611">
      <w:pPr>
        <w:jc w:val="both"/>
        <w:rPr>
          <w:b/>
          <w:bCs/>
        </w:rPr>
      </w:pPr>
      <w:r w:rsidRPr="00E95611">
        <w:rPr>
          <w:b/>
          <w:bCs/>
        </w:rPr>
        <w:t>4.5 Two regimes, two kinds of factor [LB / SUP]</w:t>
      </w:r>
    </w:p>
    <w:p w14:paraId="2B5F3C08" w14:textId="77777777" w:rsidR="00E95611" w:rsidRPr="00E95611" w:rsidRDefault="00E95611" w:rsidP="00E95611">
      <w:pPr>
        <w:jc w:val="both"/>
      </w:pPr>
      <w:r w:rsidRPr="00E95611">
        <w:t xml:space="preserve">The store has more than one kind of factor, and the framework's two offline regimes build them separately. The role, context, and time factors that §4.1–§4.4 concern are the structured, decorrelatable factors, and N3's high-fidelity, norm-preserving polarization lift is what orthogonalizes them. But the content the cortex must also store includes raw, affective, not-yet-metricized material — the topological factors that have charge before they have coordinates. Paper 4 (§8.4) located the lift of such material in REM: a lower-precision, topological-to-inner-product lift that indexes raw affective content into relatable structure, the framework's "fear into the memory of fear." The two regimes therefore build the two kinds of tensor factor — N3 the structured roles at high fidelity, REM the affective factors at lower precision — and the cortex requires both because the tensor store requires both. This is why the offline period is not one operation but two, and why their </w:t>
      </w:r>
      <w:r w:rsidRPr="00E95611">
        <w:lastRenderedPageBreak/>
        <w:t>neuromodulatory profiles differ exactly as Paper 4 described: the high-fidelity lift demands the strict tolerance of deep N3, while the associative lift demands the loosened tolerance of REM.</w:t>
      </w:r>
    </w:p>
    <w:p w14:paraId="7F8ED718" w14:textId="77777777" w:rsidR="00E95611" w:rsidRPr="00E95611" w:rsidRDefault="00E95611" w:rsidP="00E95611">
      <w:pPr>
        <w:jc w:val="both"/>
      </w:pPr>
      <w:r w:rsidRPr="00E95611">
        <w:t xml:space="preserve">The biological realization sits at the supported tier. The established physiology of N3 — the sequential coupling in which the slow oscillation opens excitability windows, the spindle relays and gates plasticity, and the sharp-wave ripple drives hippocampal-to-cortical transfer (Staresina et al., 2015) — has the right shape for the offline lift: the ripple supplies the content to be re-coordinatized, the spindle gates the plasticity that performs the re-coordinatization, and the slow oscillation provides the frozen-base windows that §4.3 requires. And the established finding that sleep reduces retroactive interference and sharpens overlapping representations is the phenomenon the framework reads as decorrelation. We mark the identification as the exposed claim it is: that sleep consolidates and reduces interference is established; that this interference-reduction </w:t>
      </w:r>
      <w:r w:rsidRPr="00E95611">
        <w:rPr>
          <w:i/>
          <w:iCs/>
        </w:rPr>
        <w:t>is</w:t>
      </w:r>
      <w:r w:rsidRPr="00E95611">
        <w:t xml:space="preserve"> the polarization lift building an orthogonal role basis is the framework's interpretation, and the physiology is equally consistent with consolidation accounts that invoke no such lift. The value of the correspondence is that the established mechanism has the structural features the lift requires — offline, staged, global, plasticity-gating, interference-reducing — not that the physiology confirms the lift.</w:t>
      </w:r>
    </w:p>
    <w:p w14:paraId="25DEABE8" w14:textId="77777777" w:rsidR="00E95611" w:rsidRPr="00E95611" w:rsidRDefault="00E95611" w:rsidP="00E95611">
      <w:pPr>
        <w:jc w:val="both"/>
        <w:rPr>
          <w:b/>
          <w:bCs/>
        </w:rPr>
      </w:pPr>
      <w:r w:rsidRPr="00E95611">
        <w:rPr>
          <w:b/>
          <w:bCs/>
        </w:rPr>
        <w:t>4.6 What this section establishes</w:t>
      </w:r>
    </w:p>
    <w:p w14:paraId="6A75A43E" w14:textId="77777777" w:rsidR="00E95611" w:rsidRPr="00E95611" w:rsidRDefault="00E95611" w:rsidP="00E95611">
      <w:pPr>
        <w:jc w:val="both"/>
      </w:pPr>
      <w:r w:rsidRPr="00E95611">
        <w:t>The connection is now load-bearing rather than thematic. The neocortex is a single object, the tensor-product memory algebra, and waking and sleep are two operations on it: waking writes content and retrieves by contraction and gates by obstruction, accumulating entanglement it has no budget to clear; sleep performs the offline lift that re-orthogonalizes the role basis, building the decorrelated structure retrieval requires, under a norm-preserving guarantee that forbids fabrication, in two regimes that build the structured and the affective factors respectively. The gate of §3 and the lift of §4 are the read-side and write-side of the same algebra, and the necessity of sleep that Paper 3 derived from the topology of a moving base reappears here as the necessity of keeping a memory algebra contractible. This is the sense in which the present paper is the next in the series and not an addition to it: it does not introduce a new mechanism beside the existing architecture, it identifies the operation the existing architecture already required — the N3 lift — as the constructor of the very tensor store the cortex retrieves from and gates.</w:t>
      </w:r>
    </w:p>
    <w:p w14:paraId="3E2ACADF" w14:textId="77777777" w:rsidR="00E95611" w:rsidRPr="00E95611" w:rsidRDefault="00E95611" w:rsidP="00E95611">
      <w:pPr>
        <w:jc w:val="both"/>
      </w:pPr>
      <w:r w:rsidRPr="00E95611">
        <w:t xml:space="preserve">Not every tagged obstruction yields to the lift, and the response to one that resists is not to force it. A tagged obstruction that repeatedly fails to re-coordinatise is either </w:t>
      </w:r>
      <w:r w:rsidRPr="00E95611">
        <w:rPr>
          <w:i/>
          <w:iCs/>
        </w:rPr>
        <w:t>liftable</w:t>
      </w:r>
      <w:r w:rsidRPr="00E95611">
        <w:t xml:space="preserve"> — an artifact of a base too coarse to separate the conflicting factors, discharged once the base is refined or enlarged — or genuinely </w:t>
      </w:r>
      <w:r w:rsidRPr="00E95611">
        <w:rPr>
          <w:i/>
          <w:iCs/>
        </w:rPr>
        <w:t>irreducible</w:t>
      </w:r>
      <w:r w:rsidRPr="00E95611">
        <w:t>, to be carried as a standing constraint rather than dissolved. This liftable-versus-irreducible distinction, developed in the deployment-lifecycle paper, is the link between §4's lift and the cover-refinement of Appendix A: repeated lift failure is the trigger to raise the resolution of the base, the hypercovering that Appendix A specifies, and the genuinely irreducible obstruction is what survives even that. The lift discharges what a finer cover makes discharge</w:t>
      </w:r>
      <w:r w:rsidRPr="00E95611">
        <w:softHyphen/>
        <w:t>able; the hypercover is how the system "keeps widening where it can see."</w:t>
      </w:r>
    </w:p>
    <w:p w14:paraId="0AB59984" w14:textId="77777777" w:rsidR="00E95611" w:rsidRPr="00E95611" w:rsidRDefault="00E95611" w:rsidP="00CE5D42">
      <w:pPr>
        <w:pStyle w:val="Heading1"/>
      </w:pPr>
      <w:r w:rsidRPr="00E95611">
        <w:t xml:space="preserve">5. Interlude: </w:t>
      </w:r>
      <w:r w:rsidRPr="00CE5D42">
        <w:rPr>
          <w:sz w:val="36"/>
          <w:szCs w:val="36"/>
        </w:rPr>
        <w:t>The Laminar and Developmental Reading [SUP]</w:t>
      </w:r>
    </w:p>
    <w:p w14:paraId="73CF21E2" w14:textId="77777777" w:rsidR="00E95611" w:rsidRPr="00E95611" w:rsidRDefault="00E95611" w:rsidP="00E95611">
      <w:pPr>
        <w:jc w:val="both"/>
      </w:pPr>
      <w:r w:rsidRPr="00E95611">
        <w:t xml:space="preserve">This section is offered at the supported tier. Nothing in it is load-bearing for the construction of §§2–4 or the gate of §3; a reader who rejects every claim here keeps the tensor algebra, the contraction retrieval, the cup-product gate, and the N3 lift intact. What the section offers is a reading of the cortical substrate — first its vertical organisation into layers (§5.1), then the single-circuit hardware that computes the algebra (§5.2), then the routing of the three withholds across their loci (§5.3), then its </w:t>
      </w:r>
      <w:r w:rsidRPr="00E95611">
        <w:lastRenderedPageBreak/>
        <w:t>developmental organisation in time (§5.4), and finally the rerouting of that one circuit across the sleep–wake cycle (§5.5) — as realising the algebra the load-bearing sections built. The established anatomy and physiology it draws on are not in dispute; the mapping of that anatomy onto the algebra's roles is interpretation, and is marked as such throughout.</w:t>
      </w:r>
    </w:p>
    <w:p w14:paraId="6C53DF7F" w14:textId="77777777" w:rsidR="00E95611" w:rsidRPr="00E95611" w:rsidRDefault="00E95611" w:rsidP="00E95611">
      <w:pPr>
        <w:jc w:val="both"/>
        <w:rPr>
          <w:b/>
          <w:bCs/>
        </w:rPr>
      </w:pPr>
      <w:r w:rsidRPr="00E95611">
        <w:rPr>
          <w:b/>
          <w:bCs/>
        </w:rPr>
        <w:t>5.1 The laminar reading: vertical routing of the tensor algebra</w:t>
      </w:r>
    </w:p>
    <w:p w14:paraId="68B209D7" w14:textId="77777777" w:rsidR="00E95611" w:rsidRPr="00E95611" w:rsidRDefault="00E95611" w:rsidP="00E95611">
      <w:pPr>
        <w:jc w:val="both"/>
      </w:pPr>
      <w:r w:rsidRPr="00E95611">
        <w:t xml:space="preserve">The six-layer cortex can be read as the vertical routing of the tensor-product memory algebra, with each layer carrying a distinct role in the write–bind–retrieve cycle. Layer 4, the principal recipient of feedforward thalamic input, writes the local sensory section — the </w:t>
      </w:r>
      <w:r w:rsidRPr="00E95611">
        <w:rPr>
          <w:i/>
          <w:iCs/>
        </w:rPr>
        <w:t>content</w:t>
      </w:r>
      <w:r w:rsidRPr="00E95611">
        <w:t xml:space="preserve"> factor of a trace. Layers 2 and 3, carrying the cortico-cortical projections, bind contents into larger relational tensors and exchange them between areas, performing the A </w:t>
      </w:r>
      <w:r w:rsidRPr="00E95611">
        <w:rPr>
          <w:rFonts w:ascii="Cambria Math" w:hAnsi="Cambria Math" w:cs="Cambria Math"/>
        </w:rPr>
        <w:t>⊗</w:t>
      </w:r>
      <w:r w:rsidRPr="00E95611">
        <w:t xml:space="preserve"> B combination at the heart of </w:t>
      </w:r>
      <w:r w:rsidRPr="00E95611">
        <w:rPr>
          <w:rFonts w:ascii="Calibri" w:hAnsi="Calibri" w:cs="Calibri"/>
        </w:rPr>
        <w:t>§</w:t>
      </w:r>
      <w:r w:rsidRPr="00E95611">
        <w:t xml:space="preserve">2. Layer 6, the source of corticothalamic feedback, supplies the prediction and the retrieval keys </w:t>
      </w:r>
      <w:r w:rsidRPr="00E95611">
        <w:rPr>
          <w:rFonts w:ascii="Calibri" w:hAnsi="Calibri" w:cs="Calibri"/>
        </w:rPr>
        <w:t>—</w:t>
      </w:r>
      <w:r w:rsidRPr="00E95611">
        <w:t xml:space="preserve"> the role and context vectors against which </w:t>
      </w:r>
      <w:r w:rsidRPr="00E95611">
        <w:rPr>
          <w:rFonts w:ascii="Calibri" w:hAnsi="Calibri" w:cs="Calibri"/>
        </w:rPr>
        <w:t>§</w:t>
      </w:r>
      <w:r w:rsidRPr="00E95611">
        <w:t xml:space="preserve">2's contraction is taken </w:t>
      </w:r>
      <w:r w:rsidRPr="00E95611">
        <w:rPr>
          <w:rFonts w:ascii="Calibri" w:hAnsi="Calibri" w:cs="Calibri"/>
        </w:rPr>
        <w:t>—</w:t>
      </w:r>
      <w:r w:rsidRPr="00E95611">
        <w:t xml:space="preserve"> and, in a second corticothalamic role, sets the gain of the upper layers, scaling their responsiveness without altering their tuning (Olsen et al. 2012); §3.5 reads this gain control as the cortical effector of the global precision term. Layer 1, carrying apical and modulatory input, supplies the high-level query condition and the precision field that §3's gate reads as its tolerance. And layer 5, the principal subcortical output layer, reads out the contracted tensor into motor or subcortical commitments — the release that the gate of §3 either permits or withholds.</w:t>
      </w:r>
    </w:p>
    <w:p w14:paraId="11305CF1" w14:textId="77777777" w:rsidR="00E95611" w:rsidRPr="00E95611" w:rsidRDefault="00E95611" w:rsidP="00E95611">
      <w:pPr>
        <w:jc w:val="both"/>
      </w:pPr>
      <w:r w:rsidRPr="00E95611">
        <w:t xml:space="preserve">This mapping is consistent with the laminar direction the framework has used throughout: feedforward in the superficial layers, feedback in the deep layers, thalamic input at the granular layer. But the assignment of an algebraic role to a layer is the framework's interpretation, not a consequence of the anatomy, and the layers subserve many computations of which the tensor-algebra roles are at most one reading. We retain the mapping as a structured hypothesis — a way of seeing how the algebra </w:t>
      </w:r>
      <w:r w:rsidRPr="00E95611">
        <w:rPr>
          <w:i/>
          <w:iCs/>
        </w:rPr>
        <w:t>could</w:t>
      </w:r>
      <w:r w:rsidRPr="00E95611">
        <w:t xml:space="preserve"> be routed through cortical depth — and not as a claim that cortical layers </w:t>
      </w:r>
      <w:r w:rsidRPr="00E95611">
        <w:rPr>
          <w:i/>
          <w:iCs/>
        </w:rPr>
        <w:t>are</w:t>
      </w:r>
      <w:r w:rsidRPr="00E95611">
        <w:t xml:space="preserve"> the algebra's registers.</w:t>
      </w:r>
    </w:p>
    <w:p w14:paraId="076A493E" w14:textId="2F83E790" w:rsidR="00E95611" w:rsidRPr="00E95611" w:rsidRDefault="00E95611" w:rsidP="00E95611">
      <w:pPr>
        <w:jc w:val="both"/>
      </w:pPr>
      <w:r w:rsidRPr="00E95611">
        <w:t xml:space="preserve">The mapping survives a finer test: the layer roles can be checked against the projection-class cell types that actually populate the layers, and no documented class contradicts its assignment. Three output classes are conventionally distinguished (Harris &amp; Shepherd 2015): intratelencephalic (IT) neurons, in layers 2–6, projecting only within the telencephalon and to the striatum; pyramidal-tract (PT) neurons, in layer 5B, the thick-tufted subcerebral output cells whose apical dendrites reach layer 1; and corticothalamic (CT) neurons, in layer 6, projecting to the thalamus and the reticular nucleus. Read against these, the framework's deep-layer roles are specifically </w:t>
      </w:r>
      <w:r w:rsidRPr="00E95611">
        <w:rPr>
          <w:i/>
          <w:iCs/>
        </w:rPr>
        <w:t>subclass</w:t>
      </w:r>
      <w:r w:rsidRPr="00E95611">
        <w:t xml:space="preserve"> roles. The integrate-and-gate cell and the two cortical withholds of §5.2–</w:t>
      </w:r>
      <w:r w:rsidR="00CE5D42" w:rsidRPr="00E95611">
        <w:t>§</w:t>
      </w:r>
      <w:r w:rsidRPr="00E95611">
        <w:t xml:space="preserve">5.3 are </w:t>
      </w:r>
      <w:r w:rsidRPr="00E95611">
        <w:rPr>
          <w:b/>
          <w:bCs/>
        </w:rPr>
        <w:t>PT</w:t>
      </w:r>
      <w:r w:rsidRPr="00E95611">
        <w:t xml:space="preserve"> roles: the thick-tufted PT neuron carries the L1-reaching apical tuft the apical veto acts on, and it is PT axon collaterals — not a layer-6 projection — that form the hyperdirect brake to the subthalamic nucleus (§5.3). The layer-5 IT population, thin-tufted and cortico-cortical, is a separate class that does not carry these roles and behaves functionally like the layer-2/3 horizontal-integration cells. The gain control and the retrieval keys of layer 6 are likewise </w:t>
      </w:r>
      <w:r w:rsidRPr="00E95611">
        <w:rPr>
          <w:b/>
          <w:bCs/>
        </w:rPr>
        <w:t>CT</w:t>
      </w:r>
      <w:r w:rsidRPr="00E95611">
        <w:t xml:space="preserve"> roles, and the scoping matters: corticothalamic cells are only some 30–50% of layer-6 pyramidal neurons (Thomson 2010), the remainder being cortico-cortical cells with long horizontal axons — so layer 6's framework roles belong to its CT subpopulation, while its large cortico-cortical population is, like layer 2/3 IT, a horizontal-integration class and a plausible second contributor to the cover-refinement of §5.5 and Appendix A. The value of this cross-check is bounded and worth stating plainly: it shows that the projection targets and dendritic morphologies of the resident cell types are </w:t>
      </w:r>
      <w:r w:rsidRPr="00E95611">
        <w:rPr>
          <w:i/>
          <w:iCs/>
        </w:rPr>
        <w:t>consistent</w:t>
      </w:r>
      <w:r w:rsidRPr="00E95611">
        <w:t xml:space="preserve"> with the roles the framework assigns — that no cell type is asked to do something its wiring forbids — not that the cortex </w:t>
      </w:r>
      <w:r w:rsidRPr="00E95611">
        <w:rPr>
          <w:i/>
          <w:iCs/>
        </w:rPr>
        <w:t>is</w:t>
      </w:r>
      <w:r w:rsidRPr="00E95611">
        <w:t xml:space="preserve"> the algebra. It raises the laminar reading from a layer-level analogy to a cell-type-level plausibility check; it does not convert the supported tier into a load-bearing one.</w:t>
      </w:r>
    </w:p>
    <w:p w14:paraId="13889223" w14:textId="77777777" w:rsidR="00E95611" w:rsidRPr="00E95611" w:rsidRDefault="00E95611" w:rsidP="00E95611">
      <w:pPr>
        <w:jc w:val="both"/>
        <w:rPr>
          <w:b/>
          <w:bCs/>
        </w:rPr>
      </w:pPr>
      <w:r w:rsidRPr="00E95611">
        <w:rPr>
          <w:b/>
          <w:bCs/>
        </w:rPr>
        <w:lastRenderedPageBreak/>
        <w:t>5.2 The single-circuit hardware: integration, apical gating, and inhibitory orthogonalisation</w:t>
      </w:r>
    </w:p>
    <w:p w14:paraId="795B0E8B" w14:textId="77777777" w:rsidR="00E95611" w:rsidRPr="00E95611" w:rsidRDefault="00E95611" w:rsidP="00E95611">
      <w:pPr>
        <w:jc w:val="both"/>
      </w:pPr>
      <w:r w:rsidRPr="00E95611">
        <w:t xml:space="preserve">The laminar reading routes the algebra through cortical depth; this subsection reads the cortical </w:t>
      </w:r>
      <w:r w:rsidRPr="00E95611">
        <w:rPr>
          <w:i/>
          <w:iCs/>
        </w:rPr>
        <w:t>cell</w:t>
      </w:r>
      <w:r w:rsidRPr="00E95611">
        <w:t xml:space="preserve"> that computes the algebra's core operation, at the same supported tier. If the cortex is, at the inner-product rung, a tensor-product memory algebra guarded by an obstruction gate, there should be a single recurring circuit that performs the binding-and-gating — and the layer-5 pyramidal neuron, the one cortical cell whose dendrites span all six layers and the principal output neuron of the neocortex, is read here as that circuit.</w:t>
      </w:r>
    </w:p>
    <w:p w14:paraId="3549F5CA" w14:textId="77777777" w:rsidR="00E95611" w:rsidRPr="00E95611" w:rsidRDefault="00E95611" w:rsidP="00E95611">
      <w:pPr>
        <w:jc w:val="both"/>
      </w:pPr>
      <w:r w:rsidRPr="00E95611">
        <w:t xml:space="preserve">Its two dendritic compartments carry the algebra's two operands. The </w:t>
      </w:r>
      <w:r w:rsidRPr="00E95611">
        <w:rPr>
          <w:b/>
          <w:bCs/>
        </w:rPr>
        <w:t>basal and perisomatic dendrites</w:t>
      </w:r>
      <w:r w:rsidRPr="00E95611">
        <w:t xml:space="preserve"> integrate the feedforward input — the bottom-up operand, the synaptically-weighted sum that is the inner-product projection of §2. The </w:t>
      </w:r>
      <w:r w:rsidRPr="00E95611">
        <w:rPr>
          <w:b/>
          <w:bCs/>
        </w:rPr>
        <w:t>apical tuft</w:t>
      </w:r>
      <w:r w:rsidRPr="00E95611">
        <w:t>, reaching into layer 1, receives the top-down feedback — the higher-rung context or retrieval key that §5.1 assigned to layer 1. The cell's signature nonlinearity, BAC firing — the backpropagation-activated calcium spike — produces a burst only when the two coincide within a brief window: a dendritic calcium spike is triggered when sufficient apical activation meets sufficient basal activity, and the resulting burst is the cell's signal that feedforward input and top-down prediction agree.</w:t>
      </w:r>
    </w:p>
    <w:p w14:paraId="716713A2" w14:textId="77777777" w:rsidR="00E95611" w:rsidRPr="00E95611" w:rsidRDefault="00E95611" w:rsidP="00E95611">
      <w:pPr>
        <w:jc w:val="both"/>
      </w:pPr>
      <w:r w:rsidRPr="00E95611">
        <w:t xml:space="preserve">Read through the framework, the two compartments are not two inner products but an </w:t>
      </w:r>
      <w:r w:rsidRPr="00E95611">
        <w:rPr>
          <w:b/>
          <w:bCs/>
        </w:rPr>
        <w:t>inner product and a gate</w:t>
      </w:r>
      <w:r w:rsidRPr="00E95611">
        <w:t xml:space="preserve">. The basal integration is the projection, the binding operand. The apical coincidence is not a second projection; it is a </w:t>
      </w:r>
      <w:r w:rsidRPr="00E95611">
        <w:rPr>
          <w:b/>
          <w:bCs/>
        </w:rPr>
        <w:t>multiplicative gate</w:t>
      </w:r>
      <w:r w:rsidRPr="00E95611">
        <w:t xml:space="preserve"> conditioning whether the feedforward result is released, on whether top-down context agrees with it. One cell co-locates the algebra's projection and the gate's certification — exactly the property the isotropic-substrate reading of the multimodal paper requires: a single uniform circuit that can both bind and certify, repeated across the sheet, so that every rung runs the same integrate-and-gate operation on whatever operands it is handed.</w:t>
      </w:r>
    </w:p>
    <w:p w14:paraId="1A69121C" w14:textId="77777777" w:rsidR="00E95611" w:rsidRPr="00E95611" w:rsidRDefault="00E95611" w:rsidP="00E95611">
      <w:pPr>
        <w:jc w:val="both"/>
      </w:pPr>
      <w:r w:rsidRPr="00E95611">
        <w:t xml:space="preserve">The gate's </w:t>
      </w:r>
      <w:r w:rsidRPr="00E95611">
        <w:rPr>
          <w:i/>
          <w:iCs/>
        </w:rPr>
        <w:t>withhold</w:t>
      </w:r>
      <w:r w:rsidRPr="00E95611">
        <w:t xml:space="preserve"> is physical, and this is where §5.2 meets §3.5. The apical calcium spike can be </w:t>
      </w:r>
      <w:r w:rsidRPr="00E95611">
        <w:rPr>
          <w:b/>
          <w:bCs/>
        </w:rPr>
        <w:t>vetoed by inhibition targeting the distal tuft</w:t>
      </w:r>
      <w:r w:rsidRPr="00E95611">
        <w:t xml:space="preserve"> — GABA_B-mediated suppression of dendritic calcium electrogenesis — and that inhibition has been characterised, experimentally, as </w:t>
      </w:r>
      <w:r w:rsidRPr="00E95611">
        <w:rPr>
          <w:i/>
          <w:iCs/>
        </w:rPr>
        <w:t>preventing the association</w:t>
      </w:r>
      <w:r w:rsidRPr="00E95611">
        <w:t xml:space="preserve"> of feedforward and feedback. In the framework's terms, inhibitory veto of the apical coincidence is the gate's withhold operation, and the strength of that dendrite-targeting inhibition is the resolution at which coincidence must be met before a binding is released: it is ε(Π) made physical. The layered control of §3.5 acts here — the slow glial baseline, the global neuromodulatory regime, and the fast salience term all set how much apical inhibition stands between a coincidence and a burst. The single circuit that integrates-and-gates carries, in its apical inhibition, the very tolerance knob §3.5 turns.</w:t>
      </w:r>
    </w:p>
    <w:p w14:paraId="4BE87125" w14:textId="77777777" w:rsidR="00E95611" w:rsidRPr="00E95611" w:rsidRDefault="00E95611" w:rsidP="00E95611">
      <w:pPr>
        <w:jc w:val="both"/>
      </w:pPr>
      <w:r w:rsidRPr="00E95611">
        <w:t xml:space="preserve">Two </w:t>
      </w:r>
      <w:r w:rsidRPr="00F94F17">
        <w:rPr>
          <w:color w:val="EE0000"/>
        </w:rPr>
        <w:t xml:space="preserve">cautions </w:t>
      </w:r>
      <w:r w:rsidRPr="00E95611">
        <w:t xml:space="preserve">keep the reading honest. </w:t>
      </w:r>
      <w:r w:rsidRPr="00F94F17">
        <w:rPr>
          <w:color w:val="C00000"/>
        </w:rPr>
        <w:t>First</w:t>
      </w:r>
      <w:r w:rsidRPr="00E95611">
        <w:t xml:space="preserve">, BAC firing is </w:t>
      </w:r>
      <w:r w:rsidRPr="00E95611">
        <w:rPr>
          <w:b/>
          <w:bCs/>
        </w:rPr>
        <w:t>temporal coincidence</w:t>
      </w:r>
      <w:r w:rsidRPr="00E95611">
        <w:t xml:space="preserve"> — a conjunction of two depolarisations within the NMDA-set window — and not a computation of the angle between two vectors; the framework reads the coincidence as "feedforward agrees with top-down prediction" and does not claim the cell measures cos(angle). </w:t>
      </w:r>
      <w:r w:rsidRPr="00F94F17">
        <w:rPr>
          <w:color w:val="C00000"/>
        </w:rPr>
        <w:t>Second</w:t>
      </w:r>
      <w:r w:rsidRPr="00E95611">
        <w:t xml:space="preserve">, a single pyramidal cell emits a </w:t>
      </w:r>
      <w:r w:rsidRPr="00E95611">
        <w:rPr>
          <w:b/>
          <w:bCs/>
        </w:rPr>
        <w:t>rectified, non-negative</w:t>
      </w:r>
      <w:r w:rsidRPr="00E95611">
        <w:t xml:space="preserve"> rate, so the </w:t>
      </w:r>
      <w:r w:rsidRPr="00E95611">
        <w:rPr>
          <w:i/>
          <w:iCs/>
        </w:rPr>
        <w:t>signed</w:t>
      </w:r>
      <w:r w:rsidRPr="00E95611">
        <w:t xml:space="preserve"> inner product the inner-product rung requires — with genuine cancellation, and the decorrelation §4 calls orthogonalisation — is not a single-cell quantity. It is a property of the </w:t>
      </w:r>
      <w:r w:rsidRPr="00E95611">
        <w:rPr>
          <w:b/>
          <w:bCs/>
        </w:rPr>
        <w:t>canonical microcircuit</w:t>
      </w:r>
      <w:r w:rsidRPr="00E95611">
        <w:t xml:space="preserve">: inhibitory interneurons supply the negative components and the lateral inhibition that decorrelates pyramidal responses, so the orthogonalisation §4 builds offline has, in the waking circuit, the excitation–inhibition-balanced microcircuit as its substrate. The honest unit of the hardware reading is therefore the microcircuit, not the cell — pyramidal neurons as the integrate-and-gate elements, interneurons as the orthogonaliser — and this tightens rather than weakens the isotropy claim: what repeats uniformly across the sheet is the microcircuit, the smallest unit that can bind, certify, and keep its basis decorrelated. As in §5.1, this is a structured hypothesis </w:t>
      </w:r>
      <w:r w:rsidRPr="00E95611">
        <w:lastRenderedPageBreak/>
        <w:t xml:space="preserve">about how the substrate </w:t>
      </w:r>
      <w:r w:rsidRPr="00E95611">
        <w:rPr>
          <w:i/>
          <w:iCs/>
        </w:rPr>
        <w:t>could</w:t>
      </w:r>
      <w:r w:rsidRPr="00E95611">
        <w:t xml:space="preserve"> compute the algebra, marked at the supported tier, not a claim that the pyramidal microcircuit </w:t>
      </w:r>
      <w:r w:rsidRPr="00E95611">
        <w:rPr>
          <w:i/>
          <w:iCs/>
        </w:rPr>
        <w:t>is</w:t>
      </w:r>
      <w:r w:rsidRPr="00E95611">
        <w:t xml:space="preserve"> the gated tensor algebra.</w:t>
      </w:r>
    </w:p>
    <w:p w14:paraId="2F498264" w14:textId="77777777" w:rsidR="00E95611" w:rsidRPr="00E95611" w:rsidRDefault="00E95611" w:rsidP="00E95611">
      <w:pPr>
        <w:jc w:val="both"/>
      </w:pPr>
      <w:r w:rsidRPr="00E95611">
        <w:t xml:space="preserve">A final element of the hardware reading connects the waking circuit to the offline lift it feeds. When a fracture is tagged for later repair — the surprise-gated capture-tag of the consolidation account — the tag must be written somewhere physical, and the layer-5 microcircuit is where it is written: a structural mark on the implicated synapses that persists past the moment of the fracture. Read through the framework, this mark is the physical form of an </w:t>
      </w:r>
      <w:r w:rsidRPr="00E95611">
        <w:rPr>
          <w:i/>
          <w:iCs/>
        </w:rPr>
        <w:t>inductive bias</w:t>
      </w:r>
      <w:r w:rsidRPr="00E95611">
        <w:t xml:space="preserve">. The offline lift cannot, on its own, discover which axis to orthogonalise, since unsupervised disentanglement is underdetermined without a bias supplied from outside the lift (the result the AGI lifecycle paper builds on); the tag's function is therefore to </w:t>
      </w:r>
      <w:r w:rsidRPr="00E95611">
        <w:rPr>
          <w:i/>
          <w:iCs/>
        </w:rPr>
        <w:t>break the symmetry</w:t>
      </w:r>
      <w:r w:rsidRPr="00E95611">
        <w:t xml:space="preserve"> of the tensor at the tagged site, marking the local direction along which the conflicting factors must later be separated. It is not merely a chemical wash that says "repair here"; it is a directional mark that says "separate along this axis." The claim must be held to its bound, the same bound the lifecycle paper states: the tag supplies a </w:t>
      </w:r>
      <w:r w:rsidRPr="00E95611">
        <w:rPr>
          <w:i/>
          <w:iCs/>
        </w:rPr>
        <w:t>local</w:t>
      </w:r>
      <w:r w:rsidRPr="00E95611">
        <w:t xml:space="preserve"> bias — that two factors conflicted at this site, and a direction to cut — not the global factorisation. Whether the many local cuts the tags induce compose into one clean global basis is the credit-assignment question the offline engine inherits, and which neither paper claims to have closed. What the hardware supplies is the physical symmetry-breaking mark; what it does not supply is a guarantee that the marks assemble correctly.</w:t>
      </w:r>
    </w:p>
    <w:p w14:paraId="321C0A06" w14:textId="77777777" w:rsidR="00E95611" w:rsidRPr="00E95611" w:rsidRDefault="00E95611" w:rsidP="00E95611">
      <w:pPr>
        <w:jc w:val="both"/>
        <w:rPr>
          <w:b/>
          <w:bCs/>
        </w:rPr>
      </w:pPr>
      <w:r w:rsidRPr="00E95611">
        <w:rPr>
          <w:b/>
          <w:bCs/>
        </w:rPr>
        <w:t>5.3 The three withholds and their loci</w:t>
      </w:r>
    </w:p>
    <w:p w14:paraId="78B95DE5" w14:textId="77777777" w:rsidR="00E95611" w:rsidRPr="00E95611" w:rsidRDefault="00E95611" w:rsidP="00E95611">
      <w:pPr>
        <w:jc w:val="both"/>
      </w:pPr>
      <w:r w:rsidRPr="00E95611">
        <w:t>The withhold of §5.2 is the most local of three the architecture keeps distinct, and the substrate reading places each at its own locus. The distinction matters because a system that conflated them would either over-react — a survival interrupt where a local veto would suffice — or under-react — no global brake when a local refusal cannot stop an action already in motion. The lifecycle papers of the series name the three; the cortex is where the first is realised and the second originates.</w:t>
      </w:r>
    </w:p>
    <w:p w14:paraId="7A541299" w14:textId="77777777" w:rsidR="00E95611" w:rsidRPr="00E95611" w:rsidRDefault="00E95611" w:rsidP="00E95611">
      <w:pPr>
        <w:jc w:val="both"/>
      </w:pPr>
      <w:r w:rsidRPr="00E95611">
        <w:t xml:space="preserve">The </w:t>
      </w:r>
      <w:r w:rsidRPr="00E95611">
        <w:rPr>
          <w:b/>
          <w:bCs/>
        </w:rPr>
        <w:t>local semantic veto</w:t>
      </w:r>
      <w:r w:rsidRPr="00E95611">
        <w:t xml:space="preserve"> is the apical inhibition of the layer-5 integrate-and-gate cell (§5.2). Within the cortical column, the GABA_B veto of the apical coincidence refuses a binding whose cross-feature obstruction is non-trivial at resolution ε(Π). It is the cheapest and most specific of the three — it blocks one incoherent binding without halting anything downstream — and it is entirely intracortical.</w:t>
      </w:r>
    </w:p>
    <w:p w14:paraId="065A73E4" w14:textId="77777777" w:rsidR="00E95611" w:rsidRPr="00E95611" w:rsidRDefault="00E95611" w:rsidP="00E95611">
      <w:pPr>
        <w:jc w:val="both"/>
      </w:pPr>
      <w:r w:rsidRPr="00E95611">
        <w:t xml:space="preserve">The </w:t>
      </w:r>
      <w:r w:rsidRPr="00E95611">
        <w:rPr>
          <w:b/>
          <w:bCs/>
        </w:rPr>
        <w:t>global motor brake</w:t>
      </w:r>
      <w:r w:rsidRPr="00E95611">
        <w:t xml:space="preserve"> originates in the same layer-5 output but leaves the cortex. When an obstruction is non-trivial at resolution ε(Π) and bears on an action about to be released, the deep-layer projection to the subthalamic nucleus via the hyperdirect pathway raises the release threshold across the board, holding motor commitment until the conflict resolves. The anatomy binds this withhold specifically to layer 5: tracing studies show the hyperdirect pathway is formed by layer-5 pyramidal axon collaterals that branch into the internal capsule and bifurcate to the STN (Kita &amp; Kita 2012 in rodent; Coudé et al. 2018 in primate), not by a layer-6 projection — so the motor brake is a strictly layer-5 output, distinct from the layer-6 functions of §5.1 and §3.5. This is the withhold of the field auditor of the deployment lifecycle: the cortex detects the fracture, layer 5 routes it to the brake, and the actuator holds before it commits. What the cortex supplies is the </w:t>
      </w:r>
      <w:r w:rsidRPr="00E95611">
        <w:rPr>
          <w:i/>
          <w:iCs/>
        </w:rPr>
        <w:t>topological read</w:t>
      </w:r>
      <w:r w:rsidRPr="00E95611">
        <w:t xml:space="preserve"> — the only separate read entering the basal ganglia, the hyperdirect input that the basal-ganglia metric–separation junction gates (</w:t>
      </w:r>
      <w:r w:rsidRPr="00E95611">
        <w:rPr>
          <w:i/>
          <w:iCs/>
        </w:rPr>
        <w:t>The Subthalamic Gate and the Pallidal Hub</w:t>
      </w:r>
      <w:r w:rsidRPr="00E95611">
        <w:t xml:space="preserve">); the downstream cancellation it triggers is distributed across the basal ganglia rather than executed by the subthalamic nucleus alone, which is that paper's concern, not the cortex's. It is </w:t>
      </w:r>
      <w:r w:rsidRPr="00E95611">
        <w:rPr>
          <w:i/>
          <w:iCs/>
        </w:rPr>
        <w:t>global</w:t>
      </w:r>
      <w:r w:rsidRPr="00E95611">
        <w:t xml:space="preserve"> because it raises the threshold on all release, not only the implicated binding — breadth appropriate to a motor brake and wrong for a semantic veto, which is why the two are separate mechanisms and not one. (The threshold is raised </w:t>
      </w:r>
      <w:r w:rsidRPr="00E95611">
        <w:lastRenderedPageBreak/>
        <w:t>when the obstruction is non-trivial at resolution ε(Π); ε(Π) sets the resolution at which non-triviality is judged, per §3.5, not a magnitude the variance must exceed.)</w:t>
      </w:r>
    </w:p>
    <w:p w14:paraId="571CB27D" w14:textId="77777777" w:rsidR="00E95611" w:rsidRPr="00E95611" w:rsidRDefault="00E95611" w:rsidP="00E95611">
      <w:pPr>
        <w:jc w:val="both"/>
      </w:pPr>
      <w:r w:rsidRPr="00E95611">
        <w:t xml:space="preserve">The </w:t>
      </w:r>
      <w:r w:rsidRPr="00E95611">
        <w:rPr>
          <w:b/>
          <w:bCs/>
        </w:rPr>
        <w:t>survival interrupt</w:t>
      </w:r>
      <w:r w:rsidRPr="00E95611">
        <w:t xml:space="preserve"> is not a cortical operation at all: it is the amygdala-triggered arousal melt, a total precision collapse that drops the representational cover rather than withholding a single binding or a single action. The cortex is its object, not its author — the melt acts on the whole cortical representation from below. It is named here only to complete the routing: the local veto lives in the column, the global brake originates in layer 5 and acts through the basal ganglia, and the survival interrupt acts on the entire cortex from the subcortical floor. Together they are the three distinct withholds the lifecycle papers require, and only the first two are cortical.</w:t>
      </w:r>
    </w:p>
    <w:p w14:paraId="02F85C40" w14:textId="77777777" w:rsidR="00E95611" w:rsidRPr="00E95611" w:rsidRDefault="00E95611" w:rsidP="00E95611">
      <w:pPr>
        <w:jc w:val="both"/>
        <w:rPr>
          <w:b/>
          <w:bCs/>
        </w:rPr>
      </w:pPr>
      <w:r w:rsidRPr="00E95611">
        <w:rPr>
          <w:b/>
          <w:bCs/>
        </w:rPr>
        <w:t>5.4 The developmental lock: progressive myelination as base-freezing</w:t>
      </w:r>
    </w:p>
    <w:p w14:paraId="0CF7B9E0" w14:textId="77777777" w:rsidR="00E95611" w:rsidRPr="00E95611" w:rsidRDefault="00E95611" w:rsidP="00E95611">
      <w:pPr>
        <w:jc w:val="both"/>
      </w:pPr>
      <w:r w:rsidRPr="00E95611">
        <w:t>If the layers define the vertical routing of the tensor algebra, development defines its stabilisation in time, and here the substrate offers a reading that bears directly on a requirement the load-bearing sections imposed. The cup product of §3 requires a common, stable base cover X over which two obstructions can be paired; the offline lift of §4.3 requires a frozen base against which the global re-coordinatisation can be performed. Neither operation is possible against a representation that keeps re-coordinatising itself. Something must hold the lower rungs still while the upper rungs compute against them, and the framework reads progressive cortical maturation as the developmental supply of exactly that stability.</w:t>
      </w:r>
    </w:p>
    <w:p w14:paraId="16A289D1" w14:textId="77777777" w:rsidR="00E95611" w:rsidRPr="00E95611" w:rsidRDefault="00E95611" w:rsidP="00E95611">
      <w:pPr>
        <w:jc w:val="both"/>
      </w:pPr>
      <w:r w:rsidRPr="00E95611">
        <w:t xml:space="preserve">The established developmental fact is a </w:t>
      </w:r>
      <w:r w:rsidRPr="00E95611">
        <w:rPr>
          <w:i/>
          <w:iCs/>
        </w:rPr>
        <w:t>gradient</w:t>
      </w:r>
      <w:r w:rsidRPr="00E95611">
        <w:t xml:space="preserve"> of decreasing plasticity that proceeds, in broad strokes, from primary sensory cortex to association cortex to prefrontal cortex. Primary sensory cortices myelinate early and close their critical periods of heightened plasticity within the first years of life; association cortices mature gradually through childhood and adolescence; prefrontal cortex matures latest, remaining comparatively plastic into early adulthood. We are careful about mechanism: this gradient is driven by several brakes acting together — myelination, the maturation of inhibitory circuitry, the consolidation of perineuronal nets, and molecular plasticity brakes — of which myelination is one marker and partial cause rather than the sole switch, and the transition it effects is a </w:t>
      </w:r>
      <w:r w:rsidRPr="00E95611">
        <w:rPr>
          <w:i/>
          <w:iCs/>
        </w:rPr>
        <w:t>reduction</w:t>
      </w:r>
      <w:r w:rsidRPr="00E95611">
        <w:t xml:space="preserve"> of plasticity rather than a literal toggle to read-only. With that qualification, the framework's reading is the following. The early stabilisation of sensory cortex freezes the metric base. The lowest rungs of the ladder — the topological and metric structure of vision, audition, and somatic sense — settle into a comparatively fixed coordinate system early, and it is against this settled base that the higher rungs can later compute transition maps and evaluate the cup-product gate. Were the visual metric to remain highly plastic and re-coordinatise itself continually, every higher-order tensor binding anchored to it would decouple; early sensory stabilisation is, in the framework's terms, the freezing of the base cover X that the higher algebra presupposes.</w:t>
      </w:r>
    </w:p>
    <w:p w14:paraId="748DCD50" w14:textId="77777777" w:rsidR="00E95611" w:rsidRPr="00E95611" w:rsidRDefault="00E95611" w:rsidP="00E95611">
      <w:pPr>
        <w:jc w:val="both"/>
      </w:pPr>
      <w:r w:rsidRPr="00E95611">
        <w:t>The intermediate stabilisation of association cortex fixes the orthogonal basis. The inner-product rung — the tensor-product memory algebra of §2 — stays in a more plastic state longer because building its decorrelated role and context basis requires years of the N3 offline lifts of §4: the fundamental categories of the world settle slowly, and as they settle, the decreasing plasticity of association cortex preserves the contractible tensor store against later interference. This is the developmental complement of §4's nightly lift — the lift orthogonalises the basis on the timescale of a night, and the maturational gradient locks the stabilised basis on the timescale of years.</w:t>
      </w:r>
    </w:p>
    <w:p w14:paraId="7F0A6211" w14:textId="77777777" w:rsidR="00E95611" w:rsidRPr="00E95611" w:rsidRDefault="00E95611" w:rsidP="00E95611">
      <w:pPr>
        <w:jc w:val="both"/>
      </w:pPr>
      <w:r w:rsidRPr="00E95611">
        <w:t xml:space="preserve">The late maturation of prefrontal cortex preserves the slow recurrent operators. Prefrontal cortex remains comparatively plastic, and its recurrent connectivity comparatively unmyelinated, the longest, and the framework reads this as preserving the slow, energy-intensive recurrent loops that working </w:t>
      </w:r>
      <w:r w:rsidRPr="00E95611">
        <w:lastRenderedPageBreak/>
        <w:t xml:space="preserve">memory and rule-generation require — the machinery that continuously queries the now-stabilised sensory base rather than being frozen against it. To stabilise prefrontal cortex as early as sensory cortex would be to fix the organism's behavioural transition maps before it had learned the rules of its adult environment. Here, and only here, we touch the framework's interpretive horizon: the slow recurrent prefrontal operators are the substrate the deferred prefrontal-holonomy companion treats as the curvature-side sibling of the binding obstruction, and </w:t>
      </w:r>
      <w:r w:rsidRPr="00E95611">
        <w:rPr>
          <w:i/>
          <w:iCs/>
        </w:rPr>
        <w:t>if</w:t>
      </w:r>
      <w:r w:rsidRPr="00E95611">
        <w:t xml:space="preserve"> that companion ever licenses the operator-algebraic (C*) machinery behind its stated conditions, the late-myelinating prefrontal recurrence is where that machinery would attach. We name this as horizon, not as fact: prefrontal cortex is not here identified with a C*-algebra or a Sobolev space, and the developmental observation stands on its own at the supported tier whether or not the horizon is ever reached.</w:t>
      </w:r>
    </w:p>
    <w:p w14:paraId="4C613344" w14:textId="77777777" w:rsidR="00E95611" w:rsidRPr="00E95611" w:rsidRDefault="00E95611" w:rsidP="00E95611">
      <w:pPr>
        <w:jc w:val="both"/>
      </w:pPr>
      <w:r w:rsidRPr="00E95611">
        <w:t xml:space="preserve">Framed this way, the reading adds a dimension to the enrichment ladder without adding a load-bearing claim: the ladder is not only a spatial hierarchy of rungs but a structure assembled </w:t>
      </w:r>
      <w:r w:rsidRPr="00E95611">
        <w:rPr>
          <w:i/>
          <w:iCs/>
        </w:rPr>
        <w:t>chronologically</w:t>
      </w:r>
      <w:r w:rsidRPr="00E95611">
        <w:t>, each rung's plasticity declining roughly in time to provide the stable base the rung above it computes against. The analogy to catastrophic forgetting in artificial networks is worth stating as an analogy: a model that updates its entire parameter space at once shifts its foundation while its upper floors are still being built, and the developmental gradient is, in effect, a schedule that lets the foundation set before the upper floors are raised. The analogy is suggestive of why a staged plasticity schedule helps; it is not a claim that the two mechanisms are the same. As with §5.1, the value of the section is to show that the substrate has the structural features the algebra requires — a base that stabilises before the operations that depend on it — not to assert that the substrate implements the algebra.</w:t>
      </w:r>
    </w:p>
    <w:p w14:paraId="47F892BE" w14:textId="77777777" w:rsidR="00E95611" w:rsidRPr="00E95611" w:rsidRDefault="00E95611" w:rsidP="00E95611">
      <w:pPr>
        <w:jc w:val="both"/>
        <w:rPr>
          <w:b/>
          <w:bCs/>
        </w:rPr>
      </w:pPr>
      <w:r w:rsidRPr="00E95611">
        <w:rPr>
          <w:b/>
          <w:bCs/>
        </w:rPr>
        <w:t>5.5 The state-dependent reading: routing across the sleep–wake cycle</w:t>
      </w:r>
    </w:p>
    <w:p w14:paraId="2622511A" w14:textId="77777777" w:rsidR="00E95611" w:rsidRPr="00E95611" w:rsidRDefault="00E95611" w:rsidP="00E95611">
      <w:pPr>
        <w:jc w:val="both"/>
      </w:pPr>
      <w:r w:rsidRPr="00E95611">
        <w:t xml:space="preserve">The laminar reading places the algebra's roles across cortical depth (§5.1) and the developmental reading stabilises them across the lifespan (§5.4); a third reading places them in motion across the sleep–wake cycle, at the same supported tier. Its organising point is that the cortex does not run two machines. The online auditor and the offline lift are the same six-layer hardware under two routings, as the lifecycle papers require — waking audits a presheaf, sleep performs the polarisation lift — and the switch between them reroutes the one circuit rather than handing off to another. Two quantities must be held apart for the reading to stay consistent, because the substrate moves them independently: the </w:t>
      </w:r>
      <w:r w:rsidRPr="00E95611">
        <w:rPr>
          <w:i/>
          <w:iCs/>
        </w:rPr>
        <w:t>sensory coupling</w:t>
      </w:r>
      <w:r w:rsidRPr="00E95611">
        <w:t xml:space="preserve"> of a column — whether it responds to the external world — and the tolerance ε(Π) — the resolution at which the gate judges an obstruction non-trivial. Sleep onset changes the first; only REM changes the second. Conflating them is the easy error here, and avoiding it is what keeps N3 a high-fidelity operation.</w:t>
      </w:r>
    </w:p>
    <w:p w14:paraId="0D8E1044" w14:textId="7AB51C66" w:rsidR="00E95611" w:rsidRPr="00E95611" w:rsidRDefault="00E95611" w:rsidP="00E95611">
      <w:pPr>
        <w:jc w:val="both"/>
      </w:pPr>
      <w:r w:rsidRPr="00E95611">
        <w:rPr>
          <w:b/>
          <w:bCs/>
        </w:rPr>
        <w:t>Waking — the online auditor, at strict tolerance.</w:t>
      </w:r>
      <w:r w:rsidRPr="00E95611">
        <w:t xml:space="preserve"> The thalamic gate is open and layer 4 carries the present sensory context, the narrow context of the restriction-map audit; layer 1 carries the top-down predictions and goals, the broad context; and the layer-5 cell reads basal against apical, computing the restriction-map variance §2–</w:t>
      </w:r>
      <w:r w:rsidR="00F94F17" w:rsidRPr="00E95611">
        <w:t>§</w:t>
      </w:r>
      <w:r w:rsidRPr="00E95611">
        <w:t xml:space="preserve">3 require. On a coincidence failure whose obstruction is non-trivial at resolution ε(Π), layer 5 withholds — the apical veto locally, the hyperdirect brake to the subthalamic nucleus for an action about to be released (§5.3) — and writes the local capture-tag onto the implicated synapses (§5.2), the bounded local bias for a later lift. The layer-6 corticothalamic neurons hold the gain on external input </w:t>
      </w:r>
      <w:r w:rsidRPr="00E95611">
        <w:rPr>
          <w:i/>
          <w:iCs/>
        </w:rPr>
        <w:t>high</w:t>
      </w:r>
      <w:r w:rsidRPr="00E95611">
        <w:t>, so that real anomalies register as variance. Layer 2/3 passes audited representations horizontally to build the waking train of thought, and performs no structural repair, which the real-time budget cannot afford. The tolerance is strict and the column is coupled to the chassis.</w:t>
      </w:r>
    </w:p>
    <w:p w14:paraId="1E12AE90" w14:textId="77777777" w:rsidR="00E95611" w:rsidRPr="00E95611" w:rsidRDefault="00E95611" w:rsidP="00E95611">
      <w:pPr>
        <w:jc w:val="both"/>
      </w:pPr>
      <w:r w:rsidRPr="00E95611">
        <w:rPr>
          <w:b/>
          <w:bCs/>
        </w:rPr>
        <w:lastRenderedPageBreak/>
        <w:t>Transition (N1/N2) — decoupling, not loosening.</w:t>
      </w:r>
      <w:r w:rsidRPr="00E95611">
        <w:t xml:space="preserve"> Before the base can be re-coordinatised it must be isolated from the world, since re-coordinatising a base still driven by live input is exactly the failure §4.3 forbids. The thalamic reticular nucleus clamps thalamocortical transmission, layer 4 goes blind, and the external anchor is cut; the layer-6 corticothalamic neurons drop the gain </w:t>
      </w:r>
      <w:r w:rsidRPr="00E95611">
        <w:rPr>
          <w:i/>
          <w:iCs/>
        </w:rPr>
        <w:t>on external input</w:t>
      </w:r>
      <w:r w:rsidRPr="00E95611">
        <w:t>, disengaging the column from the world, which is what lets the high-frequency waking state collapse into slow waves. This is a withdrawal of sensory coupling, not a loosening of the gluing resolution — the distinction the reading turns on. Motor output begins to be inhibited; the auditor stands down.</w:t>
      </w:r>
    </w:p>
    <w:p w14:paraId="4DBF8415" w14:textId="77777777" w:rsidR="00E95611" w:rsidRPr="00E95611" w:rsidRDefault="00E95611" w:rsidP="00E95611">
      <w:pPr>
        <w:jc w:val="both"/>
      </w:pPr>
      <w:r w:rsidRPr="00E95611">
        <w:rPr>
          <w:b/>
          <w:bCs/>
        </w:rPr>
        <w:t>Deep sleep (N3) — the high-fidelity structured lift, at strict tolerance.</w:t>
      </w:r>
      <w:r w:rsidRPr="00E95611">
        <w:t xml:space="preserve"> With layer 4 decoupled, the layer-5 basal compartment is freed from immediate reality, and the cortex replays the tagged priority queue. Guided by the capture-tag's local bias, the lift pays the metabolic cost to orthogonalise the base, resolving each </w:t>
      </w:r>
      <w:r w:rsidRPr="00E95611">
        <w:rPr>
          <w:i/>
          <w:iCs/>
        </w:rPr>
        <w:t>detected, tagged</w:t>
      </w:r>
      <w:r w:rsidRPr="00E95611">
        <w:t xml:space="preserve"> obstruction by re-coordinatising onto a base on which the formerly colliding sections glue, under the norm-preservation of §4.4 that forbids fabricating a coherence the data did not contain. The obstruction is resolved by moving the base, not annihilated in place. The lifted structure updates the base layer 1 carries into the next waking period. The tolerance here stays </w:t>
      </w:r>
      <w:r w:rsidRPr="00E95611">
        <w:rPr>
          <w:i/>
          <w:iCs/>
        </w:rPr>
        <w:t>strict</w:t>
      </w:r>
      <w:r w:rsidRPr="00E95611">
        <w:t xml:space="preserve">: N3 is the high-fidelity structured lift of §4.5, and its fidelity depends on a tight ε(Π) — which is why the loosening belongs to REM and not here. The cortex performs the re-coordinatisation, but it does not schedule itself: the replay that reactivates the tagged traces is driven by the hippocampo-thalamo-neocortical consolidation circuit — the nested slow-oscillation–spindle–ripple hierarchy that times the cortical changes — and the capture-tag of §5.2, written online, is what that circuit reads to route </w:t>
      </w:r>
      <w:r w:rsidRPr="00E95611">
        <w:rPr>
          <w:i/>
          <w:iCs/>
        </w:rPr>
        <w:t>which</w:t>
      </w:r>
      <w:r w:rsidRPr="00E95611">
        <w:t xml:space="preserve"> traces are reactivated (</w:t>
      </w:r>
      <w:r w:rsidRPr="00E95611">
        <w:rPr>
          <w:i/>
          <w:iCs/>
        </w:rPr>
        <w:t>The Consolidation Engine and the Two Ascents</w:t>
      </w:r>
      <w:r w:rsidRPr="00E95611">
        <w:t>). The cortex is the site of the lift; the consolidation circuit is its scheduler.</w:t>
      </w:r>
    </w:p>
    <w:p w14:paraId="473AF531" w14:textId="77777777" w:rsidR="00E95611" w:rsidRPr="00E95611" w:rsidRDefault="00E95611" w:rsidP="00E95611">
      <w:pPr>
        <w:jc w:val="both"/>
      </w:pPr>
      <w:r w:rsidRPr="00E95611">
        <w:rPr>
          <w:b/>
          <w:bCs/>
        </w:rPr>
        <w:t>REM — the loose-tolerance associative lift.</w:t>
      </w:r>
      <w:r w:rsidRPr="00E95611">
        <w:t xml:space="preserve"> The second offline regime (§4.5) loosens the tolerance: the affective and topological factors that carry charge before they have coordinates are indexed into relatable structure at lower precision, the framework's lower-fidelity lift. Atonia belongs here, not to the transition — it is the clamp that lets the offline simulation run at full volume while the body is held still, the motor lock Paper 4 reads as obligatory for a full-volume internal replay. REM is where a widened tolerance is appropriate, because the associative lift neither requires nor tolerates the strict resolution the structured lift demands.</w:t>
      </w:r>
    </w:p>
    <w:p w14:paraId="3BDD314B" w14:textId="77777777" w:rsidR="00E95611" w:rsidRPr="00E95611" w:rsidRDefault="00E95611" w:rsidP="00E95611">
      <w:pPr>
        <w:jc w:val="both"/>
      </w:pPr>
      <w:r w:rsidRPr="00E95611">
        <w:rPr>
          <w:b/>
          <w:bCs/>
        </w:rPr>
        <w:t>When the lift fails: the hypercover and the false-zero.</w:t>
      </w:r>
      <w:r w:rsidRPr="00E95611">
        <w:t xml:space="preserve"> A tagged obstruction that repeatedly resists the N3 lift is the trigger for layer 2/3 to hypercover — to split overlapping patches and raise the resolution of the base cover (Appendix A). This is also the only route to a </w:t>
      </w:r>
      <w:r w:rsidRPr="00E95611">
        <w:rPr>
          <w:i/>
          <w:iCs/>
        </w:rPr>
        <w:t>false-zero</w:t>
      </w:r>
      <w:r w:rsidRPr="00E95611">
        <w:t xml:space="preserve"> obstruction: the one the auditor never tagged, because the cover was too coarse to make it register as variance at all. The false-zero is therefore never the lift's target — the lift resolves what was detected and tagged — but the hypercover's, since raising the resolution is what finally surfaces a conflict the previous cover hid. A contradiction that survives even the finer cover is genuinely irreducible, and is carried as a permanent no-go region rather than forced: the liftable-versus-irreducible distinction of the deployment-lifecycle paper, placed in its nightly schedule.</w:t>
      </w:r>
    </w:p>
    <w:p w14:paraId="2FB8D194" w14:textId="77777777" w:rsidR="00E95611" w:rsidRPr="00E95611" w:rsidRDefault="00E95611" w:rsidP="00E95611">
      <w:pPr>
        <w:jc w:val="both"/>
      </w:pPr>
      <w:r w:rsidRPr="00E95611">
        <w:t xml:space="preserve">Across the cycle, then, the same hardware is rerouted rather than replaced: waking couples to the world and audits at strict tolerance, writing tags; the transition withdraws sensory coupling while holding the internal resolution; N3 lifts the tagged queue at strict tolerance and triggers the hypercover for what will not lift; REM performs the loose-tolerance associative lift and is where atonia holds the body still. As with §5.1 and §5.4, this is a reading of how the substrate </w:t>
      </w:r>
      <w:r w:rsidRPr="00E95611">
        <w:rPr>
          <w:i/>
          <w:iCs/>
        </w:rPr>
        <w:t>could</w:t>
      </w:r>
      <w:r w:rsidRPr="00E95611">
        <w:t xml:space="preserve"> run the algebra's two regimes on one circuit, marked at the supported tier, not a claim that the cortex </w:t>
      </w:r>
      <w:r w:rsidRPr="00E95611">
        <w:rPr>
          <w:i/>
          <w:iCs/>
        </w:rPr>
        <w:t>is</w:t>
      </w:r>
      <w:r w:rsidRPr="00E95611">
        <w:t xml:space="preserve"> the rerouting it describes.</w:t>
      </w:r>
    </w:p>
    <w:p w14:paraId="604CF19B" w14:textId="77777777" w:rsidR="00E95611" w:rsidRPr="00E95611" w:rsidRDefault="00E95611" w:rsidP="0089720E">
      <w:pPr>
        <w:pStyle w:val="Heading1"/>
      </w:pPr>
      <w:r w:rsidRPr="00E95611">
        <w:lastRenderedPageBreak/>
        <w:t>6. Predictions</w:t>
      </w:r>
    </w:p>
    <w:p w14:paraId="02DDB528" w14:textId="199DF755" w:rsidR="00E95611" w:rsidRPr="00E95611" w:rsidRDefault="00E95611" w:rsidP="00E95611">
      <w:pPr>
        <w:jc w:val="both"/>
      </w:pPr>
      <w:r w:rsidRPr="00E95611">
        <w:t>The paper's claims are testable, and the two on which it most stakes itself were built into the construction: the product-not-sum fingerprint that distinguishes a genuine second-order gate from a first-order one (§3.3), and the cross-talk signature that distinguishes the N3 lift's role in building an orthogonal basis from a generic memory benefit (§4.3). We state these first, at the load-bearing tier, with the other load-bearing predictions that follow from §2–</w:t>
      </w:r>
      <w:r w:rsidR="0089720E" w:rsidRPr="00E95611">
        <w:t>§</w:t>
      </w:r>
      <w:r w:rsidRPr="00E95611">
        <w:t>4 (§6.1), then the supported-tier predictions that follow from the substrate reading of §5 (§6.2), and close on which bears hardest (§6.3). Each is stated with the condition that would falsify it.</w:t>
      </w:r>
    </w:p>
    <w:p w14:paraId="0E7B7DF3" w14:textId="5C263ACA" w:rsidR="00E95611" w:rsidRPr="00E95611" w:rsidRDefault="00E95611" w:rsidP="00E95611">
      <w:pPr>
        <w:jc w:val="both"/>
        <w:rPr>
          <w:b/>
          <w:bCs/>
        </w:rPr>
      </w:pPr>
      <w:r w:rsidRPr="00E95611">
        <w:rPr>
          <w:b/>
          <w:bCs/>
        </w:rPr>
        <w:t>6.1 Load-bearing predictions</w:t>
      </w:r>
      <w:r w:rsidR="0089720E">
        <w:rPr>
          <w:b/>
          <w:bCs/>
        </w:rPr>
        <w:t xml:space="preserve"> </w:t>
      </w:r>
    </w:p>
    <w:p w14:paraId="329B9285" w14:textId="77777777" w:rsidR="00E95611" w:rsidRPr="00E95611" w:rsidRDefault="00E95611" w:rsidP="00E95611">
      <w:pPr>
        <w:jc w:val="both"/>
      </w:pPr>
      <w:r w:rsidRPr="00E95611">
        <w:rPr>
          <w:b/>
          <w:bCs/>
        </w:rPr>
        <w:t>P1 — The product-not-sum fingerprint of the cup-product gate.</w:t>
      </w:r>
      <w:r w:rsidRPr="00E95611">
        <w:t xml:space="preserve"> If compound failures are genuine second-order obstructions, then there exist input pairs on which each modality's obstruction is individually sub-threshold — a first-order gate passes each, and ablating either modality's error yields correct behaviour — yet the joint output fails, and the failure rate scales with the </w:t>
      </w:r>
      <w:r w:rsidRPr="00E95611">
        <w:rPr>
          <w:i/>
          <w:iCs/>
        </w:rPr>
        <w:t>product</w:t>
      </w:r>
      <w:r w:rsidRPr="00E95611">
        <w:t xml:space="preserve"> of the two perturbation magnitudes, not their sum. </w:t>
      </w:r>
      <w:r w:rsidRPr="00E95611">
        <w:rPr>
          <w:i/>
          <w:iCs/>
        </w:rPr>
        <w:t>Falsified</w:t>
      </w:r>
      <w:r w:rsidRPr="00E95611">
        <w:t xml:space="preserve"> if a first-order gate with a joint margin catches these failures as reliably as a second-order gate, or if the failure rate scales additively (‖u‖ + ‖v‖) rather than multiplicatively (‖u‖ · ‖v‖). Additive scaling would show the failure to be a sum of two first-order errors a joint margin could have caught, demoting the cup product from load-bearing to emblematic; multiplicative scaling with the bilinear vanishing property — the failure disappearing when either marginal is set to zero — is the signature of a genuine H² obstruction. This is the paper's most decisive single test, and it is cheapest to run in an artificial system: construct a first-order-gated and a second-order-gated model at matched capacity, present adversarially compound multimodal inputs (a material-ambiguous instruction paired with a depth-perturbed scene, in the grasp case of §3.3), and measure whether the catch-rate of compound failures scales with the product or the sum of the perturbations.</w:t>
      </w:r>
    </w:p>
    <w:p w14:paraId="1550CE7D" w14:textId="77777777" w:rsidR="00E95611" w:rsidRPr="00E95611" w:rsidRDefault="00E95611" w:rsidP="00E95611">
      <w:pPr>
        <w:jc w:val="both"/>
      </w:pPr>
      <w:r w:rsidRPr="00E95611">
        <w:rPr>
          <w:b/>
          <w:bCs/>
        </w:rPr>
        <w:t>P2 — The cross-talk signature of N3 disruption.</w:t>
      </w:r>
      <w:r w:rsidRPr="00E95611">
        <w:t xml:space="preserve"> If the N3 lift builds the orthogonal role basis that clean contraction requires (§4), then selectively disrupting N3 should degrade retrieval in a </w:t>
      </w:r>
      <w:r w:rsidRPr="00E95611">
        <w:rPr>
          <w:i/>
          <w:iCs/>
        </w:rPr>
        <w:t>specific</w:t>
      </w:r>
      <w:r w:rsidRPr="00E95611">
        <w:t xml:space="preserve"> way — producing role and context </w:t>
      </w:r>
      <w:r w:rsidRPr="00E95611">
        <w:rPr>
          <w:i/>
          <w:iCs/>
        </w:rPr>
        <w:t>intrusions</w:t>
      </w:r>
      <w:r w:rsidRPr="00E95611">
        <w:t xml:space="preserve">, the recovery of the wrong filler for a queried role, the binding of content to the wrong index — while comparatively sparing gist or semantic recall, which does not require the fine orthogonal basis. </w:t>
      </w:r>
      <w:r w:rsidRPr="00E95611">
        <w:rPr>
          <w:i/>
          <w:iCs/>
        </w:rPr>
        <w:t>Falsified</w:t>
      </w:r>
      <w:r w:rsidRPr="00E95611">
        <w:t xml:space="preserve"> if N3 disruption degrades gist recall as much as role-bound recall, or if it produces general forgetting rather than the specific cross-talk and intrusion errors the orthogonalisation account predicts. This is the prediction that distinguishes the framework's claim from the generic finding that sleep aids memory: the framework predicts not less memory but </w:t>
      </w:r>
      <w:r w:rsidRPr="00E95611">
        <w:rPr>
          <w:i/>
          <w:iCs/>
        </w:rPr>
        <w:t>interference-typed</w:t>
      </w:r>
      <w:r w:rsidRPr="00E95611">
        <w:t xml:space="preserve"> memory — a particular failure of role-keyed retrieval — as the signature of a degraded basis. It is testable in both directions: behaviourally, as a rise in intrusion errors specifically; and, where representations can be measured, as a measurable loss of orthogonality among role-bound representations after N3 disruption.</w:t>
      </w:r>
    </w:p>
    <w:p w14:paraId="580E408A" w14:textId="77777777" w:rsidR="00E95611" w:rsidRPr="00E95611" w:rsidRDefault="00E95611" w:rsidP="00E95611">
      <w:pPr>
        <w:jc w:val="both"/>
      </w:pPr>
      <w:r w:rsidRPr="00E95611">
        <w:rPr>
          <w:b/>
          <w:bCs/>
        </w:rPr>
        <w:t>P3 — Correlated degradation of retrieval and gating.</w:t>
      </w:r>
      <w:r w:rsidRPr="00E95611">
        <w:t xml:space="preserve"> Because the same orthogonal basis serves both contraction retrieval (§2) and the transition maps in which the gate's obstruction is expressed (§3), degrading the basis should degrade </w:t>
      </w:r>
      <w:r w:rsidRPr="00E95611">
        <w:rPr>
          <w:i/>
          <w:iCs/>
        </w:rPr>
        <w:t>both together</w:t>
      </w:r>
      <w:r w:rsidRPr="00E95611">
        <w:t xml:space="preserve">: as N3 disruption accumulates, retrieval should develop cross-talk and the gate should fail in a coupled way — registering spurious obstructions where roles have come to overlap and missing real ones where the basis has collapsed. </w:t>
      </w:r>
      <w:r w:rsidRPr="00E95611">
        <w:rPr>
          <w:i/>
          <w:iCs/>
        </w:rPr>
        <w:t>Falsified</w:t>
      </w:r>
      <w:r w:rsidRPr="00E95611">
        <w:t xml:space="preserve"> if retrieval degradation and gating failure dissociate under basis disruption — if one can be impaired while the other is spared — which would show the two operations to rest on separate structures rather than the single basis the framework claims. This is the read-side unification the paper predicts: sleep </w:t>
      </w:r>
      <w:r w:rsidRPr="00E95611">
        <w:lastRenderedPageBreak/>
        <w:t>deprivation is not two deficits but one, a degradation of the shared basis that surfaces in both retrieval and gating.</w:t>
      </w:r>
    </w:p>
    <w:p w14:paraId="35CED1A3" w14:textId="77777777" w:rsidR="00E95611" w:rsidRPr="00E95611" w:rsidRDefault="00E95611" w:rsidP="00E95611">
      <w:pPr>
        <w:jc w:val="both"/>
      </w:pPr>
      <w:r w:rsidRPr="00E95611">
        <w:rPr>
          <w:b/>
          <w:bCs/>
        </w:rPr>
        <w:t>P4 — Fabrication as the signature of a non-norm-preserving lift.</w:t>
      </w:r>
      <w:r w:rsidRPr="00E95611">
        <w:t xml:space="preserve"> The framework attributes the integrity of consolidation to the norm-preservation of the offline lift (§4.4): a healthy lift reorganises without inventing. The prediction is that conditions which push the offline lift away from norm-preservation should produce </w:t>
      </w:r>
      <w:r w:rsidRPr="00E95611">
        <w:rPr>
          <w:i/>
          <w:iCs/>
        </w:rPr>
        <w:t>structured</w:t>
      </w:r>
      <w:r w:rsidRPr="00E95611">
        <w:t xml:space="preserve"> false memories — plausible role-fillings that were never encoded — rather than random degradation, and that the structure of the fabrication should reflect the basis into which the lift projected. </w:t>
      </w:r>
      <w:r w:rsidRPr="00E95611">
        <w:rPr>
          <w:i/>
          <w:iCs/>
        </w:rPr>
        <w:t>Falsified</w:t>
      </w:r>
      <w:r w:rsidRPr="00E95611">
        <w:t xml:space="preserve"> if false memories are independent of the offline lift's norm behaviour, or if no manipulation of consolidation produces structured (as opposed to random) false bindings. This prediction is weaker in testability than P1–P3, because "norm-preservation of the lift" is not directly manipulable and must be approached through proxies; it is offered as a directional commitment with that caveat, and noted as the point of contact with the existing finding that sleep can increase gist-based false recall — a phenomenon the framework would read as the lift projecting onto a basis that favours the gist over the episode.</w:t>
      </w:r>
    </w:p>
    <w:p w14:paraId="5A4D3C72" w14:textId="77777777" w:rsidR="00E95611" w:rsidRPr="00E95611" w:rsidRDefault="00E95611" w:rsidP="00E95611">
      <w:pPr>
        <w:jc w:val="both"/>
        <w:rPr>
          <w:b/>
          <w:bCs/>
        </w:rPr>
      </w:pPr>
      <w:r w:rsidRPr="00E95611">
        <w:rPr>
          <w:b/>
          <w:bCs/>
        </w:rPr>
        <w:t>6.2 Supported-tier predictions</w:t>
      </w:r>
    </w:p>
    <w:p w14:paraId="6014C046" w14:textId="77777777" w:rsidR="00E95611" w:rsidRPr="00E95611" w:rsidRDefault="00E95611" w:rsidP="00E95611">
      <w:pPr>
        <w:jc w:val="both"/>
      </w:pPr>
      <w:r w:rsidRPr="00E95611">
        <w:t>These follow from the substrate reading of §5 and are offered at that tier; their failure would weaken the reading without touching P1–P4.</w:t>
      </w:r>
    </w:p>
    <w:p w14:paraId="172115A0" w14:textId="77777777" w:rsidR="00E95611" w:rsidRPr="00E95611" w:rsidRDefault="00E95611" w:rsidP="00E95611">
      <w:pPr>
        <w:jc w:val="both"/>
      </w:pPr>
      <w:r w:rsidRPr="00E95611">
        <w:rPr>
          <w:b/>
          <w:bCs/>
        </w:rPr>
        <w:t>P5 — Developmental base-freezing.</w:t>
      </w:r>
      <w:r w:rsidRPr="00E95611">
        <w:t xml:space="preserve"> If the cross-modal cup-product gate requires a common, stabilised base (§3.4, §5.4), then the capacity to detect compound cross-modal failures should depend on the prior developmental stabilisation of the sensory base, and should emerge as that base freezes rather than being present from the outset. </w:t>
      </w:r>
      <w:r w:rsidRPr="00E95611">
        <w:rPr>
          <w:i/>
          <w:iCs/>
        </w:rPr>
        <w:t>Falsified</w:t>
      </w:r>
      <w:r w:rsidRPr="00E95611">
        <w:t xml:space="preserve"> if mature compound cross-modal detection is found while the sensory base is still highly plastic. This is the developmental signature of the base-freezing reading; it is at the supported tier because the maturational gradient it rests on is driven by several mechanisms of which the framework reads only the stabilisation, not the specific cause.</w:t>
      </w:r>
    </w:p>
    <w:p w14:paraId="6B474695" w14:textId="77777777" w:rsidR="00E95611" w:rsidRPr="00E95611" w:rsidRDefault="00E95611" w:rsidP="00E95611">
      <w:pPr>
        <w:jc w:val="both"/>
      </w:pPr>
      <w:r w:rsidRPr="00E95611">
        <w:rPr>
          <w:b/>
          <w:bCs/>
        </w:rPr>
        <w:t>P6 — Two-regime factor dissociation.</w:t>
      </w:r>
      <w:r w:rsidRPr="00E95611">
        <w:t xml:space="preserve"> If N3 builds the structured role and context factors and REM lifts the affective and topological factors (§4.5), then selectively disrupting N3 should impair the consolidation of structured, role-bound memory while sparing the indexing of affective content, and selectively disrupting REM should impair the indexing of raw affective content while sparing structured-role consolidation — a double dissociation. </w:t>
      </w:r>
      <w:r w:rsidRPr="00E95611">
        <w:rPr>
          <w:i/>
          <w:iCs/>
        </w:rPr>
        <w:t>Falsified</w:t>
      </w:r>
      <w:r w:rsidRPr="00E95611">
        <w:t xml:space="preserve"> if the two disruptions produce the same deficit, or if neither maps to the predicted class of factor. This sharpens the corresponding prediction of the multimodal paper to the tensor-factor reading and shares its tier and its dependence on the difficulty of selective regime disruption.</w:t>
      </w:r>
    </w:p>
    <w:p w14:paraId="286BA975" w14:textId="77777777" w:rsidR="00E95611" w:rsidRPr="00E95611" w:rsidRDefault="00E95611" w:rsidP="00E95611">
      <w:pPr>
        <w:jc w:val="both"/>
        <w:rPr>
          <w:b/>
          <w:bCs/>
        </w:rPr>
      </w:pPr>
      <w:r w:rsidRPr="00E95611">
        <w:rPr>
          <w:b/>
          <w:bCs/>
        </w:rPr>
        <w:t>6.3 Which bears hardest</w:t>
      </w:r>
    </w:p>
    <w:p w14:paraId="4550B390" w14:textId="77777777" w:rsidR="00E95611" w:rsidRPr="00E95611" w:rsidRDefault="00E95611" w:rsidP="00E95611">
      <w:pPr>
        <w:jc w:val="both"/>
      </w:pPr>
      <w:r w:rsidRPr="00E95611">
        <w:t xml:space="preserve">Of these, P1 and P2 are the predictions the paper most wants tested, and they bear on its two distinct load-bearing claims — P1 on whether the cup product is a real second-order gate, P2 on whether the N3 lift is the constructor of the contractible store. P1 is the more decisive and the cheaper, because it can be run in a controlled artificial system at matched capacity and its multiplicative-versus-additive outcome maps cleanly onto a load-bearing-versus-emblematic verdict about the cup product; a clean refutation there would remove the paper's central engineering contribution. P2 is decisive for the biological keystone and distinguishes the framework from the generic memory-and-sleep literature by predicting a typed failure rather than a quantity of forgetting. P3 strengthens the case by predicting that the two read-side operations degrade together, and is refuted by their dissociation. P4 is a genuine commitment but the hardest to test cleanly, and is offered as such. The supported-tier predictions P5 and P6 are where the account reaches toward development and the two sleep regimes, and where it </w:t>
      </w:r>
      <w:r w:rsidRPr="00E95611">
        <w:lastRenderedPageBreak/>
        <w:t>is most willing to be wrong without disturbing the load-bearing core: their collective failure would show that the substrate does not realise the algebra in the way §5 reads it, while leaving the algebra, the gate, and the lift exactly where §§2–4 placed them.</w:t>
      </w:r>
    </w:p>
    <w:p w14:paraId="44056EC8" w14:textId="77777777" w:rsidR="00E95611" w:rsidRPr="00E95611" w:rsidRDefault="00E95611" w:rsidP="0089720E">
      <w:pPr>
        <w:pStyle w:val="Heading1"/>
      </w:pPr>
      <w:r w:rsidRPr="00E95611">
        <w:t>7. Scope and Conclusion</w:t>
      </w:r>
    </w:p>
    <w:p w14:paraId="1F77D5D6" w14:textId="77777777" w:rsidR="00E95611" w:rsidRPr="00E95611" w:rsidRDefault="00E95611" w:rsidP="00E95611">
      <w:pPr>
        <w:jc w:val="both"/>
        <w:rPr>
          <w:b/>
          <w:bCs/>
        </w:rPr>
      </w:pPr>
      <w:r w:rsidRPr="00E95611">
        <w:rPr>
          <w:b/>
          <w:bCs/>
        </w:rPr>
        <w:t>7.1 What the paper argued</w:t>
      </w:r>
    </w:p>
    <w:p w14:paraId="53532ACA" w14:textId="77777777" w:rsidR="00E95611" w:rsidRPr="00E95611" w:rsidRDefault="00E95611" w:rsidP="00E95611">
      <w:pPr>
        <w:jc w:val="both"/>
      </w:pPr>
      <w:r w:rsidRPr="00E95611">
        <w:t>The paper argued that the neocortex at the inner-product rung is a tensor-product memory algebra with a cohomological safety gate, and that the four demands on cortical memory — store structure, retrieve cleanly, refuse incoherent compositions, do not fabricate — are met by the four faces of this single object. It stores by tensor-product binding, which keeps the assignment of fillers to roles that superposition destroys; it retrieves by inner-product contraction, which is the framework's first-class unglue and which returns bound content cleanly when the role basis is orthogonal; it gates the composition of retrieved fragments by an obstruction test extended to second order, where the cup product detects compound failures that no first-order gate can see; and it is kept from fabricating by the norm-preservation of the operation that builds it. That building operation is the keystone: the clean, contractible basis the algebra requires is not written during waking but constructed offline by the N3 lift of Paper 1, so that waking uses the algebra and sleep builds it, and the necessity of sleep that the framework derived from the topology of a moving base reappears here as the necessity of keeping a memory algebra contractible.</w:t>
      </w:r>
    </w:p>
    <w:p w14:paraId="389D5C21" w14:textId="77777777" w:rsidR="00E95611" w:rsidRPr="00E95611" w:rsidRDefault="00E95611" w:rsidP="00E95611">
      <w:pPr>
        <w:jc w:val="both"/>
        <w:rPr>
          <w:b/>
          <w:bCs/>
        </w:rPr>
      </w:pPr>
      <w:r w:rsidRPr="00E95611">
        <w:rPr>
          <w:b/>
          <w:bCs/>
        </w:rPr>
        <w:t>7.2 The tiers</w:t>
      </w:r>
    </w:p>
    <w:p w14:paraId="07E4222D" w14:textId="74BA8EAE" w:rsidR="00E95611" w:rsidRPr="00E95611" w:rsidRDefault="00E95611" w:rsidP="00E95611">
      <w:pPr>
        <w:jc w:val="both"/>
      </w:pPr>
      <w:r w:rsidRPr="00E95611">
        <w:t>The paper's load-bearing tier is §2–</w:t>
      </w:r>
      <w:r w:rsidR="0089720E" w:rsidRPr="00E95611">
        <w:t>§</w:t>
      </w:r>
      <w:r w:rsidRPr="00E95611">
        <w:t>4 — the tensor algebra and contraction retrieval, the second-order cup-product gate, and the identification of the N3 lift as the constructor of the store. These rest on linear algebra, on an established binding formalism, and on results already in the series, and a reader may accept them while rejecting everything in §5. The supported tier is §5 — the reading of the cortical layers as the algebra's registers and of progressive maturation as the developmental freezing of the base — offered as plausibility and adding nothing the load-bearing case requires. A reader is therefore free to take the algebra and the gate as an account of memory and coherence-control and to leave the cortical interpretation aside, or to hold both as a connected hypothesis; what the reader is not invited to do is mistake the second tier for the first, and the paper has marked the boundary throughout.</w:t>
      </w:r>
    </w:p>
    <w:p w14:paraId="55FFD710" w14:textId="77777777" w:rsidR="00E95611" w:rsidRPr="00E95611" w:rsidRDefault="00E95611" w:rsidP="00E95611">
      <w:pPr>
        <w:jc w:val="both"/>
        <w:rPr>
          <w:b/>
          <w:bCs/>
        </w:rPr>
      </w:pPr>
      <w:r w:rsidRPr="00E95611">
        <w:rPr>
          <w:b/>
          <w:bCs/>
        </w:rPr>
        <w:t>7.3 Isomorphism, the debts, and the horizon</w:t>
      </w:r>
    </w:p>
    <w:p w14:paraId="52EA5BED" w14:textId="77777777" w:rsidR="00E95611" w:rsidRPr="00E95611" w:rsidRDefault="00E95611" w:rsidP="00E95611">
      <w:pPr>
        <w:jc w:val="both"/>
      </w:pPr>
      <w:r w:rsidRPr="00E95611">
        <w:t>The claims are structural isomorphisms and not identities. To say the cortex is a tensor-product memory algebra is to say it has the structure that algebra describes — binding that preserves role assignment, retrieval that is contraction, a gate that tests obstruction — not that a cortical column is literally a tensor in a named vector space. The account models the structure of cortical memory and coherence-control; it does not claim that modelling the structure exhausts what cortical memory is.</w:t>
      </w:r>
    </w:p>
    <w:p w14:paraId="03D56825" w14:textId="77777777" w:rsidR="00E95611" w:rsidRPr="00E95611" w:rsidRDefault="00E95611" w:rsidP="00E95611">
      <w:pPr>
        <w:jc w:val="both"/>
      </w:pPr>
      <w:r w:rsidRPr="00E95611">
        <w:t xml:space="preserve">The paper carries two debts, both named rather than hidden. It sharpens the framework's standing cover-definition debt: the second-order gate requires that two modalities' covers be brought into register as a single common base before their obstructions can be cupped, which is available only on representations the vertical lifts have already raised to a common rung, and which is unsolved for learned systems in general. The gate specifies the test to run once the shared cover and the coefficient pairing are given; it does not supply them. And it incurs a new debt the first-order gate did not: because the detection criterion is the nontriviality of a cohomology class and not the magnitude of a </w:t>
      </w:r>
      <w:r w:rsidRPr="00E95611">
        <w:lastRenderedPageBreak/>
        <w:t>representative, the gate must decide whether a class is trivial, which is strictly harder than comparing a norm to a threshold, and how to decide it in a working network is open. The framework gains a real increase in detection power — the capacity to catch compound failures invisible at first order — and takes on, in the same step, the decidability of the second-order class as the cost of that power.</w:t>
      </w:r>
    </w:p>
    <w:p w14:paraId="2D090D23" w14:textId="77777777" w:rsidR="00E95611" w:rsidRPr="00E95611" w:rsidRDefault="00E95611" w:rsidP="00E95611">
      <w:pPr>
        <w:jc w:val="both"/>
      </w:pPr>
      <w:r w:rsidRPr="00E95611">
        <w:t xml:space="preserve">The most ambitious machinery the construction points toward remains at the interpretive horizon. A tensor-product memory algebra is necessary for Fock structure but not sufficient: Fock space additionally requires a definite exchange symmetry on the multi-item states and creation and annihilation operators that close into the canonical relations, neither of which this construction establishes. The tensor algebra is therefore </w:t>
      </w:r>
      <w:r w:rsidRPr="00E95611">
        <w:rPr>
          <w:i/>
          <w:iCs/>
        </w:rPr>
        <w:t>progress toward</w:t>
      </w:r>
      <w:r w:rsidRPr="00E95611">
        <w:t xml:space="preserve"> the licensing conditions the framework has stated for operator-algebraic language, not a grant of it, and the name stays quarantined until those conditions are met. The slow recurrent operators of the late-maturing prefrontal cortex, which §5.4 read as preserved by late myelination, are where that machinery would attach if the deferred prefrontal-holonomy companion ever licenses it — the curvature-side sibling of the binding obstruction, joined to the binding of this paper, if at all, through an operator algebra neither paper yet asserts.</w:t>
      </w:r>
    </w:p>
    <w:p w14:paraId="4F49CC4F" w14:textId="77777777" w:rsidR="00E95611" w:rsidRPr="00E95611" w:rsidRDefault="00E95611" w:rsidP="00E95611">
      <w:pPr>
        <w:jc w:val="both"/>
        <w:rPr>
          <w:b/>
          <w:bCs/>
        </w:rPr>
      </w:pPr>
      <w:r w:rsidRPr="00E95611">
        <w:rPr>
          <w:b/>
          <w:bCs/>
        </w:rPr>
        <w:t>7.4 Place in the series</w:t>
      </w:r>
    </w:p>
    <w:p w14:paraId="5D2FCF4F" w14:textId="77777777" w:rsidR="00E95611" w:rsidRPr="00E95611" w:rsidRDefault="00E95611" w:rsidP="00E95611">
      <w:pPr>
        <w:jc w:val="both"/>
      </w:pPr>
      <w:r w:rsidRPr="00E95611">
        <w:t>The paper's claim to be the next in the series, and not an addition to it, rests on the fact that each of its load-bearing pieces is an identification of, or a minimal extension to, something the framework already held. The storage formalism is Smolensky's, placed at the rung the enrichment ladder already specified and gated by the obstruction test already defined. The retrieval operation is not a new mechanism but the first-class unglue that Paper 3 and the gluing discipline required and left unspecified, now identified with contraction. The gate is the Cohomological Attention Block of the companion addendum, extended by one order — from H¹ to H² — exactly where the multimodal compound failure of Paper 4 demanded it, and triggered by the same persistence parameter ε(Π), not a new threshold. The constructor of the store is the N3 polarisation lift of Paper 1, given a function it did not previously have; the requirement that it be offline is Paper 3's online-irreducibility argument, applied to the global re-coordinatisation that orthogonalisation demands; the no-fabrication guarantee is Paper 1's Hahn–Banach norm-preservation; and the division of offline labour between N3 and REM is the two-regime structure of Paper 4, read onto the two kinds of tensor factor. The paper introduces no mechanism the framework lacked. It identifies the operations the framework already required — the unbinding it had posited, the constructor of the store it had implied — and extends the gate one order where the architecture had shown the need.</w:t>
      </w:r>
    </w:p>
    <w:p w14:paraId="0E30F706" w14:textId="77777777" w:rsidR="00E95611" w:rsidRPr="00E95611" w:rsidRDefault="00E95611" w:rsidP="00E95611">
      <w:pPr>
        <w:jc w:val="both"/>
      </w:pPr>
      <w:r w:rsidRPr="00E95611">
        <w:t>What the paper establishes is bounded and definite. It does not show that the cortex implements the algebra; the substrate reading is plausibility, and the load-bearing case is the mathematics and the two decisive tests. It does not resolve the cover-definition problem or the new decidability problem, and it does not license the operator-algebraic horizon. What it does establish is that a single object — a tensor-product memory algebra, gated at two orders and built by the offline lift — meets the four demands on cortical memory that appeared to pull against one another, that the building of it is the sleep the framework had already shown to be necessary, and that the whole is testable, most decisively, by whether compound failures scale with the product of their factors and whether the loss of offline consolidation degrades retrieval in the typed, interference-laden way the orthogonalisation account predicts. Waking uses the algebra; sleep builds it; and both, on this account, were in the framework before this paper named them.</w:t>
      </w:r>
    </w:p>
    <w:p w14:paraId="0781552F" w14:textId="77777777" w:rsidR="00E95611" w:rsidRPr="00E95611" w:rsidRDefault="00E95611" w:rsidP="0089720E">
      <w:pPr>
        <w:pStyle w:val="Heading1"/>
      </w:pPr>
      <w:r w:rsidRPr="00E95611">
        <w:lastRenderedPageBreak/>
        <w:t>Appendix A. Hypercovering and the False-Zero Species: A Candidate Resolution of the Cover-Definition Debt</w:t>
      </w:r>
    </w:p>
    <w:p w14:paraId="07ADA1CD" w14:textId="77777777" w:rsidR="00E95611" w:rsidRPr="00E95611" w:rsidRDefault="00E95611" w:rsidP="00E95611">
      <w:pPr>
        <w:jc w:val="both"/>
        <w:rPr>
          <w:b/>
          <w:bCs/>
        </w:rPr>
      </w:pPr>
      <w:r w:rsidRPr="00E95611">
        <w:rPr>
          <w:b/>
          <w:bCs/>
        </w:rPr>
        <w:t>A.0 The tier of this appendix [CAND]</w:t>
      </w:r>
    </w:p>
    <w:p w14:paraId="2B24F204" w14:textId="45763E42" w:rsidR="00E95611" w:rsidRPr="00E95611" w:rsidRDefault="00E95611" w:rsidP="00E95611">
      <w:pPr>
        <w:jc w:val="both"/>
      </w:pPr>
      <w:r w:rsidRPr="00E95611">
        <w:t xml:space="preserve">This appendix is offered at a tier the body does not use, and which is worth naming because the framework will need it again. It is neither load-bearing mathematics [LB], nor a supported reading of established biology [SUP], nor a quarantined interpretive horizon [HOR]. It is a </w:t>
      </w:r>
      <w:r w:rsidRPr="00E95611">
        <w:rPr>
          <w:b/>
          <w:bCs/>
        </w:rPr>
        <w:t>candidate mechanism awaiting its own experimental test</w:t>
      </w:r>
      <w:r w:rsidRPr="00E95611">
        <w:t xml:space="preserve"> — a proposal specific enough to be falsified, not yet established enough to be relied upon, and tied to an experiment that would decide it. We mark it </w:t>
      </w:r>
      <w:r w:rsidRPr="00E95611">
        <w:rPr>
          <w:b/>
          <w:bCs/>
        </w:rPr>
        <w:t>[CAND]</w:t>
      </w:r>
      <w:r w:rsidRPr="00E95611">
        <w:t xml:space="preserve"> and define the tag here: a [CAND] claim is one the framework states precisely, predicts from, and commits to revising or discarding on the experiment's result. Nothing in §2–</w:t>
      </w:r>
      <w:r w:rsidR="0089720E" w:rsidRPr="00E95611">
        <w:t>§</w:t>
      </w:r>
      <w:r w:rsidRPr="00E95611">
        <w:t>7 depends on this appendix; the tensor algebra, the cup-product gate, and the N3 lift stand whether or not hypercovering is the right answer to the cover-definition debt. The appendix proposes that it is, states what would show it is not, and — on one point where it conflicts with the body — frames the conflict as the experiment that resolves it rather than choosing a side in prose.</w:t>
      </w:r>
    </w:p>
    <w:p w14:paraId="4365544D" w14:textId="77777777" w:rsidR="00E95611" w:rsidRPr="00E95611" w:rsidRDefault="00E95611" w:rsidP="00E95611">
      <w:pPr>
        <w:jc w:val="both"/>
        <w:rPr>
          <w:b/>
          <w:bCs/>
        </w:rPr>
      </w:pPr>
      <w:r w:rsidRPr="00E95611">
        <w:rPr>
          <w:b/>
          <w:bCs/>
        </w:rPr>
        <w:t>A.1 A second species of hallucination: the false zero</w:t>
      </w:r>
    </w:p>
    <w:p w14:paraId="215FE770" w14:textId="77777777" w:rsidR="00E95611" w:rsidRPr="00E95611" w:rsidRDefault="00E95611" w:rsidP="00E95611">
      <w:pPr>
        <w:jc w:val="both"/>
      </w:pPr>
      <w:r w:rsidRPr="00E95611">
        <w:t xml:space="preserve">The body's gate, at both first and second order, computes an obstruction over a cover and withholds when the obstruction is nontrivial. Paper 3 named the failure that occurs when this gate is too permissive: </w:t>
      </w:r>
      <w:r w:rsidRPr="00E95611">
        <w:rPr>
          <w:i/>
          <w:iCs/>
        </w:rPr>
        <w:t>illegitimate gluing</w:t>
      </w:r>
      <w:r w:rsidRPr="00E95611">
        <w:t xml:space="preserve"> — an obstruction is present and computed, but the precision is too low to reject it, and the binding is released over a contradiction the system registered and tolerated. This is a </w:t>
      </w:r>
      <w:r w:rsidRPr="00E95611">
        <w:rPr>
          <w:b/>
          <w:bCs/>
        </w:rPr>
        <w:t>precision failure</w:t>
      </w:r>
      <w:r w:rsidRPr="00E95611">
        <w:t>, and the body's ε(Π) is its control.</w:t>
      </w:r>
    </w:p>
    <w:p w14:paraId="773E88E1" w14:textId="77777777" w:rsidR="00E95611" w:rsidRPr="00E95611" w:rsidRDefault="00E95611" w:rsidP="00E95611">
      <w:pPr>
        <w:jc w:val="both"/>
      </w:pPr>
      <w:r w:rsidRPr="00E95611">
        <w:t xml:space="preserve">There is a second way the same symptom can arise, and the body's gate is blind to it. Čech cohomology computed over a cover equals the true sheaf cohomology only when the cover is </w:t>
      </w:r>
      <w:r w:rsidRPr="00E95611">
        <w:rPr>
          <w:b/>
          <w:bCs/>
        </w:rPr>
        <w:t>Leray</w:t>
      </w:r>
      <w:r w:rsidRPr="00E95611">
        <w:t xml:space="preserve"> — when every overlap is acyclic, free of internal topology. If an overlap is </w:t>
      </w:r>
      <w:r w:rsidRPr="00E95611">
        <w:rPr>
          <w:i/>
          <w:iCs/>
        </w:rPr>
        <w:t>not</w:t>
      </w:r>
      <w:r w:rsidRPr="00E95611">
        <w:t xml:space="preserve"> acyclic — if the intersection of two regions itself contains hidden structure, an unresolved ambiguity with its own topology — then the Čech computation over that cover can return zero where the true obstruction is nonzero. The gate clears the binding, not because the obstruction was tolerated, but because the cover was too coarse to </w:t>
      </w:r>
      <w:r w:rsidRPr="00E95611">
        <w:rPr>
          <w:i/>
          <w:iCs/>
        </w:rPr>
        <w:t>see</w:t>
      </w:r>
      <w:r w:rsidRPr="00E95611">
        <w:t xml:space="preserve"> it. This is a </w:t>
      </w:r>
      <w:r w:rsidRPr="00E95611">
        <w:rPr>
          <w:b/>
          <w:bCs/>
        </w:rPr>
        <w:t>resolution failure</w:t>
      </w:r>
      <w:r w:rsidRPr="00E95611">
        <w:t>, and it is distinct from precision failure in mechanism and in cure: tightening ε(Π) does nothing, because the obstruction was never computed; what is needed is a finer cover.</w:t>
      </w:r>
    </w:p>
    <w:p w14:paraId="35160DBC" w14:textId="77777777" w:rsidR="00E95611" w:rsidRPr="00E95611" w:rsidRDefault="00E95611" w:rsidP="00E95611">
      <w:pPr>
        <w:jc w:val="both"/>
      </w:pPr>
      <w:r w:rsidRPr="00E95611">
        <w:t xml:space="preserve">The framework should therefore recognise two species of the hallucination symptom, not one. </w:t>
      </w:r>
      <w:r w:rsidRPr="00E95611">
        <w:rPr>
          <w:i/>
          <w:iCs/>
        </w:rPr>
        <w:t>Illegitimate gluing</w:t>
      </w:r>
      <w:r w:rsidRPr="00E95611">
        <w:t xml:space="preserve"> (Paper 3): the obstruction is computed and tolerated — a precision failure, controlled by ε(Π). </w:t>
      </w:r>
      <w:r w:rsidRPr="00E95611">
        <w:rPr>
          <w:i/>
          <w:iCs/>
        </w:rPr>
        <w:t>False-zero gluing</w:t>
      </w:r>
      <w:r w:rsidRPr="00E95611">
        <w:t xml:space="preserve"> (this appendix): the obstruction exists but is invisible to the cover — a resolution failure, controlled by the adequacy of the cover. The proposal is not that false-zero gluing </w:t>
      </w:r>
      <w:r w:rsidRPr="00E95611">
        <w:rPr>
          <w:i/>
          <w:iCs/>
        </w:rPr>
        <w:t>replaces</w:t>
      </w:r>
      <w:r w:rsidRPr="00E95611">
        <w:t xml:space="preserve"> the Paper 3 account; it is that it sits beside it as a second route to the same confident error, along a new axis. A system can fail by tolerating a seen obstruction or by never seeing it, and a complete account of hallucination needs both.</w:t>
      </w:r>
    </w:p>
    <w:p w14:paraId="2A19B1A7" w14:textId="77777777" w:rsidR="00E95611" w:rsidRPr="00E95611" w:rsidRDefault="00E95611" w:rsidP="00E95611">
      <w:pPr>
        <w:jc w:val="both"/>
        <w:rPr>
          <w:b/>
          <w:bCs/>
        </w:rPr>
      </w:pPr>
      <w:r w:rsidRPr="00E95611">
        <w:rPr>
          <w:b/>
          <w:bCs/>
        </w:rPr>
        <w:t>A.2 Hypercovering as the syntax for the debt, not an oracle</w:t>
      </w:r>
    </w:p>
    <w:p w14:paraId="36C10AAB" w14:textId="77777777" w:rsidR="00E95611" w:rsidRPr="00E95611" w:rsidRDefault="00E95611" w:rsidP="00E95611">
      <w:pPr>
        <w:jc w:val="both"/>
      </w:pPr>
      <w:r w:rsidRPr="00E95611">
        <w:t xml:space="preserve">The mathematical correction for a non-Leray cover is the </w:t>
      </w:r>
      <w:r w:rsidRPr="00E95611">
        <w:rPr>
          <w:b/>
          <w:bCs/>
        </w:rPr>
        <w:t>hypercovering</w:t>
      </w:r>
      <w:r w:rsidRPr="00E95611">
        <w:t xml:space="preserve">: where an overlap carries its own topology, one does not treat it as a single intersection but covers it again, and covers the overlaps of that cover in turn, refining until the descent from local agreement to global coherence is stable. Hyper-Čech computation over a hypercovering recovers the true cohomology where ordinary Čech </w:t>
      </w:r>
      <w:r w:rsidRPr="00E95611">
        <w:lastRenderedPageBreak/>
        <w:t>over a fixed cover gives a false zero. This is established mathematics; what is [CAND] is its application to the learned latent overlaps of a neural system.</w:t>
      </w:r>
    </w:p>
    <w:p w14:paraId="26C30209" w14:textId="77777777" w:rsidR="00E95611" w:rsidRPr="00E95611" w:rsidRDefault="00E95611" w:rsidP="00E95611">
      <w:pPr>
        <w:jc w:val="both"/>
      </w:pPr>
      <w:r w:rsidRPr="00E95611">
        <w:t xml:space="preserve">Two cautions keep this honest. First, on </w:t>
      </w:r>
      <w:r w:rsidRPr="00E95611">
        <w:rPr>
          <w:i/>
          <w:iCs/>
        </w:rPr>
        <w:t>why the discrete computation is licensed</w:t>
      </w:r>
      <w:r w:rsidRPr="00E95611">
        <w:t xml:space="preserve">: soft resolutions and Čech computation are alternative pathways to sheaf cohomology, not a pipeline, and the appendix does not pipe data through one into the other. The connection is that a neural system's attention weights, summing to one over a cover, behave as a partition of unity, which is what makes a sheaf </w:t>
      </w:r>
      <w:r w:rsidRPr="00E95611">
        <w:rPr>
          <w:i/>
          <w:iCs/>
        </w:rPr>
        <w:t>fine</w:t>
      </w:r>
      <w:r w:rsidRPr="00E95611">
        <w:t xml:space="preserve"> (or soft) — and a fine sheaf is acyclic, which is precisely the condition under which the discrete Hyper-Čech computation is licensed to recover the true cohomology. The softness of attention is the reason the combinatorial computation is valid; it is not a separate stage. Second, and more important, on </w:t>
      </w:r>
      <w:r w:rsidRPr="00E95611">
        <w:rPr>
          <w:i/>
          <w:iCs/>
        </w:rPr>
        <w:t>what hypercovering does and does not do for the debt</w:t>
      </w:r>
      <w:r w:rsidRPr="00E95611">
        <w:t xml:space="preserve">: hypercovering supplies the </w:t>
      </w:r>
      <w:r w:rsidRPr="00E95611">
        <w:rPr>
          <w:b/>
          <w:bCs/>
        </w:rPr>
        <w:t>syntax</w:t>
      </w:r>
      <w:r w:rsidRPr="00E95611">
        <w:t xml:space="preserve"> of the cover-definition problem — it says exactly what object a refined cover is and what descent must stabilise — but it is not an oracle that solves the problem. It does not tell the network </w:t>
      </w:r>
      <w:r w:rsidRPr="00E95611">
        <w:rPr>
          <w:i/>
          <w:iCs/>
        </w:rPr>
        <w:t>when</w:t>
      </w:r>
      <w:r w:rsidRPr="00E95611">
        <w:t xml:space="preserve"> an overlap warrants refinement; a system that refined every overlap would burn unbounded compute, and one that refined on a fixed threshold would be an ordinary attention head in disguise. The decision of when to descend is a </w:t>
      </w:r>
      <w:r w:rsidRPr="00E95611">
        <w:rPr>
          <w:b/>
          <w:bCs/>
        </w:rPr>
        <w:t>learned policy</w:t>
      </w:r>
      <w:r w:rsidRPr="00E95611">
        <w:t>, and it stays on the framework's debt ledger. Hypercovering converts the cover-definition debt from "we have no formal object for the refined cover" into "we have the object and the descent condition, and must learn the policy that triggers refinement" — a real reduction of the debt, not its discharge.</w:t>
      </w:r>
    </w:p>
    <w:p w14:paraId="2231EACA" w14:textId="77777777" w:rsidR="00E95611" w:rsidRPr="00E95611" w:rsidRDefault="00E95611" w:rsidP="00E95611">
      <w:pPr>
        <w:jc w:val="both"/>
        <w:rPr>
          <w:b/>
          <w:bCs/>
        </w:rPr>
      </w:pPr>
      <w:r w:rsidRPr="00E95611">
        <w:rPr>
          <w:b/>
          <w:bCs/>
        </w:rPr>
        <w:t>A.3 The refinement trigger: transition-map variance against ε(Π) as a learned Leray-failure proxy</w:t>
      </w:r>
    </w:p>
    <w:p w14:paraId="700900DA" w14:textId="77777777" w:rsidR="00E95611" w:rsidRPr="00E95611" w:rsidRDefault="00E95611" w:rsidP="00E95611">
      <w:pPr>
        <w:jc w:val="both"/>
      </w:pPr>
      <w:r w:rsidRPr="00E95611">
        <w:t xml:space="preserve">The decision the learned policy must make has a precise form, and stating it resolves an apparent chicken-and-egg problem: how can the gate know an overlap hides a hole </w:t>
      </w:r>
      <w:r w:rsidRPr="00E95611">
        <w:rPr>
          <w:i/>
          <w:iCs/>
        </w:rPr>
        <w:t>before</w:t>
      </w:r>
      <w:r w:rsidRPr="00E95611">
        <w:t xml:space="preserve"> it computes the obstruction? It cannot, and so the gate does not try to. The order of operations is provisional-first, escalate-on-suspicion:</w:t>
      </w:r>
    </w:p>
    <w:p w14:paraId="24729140" w14:textId="77777777" w:rsidR="00E95611" w:rsidRPr="00E95611" w:rsidRDefault="00E95611" w:rsidP="00E95611">
      <w:pPr>
        <w:numPr>
          <w:ilvl w:val="0"/>
          <w:numId w:val="2"/>
        </w:numPr>
        <w:jc w:val="both"/>
      </w:pPr>
      <w:r w:rsidRPr="00E95611">
        <w:t>Run the standard first-order gate over the initial (level-0) cover.</w:t>
      </w:r>
    </w:p>
    <w:p w14:paraId="5A3B0703" w14:textId="77777777" w:rsidR="00E95611" w:rsidRPr="00E95611" w:rsidRDefault="00E95611" w:rsidP="00E95611">
      <w:pPr>
        <w:numPr>
          <w:ilvl w:val="0"/>
          <w:numId w:val="2"/>
        </w:numPr>
        <w:jc w:val="both"/>
      </w:pPr>
      <w:r w:rsidRPr="00E95611">
        <w:t>If the obstruction is nontrivial, halt — this is the Paper 3 case, and no refinement is needed to know the binding must be withheld.</w:t>
      </w:r>
    </w:p>
    <w:p w14:paraId="2588D1DD" w14:textId="77777777" w:rsidR="00E95611" w:rsidRPr="00E95611" w:rsidRDefault="00E95611" w:rsidP="00E95611">
      <w:pPr>
        <w:numPr>
          <w:ilvl w:val="0"/>
          <w:numId w:val="2"/>
        </w:numPr>
        <w:jc w:val="both"/>
      </w:pPr>
      <w:r w:rsidRPr="00E95611">
        <w:t xml:space="preserve">If the obstruction is provisionally trivial, do not yet clear. Evaluate the </w:t>
      </w:r>
      <w:r w:rsidRPr="00E95611">
        <w:rPr>
          <w:b/>
          <w:bCs/>
        </w:rPr>
        <w:t>internal variance (or entropy) of the transition map</w:t>
      </w:r>
      <w:r w:rsidRPr="00E95611">
        <w:t xml:space="preserve"> ρ_ij across the overlap: does the gluing map glue </w:t>
      </w:r>
      <w:r w:rsidRPr="00E95611">
        <w:rPr>
          <w:i/>
          <w:iCs/>
        </w:rPr>
        <w:t>consistently</w:t>
      </w:r>
      <w:r w:rsidRPr="00E95611">
        <w:t xml:space="preserve"> across the whole overlap, or does it vary internally in a way a single intersection should not?</w:t>
      </w:r>
    </w:p>
    <w:p w14:paraId="0CE7C19D" w14:textId="77777777" w:rsidR="00E95611" w:rsidRPr="00E95611" w:rsidRDefault="00E95611" w:rsidP="00E95611">
      <w:pPr>
        <w:numPr>
          <w:ilvl w:val="0"/>
          <w:numId w:val="2"/>
        </w:numPr>
        <w:jc w:val="both"/>
      </w:pPr>
      <w:r w:rsidRPr="00E95611">
        <w:t>If that internal variation exceeds the precision parameter ε(Π), suspect a false zero — a non-Leray overlap — halt the provisional clearance, generate a hypercover of the overlap, and recompute the obstruction over the refined cover.</w:t>
      </w:r>
    </w:p>
    <w:p w14:paraId="31FB4B99" w14:textId="77777777" w:rsidR="00E95611" w:rsidRPr="00E95611" w:rsidRDefault="00E95611" w:rsidP="00E95611">
      <w:pPr>
        <w:jc w:val="both"/>
      </w:pPr>
      <w:r w:rsidRPr="00E95611">
        <w:t xml:space="preserve">The metric that triggers refinement is therefore the internal variance of the transition map, thresholded against the </w:t>
      </w:r>
      <w:r w:rsidRPr="00E95611">
        <w:rPr>
          <w:b/>
          <w:bCs/>
        </w:rPr>
        <w:t>existing</w:t>
      </w:r>
      <w:r w:rsidRPr="00E95611">
        <w:t xml:space="preserve"> precision parameter ε(Π). No new quantity is introduced: ρ_ij is the transition map the CAB already uses, and ε(Π) is the chemical tolerance of Paper 2 already governing the first-order gate, now applied to the map's internal variation rather than to the obstruction's magnitude. The interpretation of this metric is a </w:t>
      </w:r>
      <w:r w:rsidRPr="00E95611">
        <w:rPr>
          <w:b/>
          <w:bCs/>
        </w:rPr>
        <w:t>learned estimate of Leray-condition failure</w:t>
      </w:r>
      <w:r w:rsidRPr="00E95611">
        <w:t xml:space="preserve">: a transition map that varies internally across an overlap is the signature of an overlap with hidden topology, and the variance is the network's proxy for "this intersection is not acyclic." The proxy is learned and imperfect — detecting a genuine topological hole in a learned latent overlap is, in general, the cover-definition debt itself — so the appendix claims only that hypercovering supplies the trigger's </w:t>
      </w:r>
      <w:r w:rsidRPr="00E95611">
        <w:rPr>
          <w:i/>
          <w:iCs/>
        </w:rPr>
        <w:t>form</w:t>
      </w:r>
      <w:r w:rsidRPr="00E95611">
        <w:t xml:space="preserve"> (Leray-failure estimate via transition-map variance against ε(Π)) and leaves the policy that learns it on the ledger.</w:t>
      </w:r>
    </w:p>
    <w:p w14:paraId="109002D4" w14:textId="77777777" w:rsidR="00E95611" w:rsidRPr="00E95611" w:rsidRDefault="00E95611" w:rsidP="00E95611">
      <w:pPr>
        <w:jc w:val="both"/>
        <w:rPr>
          <w:b/>
          <w:bCs/>
        </w:rPr>
      </w:pPr>
      <w:r w:rsidRPr="00E95611">
        <w:rPr>
          <w:b/>
          <w:bCs/>
        </w:rPr>
        <w:lastRenderedPageBreak/>
        <w:t>A.4 The cup-product common base</w:t>
      </w:r>
    </w:p>
    <w:p w14:paraId="7FC9351C" w14:textId="204A92E7" w:rsidR="00E95611" w:rsidRPr="00E95611" w:rsidRDefault="00E95611" w:rsidP="00E95611">
      <w:pPr>
        <w:jc w:val="both"/>
      </w:pPr>
      <w:r w:rsidRPr="00E95611">
        <w:t xml:space="preserve">This also supplies the missing base for the second-order gate of §3. The cup product [u] </w:t>
      </w:r>
      <w:r w:rsidRPr="00E95611">
        <w:rPr>
          <w:rFonts w:ascii="Cambria Math" w:hAnsi="Cambria Math" w:cs="Cambria Math"/>
        </w:rPr>
        <w:t>⌣</w:t>
      </w:r>
      <w:r w:rsidR="00F93E48">
        <w:t xml:space="preserve"> </w:t>
      </w:r>
      <w:r w:rsidRPr="00E95611">
        <w:rPr>
          <w:rFonts w:ascii="Cambria Math" w:hAnsi="Cambria Math" w:cs="Cambria Math"/>
        </w:rPr>
        <w:t>∈</w:t>
      </w:r>
      <w:r w:rsidRPr="00E95611">
        <w:t xml:space="preserve"> H</w:t>
      </w:r>
      <w:r w:rsidRPr="00E95611">
        <w:rPr>
          <w:rFonts w:ascii="Calibri" w:hAnsi="Calibri" w:cs="Calibri"/>
        </w:rPr>
        <w:t>²</w:t>
      </w:r>
      <w:r w:rsidRPr="00E95611">
        <w:t xml:space="preserve">(X, A </w:t>
      </w:r>
      <w:r w:rsidRPr="00E95611">
        <w:rPr>
          <w:rFonts w:ascii="Cambria Math" w:hAnsi="Cambria Math" w:cs="Cambria Math"/>
        </w:rPr>
        <w:t>⊗</w:t>
      </w:r>
      <w:r w:rsidRPr="00E95611">
        <w:t xml:space="preserve"> B) requires both obstruction classes to live over a single common base cover, and </w:t>
      </w:r>
      <w:r w:rsidRPr="00E95611">
        <w:rPr>
          <w:rFonts w:ascii="Calibri" w:hAnsi="Calibri" w:cs="Calibri"/>
        </w:rPr>
        <w:t>§</w:t>
      </w:r>
      <w:r w:rsidRPr="00E95611">
        <w:t xml:space="preserve">3.4 stated the obtaining of that base as the sharpened cover-definition debt. The hypercovering of the two modalities' covers </w:t>
      </w:r>
      <w:r w:rsidRPr="00E95611">
        <w:rPr>
          <w:rFonts w:ascii="Calibri" w:hAnsi="Calibri" w:cs="Calibri"/>
        </w:rPr>
        <w:t>—</w:t>
      </w:r>
      <w:r w:rsidRPr="00E95611">
        <w:t xml:space="preserve"> their common refinement, the fiber product of the covers </w:t>
      </w:r>
      <w:r w:rsidRPr="00E95611">
        <w:rPr>
          <w:rFonts w:ascii="Calibri" w:hAnsi="Calibri" w:cs="Calibri"/>
        </w:rPr>
        <w:t>—</w:t>
      </w:r>
      <w:r w:rsidRPr="00E95611">
        <w:t xml:space="preserve"> is the formal object that supplies it: the sub-cover on which the two modalities' transition maps are jointly defined and may legally be multiplied. This is the cleanest point of contact between the appendix and the body, and the one most nearly load-bearing; it remains [CAND] only because the construction of the common refinement for learned covers inherits the same learned-policy debt as A.3.</w:t>
      </w:r>
    </w:p>
    <w:p w14:paraId="650778EB" w14:textId="77777777" w:rsidR="00E95611" w:rsidRPr="00E95611" w:rsidRDefault="00E95611" w:rsidP="00E95611">
      <w:pPr>
        <w:jc w:val="both"/>
        <w:rPr>
          <w:b/>
          <w:bCs/>
        </w:rPr>
      </w:pPr>
      <w:r w:rsidRPr="00E95611">
        <w:rPr>
          <w:b/>
          <w:bCs/>
        </w:rPr>
        <w:t>A.5 The experimental fork: which offline architecture builds the higher cover</w:t>
      </w:r>
    </w:p>
    <w:p w14:paraId="6AB6B20D" w14:textId="77777777" w:rsidR="00E95611" w:rsidRPr="00E95611" w:rsidRDefault="00E95611" w:rsidP="00E95611">
      <w:pPr>
        <w:jc w:val="both"/>
      </w:pPr>
      <w:r w:rsidRPr="00E95611">
        <w:t xml:space="preserve">On one point this appendix and the body make different claims, and the honest course is to state the difference as the experiment that decides it rather than to smooth it over. The body (§4.5) reads the two offline regimes as lifting two </w:t>
      </w:r>
      <w:r w:rsidRPr="00E95611">
        <w:rPr>
          <w:i/>
          <w:iCs/>
        </w:rPr>
        <w:t>kinds of tensor factor</w:t>
      </w:r>
      <w:r w:rsidRPr="00E95611">
        <w:t xml:space="preserve">: N3 the structured role factors at high fidelity, REM the affective and topological factors at lower precision — a division by factor type, with the regimes co-equal. The hypercovering proposal invites a different reading, in which the regimes are </w:t>
      </w:r>
      <w:r w:rsidRPr="00E95611">
        <w:rPr>
          <w:i/>
          <w:iCs/>
        </w:rPr>
        <w:t>sequential</w:t>
      </w:r>
      <w:r w:rsidRPr="00E95611">
        <w:t xml:space="preserve"> stages of cover construction: REM performs a lower lift that repairs the coarse cover (topological-to-normed re-indexing of raw fragments), and N3 performs a higher lift that stabilises the refined hypercover (normed-to-inner-product orthogonalisation). These are not the same architecture, and they make opposite predictions about disruption. The two-factor model predicts a </w:t>
      </w:r>
      <w:r w:rsidRPr="00E95611">
        <w:rPr>
          <w:b/>
          <w:bCs/>
        </w:rPr>
        <w:t>double dissociation</w:t>
      </w:r>
      <w:r w:rsidRPr="00E95611">
        <w:t xml:space="preserve"> — disrupting REM impairs affective re-indexing while sparing structured-role consolidation, and disrupting N3 the reverse. The sequential-ladder model predicts a </w:t>
      </w:r>
      <w:r w:rsidRPr="00E95611">
        <w:rPr>
          <w:b/>
          <w:bCs/>
        </w:rPr>
        <w:t>serial dependency</w:t>
      </w:r>
      <w:r w:rsidRPr="00E95611">
        <w:t xml:space="preserve"> — disrupting REM degrades N3's product downstream, because the higher lift operates on what the lower lift prepared, so REM disruption should impair structured consolidation as well.</w:t>
      </w:r>
    </w:p>
    <w:p w14:paraId="7DD97F06" w14:textId="77777777" w:rsidR="00E95611" w:rsidRPr="00E95611" w:rsidRDefault="00E95611" w:rsidP="00E95611">
      <w:pPr>
        <w:jc w:val="both"/>
      </w:pPr>
      <w:r w:rsidRPr="00E95611">
        <w:t>The appendix does not choose. It states that §6's disruption predictions (P2 and P6) discriminate the two models directly: a clean double dissociation supports the body's two-factor reading and disconfirms the sequential ladder; a serial dependency, in which REM disruption degrades the structured N3 product, supports the ladder and disconfirms the two-factor reading. This is the appendix's sharpest contribution — it turns an unresolved architectural disagreement into a decided experiment — and it is the reason the hypercovering proposal is held at [CAND] rather than committed: the body's two-factor reading is what §4.5 commits to, and this appendix's sequential reading is the alternative the experiment is allowed to select instead.</w:t>
      </w:r>
    </w:p>
    <w:p w14:paraId="1BEB1560" w14:textId="77777777" w:rsidR="00E95611" w:rsidRPr="00E95611" w:rsidRDefault="00E95611" w:rsidP="00E95611">
      <w:pPr>
        <w:jc w:val="both"/>
        <w:rPr>
          <w:b/>
          <w:bCs/>
        </w:rPr>
      </w:pPr>
      <w:r w:rsidRPr="00E95611">
        <w:rPr>
          <w:b/>
          <w:bCs/>
        </w:rPr>
        <w:t>A.6 The decisive prediction and its falsification</w:t>
      </w:r>
    </w:p>
    <w:p w14:paraId="249FB1A8" w14:textId="77777777" w:rsidR="00E95611" w:rsidRPr="00E95611" w:rsidRDefault="00E95611" w:rsidP="00E95611">
      <w:pPr>
        <w:jc w:val="both"/>
      </w:pPr>
      <w:r w:rsidRPr="00E95611">
        <w:t xml:space="preserve">Beyond the offline fork, the proposal makes a prediction of its own, distinct from the body's two. If false-zero failures are real, a hypercovering architecture should outperform a single-level gate </w:t>
      </w:r>
      <w:r w:rsidRPr="00E95611">
        <w:rPr>
          <w:b/>
          <w:bCs/>
        </w:rPr>
        <w:t>specifically</w:t>
      </w:r>
      <w:r w:rsidRPr="00E95611">
        <w:t xml:space="preserve"> on tasks where the incoherence is hidden inside an overlap — hidden-affordance, nested-context, and material-integrity tasks — and show little advantage on simple object-label or semantic-matching tasks where the initial cover is already Leray. The worked case: "a cup on a table" is visually and linguistically coherent, and "pour water into the cup" is actionally coherent, so a single Čech overlap clears the scene; but if the cup is upside down, cracked, transparent, or behind glass, the incoherence lives </w:t>
      </w:r>
      <w:r w:rsidRPr="00E95611">
        <w:rPr>
          <w:i/>
          <w:iCs/>
        </w:rPr>
        <w:t>inside</w:t>
      </w:r>
      <w:r w:rsidRPr="00E95611">
        <w:t xml:space="preserve"> the visual–action overlap, and only a hypercover that splits that overlap into object identity, orientation, containment, affordance, material integrity, and reachability surfaces the obstruction. </w:t>
      </w:r>
      <w:r w:rsidRPr="00E95611">
        <w:rPr>
          <w:i/>
          <w:iCs/>
        </w:rPr>
        <w:t>Falsified</w:t>
      </w:r>
      <w:r w:rsidRPr="00E95611">
        <w:t xml:space="preserve"> if a single-level gate performs equally well on such hidden-overlap tasks, or if flat shared attention detects the false-zero cases without any explicit or implicit recursive refinement — which would show that no cover-refinement mechanism was needed. </w:t>
      </w:r>
      <w:r w:rsidRPr="00E95611">
        <w:rPr>
          <w:i/>
          <w:iCs/>
        </w:rPr>
        <w:t>Confirmed</w:t>
      </w:r>
      <w:r w:rsidRPr="00E95611">
        <w:t xml:space="preserve"> by a selective </w:t>
      </w:r>
      <w:r w:rsidRPr="00E95611">
        <w:lastRenderedPageBreak/>
        <w:t>advantage on hidden-overlap tasks with no advantage on Leray-simple ones, and corroborated if observed hallucinations partition into the two predicted species — those a tighter ε(Π) would have caught (precision) versus those only a finer cover surfaces (resolution).</w:t>
      </w:r>
    </w:p>
    <w:p w14:paraId="1D6F5333" w14:textId="77777777" w:rsidR="00E95611" w:rsidRPr="00E95611" w:rsidRDefault="00E95611" w:rsidP="00E95611">
      <w:pPr>
        <w:jc w:val="both"/>
        <w:rPr>
          <w:b/>
          <w:bCs/>
        </w:rPr>
      </w:pPr>
      <w:r w:rsidRPr="00E95611">
        <w:rPr>
          <w:b/>
          <w:bCs/>
        </w:rPr>
        <w:t>A.7 Scope and what is deferred</w:t>
      </w:r>
    </w:p>
    <w:p w14:paraId="52D784D9" w14:textId="77777777" w:rsidR="00E95611" w:rsidRPr="00E95611" w:rsidRDefault="00E95611" w:rsidP="00E95611">
      <w:pPr>
        <w:jc w:val="both"/>
      </w:pPr>
      <w:r w:rsidRPr="00E95611">
        <w:t xml:space="preserve">This appendix is deliberately confined to the part of the hypercovering idea that extends </w:t>
      </w:r>
      <w:r w:rsidRPr="00E95611">
        <w:rPr>
          <w:i/>
          <w:iCs/>
        </w:rPr>
        <w:t>this</w:t>
      </w:r>
      <w:r w:rsidRPr="00E95611">
        <w:t xml:space="preserve"> paper: the false-zero species against Paper 3, the refinement trigger built from the cortex paper's own ε(Π) and transition maps, the common base for §3's cup product, and the offline fork against §4.5. The larger architecture the idea suggests — a standalone Hypercovering Attention Block; the reading of thalamo-cortico-thalamic loops as a dimension-reducing chain complex and cortico-thalamo-cortical loops as a dimension-increasing cochain complex; and the reframing of sleep as offline hypercover repair across the whole substrate — reaches beyond this paper and belongs to a separate research note at the horizon, where it can be developed without unbalancing the present work. Higher hypercohomology beyond the first level of refinement, and any reading of H^n_{hyp} for general n as a named failure mode, is left at the horizon likewise: the appendix constructs only the first level of refinement and the H²-over-a-common-base case it serves. As with the body, the claims here are structural isomorphisms and not identities, and the cover-definition debt is given syntax and a candidate trigger, not solved.</w:t>
      </w:r>
    </w:p>
    <w:p w14:paraId="311050F3" w14:textId="5A606C70" w:rsidR="00E95611" w:rsidRPr="00E95611" w:rsidRDefault="00E95611" w:rsidP="0089720E">
      <w:pPr>
        <w:pStyle w:val="Heading1"/>
      </w:pPr>
      <w:r w:rsidRPr="00E95611">
        <w:t>Bibliography</w:t>
      </w:r>
    </w:p>
    <w:p w14:paraId="73FE044B" w14:textId="77777777" w:rsidR="00E95611" w:rsidRPr="00E95611" w:rsidRDefault="00E95611" w:rsidP="00F93E48">
      <w:pPr>
        <w:pStyle w:val="Heading2"/>
      </w:pPr>
      <w:r w:rsidRPr="00E95611">
        <w:t>The binding formalism</w:t>
      </w:r>
    </w:p>
    <w:p w14:paraId="72F7A7A1" w14:textId="59B9EB91" w:rsidR="00E95611" w:rsidRPr="00E95611" w:rsidRDefault="00E95611" w:rsidP="00E95611">
      <w:pPr>
        <w:jc w:val="both"/>
      </w:pPr>
      <w:r w:rsidRPr="00E95611">
        <w:t xml:space="preserve">Smolensky, P. (1990). Tensor product variable binding and the representation of symbolic structures in connectionist systems. </w:t>
      </w:r>
      <w:r w:rsidRPr="00E95611">
        <w:rPr>
          <w:i/>
          <w:iCs/>
        </w:rPr>
        <w:t>Artificial Intelligence, 46</w:t>
      </w:r>
      <w:r w:rsidRPr="00E95611">
        <w:t xml:space="preserve">(1–2), 159–216. </w:t>
      </w:r>
      <w:hyperlink r:id="rId9" w:history="1">
        <w:r w:rsidRPr="00E95611">
          <w:rPr>
            <w:rStyle w:val="Hyperlink"/>
          </w:rPr>
          <w:t>https://doi.org/10.1016/0004-3702(90)90007-M</w:t>
        </w:r>
      </w:hyperlink>
      <w:r w:rsidR="00F93E48">
        <w:t xml:space="preserve"> </w:t>
      </w:r>
      <w:r w:rsidRPr="00E95611">
        <w:t xml:space="preserve">(The tensor-product representation: a filler bound to a role by their outer product, multiple bindings superposed by summation, with an explicit treatment of the </w:t>
      </w:r>
      <w:r w:rsidRPr="00E95611">
        <w:rPr>
          <w:i/>
          <w:iCs/>
        </w:rPr>
        <w:t>interference</w:t>
      </w:r>
      <w:r w:rsidRPr="00E95611">
        <w:t xml:space="preserve"> of structures stored in associative memories. The formalism §2 adopts; the framework's contribution is its placement at the inner-product rung and its gating.)</w:t>
      </w:r>
    </w:p>
    <w:p w14:paraId="2E159791" w14:textId="77777777" w:rsidR="00E95611" w:rsidRPr="00E95611" w:rsidRDefault="00E95611" w:rsidP="00F93E48">
      <w:pPr>
        <w:pStyle w:val="Heading2"/>
      </w:pPr>
      <w:r w:rsidRPr="00E95611">
        <w:t>Mathematics</w:t>
      </w:r>
    </w:p>
    <w:p w14:paraId="0D646028" w14:textId="246891E2" w:rsidR="00E95611" w:rsidRPr="00E95611" w:rsidRDefault="00E95611" w:rsidP="00E95611">
      <w:pPr>
        <w:jc w:val="both"/>
      </w:pPr>
      <w:r w:rsidRPr="00E95611">
        <w:t xml:space="preserve">Hatcher, A. (2002). </w:t>
      </w:r>
      <w:r w:rsidRPr="00E95611">
        <w:rPr>
          <w:i/>
          <w:iCs/>
        </w:rPr>
        <w:t>Algebraic Topology.</w:t>
      </w:r>
      <w:r w:rsidRPr="00E95611">
        <w:t xml:space="preserve"> Cambridge University Press.</w:t>
      </w:r>
      <w:r w:rsidR="00F93E48">
        <w:t xml:space="preserve"> </w:t>
      </w:r>
      <w:r w:rsidRPr="00E95611">
        <w:t xml:space="preserve">(The cup product H^p(X;A) </w:t>
      </w:r>
      <w:r w:rsidRPr="00E95611">
        <w:rPr>
          <w:rFonts w:ascii="Cambria Math" w:hAnsi="Cambria Math" w:cs="Cambria Math"/>
        </w:rPr>
        <w:t>⊗</w:t>
      </w:r>
      <w:r w:rsidRPr="00E95611">
        <w:t xml:space="preserve"> H^q(X;B) </w:t>
      </w:r>
      <w:r w:rsidRPr="00E95611">
        <w:rPr>
          <w:rFonts w:ascii="Calibri" w:hAnsi="Calibri" w:cs="Calibri"/>
        </w:rPr>
        <w:t>→</w:t>
      </w:r>
      <w:r w:rsidRPr="00E95611">
        <w:t xml:space="preserve"> H^{p+q}(X; A </w:t>
      </w:r>
      <w:r w:rsidRPr="00E95611">
        <w:rPr>
          <w:rFonts w:ascii="Cambria Math" w:hAnsi="Cambria Math" w:cs="Cambria Math"/>
        </w:rPr>
        <w:t>⊗</w:t>
      </w:r>
      <w:r w:rsidRPr="00E95611">
        <w:t xml:space="preserve"> B), its bilinearity, and its descent to cohomology </w:t>
      </w:r>
      <w:r w:rsidRPr="00E95611">
        <w:rPr>
          <w:rFonts w:ascii="Calibri" w:hAnsi="Calibri" w:cs="Calibri"/>
        </w:rPr>
        <w:t>—</w:t>
      </w:r>
      <w:r w:rsidRPr="00E95611">
        <w:t xml:space="preserve"> the operation </w:t>
      </w:r>
      <w:r w:rsidRPr="00E95611">
        <w:rPr>
          <w:rFonts w:ascii="Calibri" w:hAnsi="Calibri" w:cs="Calibri"/>
        </w:rPr>
        <w:t>§</w:t>
      </w:r>
      <w:r w:rsidRPr="00E95611">
        <w:t>3 uses to build the second-order gate.)</w:t>
      </w:r>
    </w:p>
    <w:p w14:paraId="5EC9A723" w14:textId="60FED44B" w:rsidR="00E95611" w:rsidRPr="00E95611" w:rsidRDefault="00E95611" w:rsidP="00E95611">
      <w:pPr>
        <w:jc w:val="both"/>
      </w:pPr>
      <w:r w:rsidRPr="00E95611">
        <w:t xml:space="preserve">Ghrist, R. (2014). </w:t>
      </w:r>
      <w:r w:rsidRPr="00E95611">
        <w:rPr>
          <w:i/>
          <w:iCs/>
        </w:rPr>
        <w:t>Elementary Applied Topology.</w:t>
      </w:r>
      <w:r w:rsidRPr="00E95611">
        <w:t xml:space="preserve"> Createspace.</w:t>
      </w:r>
      <w:r w:rsidR="00F93E48">
        <w:t xml:space="preserve"> </w:t>
      </w:r>
      <w:r w:rsidRPr="00E95611">
        <w:t>(Sheaves, Čech cohomology, and the obstruction machinery shared with the rest of the series; the setting in which the first- and second-order obstruction classes are defined.)</w:t>
      </w:r>
    </w:p>
    <w:p w14:paraId="791DC3ED" w14:textId="7DCA218A" w:rsidR="00E95611" w:rsidRPr="00E95611" w:rsidRDefault="00E95611" w:rsidP="00E95611">
      <w:pPr>
        <w:jc w:val="both"/>
      </w:pPr>
      <w:r w:rsidRPr="00E95611">
        <w:t xml:space="preserve">Mac Lane, S., &amp; Moerdijk, I. (1994). </w:t>
      </w:r>
      <w:r w:rsidRPr="00E95611">
        <w:rPr>
          <w:i/>
          <w:iCs/>
        </w:rPr>
        <w:t>Sheaves in Geometry and Logic: A First Introduction to Topos Theory.</w:t>
      </w:r>
      <w:r w:rsidRPr="00E95611">
        <w:t xml:space="preserve"> Springer.</w:t>
      </w:r>
      <w:r w:rsidR="00F93E48">
        <w:t xml:space="preserve"> </w:t>
      </w:r>
      <w:r w:rsidRPr="00E95611">
        <w:t>(Sheaf foundations; the local-section/overlap/gluing structure the gate operates on.)</w:t>
      </w:r>
    </w:p>
    <w:p w14:paraId="05F24F9D" w14:textId="77777777" w:rsidR="00E95611" w:rsidRPr="00E95611" w:rsidRDefault="00E95611" w:rsidP="00E95611">
      <w:pPr>
        <w:jc w:val="both"/>
      </w:pPr>
      <w:r w:rsidRPr="00E95611">
        <w:rPr>
          <w:i/>
          <w:iCs/>
        </w:rPr>
        <w:t>The polarisation identity and the Hahn–Banach norm-preserving extension invoked in §4 are developed in Paper 1 of this series (below) and are standard results of functional analysis; they are not re-cited here.</w:t>
      </w:r>
    </w:p>
    <w:p w14:paraId="5B136E42" w14:textId="77777777" w:rsidR="00E95611" w:rsidRPr="00E95611" w:rsidRDefault="00E95611" w:rsidP="00F93E48">
      <w:pPr>
        <w:pStyle w:val="Heading2"/>
      </w:pPr>
      <w:r w:rsidRPr="00E95611">
        <w:lastRenderedPageBreak/>
        <w:t>Offline consolidation and sleep (§4, §6)</w:t>
      </w:r>
    </w:p>
    <w:p w14:paraId="1379B65E" w14:textId="11CAE48C" w:rsidR="00E95611" w:rsidRPr="00E95611" w:rsidRDefault="00E95611" w:rsidP="00E95611">
      <w:pPr>
        <w:jc w:val="both"/>
      </w:pPr>
      <w:r w:rsidRPr="00E95611">
        <w:t xml:space="preserve">Staresina, B. P., Bergmann, T. O., Bonnefond, M., van der Meij, R., Jensen, O., Deuker, L., Elger, C. E., Axmacher, N., &amp; Fell, J. (2015). Hierarchical nesting of slow oscillations, spindles and ripples in the human hippocampus during sleep. </w:t>
      </w:r>
      <w:r w:rsidRPr="00E95611">
        <w:rPr>
          <w:i/>
          <w:iCs/>
        </w:rPr>
        <w:t>Nature Neuroscience, 18</w:t>
      </w:r>
      <w:r w:rsidRPr="00E95611">
        <w:t xml:space="preserve">(11), 1679–1686. </w:t>
      </w:r>
      <w:hyperlink r:id="rId10" w:history="1">
        <w:r w:rsidRPr="00E95611">
          <w:rPr>
            <w:rStyle w:val="Hyperlink"/>
          </w:rPr>
          <w:t>https://doi.org/10.1038/nn.4119</w:t>
        </w:r>
      </w:hyperlink>
      <w:r w:rsidRPr="00E95611">
        <w:t xml:space="preserve"> (PMID 26389842).</w:t>
      </w:r>
      <w:r w:rsidR="00F93E48">
        <w:t xml:space="preserve"> </w:t>
      </w:r>
      <w:r w:rsidRPr="00E95611">
        <w:t>(The staged slow-oscillation–spindle–ripple coupling: slow oscillations open excitability windows, spindles cluster ripples, ripples drive hippocampal–cortical transfer — the supported-tier mechanism §4.5 reads as the offline lift.)</w:t>
      </w:r>
    </w:p>
    <w:p w14:paraId="3F55E633" w14:textId="686857DB" w:rsidR="00E95611" w:rsidRPr="00E95611" w:rsidRDefault="00E95611" w:rsidP="00E95611">
      <w:pPr>
        <w:jc w:val="both"/>
      </w:pPr>
      <w:r w:rsidRPr="00E95611">
        <w:t xml:space="preserve">Payne, J. D., Schacter, D. L., Propper, R. E., Huang, L.-W., Wamsley, E. J., Tucker, M. A., Walker, M. P., &amp; Stickgold, R. (2009). The role of sleep in false memory formation. </w:t>
      </w:r>
      <w:r w:rsidRPr="00E95611">
        <w:rPr>
          <w:i/>
          <w:iCs/>
        </w:rPr>
        <w:t>Neurobiology of Learning and Memory, 92</w:t>
      </w:r>
      <w:r w:rsidRPr="00E95611">
        <w:t xml:space="preserve">(3), 327–334. </w:t>
      </w:r>
      <w:hyperlink r:id="rId11" w:history="1">
        <w:r w:rsidRPr="00E95611">
          <w:rPr>
            <w:rStyle w:val="Hyperlink"/>
          </w:rPr>
          <w:t>https://doi.org/10.1016/j.nlm.2009.03.007</w:t>
        </w:r>
      </w:hyperlink>
      <w:r w:rsidRPr="00E95611">
        <w:t xml:space="preserve"> (PMID 19348959).</w:t>
      </w:r>
      <w:r w:rsidR="00F93E48">
        <w:t xml:space="preserve"> </w:t>
      </w:r>
      <w:r w:rsidRPr="00E95611">
        <w:t>(A night of sleep increases both veridical and gist-based false recall in the DRM paradigm relative to waking — the point of contact for prediction P4, which reads gist-favouring false recall as the lift projecting onto a basis that preserves the gist over the episode.)</w:t>
      </w:r>
    </w:p>
    <w:p w14:paraId="5D6D1941" w14:textId="2F13F385" w:rsidR="00E95611" w:rsidRPr="00E95611" w:rsidRDefault="00E95611" w:rsidP="00E95611">
      <w:pPr>
        <w:jc w:val="both"/>
      </w:pPr>
      <w:r w:rsidRPr="00E95611">
        <w:t xml:space="preserve">Diekelmann, S., Born, J., &amp; Wagner, U. (2010). Sleep enhances false memories depending on general memory performance. </w:t>
      </w:r>
      <w:r w:rsidRPr="00E95611">
        <w:rPr>
          <w:i/>
          <w:iCs/>
        </w:rPr>
        <w:t>Behavioural Brain Research, 208</w:t>
      </w:r>
      <w:r w:rsidRPr="00E95611">
        <w:t>(2), 425–429.</w:t>
      </w:r>
      <w:r w:rsidR="00F93E48">
        <w:t xml:space="preserve"> </w:t>
      </w:r>
      <w:r w:rsidRPr="00E95611">
        <w:t>(Replication of the sleep-enhanced false-recall effect, conditional on memory performance; cited with Payne et al. as the converging free-recall evidence for P4.)</w:t>
      </w:r>
    </w:p>
    <w:p w14:paraId="3D6EAD94" w14:textId="4E1EACD8" w:rsidR="00E95611" w:rsidRPr="00E95611" w:rsidRDefault="00E95611" w:rsidP="00E95611">
      <w:pPr>
        <w:jc w:val="both"/>
      </w:pPr>
      <w:r w:rsidRPr="00E95611">
        <w:t xml:space="preserve">Fenn, K. M., Gallo, D. A., Margoliash, D., Roediger, H. L., &amp; Nusbaum, H. C. (2009). Reduced false memory after sleep. </w:t>
      </w:r>
      <w:r w:rsidRPr="00E95611">
        <w:rPr>
          <w:i/>
          <w:iCs/>
        </w:rPr>
        <w:t>Learning &amp; Memory, 16</w:t>
      </w:r>
      <w:r w:rsidRPr="00E95611">
        <w:t>(9), 509–513.</w:t>
      </w:r>
      <w:r w:rsidR="00F93E48">
        <w:t xml:space="preserve"> </w:t>
      </w:r>
      <w:r w:rsidRPr="00E95611">
        <w:t>(The contrary finding — reduced false recognition after sleep, on a recognition rather than free-recall test — cited for honesty: the sleep/false-memory literature is mixed by paradigm, and P4 is offered as a directional commitment rather than a settled result.)</w:t>
      </w:r>
    </w:p>
    <w:p w14:paraId="5A05CDDF" w14:textId="0339E618" w:rsidR="00E95611" w:rsidRPr="00E95611" w:rsidRDefault="00E95611" w:rsidP="00E95611">
      <w:pPr>
        <w:jc w:val="both"/>
      </w:pPr>
      <w:r w:rsidRPr="00E95611">
        <w:t xml:space="preserve">Lifanov, J., Linde-Domingo, J., &amp; Wimber, M. (2021). Feature-specific reaction times reveal a semanticisation of memories over time and with repeated remembering. </w:t>
      </w:r>
      <w:r w:rsidRPr="00E95611">
        <w:rPr>
          <w:i/>
          <w:iCs/>
        </w:rPr>
        <w:t>Nature Communications, 12</w:t>
      </w:r>
      <w:r w:rsidRPr="00E95611">
        <w:t xml:space="preserve">, 3177. </w:t>
      </w:r>
      <w:hyperlink r:id="rId12" w:history="1">
        <w:r w:rsidRPr="00E95611">
          <w:rPr>
            <w:rStyle w:val="Hyperlink"/>
          </w:rPr>
          <w:t>https://doi.org/10.1038/s41467-021-23288-5</w:t>
        </w:r>
      </w:hyperlink>
      <w:r w:rsidRPr="00E95611">
        <w:t xml:space="preserve"> (PMID 34039970).</w:t>
      </w:r>
      <w:r w:rsidR="00F93E48">
        <w:t xml:space="preserve"> </w:t>
      </w:r>
      <w:r w:rsidRPr="00E95611">
        <w:t xml:space="preserve">(Conceptual/content features are accessed faster than perceptual/contextual ones, and this content-over-context gap </w:t>
      </w:r>
      <w:r w:rsidRPr="00E95611">
        <w:rPr>
          <w:i/>
          <w:iCs/>
        </w:rPr>
        <w:t>widens</w:t>
      </w:r>
      <w:r w:rsidRPr="00E95611">
        <w:t xml:space="preserve"> across a consolidation delay — the measurable detail-to-gist gradient §4.4 reads as the lift shedding the context </w:t>
      </w:r>
      <w:r w:rsidRPr="00E95611">
        <w:rPr>
          <w:rFonts w:ascii="Cambria Math" w:hAnsi="Cambria Math" w:cs="Cambria Math"/>
        </w:rPr>
        <w:t>⊗</w:t>
      </w:r>
      <w:r w:rsidRPr="00E95611">
        <w:t xml:space="preserve"> time factors while norm-preserving content </w:t>
      </w:r>
      <w:r w:rsidRPr="00E95611">
        <w:rPr>
          <w:rFonts w:ascii="Cambria Math" w:hAnsi="Cambria Math" w:cs="Cambria Math"/>
        </w:rPr>
        <w:t>⊗</w:t>
      </w:r>
      <w:r w:rsidRPr="00E95611">
        <w:t xml:space="preserve"> role.)</w:t>
      </w:r>
    </w:p>
    <w:p w14:paraId="2BB7CC50" w14:textId="3DA5352A" w:rsidR="00E95611" w:rsidRPr="00E95611" w:rsidRDefault="00E95611" w:rsidP="00E95611">
      <w:pPr>
        <w:jc w:val="both"/>
      </w:pPr>
      <w:r w:rsidRPr="00E95611">
        <w:t xml:space="preserve">Moscovitch, M., Rosenbaum, R. S., Gilboa, A., et al. (2005); Winocur, G., Moscovitch, M., &amp; Sekeres, M. (2007). Memory consolidation or transformation: context manipulation and hippocampal representations of memory. </w:t>
      </w:r>
      <w:r w:rsidRPr="00E95611">
        <w:rPr>
          <w:i/>
          <w:iCs/>
        </w:rPr>
        <w:t>Nature Neuroscience, 10</w:t>
      </w:r>
      <w:r w:rsidRPr="00E95611">
        <w:t>(5), 555–557.</w:t>
      </w:r>
      <w:r w:rsidR="00F93E48">
        <w:t xml:space="preserve"> </w:t>
      </w:r>
      <w:r w:rsidRPr="00E95611">
        <w:t xml:space="preserve">(The transformational account of consolidation: episodic memories progressively </w:t>
      </w:r>
      <w:r w:rsidRPr="00E95611">
        <w:rPr>
          <w:i/>
          <w:iCs/>
        </w:rPr>
        <w:t>decouple from their associated contexts</w:t>
      </w:r>
      <w:r w:rsidRPr="00E95611">
        <w:t xml:space="preserve"> into gist-like semantic representations — the content trace surviving while context is lost — the semanticization profile the provenance-stripping reading of §4.4 predicts.)</w:t>
      </w:r>
    </w:p>
    <w:p w14:paraId="4525ECE8" w14:textId="32B3BABF" w:rsidR="00E95611" w:rsidRPr="00E95611" w:rsidRDefault="00E95611" w:rsidP="00E95611">
      <w:pPr>
        <w:jc w:val="both"/>
      </w:pPr>
      <w:r w:rsidRPr="00E95611">
        <w:t>Chrysanthidis, N., et al.; and Albesa-González, A., &amp; Clopath, C. (2025). Circuit and learning-rule models of semantization in which item traces are retained while their context is progressively lost.</w:t>
      </w:r>
      <w:r w:rsidR="00F93E48">
        <w:t xml:space="preserve"> </w:t>
      </w:r>
      <w:r w:rsidRPr="00E95611">
        <w:t>(Recent computational corroboration that the episodic→semantic transformation is a decoupling of content from context, not undifferentiated decay — cited in support of the typed-loss prediction.)</w:t>
      </w:r>
    </w:p>
    <w:p w14:paraId="6C4CB7FD" w14:textId="77777777" w:rsidR="00E95611" w:rsidRPr="00E95611" w:rsidRDefault="00E95611" w:rsidP="00F93E48">
      <w:pPr>
        <w:pStyle w:val="Heading2"/>
      </w:pPr>
      <w:r w:rsidRPr="00E95611">
        <w:t>The cortical substrate and the ε(Π) coupling (§3.5, §5.2)</w:t>
      </w:r>
    </w:p>
    <w:p w14:paraId="563B61E4" w14:textId="6494785F" w:rsidR="00E95611" w:rsidRPr="00E95611" w:rsidRDefault="00E95611" w:rsidP="00E95611">
      <w:pPr>
        <w:jc w:val="both"/>
      </w:pPr>
      <w:r w:rsidRPr="00E95611">
        <w:t xml:space="preserve">Larkum, M. E., Zhu, J. J., &amp; Sakmann, B. (1999). A new cellular mechanism for coupling inputs arriving at different cortical layers. </w:t>
      </w:r>
      <w:r w:rsidRPr="00E95611">
        <w:rPr>
          <w:i/>
          <w:iCs/>
        </w:rPr>
        <w:t>Nature, 398</w:t>
      </w:r>
      <w:r w:rsidRPr="00E95611">
        <w:t xml:space="preserve">(6725), 338–341. </w:t>
      </w:r>
      <w:hyperlink r:id="rId13" w:history="1">
        <w:r w:rsidRPr="00E95611">
          <w:rPr>
            <w:rStyle w:val="Hyperlink"/>
          </w:rPr>
          <w:t>https://doi.org/10.1038/18686</w:t>
        </w:r>
      </w:hyperlink>
      <w:r w:rsidR="00F93E48">
        <w:t xml:space="preserve"> </w:t>
      </w:r>
      <w:r w:rsidRPr="00E95611">
        <w:t xml:space="preserve">(BAC firing: a layer-5 pyramidal neuron emits a calcium-spike-driven burst when feedforward basal input and </w:t>
      </w:r>
      <w:r w:rsidRPr="00E95611">
        <w:lastRenderedPageBreak/>
        <w:t>feedback apical-tuft input coincide within roughly 5–30 ms — the integrate-and-gate mechanism §5.2 reads as the single-circuit realisation of binding plus certification.)</w:t>
      </w:r>
    </w:p>
    <w:p w14:paraId="3F2740C5" w14:textId="1AE5F040" w:rsidR="00E95611" w:rsidRPr="00E95611" w:rsidRDefault="00E95611" w:rsidP="00E95611">
      <w:pPr>
        <w:jc w:val="both"/>
      </w:pPr>
      <w:r w:rsidRPr="00E95611">
        <w:t xml:space="preserve">Larkum, M. E. (2013). A cellular mechanism for cortical associations: an organising principle for the cerebral cortex. </w:t>
      </w:r>
      <w:r w:rsidRPr="00E95611">
        <w:rPr>
          <w:i/>
          <w:iCs/>
        </w:rPr>
        <w:t>Trends in Neurosciences, 36</w:t>
      </w:r>
      <w:r w:rsidRPr="00E95611">
        <w:t xml:space="preserve">(3), 141–151. </w:t>
      </w:r>
      <w:hyperlink r:id="rId14" w:history="1">
        <w:r w:rsidRPr="00E95611">
          <w:rPr>
            <w:rStyle w:val="Hyperlink"/>
          </w:rPr>
          <w:t>https://doi.org/10.1016/j.tins.2012.11.006</w:t>
        </w:r>
      </w:hyperlink>
      <w:r w:rsidR="00F93E48">
        <w:t xml:space="preserve"> </w:t>
      </w:r>
      <w:r w:rsidRPr="00E95611">
        <w:t>(The pyramidal neuron as an associative coincidence detector between feedforward perisomatic input and feedback apical input — the canonical statement of the integrate-and-gate reading and of its uniformity across the cortical sheet.)</w:t>
      </w:r>
    </w:p>
    <w:p w14:paraId="5FEC9058" w14:textId="35F93513" w:rsidR="00E95611" w:rsidRPr="00E95611" w:rsidRDefault="00E95611" w:rsidP="00E95611">
      <w:pPr>
        <w:jc w:val="both"/>
      </w:pPr>
      <w:r w:rsidRPr="00E95611">
        <w:t xml:space="preserve">Pérez-Garci, E., Gassmann, M., Bettler, B., &amp; Larkum, M. E. (2006). The GABA_B1b isoform mediates long-lasting inhibition of dendritic Ca²⁺ spikes in layer 5 somatosensory pyramidal neurons. </w:t>
      </w:r>
      <w:r w:rsidRPr="00E95611">
        <w:rPr>
          <w:i/>
          <w:iCs/>
        </w:rPr>
        <w:t>Neuron, 50</w:t>
      </w:r>
      <w:r w:rsidRPr="00E95611">
        <w:t xml:space="preserve">(4), 603–616. </w:t>
      </w:r>
      <w:hyperlink r:id="rId15" w:history="1">
        <w:r w:rsidRPr="00E95611">
          <w:rPr>
            <w:rStyle w:val="Hyperlink"/>
          </w:rPr>
          <w:t>https://doi.org/10.1016/j.neuron.2006.04.019</w:t>
        </w:r>
      </w:hyperlink>
      <w:r w:rsidR="00F93E48">
        <w:t xml:space="preserve"> </w:t>
      </w:r>
      <w:r w:rsidRPr="00E95611">
        <w:t>(Distal-tuft GABA_B inhibition vetoes the apical calcium spike, characterised as preventing the association of feedforward and feedback — the physical realisation of the gate's withhold, and the locus at which ε(Π) is set.)</w:t>
      </w:r>
    </w:p>
    <w:p w14:paraId="116A6473" w14:textId="2A00E0A0" w:rsidR="00E95611" w:rsidRPr="00E95611" w:rsidRDefault="00E95611" w:rsidP="00E95611">
      <w:pPr>
        <w:jc w:val="both"/>
      </w:pPr>
      <w:r w:rsidRPr="00E95611">
        <w:t xml:space="preserve">Renart, A., de la Rocha, J., Bartho, P., Hollender, L., Parga, N., Reyes, A., &amp; Harris, K. D. (2010). The asynchronous state in cortical circuits. </w:t>
      </w:r>
      <w:r w:rsidRPr="00E95611">
        <w:rPr>
          <w:i/>
          <w:iCs/>
        </w:rPr>
        <w:t>Science, 327</w:t>
      </w:r>
      <w:r w:rsidRPr="00E95611">
        <w:t xml:space="preserve">(5965), 587–590. </w:t>
      </w:r>
      <w:hyperlink r:id="rId16" w:history="1">
        <w:r w:rsidRPr="00E95611">
          <w:rPr>
            <w:rStyle w:val="Hyperlink"/>
          </w:rPr>
          <w:t>https://doi.org/10.1126/science.1179850</w:t>
        </w:r>
      </w:hyperlink>
      <w:r w:rsidR="00F93E48">
        <w:t xml:space="preserve"> </w:t>
      </w:r>
      <w:r w:rsidRPr="00E95611">
        <w:t>(Tracking of excitation by inhibition actively decorrelates cortical activity — the microcircuit-level basis for the signed inner product and the orthogonalisation §5.2 attributes to interneurons rather than to single pyramidal cells.)</w:t>
      </w:r>
    </w:p>
    <w:p w14:paraId="399C5982" w14:textId="2CCC753C" w:rsidR="00E95611" w:rsidRPr="00E95611" w:rsidRDefault="00E95611" w:rsidP="00E95611">
      <w:pPr>
        <w:jc w:val="both"/>
      </w:pPr>
      <w:r w:rsidRPr="00E95611">
        <w:t xml:space="preserve">Olsen, S. R., Bortone, D. S., Adesnik, H., &amp; Scanziani, M. (2012). Gain control by layer six in cortical circuits of vision. </w:t>
      </w:r>
      <w:r w:rsidRPr="00E95611">
        <w:rPr>
          <w:i/>
          <w:iCs/>
        </w:rPr>
        <w:t>Nature, 483</w:t>
      </w:r>
      <w:r w:rsidRPr="00E95611">
        <w:t xml:space="preserve">(7387), 47–52. </w:t>
      </w:r>
      <w:hyperlink r:id="rId17" w:history="1">
        <w:r w:rsidRPr="00E95611">
          <w:rPr>
            <w:rStyle w:val="Hyperlink"/>
          </w:rPr>
          <w:t>https://doi.org/10.1038/nature10835</w:t>
        </w:r>
      </w:hyperlink>
      <w:r w:rsidR="00F93E48">
        <w:t xml:space="preserve"> </w:t>
      </w:r>
      <w:r w:rsidRPr="00E95611">
        <w:t>(Layer 6 scales the gain of upper-layer responses without altering their tuning, via coordinated intracortical and corticothalamic projections — the cortical effector §3.5 reads as the substrate of the global precision term, and L6's second role in §5.1 alongside key supply.)</w:t>
      </w:r>
    </w:p>
    <w:p w14:paraId="3E229FE0" w14:textId="17B3D03D" w:rsidR="00E95611" w:rsidRPr="00E95611" w:rsidRDefault="00E95611" w:rsidP="00E95611">
      <w:pPr>
        <w:jc w:val="both"/>
      </w:pPr>
      <w:r w:rsidRPr="00E95611">
        <w:t xml:space="preserve">Kita, T., &amp; Kita, H. (2012). The subthalamic nucleus is one of multiple innervation sites for long-range corticofugal axons: a single-axon tracing study in the rat. </w:t>
      </w:r>
      <w:r w:rsidRPr="00E95611">
        <w:rPr>
          <w:i/>
          <w:iCs/>
        </w:rPr>
        <w:t>Journal of Neuroscience, 32</w:t>
      </w:r>
      <w:r w:rsidRPr="00E95611">
        <w:t>(17), 5990–5999.</w:t>
      </w:r>
      <w:r w:rsidR="00F93E48">
        <w:t xml:space="preserve"> </w:t>
      </w:r>
      <w:r w:rsidRPr="00E95611">
        <w:t>(The hyperdirect pathway is formed by layer-5 corticofugal axon collaterals — the rodent anchor for the strictly layer-5 origin of the motor brake of §5.3.)</w:t>
      </w:r>
    </w:p>
    <w:p w14:paraId="515C316F" w14:textId="3CFBE70B" w:rsidR="00E95611" w:rsidRPr="00E95611" w:rsidRDefault="00E95611" w:rsidP="00E95611">
      <w:pPr>
        <w:jc w:val="both"/>
      </w:pPr>
      <w:r w:rsidRPr="00E95611">
        <w:t xml:space="preserve">Coudé, D., Parent, A., &amp; Parent, M. (2018). Single-axon tracing of the corticosubthalamic hyperdirect pathway in primates. </w:t>
      </w:r>
      <w:r w:rsidRPr="00E95611">
        <w:rPr>
          <w:i/>
          <w:iCs/>
        </w:rPr>
        <w:t>Brain Structure and Function, 223</w:t>
      </w:r>
      <w:r w:rsidRPr="00E95611">
        <w:t>(9), 3959–3973.</w:t>
      </w:r>
      <w:r w:rsidR="00F93E48">
        <w:t xml:space="preserve"> </w:t>
      </w:r>
      <w:r w:rsidRPr="00E95611">
        <w:t>(Primate layer-V pyramidal axons traced into the internal capsule, bifurcating to the STN — the primate anchor for the layer-5 origin of the motor brake of §5.3.)</w:t>
      </w:r>
    </w:p>
    <w:p w14:paraId="58E16017" w14:textId="48767E3F" w:rsidR="00E95611" w:rsidRPr="00E95611" w:rsidRDefault="00E95611" w:rsidP="00E95611">
      <w:pPr>
        <w:jc w:val="both"/>
      </w:pPr>
      <w:r w:rsidRPr="00E95611">
        <w:t xml:space="preserve">Harris, K. D., &amp; Shepherd, G. M. G. (2015). The neocortical circuit: themes and variations. </w:t>
      </w:r>
      <w:r w:rsidRPr="00E95611">
        <w:rPr>
          <w:i/>
          <w:iCs/>
        </w:rPr>
        <w:t>Nature Neuroscience, 18</w:t>
      </w:r>
      <w:r w:rsidRPr="00E95611">
        <w:t>(2), 170–181.</w:t>
      </w:r>
      <w:r w:rsidR="00F93E48">
        <w:t xml:space="preserve"> </w:t>
      </w:r>
      <w:r w:rsidRPr="00E95611">
        <w:t>(The IT / PT / CT projection-class taxonomy of cortical output neurons by layer — the cell-type grounding of §5.1: PT in L5B carry the §§5.2–5.3 roles, CT in L6 the §5.1/§3.5 roles, IT the horizontal-integration roles.)</w:t>
      </w:r>
    </w:p>
    <w:p w14:paraId="59303A5B" w14:textId="21135ADA" w:rsidR="00E95611" w:rsidRPr="00E95611" w:rsidRDefault="00E95611" w:rsidP="00E95611">
      <w:pPr>
        <w:jc w:val="both"/>
      </w:pPr>
      <w:r w:rsidRPr="00E95611">
        <w:t xml:space="preserve">Thomson, A. M. (2010). Neocortical layer 6, a review. </w:t>
      </w:r>
      <w:r w:rsidRPr="00E95611">
        <w:rPr>
          <w:i/>
          <w:iCs/>
        </w:rPr>
        <w:t>Frontiers in Neuroanatomy, 4</w:t>
      </w:r>
      <w:r w:rsidRPr="00E95611">
        <w:t>, 13.</w:t>
      </w:r>
      <w:r w:rsidR="00F93E48">
        <w:t xml:space="preserve"> </w:t>
      </w:r>
      <w:r w:rsidRPr="00E95611">
        <w:t>(Corticothalamic cells are only ~30–50% of layer-6 pyramidal neurons, the remainder cortico-cortical — the scoping that confines layer 6's framework roles to its CT subpopulation in §5.1 and §3.5.)</w:t>
      </w:r>
    </w:p>
    <w:p w14:paraId="2A3B9365" w14:textId="1FB4D716" w:rsidR="00E95611" w:rsidRPr="00E95611" w:rsidRDefault="00E95611" w:rsidP="00E95611">
      <w:pPr>
        <w:jc w:val="both"/>
      </w:pPr>
      <w:r w:rsidRPr="00E95611">
        <w:t xml:space="preserve">Craig, A. D. (2009). How do you feel — now? The anterior insula and human awareness. </w:t>
      </w:r>
      <w:r w:rsidRPr="00E95611">
        <w:rPr>
          <w:i/>
          <w:iCs/>
        </w:rPr>
        <w:t>Nature Reviews Neuroscience, 10</w:t>
      </w:r>
      <w:r w:rsidRPr="00E95611">
        <w:t>(1), 59–70.</w:t>
      </w:r>
      <w:r w:rsidR="00F93E48">
        <w:t xml:space="preserve"> </w:t>
      </w:r>
      <w:r w:rsidRPr="00E95611">
        <w:t>(The anterior insula as the primary interoceptive integrator — the reader of the physiological cost scalar T that drives the fast, zone-local term of ε(Π) in §3.5.)</w:t>
      </w:r>
    </w:p>
    <w:p w14:paraId="4A925777" w14:textId="252C0978" w:rsidR="00E95611" w:rsidRPr="00E95611" w:rsidRDefault="00E95611" w:rsidP="00E95611">
      <w:pPr>
        <w:jc w:val="both"/>
      </w:pPr>
      <w:r w:rsidRPr="00E95611">
        <w:t xml:space="preserve">Seeley, W. W., Menon, V., Schatzberg, A. F., Keller, J., Glover, G. H., Kenna, H., Reiss, A. L., &amp; Greicius, M. D. (2007). Dissociable intrinsic connectivity networks for salience processing and executive control. </w:t>
      </w:r>
      <w:r w:rsidRPr="00E95611">
        <w:rPr>
          <w:i/>
          <w:iCs/>
        </w:rPr>
        <w:lastRenderedPageBreak/>
        <w:t>Journal of Neuroscience, 27</w:t>
      </w:r>
      <w:r w:rsidRPr="00E95611">
        <w:t>(9), 2349–2356.</w:t>
      </w:r>
      <w:r w:rsidR="00F93E48">
        <w:t xml:space="preserve"> </w:t>
      </w:r>
      <w:r w:rsidRPr="00E95611">
        <w:t>(The salience network, anchored by anterior insula and dorsal ACC — the substrate of the cost-driven tolerance control of §3.5.)</w:t>
      </w:r>
    </w:p>
    <w:p w14:paraId="6B325EE6" w14:textId="6E279409" w:rsidR="00E95611" w:rsidRPr="00E95611" w:rsidRDefault="00E95611" w:rsidP="00E95611">
      <w:pPr>
        <w:jc w:val="both"/>
      </w:pPr>
      <w:r w:rsidRPr="00E95611">
        <w:t xml:space="preserve">Shenhav, A., Botvinick, M. M., &amp; Cohen, J. D. (2013). The expected value of control: an integrative theory of anterior cingulate cortex function. </w:t>
      </w:r>
      <w:r w:rsidRPr="00E95611">
        <w:rPr>
          <w:i/>
          <w:iCs/>
        </w:rPr>
        <w:t>Neuron, 79</w:t>
      </w:r>
      <w:r w:rsidRPr="00E95611">
        <w:t>(2), 217–240.</w:t>
      </w:r>
      <w:r w:rsidR="00F93E48">
        <w:t xml:space="preserve"> </w:t>
      </w:r>
      <w:r w:rsidRPr="00E95611">
        <w:t>(The ACC as the allocator of control cost — the structure §3.5 reads as setting ε(Π) from the insular cost signal.)</w:t>
      </w:r>
    </w:p>
    <w:p w14:paraId="7EE4FC9C" w14:textId="77777777" w:rsidR="00E95611" w:rsidRPr="00E95611" w:rsidRDefault="00E95611" w:rsidP="00F93E48">
      <w:pPr>
        <w:pStyle w:val="Heading2"/>
      </w:pPr>
      <w:r w:rsidRPr="00E95611">
        <w:t>This framework</w:t>
      </w:r>
    </w:p>
    <w:p w14:paraId="31BBD652" w14:textId="2D75EFA9" w:rsidR="00E95611" w:rsidRPr="00E95611" w:rsidRDefault="00E95611" w:rsidP="00E95611">
      <w:pPr>
        <w:jc w:val="both"/>
      </w:pPr>
      <w:r w:rsidRPr="00E95611">
        <w:t xml:space="preserve">Ghosh, D. P. (2025). </w:t>
      </w:r>
      <w:r w:rsidRPr="00E95611">
        <w:rPr>
          <w:i/>
          <w:iCs/>
        </w:rPr>
        <w:t>The Geometry of Defensible Action.</w:t>
      </w:r>
      <w:r w:rsidRPr="00E95611">
        <w:t xml:space="preserve"> (Paper 1 of this series.) DOI 10.13140/RG.2.2.24454.54080.</w:t>
      </w:r>
      <w:r w:rsidR="00F93E48">
        <w:t xml:space="preserve"> </w:t>
      </w:r>
      <w:r w:rsidRPr="00E95611">
        <w:t>(The enrichment ladder; the N3 normed→inner-product lift by the polarisation identity; Hahn–Banach norm-preservation as the no-fabrication guarantee — the lift §4 identifies as the constructor of the tensor store.)</w:t>
      </w:r>
    </w:p>
    <w:p w14:paraId="0E19E621" w14:textId="33C830D6" w:rsidR="00E95611" w:rsidRPr="00E95611" w:rsidRDefault="00E95611" w:rsidP="00E95611">
      <w:pPr>
        <w:jc w:val="both"/>
      </w:pPr>
      <w:r w:rsidRPr="00E95611">
        <w:t xml:space="preserve">Ghosh, D. P. (2026). </w:t>
      </w:r>
      <w:r w:rsidRPr="00E95611">
        <w:rPr>
          <w:i/>
          <w:iCs/>
        </w:rPr>
        <w:t>The Categorical Foundations of the Thermodynamic–Electric Coupling.</w:t>
      </w:r>
      <w:r w:rsidRPr="00E95611">
        <w:t xml:space="preserve"> (Paper 2 of this series.) DOI 10.13140/RG.2.2.11096.66566.</w:t>
      </w:r>
      <w:r w:rsidR="00F93E48">
        <w:t xml:space="preserve"> </w:t>
      </w:r>
      <w:r w:rsidRPr="00E95611">
        <w:t>(The precision/persistence parameter ε(Π) and the F</w:t>
      </w:r>
      <w:r w:rsidRPr="00E95611">
        <w:rPr>
          <w:rFonts w:ascii="Cambria Math" w:hAnsi="Cambria Math" w:cs="Cambria Math"/>
        </w:rPr>
        <w:t>⊣</w:t>
      </w:r>
      <w:r w:rsidRPr="00E95611">
        <w:t xml:space="preserve">G tolerance-filtration adjunction </w:t>
      </w:r>
      <w:r w:rsidRPr="00E95611">
        <w:rPr>
          <w:rFonts w:ascii="Calibri" w:hAnsi="Calibri" w:cs="Calibri"/>
        </w:rPr>
        <w:t>—</w:t>
      </w:r>
      <w:r w:rsidRPr="00E95611">
        <w:t xml:space="preserve"> the single tolerance </w:t>
      </w:r>
      <w:r w:rsidRPr="00E95611">
        <w:rPr>
          <w:rFonts w:ascii="Calibri" w:hAnsi="Calibri" w:cs="Calibri"/>
        </w:rPr>
        <w:t>§</w:t>
      </w:r>
      <w:r w:rsidRPr="00E95611">
        <w:t>3.5 reads at the inner-product rung as the resolution of the obstruction gate, born as a raw magnitude at the proximity floor and consumed here as the gate's tolerance.)</w:t>
      </w:r>
    </w:p>
    <w:p w14:paraId="129E2767" w14:textId="673F4875" w:rsidR="00E95611" w:rsidRPr="00E95611" w:rsidRDefault="00E95611" w:rsidP="00E95611">
      <w:pPr>
        <w:jc w:val="both"/>
      </w:pPr>
      <w:r w:rsidRPr="00E95611">
        <w:t xml:space="preserve">Ghosh, D. P. (2026). </w:t>
      </w:r>
      <w:r w:rsidRPr="00E95611">
        <w:rPr>
          <w:i/>
          <w:iCs/>
        </w:rPr>
        <w:t>Dynamic Predictive Gluing: A Sheaf-Theoretic Theory of Consciousness and the Necessity of Sleep.</w:t>
      </w:r>
      <w:r w:rsidRPr="00E95611">
        <w:t xml:space="preserve"> (Paper 3 of this series.) DOI 10.13140/RG.2.2.19848.99846.</w:t>
      </w:r>
      <w:r w:rsidR="00F93E48">
        <w:t xml:space="preserve"> </w:t>
      </w:r>
      <w:r w:rsidRPr="00E95611">
        <w:t>(Prediction error as cohomological obstruction; the presheaf-auditor → polarisation-lift lifecycle; online-irreducibility — the argument §4.3 applies to show the orthogonalisation lift must be offline; the surprise-gated capture-tag §5.2 writes onto L5; the three withholds §5.3 routes; the false-zero species, of which §3's compound hallucination is the second-order case.)</w:t>
      </w:r>
    </w:p>
    <w:p w14:paraId="585A62B9" w14:textId="7A58CEB0" w:rsidR="00E95611" w:rsidRPr="00E95611" w:rsidRDefault="00E95611" w:rsidP="00E95611">
      <w:pPr>
        <w:jc w:val="both"/>
      </w:pPr>
      <w:r w:rsidRPr="00E95611">
        <w:t xml:space="preserve">Ghosh, D. P. </w:t>
      </w:r>
      <w:r w:rsidRPr="00E95611">
        <w:rPr>
          <w:i/>
          <w:iCs/>
        </w:rPr>
        <w:t>The Hierarchy of Binding: Multimodal Dynamic Predictive Gluing and Why Language Must Enter at the Top.</w:t>
      </w:r>
      <w:r w:rsidRPr="00E95611">
        <w:t xml:space="preserve"> (Paper 4 of this series.)</w:t>
      </w:r>
      <w:r w:rsidR="00F93E48">
        <w:t xml:space="preserve"> </w:t>
      </w:r>
      <w:r w:rsidRPr="00E95611">
        <w:t>(The enrichment ladder over modalities; the hierarchy of lifts that raises representations to a common rung — the precondition for the cup product of §3; the two offline regimes N3 and REM, read in §4.5 onto the two kinds of tensor factor; the laminar substrate read in §5.)</w:t>
      </w:r>
    </w:p>
    <w:p w14:paraId="1E8A37EA" w14:textId="200E872C" w:rsidR="00E95611" w:rsidRPr="00E95611" w:rsidRDefault="00E95611" w:rsidP="00E95611">
      <w:pPr>
        <w:jc w:val="both"/>
      </w:pPr>
      <w:r w:rsidRPr="00E95611">
        <w:t xml:space="preserve">Ghosh, D. P. (2026). </w:t>
      </w:r>
      <w:r w:rsidRPr="00E95611">
        <w:rPr>
          <w:i/>
          <w:iCs/>
        </w:rPr>
        <w:t>AI is Pretrain → Finetune; Defensible AGI is Audit → Lift.</w:t>
      </w:r>
      <w:r w:rsidRPr="00E95611">
        <w:t xml:space="preserve"> (Deployment-lifecycle paper of this series.) DOI 10.13140/RG.2.2.20183.23205.</w:t>
      </w:r>
      <w:r w:rsidR="00F93E48">
        <w:t xml:space="preserve"> </w:t>
      </w:r>
      <w:r w:rsidRPr="00E95611">
        <w:t>(The macro-architecture this paper's hardware serves: the field auditor whose motor-brake withhold is §5.3's L5→STN route; the surprise-gated capture-tag as the local inductive bias §5.2 writes onto L5; the disentanglement-needs-bias result bounding that tag to a local cut; the liftable-versus-irreducible distinction §4.6 uses to trigger the Appendix A hypercover.)</w:t>
      </w:r>
    </w:p>
    <w:p w14:paraId="378FC448" w14:textId="6F5AFBBF" w:rsidR="00E95611" w:rsidRPr="00E95611" w:rsidRDefault="00E95611" w:rsidP="00E95611">
      <w:pPr>
        <w:jc w:val="both"/>
      </w:pPr>
      <w:r w:rsidRPr="00E95611">
        <w:t xml:space="preserve">Ghosh, D. P. </w:t>
      </w:r>
      <w:r w:rsidRPr="00E95611">
        <w:rPr>
          <w:i/>
          <w:iCs/>
        </w:rPr>
        <w:t>The Subthalamic Gate and the Pallidal Hub: The Basal Ganglia as the Metric–Separation Junction.</w:t>
      </w:r>
      <w:r w:rsidR="00F93E48">
        <w:t xml:space="preserve"> </w:t>
      </w:r>
      <w:r w:rsidRPr="00E95611">
        <w:t>(The circuit downstream of §5.3's L5→STN withhold: the hyperdirect read this paper supplies is what the basal-ganglia junction gates, with cancellation distributed across the basal ganglia rather than executed by the STN alone. The cortex provides the topological read; that paper formalises the gate.)</w:t>
      </w:r>
    </w:p>
    <w:p w14:paraId="2169C172" w14:textId="0621629A" w:rsidR="00E95611" w:rsidRPr="00E95611" w:rsidRDefault="00E95611" w:rsidP="00E95611">
      <w:pPr>
        <w:jc w:val="both"/>
      </w:pPr>
      <w:r w:rsidRPr="00E95611">
        <w:t xml:space="preserve">Ghosh, D. P. </w:t>
      </w:r>
      <w:r w:rsidRPr="00E95611">
        <w:rPr>
          <w:i/>
          <w:iCs/>
        </w:rPr>
        <w:t>The Consolidation Engine and the Two Ascents.</w:t>
      </w:r>
      <w:r w:rsidR="00F93E48">
        <w:t xml:space="preserve"> </w:t>
      </w:r>
      <w:r w:rsidRPr="00E95611">
        <w:t>(The scheduler of §4's offline lift: the hippocampo-thalamo-neocortical consolidation circuit — the nested slow-oscillation–spindle–ripple hierarchy — that reactivates the tagged traces the cortex re-coordinatises in §5.5, reading the §5.2 capture-tag to route which traces. The cortex is the site of the lift; that circuit is its timing.)</w:t>
      </w:r>
    </w:p>
    <w:p w14:paraId="712EEA3C" w14:textId="5BF3C9DC" w:rsidR="00E95611" w:rsidRPr="00E95611" w:rsidRDefault="00E95611" w:rsidP="00E95611">
      <w:pPr>
        <w:jc w:val="both"/>
      </w:pPr>
      <w:r w:rsidRPr="00E95611">
        <w:lastRenderedPageBreak/>
        <w:t xml:space="preserve">Ghosh, D. P. </w:t>
      </w:r>
      <w:r w:rsidRPr="00E95611">
        <w:rPr>
          <w:i/>
          <w:iCs/>
        </w:rPr>
        <w:t>The Metric–Separation Junction</w:t>
      </w:r>
      <w:r w:rsidRPr="00E95611">
        <w:t xml:space="preserve"> (horizon note).</w:t>
      </w:r>
      <w:r w:rsidR="00F93E48">
        <w:t xml:space="preserve"> </w:t>
      </w:r>
      <w:r w:rsidRPr="00E95611">
        <w:t>(The junction §5.3's withhold feeds, and the read–write coupling by which the online capture-tag of §5.2 routes the offline lift of §5.5 one cycle later.)</w:t>
      </w:r>
    </w:p>
    <w:p w14:paraId="2FDCE600" w14:textId="6E941223" w:rsidR="00E95611" w:rsidRPr="00E95611" w:rsidRDefault="00E95611" w:rsidP="00E95611">
      <w:pPr>
        <w:jc w:val="both"/>
      </w:pPr>
      <w:r w:rsidRPr="00E95611">
        <w:t xml:space="preserve">Ghosh, D. P. </w:t>
      </w:r>
      <w:r w:rsidRPr="00E95611">
        <w:rPr>
          <w:i/>
          <w:iCs/>
        </w:rPr>
        <w:t>From Coboundary Norms to Persistent Čech H¹.</w:t>
      </w:r>
      <w:r w:rsidRPr="00E95611">
        <w:t xml:space="preserve"> (Cohomological Attention Block addendum to this series.)</w:t>
      </w:r>
      <w:r w:rsidR="00F93E48">
        <w:t xml:space="preserve"> </w:t>
      </w:r>
      <w:r w:rsidRPr="00E95611">
        <w:t>(The first-order obstruction gate; the triple-overlap test and the bind/deliberate/withhold decision; the persistence parameter ε(Π) — extended in §3 to the second-order class.)</w:t>
      </w:r>
    </w:p>
    <w:p w14:paraId="48705E8C" w14:textId="3423F8A3" w:rsidR="00E95611" w:rsidRPr="00E95611" w:rsidRDefault="00E95611" w:rsidP="00E95611">
      <w:pPr>
        <w:jc w:val="both"/>
      </w:pPr>
      <w:r w:rsidRPr="00E95611">
        <w:t xml:space="preserve">Ghosh, D. P. </w:t>
      </w:r>
      <w:r w:rsidRPr="00E95611">
        <w:rPr>
          <w:i/>
          <w:iCs/>
        </w:rPr>
        <w:t>A Gluing Discipline for Defensible Representations.</w:t>
      </w:r>
      <w:r w:rsidRPr="00E95611">
        <w:t xml:space="preserve"> (Engineering addendum to this series.)</w:t>
      </w:r>
      <w:r w:rsidR="00F93E48">
        <w:t xml:space="preserve"> </w:t>
      </w:r>
      <w:r w:rsidRPr="00E95611">
        <w:t xml:space="preserve">(Provenance-and-validity types; proof-carrying fusion; the first-class </w:t>
      </w:r>
      <w:r w:rsidRPr="00E95611">
        <w:rPr>
          <w:i/>
          <w:iCs/>
        </w:rPr>
        <w:t>unglue</w:t>
      </w:r>
      <w:r w:rsidRPr="00E95611">
        <w:t xml:space="preserve"> operation posited there and left unspecified, identified in §2.4 with inner-product contraction.)</w:t>
      </w:r>
    </w:p>
    <w:p w14:paraId="19E804D1" w14:textId="6BB898C7" w:rsidR="00E95611" w:rsidRPr="00E95611" w:rsidRDefault="00E95611" w:rsidP="00E95611">
      <w:pPr>
        <w:jc w:val="both"/>
      </w:pPr>
    </w:p>
    <w:sectPr w:rsidR="00E95611" w:rsidRPr="00E956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C1075"/>
    <w:multiLevelType w:val="multilevel"/>
    <w:tmpl w:val="306C0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2F12B3"/>
    <w:multiLevelType w:val="multilevel"/>
    <w:tmpl w:val="3312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5272826">
    <w:abstractNumId w:val="1"/>
  </w:num>
  <w:num w:numId="2" w16cid:durableId="2037071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A52"/>
    <w:rsid w:val="00055901"/>
    <w:rsid w:val="000B6894"/>
    <w:rsid w:val="001218D7"/>
    <w:rsid w:val="00180F9E"/>
    <w:rsid w:val="002C3F9C"/>
    <w:rsid w:val="003C631E"/>
    <w:rsid w:val="005D51B4"/>
    <w:rsid w:val="006811F6"/>
    <w:rsid w:val="00727AE2"/>
    <w:rsid w:val="0089720E"/>
    <w:rsid w:val="008B08B7"/>
    <w:rsid w:val="008F3A52"/>
    <w:rsid w:val="00997E89"/>
    <w:rsid w:val="00BB0D7E"/>
    <w:rsid w:val="00C24516"/>
    <w:rsid w:val="00CE5D42"/>
    <w:rsid w:val="00DC1523"/>
    <w:rsid w:val="00E95611"/>
    <w:rsid w:val="00F008CA"/>
    <w:rsid w:val="00F404CD"/>
    <w:rsid w:val="00F93E48"/>
    <w:rsid w:val="00F94F17"/>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186DE"/>
  <w15:chartTrackingRefBased/>
  <w15:docId w15:val="{4CF45752-FC36-40F9-BB83-8D20BC631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3A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F3A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3A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3A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3A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3A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3A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3A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3A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3A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F3A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3A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3A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3A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3A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3A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3A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3A52"/>
    <w:rPr>
      <w:rFonts w:eastAsiaTheme="majorEastAsia" w:cstheme="majorBidi"/>
      <w:color w:val="272727" w:themeColor="text1" w:themeTint="D8"/>
    </w:rPr>
  </w:style>
  <w:style w:type="paragraph" w:styleId="Title">
    <w:name w:val="Title"/>
    <w:basedOn w:val="Normal"/>
    <w:next w:val="Normal"/>
    <w:link w:val="TitleChar"/>
    <w:uiPriority w:val="10"/>
    <w:qFormat/>
    <w:rsid w:val="008F3A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3A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3A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3A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3A52"/>
    <w:pPr>
      <w:spacing w:before="160"/>
      <w:jc w:val="center"/>
    </w:pPr>
    <w:rPr>
      <w:i/>
      <w:iCs/>
      <w:color w:val="404040" w:themeColor="text1" w:themeTint="BF"/>
    </w:rPr>
  </w:style>
  <w:style w:type="character" w:customStyle="1" w:styleId="QuoteChar">
    <w:name w:val="Quote Char"/>
    <w:basedOn w:val="DefaultParagraphFont"/>
    <w:link w:val="Quote"/>
    <w:uiPriority w:val="29"/>
    <w:rsid w:val="008F3A52"/>
    <w:rPr>
      <w:i/>
      <w:iCs/>
      <w:color w:val="404040" w:themeColor="text1" w:themeTint="BF"/>
    </w:rPr>
  </w:style>
  <w:style w:type="paragraph" w:styleId="ListParagraph">
    <w:name w:val="List Paragraph"/>
    <w:basedOn w:val="Normal"/>
    <w:uiPriority w:val="34"/>
    <w:qFormat/>
    <w:rsid w:val="008F3A52"/>
    <w:pPr>
      <w:ind w:left="720"/>
      <w:contextualSpacing/>
    </w:pPr>
  </w:style>
  <w:style w:type="character" w:styleId="IntenseEmphasis">
    <w:name w:val="Intense Emphasis"/>
    <w:basedOn w:val="DefaultParagraphFont"/>
    <w:uiPriority w:val="21"/>
    <w:qFormat/>
    <w:rsid w:val="008F3A52"/>
    <w:rPr>
      <w:i/>
      <w:iCs/>
      <w:color w:val="2F5496" w:themeColor="accent1" w:themeShade="BF"/>
    </w:rPr>
  </w:style>
  <w:style w:type="paragraph" w:styleId="IntenseQuote">
    <w:name w:val="Intense Quote"/>
    <w:basedOn w:val="Normal"/>
    <w:next w:val="Normal"/>
    <w:link w:val="IntenseQuoteChar"/>
    <w:uiPriority w:val="30"/>
    <w:qFormat/>
    <w:rsid w:val="008F3A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3A52"/>
    <w:rPr>
      <w:i/>
      <w:iCs/>
      <w:color w:val="2F5496" w:themeColor="accent1" w:themeShade="BF"/>
    </w:rPr>
  </w:style>
  <w:style w:type="character" w:styleId="IntenseReference">
    <w:name w:val="Intense Reference"/>
    <w:basedOn w:val="DefaultParagraphFont"/>
    <w:uiPriority w:val="32"/>
    <w:qFormat/>
    <w:rsid w:val="008F3A52"/>
    <w:rPr>
      <w:b/>
      <w:bCs/>
      <w:smallCaps/>
      <w:color w:val="2F5496" w:themeColor="accent1" w:themeShade="BF"/>
      <w:spacing w:val="5"/>
    </w:rPr>
  </w:style>
  <w:style w:type="character" w:styleId="Hyperlink">
    <w:name w:val="Hyperlink"/>
    <w:basedOn w:val="DefaultParagraphFont"/>
    <w:uiPriority w:val="99"/>
    <w:unhideWhenUsed/>
    <w:rsid w:val="00E95611"/>
    <w:rPr>
      <w:color w:val="0563C1" w:themeColor="hyperlink"/>
      <w:u w:val="single"/>
    </w:rPr>
  </w:style>
  <w:style w:type="character" w:styleId="UnresolvedMention">
    <w:name w:val="Unresolved Mention"/>
    <w:basedOn w:val="DefaultParagraphFont"/>
    <w:uiPriority w:val="99"/>
    <w:semiHidden/>
    <w:unhideWhenUsed/>
    <w:rsid w:val="00E956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3140/RG.2.2.14232.56328" TargetMode="External"/><Relationship Id="rId13" Type="http://schemas.openxmlformats.org/officeDocument/2006/relationships/hyperlink" Target="https://doi.org/10.1038/18686"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i.org/10.1038/s41467-021-23288-5" TargetMode="External"/><Relationship Id="rId17" Type="http://schemas.openxmlformats.org/officeDocument/2006/relationships/hyperlink" Target="https://doi.org/10.1038/nature10835" TargetMode="External"/><Relationship Id="rId2" Type="http://schemas.openxmlformats.org/officeDocument/2006/relationships/styles" Target="styles.xml"/><Relationship Id="rId16" Type="http://schemas.openxmlformats.org/officeDocument/2006/relationships/hyperlink" Target="https://doi.org/10.1126/science.1179850" TargetMode="External"/><Relationship Id="rId1" Type="http://schemas.openxmlformats.org/officeDocument/2006/relationships/numbering" Target="numbering.xml"/><Relationship Id="rId6" Type="http://schemas.openxmlformats.org/officeDocument/2006/relationships/hyperlink" Target="https://orcid.org/0000-0001-7393-2907" TargetMode="External"/><Relationship Id="rId11" Type="http://schemas.openxmlformats.org/officeDocument/2006/relationships/hyperlink" Target="https://doi.org/10.1016/j.nlm.2009.03.007" TargetMode="External"/><Relationship Id="rId5" Type="http://schemas.openxmlformats.org/officeDocument/2006/relationships/hyperlink" Target="mailto:debiprasadghosh@lntecc.com" TargetMode="External"/><Relationship Id="rId15" Type="http://schemas.openxmlformats.org/officeDocument/2006/relationships/hyperlink" Target="https://doi.org/10.1016/j.neuron.2006.04.019" TargetMode="External"/><Relationship Id="rId10" Type="http://schemas.openxmlformats.org/officeDocument/2006/relationships/hyperlink" Target="https://doi.org/10.1038/nn.4119"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i.org/10.1016/0004-3702(90)90007-M" TargetMode="External"/><Relationship Id="rId14" Type="http://schemas.openxmlformats.org/officeDocument/2006/relationships/hyperlink" Target="https://doi.org/10.1016/j.tins.2012.11.0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31</Pages>
  <Words>18025</Words>
  <Characters>102746</Characters>
  <Application>Microsoft Office Word</Application>
  <DocSecurity>0</DocSecurity>
  <Lines>856</Lines>
  <Paragraphs>241</Paragraphs>
  <ScaleCrop>false</ScaleCrop>
  <Company/>
  <LinksUpToDate>false</LinksUpToDate>
  <CharactersWithSpaces>120530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Debiprasad Ghosh</dc:creator>
  <cp:keywords/>
  <dc:description/>
  <cp:lastModifiedBy>Debiprasad Ghosh</cp:lastModifiedBy>
  <cp:revision>8</cp:revision>
  <cp:lastPrinted>2026-06-16T17:12:00Z</cp:lastPrinted>
  <dcterms:created xsi:type="dcterms:W3CDTF">2026-06-16T15:18:00Z</dcterms:created>
  <dcterms:modified xsi:type="dcterms:W3CDTF">2026-06-16T17:19:00Z</dcterms:modified>
</cp:coreProperties>
</file>