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29C31" w14:textId="2E1A90E0" w:rsidR="003C2063" w:rsidRPr="006B4CC5" w:rsidRDefault="003C2063" w:rsidP="003C2063">
      <w:pPr>
        <w:pStyle w:val="Title"/>
        <w:pBdr>
          <w:bottom w:val="single" w:sz="6" w:space="1" w:color="auto"/>
        </w:pBdr>
        <w:rPr>
          <w:rFonts w:asciiTheme="minorHAnsi" w:hAnsiTheme="minorHAnsi"/>
          <w:sz w:val="22"/>
          <w:szCs w:val="22"/>
        </w:rPr>
      </w:pPr>
      <w:r w:rsidRPr="006B4CC5">
        <w:rPr>
          <w:rFonts w:asciiTheme="minorHAnsi" w:hAnsiTheme="minorHAnsi"/>
          <w:sz w:val="22"/>
          <w:szCs w:val="22"/>
        </w:rPr>
        <w:t xml:space="preserve">Manuscript as of </w:t>
      </w:r>
      <w:r>
        <w:rPr>
          <w:rFonts w:asciiTheme="minorHAnsi" w:hAnsiTheme="minorHAnsi"/>
          <w:sz w:val="22"/>
          <w:szCs w:val="22"/>
        </w:rPr>
        <w:t>June</w:t>
      </w:r>
      <w:r w:rsidRPr="006B4CC5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04</w:t>
      </w:r>
      <w:r w:rsidRPr="006B4CC5">
        <w:rPr>
          <w:rFonts w:asciiTheme="minorHAnsi" w:hAnsiTheme="minorHAnsi"/>
          <w:sz w:val="22"/>
          <w:szCs w:val="22"/>
        </w:rPr>
        <w:t>, 202</w:t>
      </w:r>
      <w:r>
        <w:rPr>
          <w:rFonts w:asciiTheme="minorHAnsi" w:hAnsiTheme="minorHAnsi"/>
          <w:sz w:val="22"/>
          <w:szCs w:val="22"/>
        </w:rPr>
        <w:t>6;</w:t>
      </w:r>
      <w:r w:rsidR="00F755AD">
        <w:rPr>
          <w:rFonts w:asciiTheme="minorHAnsi" w:hAnsiTheme="minorHAnsi"/>
          <w:sz w:val="22"/>
          <w:szCs w:val="22"/>
        </w:rPr>
        <w:t xml:space="preserve"> </w:t>
      </w:r>
    </w:p>
    <w:p w14:paraId="38E4EDB0" w14:textId="0F8F2BC3" w:rsidR="00932FD7" w:rsidRPr="00932FD7" w:rsidRDefault="002730A4" w:rsidP="00932FD7">
      <w:pPr>
        <w:pStyle w:val="Title"/>
        <w:jc w:val="center"/>
        <w:rPr>
          <w:sz w:val="64"/>
          <w:szCs w:val="64"/>
        </w:rPr>
      </w:pPr>
      <w:r w:rsidRPr="002730A4">
        <w:rPr>
          <w:sz w:val="64"/>
          <w:szCs w:val="64"/>
        </w:rPr>
        <w:t>The Categorical Foundations of the Thermodynamic–Electric Coupling</w:t>
      </w:r>
    </w:p>
    <w:p w14:paraId="417F5BB1" w14:textId="77777777" w:rsidR="00932FD7" w:rsidRDefault="00932FD7" w:rsidP="00932FD7">
      <w:pPr>
        <w:jc w:val="center"/>
      </w:pPr>
      <w:r w:rsidRPr="006B4CC5">
        <w:t xml:space="preserve">Debi Prasad Ghosh, </w:t>
      </w:r>
      <w:hyperlink r:id="rId7" w:history="1">
        <w:r w:rsidRPr="006B4CC5">
          <w:rPr>
            <w:rStyle w:val="Hyperlink"/>
          </w:rPr>
          <w:t>debiprasadghosh@lntecc.com</w:t>
        </w:r>
      </w:hyperlink>
      <w:r>
        <w:t xml:space="preserve"> </w:t>
      </w:r>
      <w:r>
        <w:rPr>
          <w:noProof/>
        </w:rPr>
        <w:drawing>
          <wp:inline distT="0" distB="0" distL="0" distR="0" wp14:anchorId="2CD3999E" wp14:editId="4CB91113">
            <wp:extent cx="133067" cy="133067"/>
            <wp:effectExtent l="0" t="0" r="635" b="635"/>
            <wp:docPr id="1305915393" name="Picture 7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15393" name="Picture 7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2530" cy="142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ED7E93" w14:textId="77777777" w:rsidR="00932FD7" w:rsidRPr="006B4CC5" w:rsidRDefault="00932FD7" w:rsidP="00932FD7">
      <w:pPr>
        <w:jc w:val="center"/>
      </w:pPr>
      <w:r>
        <w:t>CTO, AI &amp;</w:t>
      </w:r>
      <w:r w:rsidRPr="006B4CC5">
        <w:t xml:space="preserve"> Automation</w:t>
      </w:r>
    </w:p>
    <w:p w14:paraId="2B1DAF1C" w14:textId="1B3B3844" w:rsidR="00932FD7" w:rsidRDefault="003C2063" w:rsidP="003C2063">
      <w:pPr>
        <w:tabs>
          <w:tab w:val="center" w:pos="4513"/>
          <w:tab w:val="right" w:pos="9026"/>
        </w:tabs>
      </w:pPr>
      <w:r>
        <w:tab/>
      </w:r>
      <w:r w:rsidR="00932FD7" w:rsidRPr="00F5609C">
        <w:t>Engineering Design &amp; Research Center, Larsen &amp; Toubro Construction (M&amp;M) Kolkata, India</w:t>
      </w:r>
    </w:p>
    <w:p w14:paraId="395FC377" w14:textId="5F3B2B3F" w:rsidR="003C2063" w:rsidRDefault="009D1E93" w:rsidP="003C2063">
      <w:pPr>
        <w:tabs>
          <w:tab w:val="center" w:pos="4513"/>
          <w:tab w:val="right" w:pos="9026"/>
        </w:tabs>
        <w:jc w:val="center"/>
      </w:pPr>
      <w:hyperlink r:id="rId10" w:history="1">
        <w:r w:rsidRPr="00CD2B53">
          <w:rPr>
            <w:rStyle w:val="Hyperlink"/>
          </w:rPr>
          <w:t>https://doi.org/10.13140/RG.2.2.11096.66566</w:t>
        </w:r>
      </w:hyperlink>
      <w:r>
        <w:t xml:space="preserve"> </w:t>
      </w:r>
    </w:p>
    <w:p w14:paraId="7B582DA2" w14:textId="77777777" w:rsidR="003C2063" w:rsidRPr="002730A4" w:rsidRDefault="003C2063" w:rsidP="003C2063">
      <w:pPr>
        <w:jc w:val="both"/>
      </w:pPr>
      <w:r w:rsidRPr="002730A4">
        <w:rPr>
          <w:b/>
          <w:bCs/>
        </w:rPr>
        <w:t>Abstract</w:t>
      </w:r>
      <w:r>
        <w:rPr>
          <w:b/>
          <w:bCs/>
        </w:rPr>
        <w:t xml:space="preserve">: </w:t>
      </w:r>
      <w:r w:rsidRPr="002730A4">
        <w:t xml:space="preserve">Defensible cognition separates a fast representational substrate, which computes the geometry of bound experience, from a slow regulatory substrate, which sets the conditions under which that geometry may form. This paper formalizes the relation between them. We define two categories — the </w:t>
      </w:r>
      <w:r w:rsidRPr="002730A4">
        <w:rPr>
          <w:b/>
          <w:bCs/>
        </w:rPr>
        <w:t>Thermodynamic</w:t>
      </w:r>
      <w:r w:rsidRPr="002730A4">
        <w:t xml:space="preserve"> category </w:t>
      </w:r>
      <w:r w:rsidRPr="002730A4">
        <w:rPr>
          <w:rFonts w:ascii="Cambria Math" w:hAnsi="Cambria Math" w:cs="Cambria Math"/>
        </w:rPr>
        <w:t>𝓣</w:t>
      </w:r>
      <w:r w:rsidRPr="002730A4">
        <w:t xml:space="preserve"> of regulatory tones and the </w:t>
      </w:r>
      <w:r w:rsidRPr="002730A4">
        <w:rPr>
          <w:b/>
          <w:bCs/>
        </w:rPr>
        <w:t>Electric</w:t>
      </w:r>
      <w:r w:rsidRPr="002730A4">
        <w:t xml:space="preserve"> category </w:t>
      </w:r>
      <w:r w:rsidRPr="002730A4">
        <w:rPr>
          <w:rFonts w:ascii="Cambria Math" w:hAnsi="Cambria Math" w:cs="Cambria Math"/>
        </w:rPr>
        <w:t>𝓔</w:t>
      </w:r>
      <w:r w:rsidRPr="002730A4">
        <w:t xml:space="preserve"> of representational bindings — and prove that the coupling between them is a genuine, composition-preserving </w:t>
      </w:r>
      <w:r w:rsidRPr="002730A4">
        <w:rPr>
          <w:b/>
          <w:bCs/>
        </w:rPr>
        <w:t>functor</w:t>
      </w:r>
      <w:r w:rsidRPr="002730A4">
        <w:t xml:space="preserve"> F, the tolerance-filtration that sends a regulatory tone to the bindings it admits. We then exhibit two distinct adjunctions: a </w:t>
      </w:r>
      <w:r w:rsidRPr="002730A4">
        <w:rPr>
          <w:b/>
          <w:bCs/>
        </w:rPr>
        <w:t>reflection</w:t>
      </w:r>
      <w:r w:rsidRPr="002730A4">
        <w:t xml:space="preserve"> within </w:t>
      </w:r>
      <w:r w:rsidRPr="002730A4">
        <w:rPr>
          <w:rFonts w:ascii="Cambria Math" w:hAnsi="Cambria Math" w:cs="Cambria Math"/>
        </w:rPr>
        <w:t>𝓔</w:t>
      </w:r>
      <w:r w:rsidRPr="002730A4">
        <w:t xml:space="preserve"> at fixed tone (a canonical best-admissible-binding, delivered by the convexity of the coherence residual via the Hilbert projection theorem), and a </w:t>
      </w:r>
      <w:r w:rsidRPr="002730A4">
        <w:rPr>
          <w:b/>
          <w:bCs/>
        </w:rPr>
        <w:t>Galois adjunction</w:t>
      </w:r>
      <w:r w:rsidRPr="002730A4">
        <w:t xml:space="preserve"> F </w:t>
      </w:r>
      <w:r w:rsidRPr="002730A4">
        <w:rPr>
          <w:rFonts w:ascii="Cambria Math" w:hAnsi="Cambria Math" w:cs="Cambria Math"/>
        </w:rPr>
        <w:t>⊣</w:t>
      </w:r>
      <w:r w:rsidRPr="002730A4">
        <w:t xml:space="preserve"> G between the categories, whose right adjoint G </w:t>
      </w:r>
      <w:r w:rsidRPr="002730A4">
        <w:rPr>
          <w:rFonts w:ascii="Calibri" w:hAnsi="Calibri" w:cs="Calibri"/>
        </w:rPr>
        <w:t>—</w:t>
      </w:r>
      <w:r w:rsidRPr="002730A4">
        <w:t xml:space="preserve"> the minimal tone a representation demands </w:t>
      </w:r>
      <w:r w:rsidRPr="002730A4">
        <w:rPr>
          <w:rFonts w:ascii="Calibri" w:hAnsi="Calibri" w:cs="Calibri"/>
        </w:rPr>
        <w:t>—</w:t>
      </w:r>
      <w:r w:rsidRPr="002730A4">
        <w:t xml:space="preserve"> is the formal image of physiological </w:t>
      </w:r>
      <w:r w:rsidRPr="002730A4">
        <w:rPr>
          <w:b/>
          <w:bCs/>
        </w:rPr>
        <w:t>allostasis</w:t>
      </w:r>
      <w:r w:rsidRPr="002730A4">
        <w:t xml:space="preserve">. Homeostasis is then </w:t>
      </w:r>
      <w:r w:rsidRPr="002730A4">
        <w:rPr>
          <w:i/>
          <w:iCs/>
        </w:rPr>
        <w:t>not</w:t>
      </w:r>
      <w:r w:rsidRPr="002730A4">
        <w:t xml:space="preserve"> an identity to be satisfied but the dynamical reaching of this adjunction's fixed point. Two pathologies are derived as distinct failures to reach it: </w:t>
      </w:r>
      <w:r w:rsidRPr="002730A4">
        <w:rPr>
          <w:b/>
          <w:bCs/>
        </w:rPr>
        <w:t>epilepsy</w:t>
      </w:r>
      <w:r w:rsidRPr="002730A4">
        <w:t xml:space="preserve"> as a non-stationary operating point (the loop never settles, though the functor remains intact) and </w:t>
      </w:r>
      <w:r w:rsidRPr="002730A4">
        <w:rPr>
          <w:b/>
          <w:bCs/>
        </w:rPr>
        <w:t>war / macro-panic</w:t>
      </w:r>
      <w:r w:rsidRPr="002730A4">
        <w:t xml:space="preserve"> as a deceived adjoint (the regulator sets its tone from a false residual and converges to a set-point that excludes the truth — the formal correlate of allostatic load). Finally, we show that the coupling must run from the regulatory substrate </w:t>
      </w:r>
      <w:r w:rsidRPr="002730A4">
        <w:rPr>
          <w:i/>
          <w:iCs/>
        </w:rPr>
        <w:t>upward</w:t>
      </w:r>
      <w:r w:rsidRPr="002730A4">
        <w:t xml:space="preserve"> into the geometry, because the regulatory signal — a diffuse scalar tone — can carry only a coarse magnitude, never an angle or an origin; the neuromodulatory directions implementing this (noradrenaline tightening, serotonin relaxing, acetylcholine funding the encoding-gain) are matched to the cited literature.</w:t>
      </w:r>
    </w:p>
    <w:p w14:paraId="7E5CDC88" w14:textId="028E900A" w:rsidR="002730A4" w:rsidRPr="00932FD7" w:rsidRDefault="002730A4" w:rsidP="00F755AD">
      <w:pPr>
        <w:ind w:left="1440"/>
        <w:jc w:val="both"/>
        <w:rPr>
          <w:b/>
          <w:bCs/>
        </w:rPr>
      </w:pPr>
      <w:r w:rsidRPr="002730A4">
        <w:rPr>
          <w:b/>
          <w:bCs/>
        </w:rPr>
        <w:t>A functor and two adjunctions relating the slow regulatory substrate to the fast representational geometry, with dysregulation as failure to reach the adjunction's fixed point</w:t>
      </w:r>
    </w:p>
    <w:p w14:paraId="4B8540CA" w14:textId="6B51747A" w:rsidR="002730A4" w:rsidRPr="002730A4" w:rsidRDefault="002730A4" w:rsidP="00F755AD">
      <w:pPr>
        <w:ind w:left="1440"/>
        <w:jc w:val="both"/>
      </w:pPr>
      <w:r w:rsidRPr="002730A4">
        <w:rPr>
          <w:i/>
          <w:iCs/>
        </w:rPr>
        <w:t>Part of the Defensible Intelligence program</w:t>
      </w:r>
      <w:r w:rsidR="00F755AD">
        <w:rPr>
          <w:i/>
          <w:iCs/>
        </w:rPr>
        <w:t xml:space="preserve"> </w:t>
      </w:r>
      <w:r w:rsidR="00F755AD">
        <w:t>[</w:t>
      </w:r>
      <w:hyperlink r:id="rId11" w:history="1">
        <w:r w:rsidR="00F755AD" w:rsidRPr="00581756">
          <w:rPr>
            <w:rStyle w:val="Hyperlink"/>
          </w:rPr>
          <w:t>Architecture</w:t>
        </w:r>
      </w:hyperlink>
      <w:r w:rsidR="00F755AD">
        <w:t xml:space="preserve">, </w:t>
      </w:r>
      <w:hyperlink r:id="rId12" w:history="1">
        <w:r w:rsidR="00F755AD" w:rsidRPr="00581756">
          <w:rPr>
            <w:rStyle w:val="Hyperlink"/>
          </w:rPr>
          <w:t>Book</w:t>
        </w:r>
      </w:hyperlink>
      <w:r w:rsidR="00F755AD">
        <w:t>]</w:t>
      </w:r>
      <w:r w:rsidRPr="002730A4">
        <w:rPr>
          <w:i/>
          <w:iCs/>
        </w:rPr>
        <w:t xml:space="preserve">. The central claims are mathematical and stand on their own; the biological readings are offered as structural isomorphisms — a region or signal </w:t>
      </w:r>
      <w:r w:rsidRPr="002730A4">
        <w:rPr>
          <w:b/>
          <w:bCs/>
          <w:i/>
          <w:iCs/>
        </w:rPr>
        <w:t>realizing</w:t>
      </w:r>
      <w:r w:rsidRPr="002730A4">
        <w:rPr>
          <w:i/>
          <w:iCs/>
        </w:rPr>
        <w:t xml:space="preserve"> a piece of the structure — never as identity, and never as a claim to explain how the brain works.</w:t>
      </w:r>
    </w:p>
    <w:p w14:paraId="5213739A" w14:textId="77777777" w:rsidR="002730A4" w:rsidRPr="002730A4" w:rsidRDefault="002730A4" w:rsidP="00F755AD">
      <w:pPr>
        <w:ind w:left="1440"/>
        <w:jc w:val="both"/>
      </w:pPr>
      <w:r w:rsidRPr="002730A4">
        <w:rPr>
          <w:b/>
          <w:bCs/>
        </w:rPr>
        <w:t>A note on confidence tiers.</w:t>
      </w:r>
      <w:r w:rsidRPr="002730A4">
        <w:t xml:space="preserve"> Every claim below is tagged by epistemic status, and the tags are part of the argument, not decoration: </w:t>
      </w:r>
      <w:r w:rsidRPr="002730A4">
        <w:rPr>
          <w:b/>
          <w:bCs/>
        </w:rPr>
        <w:t>[LB]</w:t>
      </w:r>
      <w:r w:rsidRPr="002730A4">
        <w:t xml:space="preserve"> load-bearing mathematics (proved here or in the appendices); </w:t>
      </w:r>
      <w:r w:rsidRPr="002730A4">
        <w:rPr>
          <w:b/>
          <w:bCs/>
        </w:rPr>
        <w:t>[SUP]</w:t>
      </w:r>
      <w:r w:rsidRPr="002730A4">
        <w:t xml:space="preserve"> supported by cited empirical literature; </w:t>
      </w:r>
      <w:r w:rsidRPr="002730A4">
        <w:rPr>
          <w:b/>
          <w:bCs/>
        </w:rPr>
        <w:t>[CAND]</w:t>
      </w:r>
      <w:r w:rsidRPr="002730A4">
        <w:t xml:space="preserve"> a falsifiable candidate, or a result proved only in a reduced model; </w:t>
      </w:r>
      <w:r w:rsidRPr="002730A4">
        <w:rPr>
          <w:b/>
          <w:bCs/>
        </w:rPr>
        <w:t>[HOR]</w:t>
      </w:r>
      <w:r w:rsidRPr="002730A4">
        <w:t xml:space="preserve"> an interpretive horizon. Where a claim is [CAND] it is named as such so it can be attacked, not smoothed over.</w:t>
      </w:r>
    </w:p>
    <w:p w14:paraId="319E0F54" w14:textId="77777777" w:rsidR="002730A4" w:rsidRPr="002730A4" w:rsidRDefault="002730A4" w:rsidP="001E626D">
      <w:pPr>
        <w:pStyle w:val="Heading1"/>
      </w:pPr>
      <w:r w:rsidRPr="002730A4">
        <w:lastRenderedPageBreak/>
        <w:t>1. The two categories</w:t>
      </w:r>
    </w:p>
    <w:p w14:paraId="17BECED4" w14:textId="77777777" w:rsidR="002730A4" w:rsidRPr="002730A4" w:rsidRDefault="002730A4" w:rsidP="002730A4">
      <w:pPr>
        <w:jc w:val="both"/>
      </w:pPr>
      <w:r w:rsidRPr="002730A4">
        <w:rPr>
          <w:b/>
          <w:bCs/>
        </w:rPr>
        <w:t xml:space="preserve">The Thermodynamic category </w:t>
      </w:r>
      <w:r w:rsidRPr="002730A4">
        <w:rPr>
          <w:rFonts w:ascii="Cambria Math" w:hAnsi="Cambria Math" w:cs="Cambria Math"/>
          <w:b/>
          <w:bCs/>
        </w:rPr>
        <w:t>𝓣</w:t>
      </w:r>
      <w:r w:rsidRPr="002730A4">
        <w:rPr>
          <w:b/>
          <w:bCs/>
        </w:rPr>
        <w:t>.</w:t>
      </w:r>
      <w:r w:rsidRPr="002730A4">
        <w:t xml:space="preserve"> Objects are regulatory (neuromodulatory) tones, each tone T parameterized by the coherence-gate tolerance it produces, ε(T) </w:t>
      </w:r>
      <w:r w:rsidRPr="002730A4">
        <w:rPr>
          <w:rFonts w:ascii="Cambria Math" w:hAnsi="Cambria Math" w:cs="Cambria Math"/>
        </w:rPr>
        <w:t>∈</w:t>
      </w:r>
      <w:r w:rsidRPr="002730A4">
        <w:t xml:space="preserve"> </w:t>
      </w:r>
      <w:r w:rsidRPr="002730A4">
        <w:rPr>
          <w:rFonts w:ascii="Cambria Math" w:hAnsi="Cambria Math" w:cs="Cambria Math"/>
        </w:rPr>
        <w:t>ℝ</w:t>
      </w:r>
      <w:r w:rsidRPr="002730A4">
        <w:rPr>
          <w:rFonts w:ascii="Calibri" w:hAnsi="Calibri" w:cs="Calibri"/>
        </w:rPr>
        <w:t>₊</w:t>
      </w:r>
      <w:r w:rsidRPr="002730A4">
        <w:t>. Order them by tolerance: T</w:t>
      </w:r>
      <w:r w:rsidRPr="002730A4">
        <w:rPr>
          <w:rFonts w:ascii="Calibri" w:hAnsi="Calibri" w:cs="Calibri"/>
        </w:rPr>
        <w:t>₁</w:t>
      </w:r>
      <w:r w:rsidRPr="002730A4">
        <w:t xml:space="preserve"> </w:t>
      </w:r>
      <w:r w:rsidRPr="002730A4">
        <w:rPr>
          <w:rFonts w:ascii="Calibri" w:hAnsi="Calibri" w:cs="Calibri"/>
        </w:rPr>
        <w:t>≤</w:t>
      </w:r>
      <w:r w:rsidRPr="002730A4">
        <w:t xml:space="preserve"> T</w:t>
      </w:r>
      <w:r w:rsidRPr="002730A4">
        <w:rPr>
          <w:rFonts w:ascii="Calibri" w:hAnsi="Calibri" w:cs="Calibri"/>
        </w:rPr>
        <w:t>₂</w:t>
      </w:r>
      <w:r w:rsidRPr="002730A4">
        <w:t xml:space="preserve"> </w:t>
      </w:r>
      <w:r w:rsidRPr="002730A4">
        <w:rPr>
          <w:rFonts w:ascii="Cambria Math" w:hAnsi="Cambria Math" w:cs="Cambria Math"/>
        </w:rPr>
        <w:t>⟺</w:t>
      </w:r>
      <w:r w:rsidRPr="002730A4">
        <w:t xml:space="preserve"> ε(T₁) ≤ ε(T₂). Since the regulatory variable is an ordered magnitude (a physiological fact, not a modelling choice), (</w:t>
      </w:r>
      <w:r w:rsidRPr="002730A4">
        <w:rPr>
          <w:rFonts w:ascii="Cambria Math" w:hAnsi="Cambria Math" w:cs="Cambria Math"/>
        </w:rPr>
        <w:t>𝓣</w:t>
      </w:r>
      <w:r w:rsidRPr="002730A4">
        <w:t xml:space="preserve">, ≤) is a total order, hence a poset, hence a category — one morphism T₁ → T₂ exactly when T₁ ≤ T₂, composition by transitivity, identities by reflexivity. </w:t>
      </w:r>
      <w:r w:rsidRPr="002730A4">
        <w:rPr>
          <w:rFonts w:ascii="Cambria Math" w:hAnsi="Cambria Math" w:cs="Cambria Math"/>
          <w:b/>
          <w:bCs/>
        </w:rPr>
        <w:t>𝓣</w:t>
      </w:r>
      <w:r w:rsidRPr="002730A4">
        <w:rPr>
          <w:b/>
          <w:bCs/>
        </w:rPr>
        <w:t xml:space="preserve"> is therefore a one-dimensional ordered magnitude — a coarse axis — not a structureless floor:</w:t>
      </w:r>
      <w:r w:rsidRPr="002730A4">
        <w:t xml:space="preserve"> a real-ordered poset </w:t>
      </w:r>
      <w:r w:rsidRPr="002730A4">
        <w:rPr>
          <w:i/>
          <w:iCs/>
        </w:rPr>
        <w:t>is</w:t>
      </w:r>
      <w:r w:rsidRPr="002730A4">
        <w:t xml:space="preserve"> a magnitude. This point matters and we return to it in §5, where it corrects a tempting error.</w:t>
      </w:r>
    </w:p>
    <w:p w14:paraId="0E114F2B" w14:textId="77777777" w:rsidR="002730A4" w:rsidRPr="002730A4" w:rsidRDefault="002730A4" w:rsidP="002730A4">
      <w:pPr>
        <w:jc w:val="both"/>
      </w:pPr>
      <w:r w:rsidRPr="002730A4">
        <w:rPr>
          <w:b/>
          <w:bCs/>
        </w:rPr>
        <w:t xml:space="preserve">The Electric category </w:t>
      </w:r>
      <w:r w:rsidRPr="002730A4">
        <w:rPr>
          <w:rFonts w:ascii="Cambria Math" w:hAnsi="Cambria Math" w:cs="Cambria Math"/>
          <w:b/>
          <w:bCs/>
        </w:rPr>
        <w:t>𝓔</w:t>
      </w:r>
      <w:r w:rsidRPr="002730A4">
        <w:rPr>
          <w:b/>
          <w:bCs/>
        </w:rPr>
        <w:t>.</w:t>
      </w:r>
      <w:r w:rsidRPr="002730A4">
        <w:t xml:space="preserve"> Objects are local-section configurations (a cover of patches with local sections); morphisms are </w:t>
      </w:r>
      <w:r w:rsidRPr="002730A4">
        <w:rPr>
          <w:b/>
          <w:bCs/>
        </w:rPr>
        <w:t>bindings</w:t>
      </w:r>
      <w:r w:rsidRPr="002730A4">
        <w:t xml:space="preserve"> — gluings realizing a global section consistent with the locals. Each binding carries the </w:t>
      </w:r>
      <w:r w:rsidRPr="002730A4">
        <w:rPr>
          <w:b/>
          <w:bCs/>
        </w:rPr>
        <w:t>coherence residual</w:t>
      </w:r>
      <w:r w:rsidRPr="002730A4">
        <w:t xml:space="preserve"> r(α) = ‖P_harm(α)‖, the norm of the harmonic (orthogonal-to-coboundaries) component of its transition cocycle: a fixed, convex function of the configuration that measures how far the binding is from genuine coherence. Sub(</w:t>
      </w:r>
      <w:r w:rsidRPr="002730A4">
        <w:rPr>
          <w:rFonts w:ascii="Cambria Math" w:hAnsi="Cambria Math" w:cs="Cambria Math"/>
        </w:rPr>
        <w:t>𝓔</w:t>
      </w:r>
      <w:r w:rsidRPr="002730A4">
        <w:t>) denotes its subcategories under inclusion.</w:t>
      </w:r>
    </w:p>
    <w:p w14:paraId="4916E848" w14:textId="77777777" w:rsidR="002730A4" w:rsidRPr="002730A4" w:rsidRDefault="002730A4" w:rsidP="002730A4">
      <w:pPr>
        <w:jc w:val="both"/>
      </w:pPr>
      <w:r w:rsidRPr="002730A4">
        <w:t xml:space="preserve">The coupling sends the coarse axis </w:t>
      </w:r>
      <w:r w:rsidRPr="002730A4">
        <w:rPr>
          <w:rFonts w:ascii="Cambria Math" w:hAnsi="Cambria Math" w:cs="Cambria Math"/>
        </w:rPr>
        <w:t>𝓣</w:t>
      </w:r>
      <w:r w:rsidRPr="002730A4">
        <w:t xml:space="preserve"> into the fine geometry </w:t>
      </w:r>
      <w:r w:rsidRPr="002730A4">
        <w:rPr>
          <w:rFonts w:ascii="Cambria Math" w:hAnsi="Cambria Math" w:cs="Cambria Math"/>
        </w:rPr>
        <w:t>𝓔</w:t>
      </w:r>
      <w:r w:rsidRPr="002730A4">
        <w:t>. We prove it is a functor (§2, Appendix A), that it carries an adjoint (§3, Appendix B), and that this structure dictates both the direction of regulation (§5) and the form of its pathologies (§6).</w:t>
      </w:r>
    </w:p>
    <w:p w14:paraId="0ED9ECD3" w14:textId="77777777" w:rsidR="002730A4" w:rsidRPr="002730A4" w:rsidRDefault="002730A4" w:rsidP="001E626D">
      <w:pPr>
        <w:pStyle w:val="Heading1"/>
      </w:pPr>
      <w:r w:rsidRPr="002730A4">
        <w:t>2. The coupling is a functor [LB]</w:t>
      </w:r>
    </w:p>
    <w:p w14:paraId="595F05E2" w14:textId="77777777" w:rsidR="002730A4" w:rsidRPr="002730A4" w:rsidRDefault="002730A4" w:rsidP="002730A4">
      <w:pPr>
        <w:jc w:val="both"/>
      </w:pPr>
      <w:r w:rsidRPr="002730A4">
        <w:t xml:space="preserve">Define F : </w:t>
      </w:r>
      <w:r w:rsidRPr="002730A4">
        <w:rPr>
          <w:rFonts w:ascii="Cambria Math" w:hAnsi="Cambria Math" w:cs="Cambria Math"/>
        </w:rPr>
        <w:t>𝓣</w:t>
      </w:r>
      <w:r w:rsidRPr="002730A4">
        <w:t xml:space="preserve"> → Sub(</w:t>
      </w:r>
      <w:r w:rsidRPr="002730A4">
        <w:rPr>
          <w:rFonts w:ascii="Cambria Math" w:hAnsi="Cambria Math" w:cs="Cambria Math"/>
        </w:rPr>
        <w:t>𝓔</w:t>
      </w:r>
      <w:r w:rsidRPr="002730A4">
        <w:t>) by sending each tone to the subcategory of bindings it admits:</w:t>
      </w:r>
    </w:p>
    <w:p w14:paraId="2D71A7E3" w14:textId="6DAB668A" w:rsidR="002730A4" w:rsidRPr="002730A4" w:rsidRDefault="002730A4" w:rsidP="001E626D">
      <w:pPr>
        <w:jc w:val="center"/>
      </w:pPr>
      <w:r w:rsidRPr="002730A4">
        <w:t xml:space="preserve">F(T) = </w:t>
      </w:r>
      <w:r w:rsidRPr="002730A4">
        <w:rPr>
          <w:rFonts w:ascii="Cambria Math" w:hAnsi="Cambria Math" w:cs="Cambria Math"/>
        </w:rPr>
        <w:t>𝓔</w:t>
      </w:r>
      <w:r w:rsidRPr="002730A4">
        <w:t>_{≤ε(T)} := { bindings α with r(α) ≤ ε(T) }.</w:t>
      </w:r>
    </w:p>
    <w:p w14:paraId="7C4281CF" w14:textId="77777777" w:rsidR="002730A4" w:rsidRPr="002730A4" w:rsidRDefault="002730A4" w:rsidP="002730A4">
      <w:pPr>
        <w:jc w:val="both"/>
      </w:pPr>
      <w:r w:rsidRPr="002730A4">
        <w:t xml:space="preserve">For T₁ ≤ T₂ we have ε(T₁) ≤ ε(T₂), so F(T₁) </w:t>
      </w:r>
      <w:r w:rsidRPr="002730A4">
        <w:rPr>
          <w:rFonts w:ascii="Cambria Math" w:hAnsi="Cambria Math" w:cs="Cambria Math"/>
        </w:rPr>
        <w:t>⊆</w:t>
      </w:r>
      <w:r w:rsidRPr="002730A4">
        <w:t xml:space="preserve"> F(T</w:t>
      </w:r>
      <w:r w:rsidRPr="002730A4">
        <w:rPr>
          <w:rFonts w:ascii="Calibri" w:hAnsi="Calibri" w:cs="Calibri"/>
        </w:rPr>
        <w:t>₂</w:t>
      </w:r>
      <w:r w:rsidRPr="002730A4">
        <w:t>); F sends the morphism T</w:t>
      </w:r>
      <w:r w:rsidRPr="002730A4">
        <w:rPr>
          <w:rFonts w:ascii="Calibri" w:hAnsi="Calibri" w:cs="Calibri"/>
        </w:rPr>
        <w:t>₁</w:t>
      </w:r>
      <w:r w:rsidRPr="002730A4">
        <w:t xml:space="preserve"> </w:t>
      </w:r>
      <w:r w:rsidRPr="002730A4">
        <w:rPr>
          <w:rFonts w:ascii="Calibri" w:hAnsi="Calibri" w:cs="Calibri"/>
        </w:rPr>
        <w:t>≤</w:t>
      </w:r>
      <w:r w:rsidRPr="002730A4">
        <w:t xml:space="preserve"> T</w:t>
      </w:r>
      <w:r w:rsidRPr="002730A4">
        <w:rPr>
          <w:rFonts w:ascii="Calibri" w:hAnsi="Calibri" w:cs="Calibri"/>
        </w:rPr>
        <w:t>₂</w:t>
      </w:r>
      <w:r w:rsidRPr="002730A4">
        <w:t xml:space="preserve"> to this inclusion. Identities go to identity inclusions; for T</w:t>
      </w:r>
      <w:r w:rsidRPr="002730A4">
        <w:rPr>
          <w:rFonts w:ascii="Calibri" w:hAnsi="Calibri" w:cs="Calibri"/>
        </w:rPr>
        <w:t>₁</w:t>
      </w:r>
      <w:r w:rsidRPr="002730A4">
        <w:t xml:space="preserve"> </w:t>
      </w:r>
      <w:r w:rsidRPr="002730A4">
        <w:rPr>
          <w:rFonts w:ascii="Calibri" w:hAnsi="Calibri" w:cs="Calibri"/>
        </w:rPr>
        <w:t>≤</w:t>
      </w:r>
      <w:r w:rsidRPr="002730A4">
        <w:t xml:space="preserve"> T</w:t>
      </w:r>
      <w:r w:rsidRPr="002730A4">
        <w:rPr>
          <w:rFonts w:ascii="Calibri" w:hAnsi="Calibri" w:cs="Calibri"/>
        </w:rPr>
        <w:t>₂</w:t>
      </w:r>
      <w:r w:rsidRPr="002730A4">
        <w:t xml:space="preserve"> </w:t>
      </w:r>
      <w:r w:rsidRPr="002730A4">
        <w:rPr>
          <w:rFonts w:ascii="Calibri" w:hAnsi="Calibri" w:cs="Calibri"/>
        </w:rPr>
        <w:t>≤</w:t>
      </w:r>
      <w:r w:rsidRPr="002730A4">
        <w:t xml:space="preserve"> T</w:t>
      </w:r>
      <w:r w:rsidRPr="002730A4">
        <w:rPr>
          <w:rFonts w:ascii="Calibri" w:hAnsi="Calibri" w:cs="Calibri"/>
        </w:rPr>
        <w:t>₃</w:t>
      </w:r>
      <w:r w:rsidRPr="002730A4">
        <w:t xml:space="preserve"> the nested inclusions compose to the direct one, so composition is preserved. </w:t>
      </w:r>
      <w:r w:rsidRPr="002730A4">
        <w:rPr>
          <w:b/>
          <w:bCs/>
        </w:rPr>
        <w:t>F is a composition-preserving functor</w:t>
      </w:r>
      <w:r w:rsidRPr="002730A4">
        <w:t xml:space="preserve"> — a </w:t>
      </w:r>
      <w:r w:rsidRPr="002730A4">
        <w:rPr>
          <w:i/>
          <w:iCs/>
        </w:rPr>
        <w:t>persistence functor</w:t>
      </w:r>
      <w:r w:rsidRPr="002730A4">
        <w:t xml:space="preserve">, the tolerance-filtration of </w:t>
      </w:r>
      <w:r w:rsidRPr="002730A4">
        <w:rPr>
          <w:rFonts w:ascii="Cambria Math" w:hAnsi="Cambria Math" w:cs="Cambria Math"/>
        </w:rPr>
        <w:t>𝓔</w:t>
      </w:r>
      <w:r w:rsidRPr="002730A4">
        <w:t xml:space="preserve"> by admissible bindings (full proof, and the flaw in the obvious alternative construction, in </w:t>
      </w:r>
      <w:r w:rsidRPr="002730A4">
        <w:rPr>
          <w:b/>
          <w:bCs/>
        </w:rPr>
        <w:t>Appendix A</w:t>
      </w:r>
      <w:r w:rsidRPr="002730A4">
        <w:t>). Its functoriality reduces entirely to a single fact — that ε is monotone in the tone — and introduces no new assumption. The slow regulatory axis adds no geometry to the fast one; it sets the boundary condition under which the geometry may bind.</w:t>
      </w:r>
    </w:p>
    <w:p w14:paraId="1E7AD3F1" w14:textId="77777777" w:rsidR="002730A4" w:rsidRPr="002730A4" w:rsidRDefault="002730A4" w:rsidP="00F06F1C">
      <w:pPr>
        <w:pStyle w:val="Heading1"/>
      </w:pPr>
      <w:r w:rsidRPr="002730A4">
        <w:t>3. The two adjunctions [LB]</w:t>
      </w:r>
    </w:p>
    <w:p w14:paraId="69219433" w14:textId="77777777" w:rsidR="002730A4" w:rsidRPr="002730A4" w:rsidRDefault="002730A4" w:rsidP="002730A4">
      <w:pPr>
        <w:jc w:val="both"/>
      </w:pPr>
      <w:r w:rsidRPr="002730A4">
        <w:t>The coupling carries adjoint structure in two distinct senses, both proved, which together say that the regulator and the representation are formally dual.</w:t>
      </w:r>
    </w:p>
    <w:p w14:paraId="483F4597" w14:textId="77777777" w:rsidR="002730A4" w:rsidRPr="002730A4" w:rsidRDefault="002730A4" w:rsidP="002730A4">
      <w:pPr>
        <w:jc w:val="both"/>
      </w:pPr>
      <w:r w:rsidRPr="002730A4">
        <w:rPr>
          <w:b/>
          <w:bCs/>
        </w:rPr>
        <w:t xml:space="preserve">The reflection, within </w:t>
      </w:r>
      <w:r w:rsidRPr="002730A4">
        <w:rPr>
          <w:rFonts w:ascii="Cambria Math" w:hAnsi="Cambria Math" w:cs="Cambria Math"/>
          <w:b/>
          <w:bCs/>
        </w:rPr>
        <w:t>𝓔</w:t>
      </w:r>
      <w:r w:rsidRPr="002730A4">
        <w:rPr>
          <w:b/>
          <w:bCs/>
        </w:rPr>
        <w:t xml:space="preserve"> at fixed tone.</w:t>
      </w:r>
      <w:r w:rsidRPr="002730A4">
        <w:t xml:space="preserve"> At a fixed tolerance ε, the admissible set A_ε = {α : r(α) ≤ ε} is </w:t>
      </w:r>
      <w:r w:rsidRPr="002730A4">
        <w:rPr>
          <w:b/>
          <w:bCs/>
        </w:rPr>
        <w:t>closed and convex</w:t>
      </w:r>
      <w:r w:rsidRPr="002730A4">
        <w:t xml:space="preserve"> (a sublevel set of the convex residual r), so by the Hilbert projection theorem every binding has a </w:t>
      </w:r>
      <w:r w:rsidRPr="002730A4">
        <w:rPr>
          <w:i/>
          <w:iCs/>
        </w:rPr>
        <w:t>unique</w:t>
      </w:r>
      <w:r w:rsidRPr="002730A4">
        <w:t xml:space="preserve"> nearest admissible binding P_ε(α). This projection is idempotent, fixes the admissible subcategory, and never increases the residual — the defining marks of a reflector — so the inclusion </w:t>
      </w:r>
      <w:r w:rsidRPr="002730A4">
        <w:rPr>
          <w:rFonts w:ascii="Cambria Math" w:hAnsi="Cambria Math" w:cs="Cambria Math"/>
        </w:rPr>
        <w:t>𝓔</w:t>
      </w:r>
      <w:r w:rsidRPr="002730A4">
        <w:t xml:space="preserve">_{≤ε} </w:t>
      </w:r>
      <w:r w:rsidRPr="002730A4">
        <w:rPr>
          <w:rFonts w:ascii="Cambria Math" w:hAnsi="Cambria Math" w:cs="Cambria Math"/>
        </w:rPr>
        <w:t>↪</w:t>
      </w:r>
      <w:r w:rsidRPr="002730A4">
        <w:t xml:space="preserve"> </w:t>
      </w:r>
      <w:r w:rsidRPr="002730A4">
        <w:rPr>
          <w:rFonts w:ascii="Cambria Math" w:hAnsi="Cambria Math" w:cs="Cambria Math"/>
        </w:rPr>
        <w:t>𝓔</w:t>
      </w:r>
      <w:r w:rsidRPr="002730A4">
        <w:t xml:space="preserve"> admits a canonical </w:t>
      </w:r>
      <w:r w:rsidRPr="002730A4">
        <w:rPr>
          <w:b/>
          <w:bCs/>
        </w:rPr>
        <w:t>reflection</w:t>
      </w:r>
      <w:r w:rsidRPr="002730A4">
        <w:t xml:space="preserve"> (Appendix B). In words: </w:t>
      </w:r>
      <w:r w:rsidRPr="002730A4">
        <w:rPr>
          <w:i/>
          <w:iCs/>
        </w:rPr>
        <w:t>at any tone, there is a canonical best admissible binding within tolerance</w:t>
      </w:r>
      <w:r w:rsidRPr="002730A4">
        <w:t>, and it is delivered by convexity, not assumed. This is the structural content of "the regulator modulates the geometry without capturing it": the projection adjusts the binding while preserving the multi-patch cover.</w:t>
      </w:r>
    </w:p>
    <w:p w14:paraId="3E5D7C42" w14:textId="77777777" w:rsidR="002730A4" w:rsidRPr="002730A4" w:rsidRDefault="002730A4" w:rsidP="002730A4">
      <w:pPr>
        <w:jc w:val="both"/>
      </w:pPr>
      <w:r w:rsidRPr="002730A4">
        <w:rPr>
          <w:b/>
          <w:bCs/>
        </w:rPr>
        <w:t>The Galois adjunction, between the categories.</w:t>
      </w:r>
      <w:r w:rsidRPr="002730A4">
        <w:t xml:space="preserve"> Define the </w:t>
      </w:r>
      <w:r w:rsidRPr="002730A4">
        <w:rPr>
          <w:b/>
          <w:bCs/>
        </w:rPr>
        <w:t>allostatic demand</w:t>
      </w:r>
      <w:r w:rsidRPr="002730A4">
        <w:t xml:space="preserve"> G : </w:t>
      </w:r>
      <w:r w:rsidRPr="002730A4">
        <w:rPr>
          <w:rFonts w:ascii="Cambria Math" w:hAnsi="Cambria Math" w:cs="Cambria Math"/>
        </w:rPr>
        <w:t>𝓔</w:t>
      </w:r>
      <w:r w:rsidRPr="002730A4">
        <w:t xml:space="preserve"> → </w:t>
      </w:r>
      <w:r w:rsidRPr="002730A4">
        <w:rPr>
          <w:rFonts w:ascii="Cambria Math" w:hAnsi="Cambria Math" w:cs="Cambria Math"/>
        </w:rPr>
        <w:t>𝓣</w:t>
      </w:r>
      <w:r w:rsidRPr="002730A4">
        <w:t xml:space="preserve"> by</w:t>
      </w:r>
    </w:p>
    <w:p w14:paraId="2374D7FB" w14:textId="583949E0" w:rsidR="002730A4" w:rsidRPr="002730A4" w:rsidRDefault="002730A4" w:rsidP="00F06F1C">
      <w:pPr>
        <w:jc w:val="center"/>
      </w:pPr>
      <w:r w:rsidRPr="002730A4">
        <w:lastRenderedPageBreak/>
        <w:t>G(α) = inf{ T : r(α) ≤ ε(T) },</w:t>
      </w:r>
    </w:p>
    <w:p w14:paraId="548E7027" w14:textId="77777777" w:rsidR="002730A4" w:rsidRPr="002730A4" w:rsidRDefault="002730A4" w:rsidP="002730A4">
      <w:pPr>
        <w:jc w:val="both"/>
      </w:pPr>
      <w:r w:rsidRPr="002730A4">
        <w:t>the minimal tone that admits α. Since ε is monotone,</w:t>
      </w:r>
    </w:p>
    <w:p w14:paraId="77717C4E" w14:textId="30778D87" w:rsidR="002730A4" w:rsidRPr="002730A4" w:rsidRDefault="002730A4" w:rsidP="00F06F1C">
      <w:pPr>
        <w:tabs>
          <w:tab w:val="left" w:pos="3904"/>
        </w:tabs>
        <w:jc w:val="center"/>
      </w:pPr>
      <w:r w:rsidRPr="002730A4">
        <w:t xml:space="preserve">G(α) ≤ T  </w:t>
      </w:r>
      <w:r w:rsidRPr="002730A4">
        <w:rPr>
          <w:rFonts w:ascii="Cambria Math" w:hAnsi="Cambria Math" w:cs="Cambria Math"/>
        </w:rPr>
        <w:t>⟺</w:t>
      </w:r>
      <w:r w:rsidRPr="002730A4">
        <w:t xml:space="preserve">  r(α) ≤ ε(T)  </w:t>
      </w:r>
      <w:r w:rsidRPr="002730A4">
        <w:rPr>
          <w:rFonts w:ascii="Cambria Math" w:hAnsi="Cambria Math" w:cs="Cambria Math"/>
        </w:rPr>
        <w:t>⟺</w:t>
      </w:r>
      <w:r w:rsidRPr="002730A4">
        <w:t xml:space="preserve">  α </w:t>
      </w:r>
      <w:r w:rsidRPr="002730A4">
        <w:rPr>
          <w:rFonts w:ascii="Cambria Math" w:hAnsi="Cambria Math" w:cs="Cambria Math"/>
        </w:rPr>
        <w:t>∈</w:t>
      </w:r>
      <w:r w:rsidRPr="002730A4">
        <w:t xml:space="preserve"> F(T),</w:t>
      </w:r>
    </w:p>
    <w:p w14:paraId="57BAAB01" w14:textId="77777777" w:rsidR="002730A4" w:rsidRPr="002730A4" w:rsidRDefault="002730A4" w:rsidP="002730A4">
      <w:pPr>
        <w:jc w:val="both"/>
      </w:pPr>
      <w:r w:rsidRPr="002730A4">
        <w:t xml:space="preserve">which is exactly a </w:t>
      </w:r>
      <w:r w:rsidRPr="002730A4">
        <w:rPr>
          <w:b/>
          <w:bCs/>
        </w:rPr>
        <w:t>Galois connection</w:t>
      </w:r>
      <w:r w:rsidRPr="002730A4">
        <w:t xml:space="preserve"> F </w:t>
      </w:r>
      <w:r w:rsidRPr="002730A4">
        <w:rPr>
          <w:rFonts w:ascii="Cambria Math" w:hAnsi="Cambria Math" w:cs="Cambria Math"/>
        </w:rPr>
        <w:t>⊣</w:t>
      </w:r>
      <w:r w:rsidRPr="002730A4">
        <w:t xml:space="preserve"> G. Physiologically, F is how the regulatory substrate limits the representational one (a tone sets what may bind); G is how the representational substrate demands of the regulatory one (a binding requires a minimal tone). </w:t>
      </w:r>
      <w:r w:rsidRPr="002730A4">
        <w:rPr>
          <w:i/>
          <w:iCs/>
        </w:rPr>
        <w:t>The body and the mind are formally adjoint.</w:t>
      </w:r>
      <w:r w:rsidRPr="002730A4">
        <w:t xml:space="preserve"> These are two genuinely different adjunctions — the reflection lives within </w:t>
      </w:r>
      <w:r w:rsidRPr="002730A4">
        <w:rPr>
          <w:rFonts w:ascii="Cambria Math" w:hAnsi="Cambria Math" w:cs="Cambria Math"/>
        </w:rPr>
        <w:t>𝓔</w:t>
      </w:r>
      <w:r w:rsidRPr="002730A4">
        <w:t xml:space="preserve"> at a fixed tone, the Galois connection runs between </w:t>
      </w:r>
      <w:r w:rsidRPr="002730A4">
        <w:rPr>
          <w:rFonts w:ascii="Cambria Math" w:hAnsi="Cambria Math" w:cs="Cambria Math"/>
        </w:rPr>
        <w:t>𝓣</w:t>
      </w:r>
      <w:r w:rsidRPr="002730A4">
        <w:t xml:space="preserve"> and </w:t>
      </w:r>
      <w:r w:rsidRPr="002730A4">
        <w:rPr>
          <w:rFonts w:ascii="Cambria Math" w:hAnsi="Cambria Math" w:cs="Cambria Math"/>
        </w:rPr>
        <w:t>𝓔</w:t>
      </w:r>
      <w:r w:rsidRPr="002730A4">
        <w:t xml:space="preserve"> — and they are complementary (§7).</w:t>
      </w:r>
    </w:p>
    <w:p w14:paraId="2F3F2A25" w14:textId="3C5FEA62" w:rsidR="002730A4" w:rsidRPr="002730A4" w:rsidRDefault="002730A4" w:rsidP="002730A4">
      <w:pPr>
        <w:jc w:val="both"/>
      </w:pPr>
      <w:r w:rsidRPr="002730A4">
        <w:rPr>
          <w:b/>
          <w:bCs/>
        </w:rPr>
        <w:t>G is allostasis [SUP construct / CAND strict identification].</w:t>
      </w:r>
      <w:r w:rsidRPr="002730A4">
        <w:t xml:space="preserve"> The right adjoint G — demand computed from representational load, tone set to meet it — is the formal image of </w:t>
      </w:r>
      <w:r w:rsidRPr="002730A4">
        <w:rPr>
          <w:b/>
          <w:bCs/>
        </w:rPr>
        <w:t>allostasis</w:t>
      </w:r>
      <w:r w:rsidRPr="002730A4">
        <w:t>, the brain's predictive regulation of its internal state: anticipating bodily and metabolic needs and setting the regulatory tone to meet them before they arise (</w:t>
      </w:r>
      <w:hyperlink r:id="rId13" w:history="1">
        <w:r w:rsidRPr="00DB2093">
          <w:rPr>
            <w:rStyle w:val="Hyperlink"/>
          </w:rPr>
          <w:t>Sterling; Barrett &amp; Simmons</w:t>
        </w:r>
      </w:hyperlink>
      <w:r w:rsidRPr="002730A4">
        <w:t xml:space="preserve">). The correspondence is structural in two respects. First, the allostasis literature independently splits the system the way the adjunction does — </w:t>
      </w:r>
      <w:r w:rsidRPr="002730A4">
        <w:rPr>
          <w:i/>
          <w:iCs/>
        </w:rPr>
        <w:t>interoception as modeling, allostasis as control</w:t>
      </w:r>
      <w:r w:rsidRPr="002730A4">
        <w:t>, formalized as optimal control against a time-varying reference (</w:t>
      </w:r>
      <w:hyperlink r:id="rId14" w:history="1">
        <w:r w:rsidRPr="00DB2093">
          <w:rPr>
            <w:rStyle w:val="Hyperlink"/>
          </w:rPr>
          <w:t>Sennesh, Barrett, Quigley et al.</w:t>
        </w:r>
      </w:hyperlink>
      <w:r w:rsidRPr="002730A4">
        <w:t xml:space="preserve">): interoception </w:t>
      </w:r>
      <w:r w:rsidRPr="002730A4">
        <w:rPr>
          <w:i/>
          <w:iCs/>
        </w:rPr>
        <w:t>measures</w:t>
      </w:r>
      <w:r w:rsidRPr="002730A4">
        <w:t xml:space="preserve"> the demand, allostasis </w:t>
      </w:r>
      <w:r w:rsidRPr="002730A4">
        <w:rPr>
          <w:i/>
          <w:iCs/>
        </w:rPr>
        <w:t>sets</w:t>
      </w:r>
      <w:r w:rsidRPr="002730A4">
        <w:t xml:space="preserve"> the tone, exactly F (a model of what a tone admits) adjoint to G (the tone a load demands). Second, allostasis is </w:t>
      </w:r>
      <w:r w:rsidRPr="002730A4">
        <w:rPr>
          <w:i/>
          <w:iCs/>
        </w:rPr>
        <w:t>predictive</w:t>
      </w:r>
      <w:r w:rsidRPr="002730A4">
        <w:t xml:space="preserve"> — it computes the demand of an </w:t>
      </w:r>
      <w:r w:rsidRPr="002730A4">
        <w:rPr>
          <w:i/>
          <w:iCs/>
        </w:rPr>
        <w:t>anticipated</w:t>
      </w:r>
      <w:r w:rsidRPr="002730A4">
        <w:t xml:space="preserve"> representation and pre-sets the tone — which is why the regulatory loop can pre-empt rather than merely react. We tier this honestly: that a predictive demand→tone feedback paired with an interoceptive model exists is [SUP] (allostasis is precisely that); the strict identification of it with the categorical right adjoint G is this paper's formalization, [CAND].</w:t>
      </w:r>
    </w:p>
    <w:p w14:paraId="25408CAF" w14:textId="77777777" w:rsidR="002730A4" w:rsidRPr="002730A4" w:rsidRDefault="002730A4" w:rsidP="00F06F1C">
      <w:pPr>
        <w:pStyle w:val="Heading1"/>
      </w:pPr>
      <w:r w:rsidRPr="002730A4">
        <w:t>4. Homeostasis as reaching the fixed point [LB]</w:t>
      </w:r>
    </w:p>
    <w:p w14:paraId="3861D4BD" w14:textId="77777777" w:rsidR="002730A4" w:rsidRPr="002730A4" w:rsidRDefault="002730A4" w:rsidP="002730A4">
      <w:pPr>
        <w:jc w:val="both"/>
      </w:pPr>
      <w:r w:rsidRPr="002730A4">
        <w:t xml:space="preserve">In a poset adjunction the closure GF is an idempotent closure operator (GF ≥ id, GF·GF = GF) and FG an interior (FG ≤ id), with the round-trip laws FGF = F and GFG = G holding </w:t>
      </w:r>
      <w:r w:rsidRPr="002730A4">
        <w:rPr>
          <w:b/>
          <w:bCs/>
        </w:rPr>
        <w:t>automatically</w:t>
      </w:r>
      <w:r w:rsidRPr="002730A4">
        <w:t xml:space="preserve"> — in a poset there is at most one morphism between objects, so these are theorems, not conditions that could be satisfied or violated. Homeostasis is therefore </w:t>
      </w:r>
      <w:r w:rsidRPr="002730A4">
        <w:rPr>
          <w:i/>
          <w:iCs/>
        </w:rPr>
        <w:t>not</w:t>
      </w:r>
      <w:r w:rsidRPr="002730A4">
        <w:t xml:space="preserve"> the (vacuous) claim that the identities hold. It is the </w:t>
      </w:r>
      <w:r w:rsidRPr="002730A4">
        <w:rPr>
          <w:b/>
          <w:bCs/>
        </w:rPr>
        <w:t>dynamical</w:t>
      </w:r>
      <w:r w:rsidRPr="002730A4">
        <w:t xml:space="preserve"> claim that the regulatory loop </w:t>
      </w:r>
      <w:r w:rsidRPr="002730A4">
        <w:rPr>
          <w:i/>
          <w:iCs/>
        </w:rPr>
        <w:t>reaches and holds</w:t>
      </w:r>
      <w:r w:rsidRPr="002730A4">
        <w:t xml:space="preserve"> the closure fixed point: a high-residual representation α arises, the demand G(α) is computed, the regulatory substrate sets the tone to T = G(α), and F(G(α)) then admits α — the loop settles at the closure. Health is the reachability and stability of this fixed point; the two pathologies of §6 are two ways of failing to reach it.</w:t>
      </w:r>
    </w:p>
    <w:p w14:paraId="1C2B3539" w14:textId="77777777" w:rsidR="002730A4" w:rsidRPr="002730A4" w:rsidRDefault="002730A4" w:rsidP="00F06F1C">
      <w:pPr>
        <w:pStyle w:val="Heading1"/>
      </w:pPr>
      <w:r w:rsidRPr="002730A4">
        <w:t>5. The direction of regulation: why the coarse axis parameterizes the fine [LB structure / SUP anatomy]</w:t>
      </w:r>
    </w:p>
    <w:p w14:paraId="40A58806" w14:textId="77777777" w:rsidR="002730A4" w:rsidRPr="002730A4" w:rsidRDefault="002730A4" w:rsidP="002730A4">
      <w:pPr>
        <w:jc w:val="both"/>
      </w:pPr>
      <w:r w:rsidRPr="002730A4">
        <w:t xml:space="preserve">Why does F run from </w:t>
      </w:r>
      <w:r w:rsidRPr="002730A4">
        <w:rPr>
          <w:rFonts w:ascii="Cambria Math" w:hAnsi="Cambria Math" w:cs="Cambria Math"/>
        </w:rPr>
        <w:t>𝓣</w:t>
      </w:r>
      <w:r w:rsidRPr="002730A4">
        <w:t xml:space="preserve"> </w:t>
      </w:r>
      <w:r w:rsidRPr="002730A4">
        <w:rPr>
          <w:i/>
          <w:iCs/>
        </w:rPr>
        <w:t>up</w:t>
      </w:r>
      <w:r w:rsidRPr="002730A4">
        <w:t xml:space="preserve"> into </w:t>
      </w:r>
      <w:r w:rsidRPr="002730A4">
        <w:rPr>
          <w:rFonts w:ascii="Cambria Math" w:hAnsi="Cambria Math" w:cs="Cambria Math"/>
        </w:rPr>
        <w:t>𝓔</w:t>
      </w:r>
      <w:r w:rsidRPr="002730A4">
        <w:t>, and never the reverse? Because the regulatory control signal is a diffuse scalar tone, and a scalar is the only thing such a signal can carry.</w:t>
      </w:r>
    </w:p>
    <w:p w14:paraId="2960307D" w14:textId="77777777" w:rsidR="002730A4" w:rsidRPr="002730A4" w:rsidRDefault="002730A4" w:rsidP="002730A4">
      <w:pPr>
        <w:jc w:val="both"/>
      </w:pPr>
      <w:r w:rsidRPr="002730A4">
        <w:rPr>
          <w:b/>
          <w:bCs/>
        </w:rPr>
        <w:t>The signal is necessarily coarse.</w:t>
      </w:r>
      <w:r w:rsidRPr="002730A4">
        <w:t xml:space="preserve"> A volume-transmitted neuromodulator delivers a </w:t>
      </w:r>
      <w:r w:rsidRPr="002730A4">
        <w:rPr>
          <w:i/>
          <w:iCs/>
        </w:rPr>
        <w:t>concentration</w:t>
      </w:r>
      <w:r w:rsidRPr="002730A4">
        <w:t xml:space="preserve"> — a scalar magnitude — across tissue. One cannot diffuse an </w:t>
      </w:r>
      <w:r w:rsidRPr="002730A4">
        <w:rPr>
          <w:i/>
          <w:iCs/>
        </w:rPr>
        <w:t>angle</w:t>
      </w:r>
      <w:r w:rsidRPr="002730A4">
        <w:t xml:space="preserve"> (inner-product structure) or a </w:t>
      </w:r>
      <w:r w:rsidRPr="002730A4">
        <w:rPr>
          <w:i/>
          <w:iCs/>
        </w:rPr>
        <w:t>coordinate origin</w:t>
      </w:r>
      <w:r w:rsidRPr="002730A4">
        <w:t xml:space="preserve"> (normed structure) across a volume; a chemical bath carries magnitude and gradient and nothing higher. So the regulatory signal is intrinsically the </w:t>
      </w:r>
      <w:r w:rsidRPr="002730A4">
        <w:rPr>
          <w:b/>
          <w:bCs/>
        </w:rPr>
        <w:t>coarse magnitude axis</w:t>
      </w:r>
      <w:r w:rsidRPr="002730A4">
        <w:t xml:space="preserve"> of §1, not the rich geometry it controls. (This is the place a tempting error must be refused: the regulatory substrate </w:t>
      </w:r>
      <w:r w:rsidRPr="002730A4">
        <w:lastRenderedPageBreak/>
        <w:t xml:space="preserve">is </w:t>
      </w:r>
      <w:r w:rsidRPr="002730A4">
        <w:rPr>
          <w:i/>
          <w:iCs/>
        </w:rPr>
        <w:t>not</w:t>
      </w:r>
      <w:r w:rsidRPr="002730A4">
        <w:t xml:space="preserve"> the topological floor of the structural ladder merely because its anatomical sources are evolutionarily ancient. A scalar concentration is a magnitude; reading phylogenetic age as structural rung is a category mistake. The substrate is coarse, not structureless.)</w:t>
      </w:r>
    </w:p>
    <w:p w14:paraId="6A30EADF" w14:textId="77777777" w:rsidR="002730A4" w:rsidRPr="002730A4" w:rsidRDefault="002730A4" w:rsidP="002730A4">
      <w:pPr>
        <w:jc w:val="both"/>
      </w:pPr>
      <w:r w:rsidRPr="002730A4">
        <w:rPr>
          <w:b/>
          <w:bCs/>
        </w:rPr>
        <w:t>The sources are at the brainstem [SUP].</w:t>
      </w:r>
      <w:r w:rsidRPr="002730A4">
        <w:t xml:space="preserve"> Serotonin from the raphe nuclei, noradrenaline from the locus coeruleus, dopamine from the ventral tegmental area and substantia nigra, acetylcholine from the basal forebrain and pontine tegmentum — structures whose axons project diffusely upward to bathe the higher representational systems in tone (standard neuroanatomy).</w:t>
      </w:r>
    </w:p>
    <w:p w14:paraId="71AF6771" w14:textId="77777777" w:rsidR="002730A4" w:rsidRPr="002730A4" w:rsidRDefault="002730A4" w:rsidP="002730A4">
      <w:pPr>
        <w:jc w:val="both"/>
      </w:pPr>
      <w:r w:rsidRPr="002730A4">
        <w:rPr>
          <w:b/>
          <w:bCs/>
        </w:rPr>
        <w:t>The asymmetry explains the direction.</w:t>
      </w:r>
      <w:r w:rsidRPr="002730A4">
        <w:t xml:space="preserve"> A cheap, low-dimensional scalar is the right hardware for a global modulatory broadcast; the high-dimensional representational geometry is too metabolically expensive and too structurally specific to serve as one. Hence the cheap coarse axis parameterizes the expensive fine geometry, never the reverse — the cognitive cost asymmetry (cheap descent, costly ascent) read in anatomy.</w:t>
      </w:r>
    </w:p>
    <w:p w14:paraId="7120529C" w14:textId="5AA91AE7" w:rsidR="002730A4" w:rsidRPr="002730A4" w:rsidRDefault="002730A4" w:rsidP="002730A4">
      <w:pPr>
        <w:jc w:val="both"/>
      </w:pPr>
      <w:r w:rsidRPr="002730A4">
        <w:rPr>
          <w:b/>
          <w:bCs/>
        </w:rPr>
        <w:t>The neuromodulatory directions [SUP].</w:t>
      </w:r>
      <w:r w:rsidRPr="002730A4">
        <w:t xml:space="preserve"> The two load-bearing directions are matched to mainstream computational neuroscience. </w:t>
      </w:r>
      <w:r w:rsidRPr="002730A4">
        <w:rPr>
          <w:b/>
          <w:bCs/>
        </w:rPr>
        <w:t>Noradrenaline tightens the gate:</w:t>
      </w:r>
      <w:r w:rsidRPr="002730A4">
        <w:t xml:space="preserve"> NA is a cortical gain controller, and under estimated volatility it </w:t>
      </w:r>
      <w:r w:rsidRPr="002730A4">
        <w:rPr>
          <w:i/>
          <w:iCs/>
        </w:rPr>
        <w:t>increases the gain (signal-to-noise)</w:t>
      </w:r>
      <w:r w:rsidRPr="002730A4">
        <w:t xml:space="preserve"> of signals — higher gain = higher precision = tighter gate = lower ε (</w:t>
      </w:r>
      <w:hyperlink r:id="rId15" w:history="1">
        <w:r w:rsidRPr="00DB2093">
          <w:rPr>
            <w:rStyle w:val="Hyperlink"/>
          </w:rPr>
          <w:t>Aston-Jones &amp; Cohen</w:t>
        </w:r>
      </w:hyperlink>
      <w:r w:rsidRPr="002730A4">
        <w:t xml:space="preserve">; </w:t>
      </w:r>
      <w:hyperlink r:id="rId16" w:history="1">
        <w:r w:rsidRPr="00DB2093">
          <w:rPr>
            <w:rStyle w:val="Hyperlink"/>
          </w:rPr>
          <w:t>Lawson et al.</w:t>
        </w:r>
      </w:hyperlink>
      <w:r w:rsidRPr="002730A4">
        <w:t xml:space="preserve">; </w:t>
      </w:r>
      <w:hyperlink r:id="rId17" w:history="1">
        <w:r w:rsidRPr="00DB2093">
          <w:rPr>
            <w:rStyle w:val="Hyperlink"/>
          </w:rPr>
          <w:t>Sales et al.</w:t>
        </w:r>
      </w:hyperlink>
      <w:r w:rsidRPr="002730A4">
        <w:t xml:space="preserve">). </w:t>
      </w:r>
      <w:r w:rsidRPr="002730A4">
        <w:rPr>
          <w:b/>
          <w:bCs/>
        </w:rPr>
        <w:t>Serotonin loosens it:</w:t>
      </w:r>
      <w:r w:rsidRPr="002730A4">
        <w:t xml:space="preserve"> serotonergic (5-HT2A) action </w:t>
      </w:r>
      <w:r w:rsidRPr="002730A4">
        <w:rPr>
          <w:i/>
          <w:iCs/>
        </w:rPr>
        <w:t>decreases the precision-weighting of high-level priors</w:t>
      </w:r>
      <w:r w:rsidRPr="002730A4">
        <w:t>, producing a "flattened landscape" — looser gate, higher ε (</w:t>
      </w:r>
      <w:hyperlink r:id="rId18" w:history="1">
        <w:r w:rsidRPr="00DB2093">
          <w:rPr>
            <w:rStyle w:val="Hyperlink"/>
          </w:rPr>
          <w:t>Carhart-Harris &amp; Friston, REBUS</w:t>
        </w:r>
      </w:hyperlink>
      <w:r w:rsidRPr="002730A4">
        <w:t xml:space="preserve">). </w:t>
      </w:r>
      <w:r w:rsidRPr="002730A4">
        <w:rPr>
          <w:b/>
          <w:bCs/>
        </w:rPr>
        <w:t>Acetylcholine sets the feedforward encoding-gain:</w:t>
      </w:r>
      <w:r w:rsidRPr="002730A4">
        <w:t xml:space="preserve"> ACh raises the gain on afferent input while suppressing recurrent flow (</w:t>
      </w:r>
      <w:hyperlink r:id="rId19" w:history="1">
        <w:r w:rsidRPr="00914A10">
          <w:rPr>
            <w:rStyle w:val="Hyperlink"/>
          </w:rPr>
          <w:t>Hasselmo</w:t>
        </w:r>
      </w:hyperlink>
      <w:r w:rsidRPr="002730A4">
        <w:t xml:space="preserve">), which is simultaneously </w:t>
      </w:r>
      <w:r w:rsidRPr="002730A4">
        <w:rPr>
          <w:i/>
          <w:iCs/>
        </w:rPr>
        <w:t>precision-weighting the sensory likelihood</w:t>
      </w:r>
      <w:r w:rsidRPr="002730A4">
        <w:t xml:space="preserve"> (</w:t>
      </w:r>
      <w:hyperlink r:id="rId20" w:history="1">
        <w:r w:rsidRPr="00914A10">
          <w:rPr>
            <w:rStyle w:val="Hyperlink"/>
          </w:rPr>
          <w:t>Moran/Friston</w:t>
        </w:r>
      </w:hyperlink>
      <w:r w:rsidRPr="002730A4">
        <w:t xml:space="preserve">) and </w:t>
      </w:r>
      <w:r w:rsidRPr="002730A4">
        <w:rPr>
          <w:i/>
          <w:iCs/>
        </w:rPr>
        <w:t>funding the encoding of new content</w:t>
      </w:r>
      <w:r w:rsidRPr="002730A4">
        <w:t xml:space="preserve"> — one circuit operation, two descriptions — and whose high/low setting is the wake-encode / sleep-consolidate switch. We note honestly that precision-weighting is </w:t>
      </w:r>
      <w:r w:rsidRPr="002730A4">
        <w:rPr>
          <w:i/>
          <w:iCs/>
        </w:rPr>
        <w:t>distributed</w:t>
      </w:r>
      <w:r w:rsidRPr="002730A4">
        <w:t xml:space="preserve"> across these systems (dopamine also precision-weights, in the value channel), so each assignment names a </w:t>
      </w:r>
      <w:r w:rsidRPr="002730A4">
        <w:rPr>
          <w:i/>
          <w:iCs/>
        </w:rPr>
        <w:t>dominant</w:t>
      </w:r>
      <w:r w:rsidRPr="002730A4">
        <w:t xml:space="preserve"> role, not an exclusive partition [CAND].</w:t>
      </w:r>
    </w:p>
    <w:p w14:paraId="000E0E8E" w14:textId="77777777" w:rsidR="002730A4" w:rsidRPr="002730A4" w:rsidRDefault="002730A4" w:rsidP="00B51CDE">
      <w:pPr>
        <w:pStyle w:val="Heading1"/>
      </w:pPr>
      <w:r w:rsidRPr="002730A4">
        <w:t>6. Dysregulation as failure to reach the fixed point [LB algebra / CAND biology]</w:t>
      </w:r>
    </w:p>
    <w:p w14:paraId="36511602" w14:textId="77777777" w:rsidR="002730A4" w:rsidRPr="002730A4" w:rsidRDefault="002730A4" w:rsidP="002730A4">
      <w:pPr>
        <w:jc w:val="both"/>
      </w:pPr>
      <w:r w:rsidRPr="002730A4">
        <w:t xml:space="preserve">Because homeostasis is the </w:t>
      </w:r>
      <w:r w:rsidRPr="002730A4">
        <w:rPr>
          <w:i/>
          <w:iCs/>
        </w:rPr>
        <w:t>reaching</w:t>
      </w:r>
      <w:r w:rsidRPr="002730A4">
        <w:t xml:space="preserve"> of the closure, dysregulation is </w:t>
      </w:r>
      <w:r w:rsidRPr="002730A4">
        <w:rPr>
          <w:i/>
          <w:iCs/>
        </w:rPr>
        <w:t>failure to reach it</w:t>
      </w:r>
      <w:r w:rsidRPr="002730A4">
        <w:t xml:space="preserve"> — and there are exactly two routes, distinguished by which part of the loop fails.</w:t>
      </w:r>
    </w:p>
    <w:p w14:paraId="5FC61BF3" w14:textId="77777777" w:rsidR="002730A4" w:rsidRPr="002730A4" w:rsidRDefault="002730A4" w:rsidP="002730A4">
      <w:pPr>
        <w:jc w:val="both"/>
      </w:pPr>
      <w:r w:rsidRPr="002730A4">
        <w:rPr>
          <w:b/>
          <w:bCs/>
        </w:rPr>
        <w:t>Epilepsy — non-convergence.</w:t>
      </w:r>
      <w:r w:rsidRPr="002730A4">
        <w:t xml:space="preserve"> When the regulatory tone enters a self-sustaining oscillation at frequency ω, faster than the gate's integration time τ_gate, the loop never settles to any fixed point: the closure GF cannot converge because the operating tone is non-stationary over the evaluation window. </w:t>
      </w:r>
      <w:r w:rsidRPr="002730A4">
        <w:rPr>
          <w:b/>
          <w:bCs/>
        </w:rPr>
        <w:t>The functor F remains intact throughout</w:t>
      </w:r>
      <w:r w:rsidRPr="002730A4">
        <w:t xml:space="preserve"> — the filtration is fixed; what fails is that the adjunction cannot be </w:t>
      </w:r>
      <w:r w:rsidRPr="002730A4">
        <w:rPr>
          <w:i/>
          <w:iCs/>
        </w:rPr>
        <w:t>read</w:t>
      </w:r>
      <w:r w:rsidRPr="002730A4">
        <w:t xml:space="preserve"> at a stationary tone, so the closure is never reached and the system binds without an evaluable coherence test. The pathology is in the </w:t>
      </w:r>
      <w:r w:rsidRPr="002730A4">
        <w:rPr>
          <w:i/>
          <w:iCs/>
        </w:rPr>
        <w:t>trajectory through the base</w:t>
      </w:r>
      <w:r w:rsidRPr="002730A4">
        <w:t>, not in the functor.</w:t>
      </w:r>
    </w:p>
    <w:p w14:paraId="4E2B1CDB" w14:textId="77777777" w:rsidR="002730A4" w:rsidRPr="002730A4" w:rsidRDefault="002730A4" w:rsidP="002730A4">
      <w:pPr>
        <w:jc w:val="both"/>
      </w:pPr>
      <w:r w:rsidRPr="002730A4">
        <w:rPr>
          <w:b/>
          <w:bCs/>
        </w:rPr>
        <w:t>War / macro-panic — the deceived adjoint.</w:t>
      </w:r>
      <w:r w:rsidRPr="002730A4">
        <w:t xml:space="preserve"> Suppose the cover is coarsened so that the measured residual is a </w:t>
      </w:r>
      <w:r w:rsidRPr="002730A4">
        <w:rPr>
          <w:b/>
          <w:bCs/>
        </w:rPr>
        <w:t>false-zero</w:t>
      </w:r>
      <w:r w:rsidRPr="002730A4">
        <w:t xml:space="preserve">: r_false ≈ 0 while the true residual r_true </w:t>
      </w:r>
      <w:r w:rsidRPr="002730A4">
        <w:rPr>
          <w:rFonts w:ascii="Cambria Math" w:hAnsi="Cambria Math" w:cs="Cambria Math"/>
        </w:rPr>
        <w:t>≫</w:t>
      </w:r>
      <w:r w:rsidRPr="002730A4">
        <w:t xml:space="preserve"> 0. The regulator then computes its demand from the lie, G_measured = inf{T : r_false </w:t>
      </w:r>
      <w:r w:rsidRPr="002730A4">
        <w:rPr>
          <w:rFonts w:ascii="Calibri" w:hAnsi="Calibri" w:cs="Calibri"/>
        </w:rPr>
        <w:t>≤</w:t>
      </w:r>
      <w:r w:rsidRPr="002730A4">
        <w:t xml:space="preserve"> </w:t>
      </w:r>
      <w:r w:rsidRPr="002730A4">
        <w:rPr>
          <w:rFonts w:ascii="Calibri" w:hAnsi="Calibri" w:cs="Calibri"/>
        </w:rPr>
        <w:t>ε</w:t>
      </w:r>
      <w:r w:rsidRPr="002730A4">
        <w:t xml:space="preserve">(T)} </w:t>
      </w:r>
      <w:r w:rsidRPr="002730A4">
        <w:rPr>
          <w:rFonts w:ascii="Calibri" w:hAnsi="Calibri" w:cs="Calibri"/>
        </w:rPr>
        <w:t>—</w:t>
      </w:r>
      <w:r w:rsidRPr="002730A4">
        <w:t xml:space="preserve"> too tight a tone </w:t>
      </w:r>
      <w:r w:rsidRPr="002730A4">
        <w:rPr>
          <w:rFonts w:ascii="Calibri" w:hAnsi="Calibri" w:cs="Calibri"/>
        </w:rPr>
        <w:t>—</w:t>
      </w:r>
      <w:r w:rsidRPr="002730A4">
        <w:t xml:space="preserve"> and sets T = G_measured. But the true situation does not fit: </w:t>
      </w:r>
      <w:r w:rsidRPr="002730A4">
        <w:rPr>
          <w:rFonts w:ascii="Calibri" w:hAnsi="Calibri" w:cs="Calibri"/>
        </w:rPr>
        <w:t>α</w:t>
      </w:r>
      <w:r w:rsidRPr="002730A4">
        <w:t xml:space="preserve">_true </w:t>
      </w:r>
      <w:r w:rsidRPr="002730A4">
        <w:rPr>
          <w:rFonts w:ascii="Cambria Math" w:hAnsi="Cambria Math" w:cs="Cambria Math"/>
        </w:rPr>
        <w:t>∉</w:t>
      </w:r>
      <w:r w:rsidRPr="002730A4">
        <w:t xml:space="preserve"> F(G_measured). The loop has converged to the fixed point of the </w:t>
      </w:r>
      <w:r w:rsidRPr="002730A4">
        <w:rPr>
          <w:i/>
          <w:iCs/>
        </w:rPr>
        <w:t>wrong</w:t>
      </w:r>
      <w:r w:rsidRPr="002730A4">
        <w:t xml:space="preserve"> adjunction — a set-point that excludes the truth by construction — so homeostasis for the real situation is unreachable, and the hidden r_true acts as a continuous exogenous drive. In one line: </w:t>
      </w:r>
      <w:r w:rsidRPr="002730A4">
        <w:rPr>
          <w:b/>
          <w:bCs/>
        </w:rPr>
        <w:t xml:space="preserve">epilepsy prevents the operating point from holding still; war substitutes </w:t>
      </w:r>
      <w:r w:rsidRPr="002730A4">
        <w:rPr>
          <w:b/>
          <w:bCs/>
        </w:rPr>
        <w:lastRenderedPageBreak/>
        <w:t>a false demand G_false for the true G_true.</w:t>
      </w:r>
      <w:r w:rsidRPr="002730A4">
        <w:t xml:space="preserve"> Both fail to reach the true closure, by different routes — one a non-stationary trajectory, one a corrupted measurement.</w:t>
      </w:r>
    </w:p>
    <w:p w14:paraId="66FEE6C2" w14:textId="2CBAC116" w:rsidR="002730A4" w:rsidRPr="002730A4" w:rsidRDefault="002730A4" w:rsidP="002730A4">
      <w:pPr>
        <w:jc w:val="both"/>
      </w:pPr>
      <w:r w:rsidRPr="002730A4">
        <w:t xml:space="preserve">The biological correlate of a chronically mis-set G is named in the physiology: </w:t>
      </w:r>
      <w:r w:rsidRPr="002730A4">
        <w:rPr>
          <w:b/>
          <w:bCs/>
        </w:rPr>
        <w:t>allostatic load</w:t>
      </w:r>
      <w:r w:rsidRPr="002730A4">
        <w:t xml:space="preserve"> — the cumulative cost the brain pays when it persistently anticipates and adapts to the wrong demand (</w:t>
      </w:r>
      <w:hyperlink r:id="rId21" w:history="1">
        <w:r w:rsidRPr="001414E5">
          <w:rPr>
            <w:rStyle w:val="Hyperlink"/>
          </w:rPr>
          <w:t>Sterling</w:t>
        </w:r>
      </w:hyperlink>
      <w:r w:rsidRPr="002730A4">
        <w:t xml:space="preserve">; </w:t>
      </w:r>
      <w:hyperlink r:id="rId22" w:history="1">
        <w:r w:rsidRPr="001414E5">
          <w:rPr>
            <w:rStyle w:val="Hyperlink"/>
          </w:rPr>
          <w:t>McEwen</w:t>
        </w:r>
      </w:hyperlink>
      <w:r w:rsidRPr="002730A4">
        <w:t>). War-as-deceived-adjoint and chronic-stress-as-allostatic-load are the same algebraic failure — G converging to a set-point that excludes the truth — seen at two scales, a correspondence the formalism predicts rather than imposes [SUP].</w:t>
      </w:r>
    </w:p>
    <w:p w14:paraId="5BE77B37" w14:textId="77777777" w:rsidR="002730A4" w:rsidRPr="002730A4" w:rsidRDefault="002730A4" w:rsidP="00B51CDE">
      <w:pPr>
        <w:pStyle w:val="Heading1"/>
      </w:pPr>
      <w:r w:rsidRPr="002730A4">
        <w:t>7. The coupling, assembled</w:t>
      </w:r>
    </w:p>
    <w:p w14:paraId="5A6EC58B" w14:textId="77777777" w:rsidR="002730A4" w:rsidRPr="002730A4" w:rsidRDefault="002730A4" w:rsidP="002730A4">
      <w:pPr>
        <w:jc w:val="both"/>
      </w:pPr>
      <w:r w:rsidRPr="002730A4">
        <w:t xml:space="preserve">The relation between the regulatory and representational substrates is </w:t>
      </w:r>
      <w:r w:rsidRPr="002730A4">
        <w:rPr>
          <w:b/>
          <w:bCs/>
        </w:rPr>
        <w:t>one functor and two adjunctions</w:t>
      </w:r>
      <w:r w:rsidRPr="002730A4">
        <w:t>:</w:t>
      </w:r>
    </w:p>
    <w:p w14:paraId="669D5A28" w14:textId="77777777" w:rsidR="002730A4" w:rsidRPr="002730A4" w:rsidRDefault="002730A4" w:rsidP="002730A4">
      <w:pPr>
        <w:numPr>
          <w:ilvl w:val="0"/>
          <w:numId w:val="1"/>
        </w:numPr>
        <w:jc w:val="both"/>
      </w:pPr>
      <w:r w:rsidRPr="002730A4">
        <w:t xml:space="preserve">the </w:t>
      </w:r>
      <w:r w:rsidRPr="002730A4">
        <w:rPr>
          <w:b/>
          <w:bCs/>
        </w:rPr>
        <w:t>functor</w:t>
      </w:r>
      <w:r w:rsidRPr="002730A4">
        <w:t xml:space="preserve"> F (the tolerance-filtration): a tone admits a subcategory of bindings;</w:t>
      </w:r>
    </w:p>
    <w:p w14:paraId="3D98A99E" w14:textId="77777777" w:rsidR="002730A4" w:rsidRPr="002730A4" w:rsidRDefault="002730A4" w:rsidP="002730A4">
      <w:pPr>
        <w:numPr>
          <w:ilvl w:val="0"/>
          <w:numId w:val="1"/>
        </w:numPr>
        <w:jc w:val="both"/>
      </w:pPr>
      <w:r w:rsidRPr="002730A4">
        <w:t xml:space="preserve">the </w:t>
      </w:r>
      <w:r w:rsidRPr="002730A4">
        <w:rPr>
          <w:b/>
          <w:bCs/>
        </w:rPr>
        <w:t>reflection</w:t>
      </w:r>
      <w:r w:rsidRPr="002730A4">
        <w:t xml:space="preserve"> P_ε (within </w:t>
      </w:r>
      <w:r w:rsidRPr="002730A4">
        <w:rPr>
          <w:rFonts w:ascii="Cambria Math" w:hAnsi="Cambria Math" w:cs="Cambria Math"/>
        </w:rPr>
        <w:t>𝓔</w:t>
      </w:r>
      <w:r w:rsidRPr="002730A4">
        <w:t>, fixed tone): at any tone, a canonical best admissible binding exists, by convexity;</w:t>
      </w:r>
    </w:p>
    <w:p w14:paraId="24AFDA42" w14:textId="77777777" w:rsidR="002730A4" w:rsidRPr="002730A4" w:rsidRDefault="002730A4" w:rsidP="002730A4">
      <w:pPr>
        <w:numPr>
          <w:ilvl w:val="0"/>
          <w:numId w:val="1"/>
        </w:numPr>
        <w:jc w:val="both"/>
      </w:pPr>
      <w:r w:rsidRPr="002730A4">
        <w:t xml:space="preserve">the </w:t>
      </w:r>
      <w:r w:rsidRPr="002730A4">
        <w:rPr>
          <w:b/>
          <w:bCs/>
        </w:rPr>
        <w:t>Galois adjunction</w:t>
      </w:r>
      <w:r w:rsidRPr="002730A4">
        <w:t xml:space="preserve"> F </w:t>
      </w:r>
      <w:r w:rsidRPr="002730A4">
        <w:rPr>
          <w:rFonts w:ascii="Cambria Math" w:hAnsi="Cambria Math" w:cs="Cambria Math"/>
        </w:rPr>
        <w:t>⊣</w:t>
      </w:r>
      <w:r w:rsidRPr="002730A4">
        <w:t xml:space="preserve"> G (between the categories): tone-selection and demand-computation are adjoint, with G the allostatic demand.</w:t>
      </w:r>
    </w:p>
    <w:p w14:paraId="0954D0E0" w14:textId="77777777" w:rsidR="002730A4" w:rsidRPr="002730A4" w:rsidRDefault="002730A4" w:rsidP="002730A4">
      <w:pPr>
        <w:jc w:val="both"/>
      </w:pPr>
      <w:r w:rsidRPr="002730A4">
        <w:t xml:space="preserve">Together they describe the loop: the regulatory substrate sets a coarse scalar tone; the Galois adjoint computes the demand that tone must meet; the reflection lands the representation on its best admissible binding at that tone; and homeostasis is the loop reaching the resulting fixed point. The body and the mind are adjoint — but the regulatory substrate is the </w:t>
      </w:r>
      <w:r w:rsidRPr="002730A4">
        <w:rPr>
          <w:i/>
          <w:iCs/>
        </w:rPr>
        <w:t>coarse knob</w:t>
      </w:r>
      <w:r w:rsidRPr="002730A4">
        <w:t>, not the structural floor, and the law that a cheap low-dimensional axis parameterizes an expensive high-dimensional one is the descent-free/ascent-costly asymmetry read in anatomy.</w:t>
      </w:r>
    </w:p>
    <w:p w14:paraId="78E85020" w14:textId="77777777" w:rsidR="002730A4" w:rsidRPr="002730A4" w:rsidRDefault="002730A4" w:rsidP="00B51CDE">
      <w:pPr>
        <w:pStyle w:val="Heading1"/>
      </w:pPr>
      <w:r w:rsidRPr="002730A4">
        <w:t>Appendix A — F is a functor: the tolerance-filtration [LB]</w:t>
      </w:r>
    </w:p>
    <w:p w14:paraId="0356CEF2" w14:textId="77777777" w:rsidR="002730A4" w:rsidRPr="002730A4" w:rsidRDefault="002730A4" w:rsidP="002730A4">
      <w:pPr>
        <w:jc w:val="both"/>
      </w:pPr>
      <w:r w:rsidRPr="002730A4">
        <w:rPr>
          <w:b/>
          <w:bCs/>
        </w:rPr>
        <w:t>The stake, and the flaw in the obvious construction.</w:t>
      </w:r>
      <w:r w:rsidRPr="002730A4">
        <w:t xml:space="preserve"> The coupling must be a genuine functor (composition-preserving), not merely a parameterized family of maps — and this is exactly the kind of claim most exposed to wishful construction. The tempting move: a tone sets tolerance ε, and F sends it to the </w:t>
      </w:r>
      <w:r w:rsidRPr="002730A4">
        <w:rPr>
          <w:b/>
          <w:bCs/>
        </w:rPr>
        <w:t>quotient</w:t>
      </w:r>
      <w:r w:rsidRPr="002730A4">
        <w:t xml:space="preserve"> of </w:t>
      </w:r>
      <w:r w:rsidRPr="002730A4">
        <w:rPr>
          <w:rFonts w:ascii="Cambria Math" w:hAnsi="Cambria Math" w:cs="Cambria Math"/>
        </w:rPr>
        <w:t>𝓔</w:t>
      </w:r>
      <w:r w:rsidRPr="002730A4">
        <w:t xml:space="preserve"> that glues any two local sections disagreeing by less than ε. </w:t>
      </w:r>
      <w:r w:rsidRPr="002730A4">
        <w:rPr>
          <w:i/>
          <w:iCs/>
        </w:rPr>
        <w:t>This fails.</w:t>
      </w:r>
      <w:r w:rsidRPr="002730A4">
        <w:t xml:space="preserve"> The relation "disagree by less than ε" is reflexive and symmetric but </w:t>
      </w:r>
      <w:r w:rsidRPr="002730A4">
        <w:rPr>
          <w:b/>
          <w:bCs/>
        </w:rPr>
        <w:t>not transitive</w:t>
      </w:r>
      <w:r w:rsidRPr="002730A4">
        <w:t xml:space="preserve"> — two ε-steps can sum past ε — so it is a </w:t>
      </w:r>
      <w:r w:rsidRPr="002730A4">
        <w:rPr>
          <w:i/>
          <w:iCs/>
        </w:rPr>
        <w:t>tolerance relation</w:t>
      </w:r>
      <w:r w:rsidRPr="002730A4">
        <w:t xml:space="preserve">, not an equivalence relation, and there is </w:t>
      </w:r>
      <w:r w:rsidRPr="002730A4">
        <w:rPr>
          <w:b/>
          <w:bCs/>
        </w:rPr>
        <w:t>no quotient</w:t>
      </w:r>
      <w:r w:rsidRPr="002730A4">
        <w:t xml:space="preserve"> for F to map to. Any construction defining F as such a quotient assumes an object that does not exist.</w:t>
      </w:r>
    </w:p>
    <w:p w14:paraId="344DBC02" w14:textId="77777777" w:rsidR="002730A4" w:rsidRPr="002730A4" w:rsidRDefault="002730A4" w:rsidP="002730A4">
      <w:pPr>
        <w:jc w:val="both"/>
      </w:pPr>
      <w:r w:rsidRPr="002730A4">
        <w:rPr>
          <w:b/>
          <w:bCs/>
        </w:rPr>
        <w:t>The correct construction.</w:t>
      </w:r>
      <w:r w:rsidRPr="002730A4">
        <w:t xml:space="preserve"> The coherence gate never compares sections pairwise; it thresholds the </w:t>
      </w:r>
      <w:r w:rsidRPr="002730A4">
        <w:rPr>
          <w:i/>
          <w:iCs/>
        </w:rPr>
        <w:t>global</w:t>
      </w:r>
      <w:r w:rsidRPr="002730A4">
        <w:t xml:space="preserve"> residual r(α). Tolerance therefore does not identify sections — it </w:t>
      </w:r>
      <w:r w:rsidRPr="002730A4">
        <w:rPr>
          <w:b/>
          <w:bCs/>
        </w:rPr>
        <w:t>admits or withholds a binding</w:t>
      </w:r>
      <w:r w:rsidRPr="002730A4">
        <w:t xml:space="preserve"> according to r(α) ≤ ε. So (with </w:t>
      </w:r>
      <w:r w:rsidRPr="002730A4">
        <w:rPr>
          <w:rFonts w:ascii="Cambria Math" w:hAnsi="Cambria Math" w:cs="Cambria Math"/>
        </w:rPr>
        <w:t>𝓣</w:t>
      </w:r>
      <w:r w:rsidRPr="002730A4">
        <w:t xml:space="preserve"> the tone poset and </w:t>
      </w:r>
      <w:r w:rsidRPr="002730A4">
        <w:rPr>
          <w:rFonts w:ascii="Cambria Math" w:hAnsi="Cambria Math" w:cs="Cambria Math"/>
        </w:rPr>
        <w:t>𝓔</w:t>
      </w:r>
      <w:r w:rsidRPr="002730A4">
        <w:t xml:space="preserve"> the binding category of §1):</w:t>
      </w:r>
    </w:p>
    <w:p w14:paraId="25326501" w14:textId="4E95B1C5" w:rsidR="002730A4" w:rsidRPr="002730A4" w:rsidRDefault="002730A4" w:rsidP="0052377D">
      <w:pPr>
        <w:jc w:val="center"/>
      </w:pPr>
      <w:r w:rsidRPr="002730A4">
        <w:t xml:space="preserve">F(T) = </w:t>
      </w:r>
      <w:r w:rsidRPr="002730A4">
        <w:rPr>
          <w:rFonts w:ascii="Cambria Math" w:hAnsi="Cambria Math" w:cs="Cambria Math"/>
        </w:rPr>
        <w:t>𝓔</w:t>
      </w:r>
      <w:r w:rsidRPr="002730A4">
        <w:t xml:space="preserve">_{≤ε(T)}:= the subcategory of </w:t>
      </w:r>
      <w:r w:rsidRPr="002730A4">
        <w:rPr>
          <w:rFonts w:ascii="Cambria Math" w:hAnsi="Cambria Math" w:cs="Cambria Math"/>
        </w:rPr>
        <w:t>𝓔</w:t>
      </w:r>
      <w:r w:rsidRPr="002730A4">
        <w:t xml:space="preserve"> with all objects,</w:t>
      </w:r>
    </w:p>
    <w:p w14:paraId="1959ADC2" w14:textId="7D9E6501" w:rsidR="002730A4" w:rsidRPr="002730A4" w:rsidRDefault="002730A4" w:rsidP="0052377D">
      <w:pPr>
        <w:jc w:val="center"/>
      </w:pPr>
      <w:r w:rsidRPr="002730A4">
        <w:t>keeping the binding-morphisms with r(α) ≤ ε(T),</w:t>
      </w:r>
    </w:p>
    <w:p w14:paraId="206BAF84" w14:textId="28A04B75" w:rsidR="002730A4" w:rsidRPr="002730A4" w:rsidRDefault="002730A4" w:rsidP="0052377D">
      <w:pPr>
        <w:jc w:val="center"/>
      </w:pPr>
      <w:r w:rsidRPr="002730A4">
        <w:t xml:space="preserve">F(T₁ ≤ T₂):= the inclusion </w:t>
      </w:r>
      <w:r w:rsidRPr="002730A4">
        <w:rPr>
          <w:rFonts w:ascii="Cambria Math" w:hAnsi="Cambria Math" w:cs="Cambria Math"/>
        </w:rPr>
        <w:t>𝓔</w:t>
      </w:r>
      <w:r w:rsidRPr="002730A4">
        <w:t xml:space="preserve">_{≤ε(T₁)} </w:t>
      </w:r>
      <w:r w:rsidRPr="002730A4">
        <w:rPr>
          <w:rFonts w:ascii="Cambria Math" w:hAnsi="Cambria Math" w:cs="Cambria Math"/>
        </w:rPr>
        <w:t>↪</w:t>
      </w:r>
      <w:r w:rsidRPr="002730A4">
        <w:t xml:space="preserve"> </w:t>
      </w:r>
      <w:r w:rsidRPr="002730A4">
        <w:rPr>
          <w:rFonts w:ascii="Cambria Math" w:hAnsi="Cambria Math" w:cs="Cambria Math"/>
        </w:rPr>
        <w:t>𝓔</w:t>
      </w:r>
      <w:r w:rsidRPr="002730A4">
        <w:t>_{≤ε(T₂)}.</w:t>
      </w:r>
    </w:p>
    <w:p w14:paraId="5E390BBB" w14:textId="77777777" w:rsidR="002730A4" w:rsidRPr="002730A4" w:rsidRDefault="002730A4" w:rsidP="002730A4">
      <w:pPr>
        <w:jc w:val="both"/>
      </w:pPr>
      <w:r w:rsidRPr="002730A4">
        <w:rPr>
          <w:b/>
          <w:bCs/>
        </w:rPr>
        <w:t>The proof.</w:t>
      </w:r>
      <w:r w:rsidRPr="002730A4">
        <w:t xml:space="preserve"> F(id_T) is the inclusion </w:t>
      </w:r>
      <w:r w:rsidRPr="002730A4">
        <w:rPr>
          <w:rFonts w:ascii="Cambria Math" w:hAnsi="Cambria Math" w:cs="Cambria Math"/>
        </w:rPr>
        <w:t>𝓔</w:t>
      </w:r>
      <w:r w:rsidRPr="002730A4">
        <w:t xml:space="preserve">_{≤ε(T)} </w:t>
      </w:r>
      <w:r w:rsidRPr="002730A4">
        <w:rPr>
          <w:rFonts w:ascii="Cambria Math" w:hAnsi="Cambria Math" w:cs="Cambria Math"/>
        </w:rPr>
        <w:t>↪</w:t>
      </w:r>
      <w:r w:rsidRPr="002730A4">
        <w:t xml:space="preserve"> </w:t>
      </w:r>
      <w:r w:rsidRPr="002730A4">
        <w:rPr>
          <w:rFonts w:ascii="Cambria Math" w:hAnsi="Cambria Math" w:cs="Cambria Math"/>
        </w:rPr>
        <w:t>𝓔</w:t>
      </w:r>
      <w:r w:rsidRPr="002730A4">
        <w:t xml:space="preserve">_{≤ε(T)} = id. For T₁ ≤ T₂ ≤ T₃ the admissible sets are nested, </w:t>
      </w:r>
      <w:r w:rsidRPr="002730A4">
        <w:rPr>
          <w:rFonts w:ascii="Cambria Math" w:hAnsi="Cambria Math" w:cs="Cambria Math"/>
        </w:rPr>
        <w:t>𝓔</w:t>
      </w:r>
      <w:r w:rsidRPr="002730A4">
        <w:t xml:space="preserve">_{≤ε(T₁)} </w:t>
      </w:r>
      <w:r w:rsidRPr="002730A4">
        <w:rPr>
          <w:rFonts w:ascii="Cambria Math" w:hAnsi="Cambria Math" w:cs="Cambria Math"/>
        </w:rPr>
        <w:t>⊆</w:t>
      </w:r>
      <w:r w:rsidRPr="002730A4">
        <w:t xml:space="preserve"> </w:t>
      </w:r>
      <w:r w:rsidRPr="002730A4">
        <w:rPr>
          <w:rFonts w:ascii="Cambria Math" w:hAnsi="Cambria Math" w:cs="Cambria Math"/>
        </w:rPr>
        <w:t>𝓔</w:t>
      </w:r>
      <w:r w:rsidRPr="002730A4">
        <w:t xml:space="preserve">_{≤ε(T₂)} </w:t>
      </w:r>
      <w:r w:rsidRPr="002730A4">
        <w:rPr>
          <w:rFonts w:ascii="Cambria Math" w:hAnsi="Cambria Math" w:cs="Cambria Math"/>
        </w:rPr>
        <w:t>⊆</w:t>
      </w:r>
      <w:r w:rsidRPr="002730A4">
        <w:t xml:space="preserve"> </w:t>
      </w:r>
      <w:r w:rsidRPr="002730A4">
        <w:rPr>
          <w:rFonts w:ascii="Cambria Math" w:hAnsi="Cambria Math" w:cs="Cambria Math"/>
        </w:rPr>
        <w:t>𝓔</w:t>
      </w:r>
      <w:r w:rsidRPr="002730A4">
        <w:t xml:space="preserve">_{≤ε(T₃)}, and the inclusion </w:t>
      </w:r>
      <w:r w:rsidRPr="002730A4">
        <w:rPr>
          <w:rFonts w:ascii="Cambria Math" w:hAnsi="Cambria Math" w:cs="Cambria Math"/>
        </w:rPr>
        <w:t>𝓔</w:t>
      </w:r>
      <w:r w:rsidRPr="002730A4">
        <w:t xml:space="preserve">_{≤ε(T₁)} </w:t>
      </w:r>
      <w:r w:rsidRPr="002730A4">
        <w:rPr>
          <w:rFonts w:ascii="Cambria Math" w:hAnsi="Cambria Math" w:cs="Cambria Math"/>
        </w:rPr>
        <w:t>↪</w:t>
      </w:r>
      <w:r w:rsidRPr="002730A4">
        <w:t xml:space="preserve"> </w:t>
      </w:r>
      <w:r w:rsidRPr="002730A4">
        <w:rPr>
          <w:rFonts w:ascii="Cambria Math" w:hAnsi="Cambria Math" w:cs="Cambria Math"/>
        </w:rPr>
        <w:t>𝓔</w:t>
      </w:r>
      <w:r w:rsidRPr="002730A4">
        <w:t xml:space="preserve">_{≤ε(T₃)} is the </w:t>
      </w:r>
      <w:r w:rsidRPr="002730A4">
        <w:lastRenderedPageBreak/>
        <w:t xml:space="preserve">composite of the two intermediate inclusions. Identities and composition are preserved, so </w:t>
      </w:r>
      <w:r w:rsidRPr="002730A4">
        <w:rPr>
          <w:b/>
          <w:bCs/>
        </w:rPr>
        <w:t>F is a functor</w:t>
      </w:r>
      <w:r w:rsidRPr="002730A4">
        <w:t xml:space="preserve"> — a persistence functor, the tolerance-filtration of </w:t>
      </w:r>
      <w:r w:rsidRPr="002730A4">
        <w:rPr>
          <w:rFonts w:ascii="Cambria Math" w:hAnsi="Cambria Math" w:cs="Cambria Math"/>
        </w:rPr>
        <w:t>𝓔</w:t>
      </w:r>
      <w:r w:rsidRPr="002730A4">
        <w:t xml:space="preserve"> by admissible bindings. </w:t>
      </w:r>
      <w:r w:rsidRPr="002730A4">
        <w:rPr>
          <w:rFonts w:ascii="Cambria Math" w:hAnsi="Cambria Math" w:cs="Cambria Math"/>
        </w:rPr>
        <w:t>∎</w:t>
      </w:r>
    </w:p>
    <w:p w14:paraId="4D83E84A" w14:textId="77777777" w:rsidR="002730A4" w:rsidRPr="002730A4" w:rsidRDefault="002730A4" w:rsidP="002730A4">
      <w:pPr>
        <w:jc w:val="both"/>
      </w:pPr>
      <w:r w:rsidRPr="002730A4">
        <w:t xml:space="preserve">The only non-formal inputs are that r is a fixed function of the configuration and that ε is monotone in the tone. </w:t>
      </w:r>
      <w:r w:rsidRPr="002730A4">
        <w:rPr>
          <w:b/>
          <w:bCs/>
        </w:rPr>
        <w:t>Functoriality reduces to the monotonicity of ε</w:t>
      </w:r>
      <w:r w:rsidRPr="002730A4">
        <w:t xml:space="preserve"> and introduces no new assumption: F is a functor for the same reason a persistence module is — a monotone assignment of nested admissible-sets with comparison maps that compose.</w:t>
      </w:r>
    </w:p>
    <w:p w14:paraId="5873332D" w14:textId="77777777" w:rsidR="002730A4" w:rsidRPr="002730A4" w:rsidRDefault="002730A4" w:rsidP="002730A4">
      <w:pPr>
        <w:jc w:val="both"/>
      </w:pPr>
      <w:r w:rsidRPr="002730A4">
        <w:rPr>
          <w:b/>
          <w:bCs/>
        </w:rPr>
        <w:t>The locus of pathology.</w:t>
      </w:r>
      <w:r w:rsidRPr="002730A4">
        <w:t xml:space="preserve"> Because F is the </w:t>
      </w:r>
      <w:r w:rsidRPr="002730A4">
        <w:rPr>
          <w:i/>
          <w:iCs/>
        </w:rPr>
        <w:t>fixed</w:t>
      </w:r>
      <w:r w:rsidRPr="002730A4">
        <w:t xml:space="preserve"> filtration, nothing about a pathology makes F stop being a functor. What varies is the </w:t>
      </w:r>
      <w:r w:rsidRPr="002730A4">
        <w:rPr>
          <w:b/>
          <w:bCs/>
        </w:rPr>
        <w:t>operating point</w:t>
      </w:r>
      <w:r w:rsidRPr="002730A4">
        <w:t xml:space="preserve"> — which slice F(T(t)) is currently in force, selected by the trajectory of the tone through the base. This is why the §6 pathologies live in the </w:t>
      </w:r>
      <w:r w:rsidRPr="002730A4">
        <w:rPr>
          <w:i/>
          <w:iCs/>
        </w:rPr>
        <w:t>trajectory</w:t>
      </w:r>
      <w:r w:rsidRPr="002730A4">
        <w:t xml:space="preserve"> (a non-stationary sweep, or a mis-placed static section), not in the functor: F does not move; the point at which it is read does.</w:t>
      </w:r>
    </w:p>
    <w:p w14:paraId="67D90F37" w14:textId="77777777" w:rsidR="002730A4" w:rsidRPr="002730A4" w:rsidRDefault="002730A4" w:rsidP="0052377D">
      <w:pPr>
        <w:pStyle w:val="Heading1"/>
      </w:pPr>
      <w:r w:rsidRPr="002730A4">
        <w:t>Appendix B — The reflection: convexity and the Hilbert projection theorem [LB]</w:t>
      </w:r>
    </w:p>
    <w:p w14:paraId="0D29B036" w14:textId="77777777" w:rsidR="002730A4" w:rsidRPr="002730A4" w:rsidRDefault="002730A4" w:rsidP="002730A4">
      <w:pPr>
        <w:jc w:val="both"/>
      </w:pPr>
      <w:r w:rsidRPr="002730A4">
        <w:rPr>
          <w:b/>
          <w:bCs/>
        </w:rPr>
        <w:t>The question, and the expected failure.</w:t>
      </w:r>
      <w:r w:rsidRPr="002730A4">
        <w:t xml:space="preserve"> Does the inclusion ι : </w:t>
      </w:r>
      <w:r w:rsidRPr="002730A4">
        <w:rPr>
          <w:rFonts w:ascii="Cambria Math" w:hAnsi="Cambria Math" w:cs="Cambria Math"/>
        </w:rPr>
        <w:t>𝓔</w:t>
      </w:r>
      <w:r w:rsidRPr="002730A4">
        <w:t xml:space="preserve">_{≤ε} </w:t>
      </w:r>
      <w:r w:rsidRPr="002730A4">
        <w:rPr>
          <w:rFonts w:ascii="Cambria Math" w:hAnsi="Cambria Math" w:cs="Cambria Math"/>
        </w:rPr>
        <w:t>↪</w:t>
      </w:r>
      <w:r w:rsidRPr="002730A4">
        <w:t xml:space="preserve"> </w:t>
      </w:r>
      <w:r w:rsidRPr="002730A4">
        <w:rPr>
          <w:rFonts w:ascii="Cambria Math" w:hAnsi="Cambria Math" w:cs="Cambria Math"/>
        </w:rPr>
        <w:t>𝓔</w:t>
      </w:r>
      <w:r w:rsidRPr="002730A4">
        <w:t xml:space="preserve"> of admissible bindings admit a reflection — a canonical "best admissible binding within tolerance"? The non-transitivity that voided the naive quotient (Appendix A) gives reason to expect failure: if rounding a binding down to tolerance had several incomparable best answers, there would be no universal one and no adjoint.</w:t>
      </w:r>
    </w:p>
    <w:p w14:paraId="1359CB6E" w14:textId="77777777" w:rsidR="002730A4" w:rsidRPr="002730A4" w:rsidRDefault="002730A4" w:rsidP="002730A4">
      <w:pPr>
        <w:jc w:val="both"/>
      </w:pPr>
      <w:r w:rsidRPr="002730A4">
        <w:rPr>
          <w:b/>
          <w:bCs/>
        </w:rPr>
        <w:t>The resolution: convexity.</w:t>
      </w:r>
      <w:r w:rsidRPr="002730A4">
        <w:t xml:space="preserve"> The expectation is wrong, because the reflection concerns not pairwise closeness but the </w:t>
      </w:r>
      <w:r w:rsidRPr="002730A4">
        <w:rPr>
          <w:b/>
          <w:bCs/>
        </w:rPr>
        <w:t>global</w:t>
      </w:r>
      <w:r w:rsidRPr="002730A4">
        <w:t xml:space="preserve"> residual r(α) = ‖P_harm(α)‖, and that residual is </w:t>
      </w:r>
      <w:r w:rsidRPr="002730A4">
        <w:rPr>
          <w:b/>
          <w:bCs/>
        </w:rPr>
        <w:t>convex</w:t>
      </w:r>
      <w:r w:rsidRPr="002730A4">
        <w:t xml:space="preserve"> — a norm composed with the linear harmonic projection. Hence the admissible set A_ε = {α : r(α) ≤ ε} is </w:t>
      </w:r>
      <w:r w:rsidRPr="002730A4">
        <w:rPr>
          <w:b/>
          <w:bCs/>
        </w:rPr>
        <w:t>closed and convex</w:t>
      </w:r>
      <w:r w:rsidRPr="002730A4">
        <w:t xml:space="preserve"> in the cochain Hilbert space, and by the </w:t>
      </w:r>
      <w:r w:rsidRPr="002730A4">
        <w:rPr>
          <w:b/>
          <w:bCs/>
        </w:rPr>
        <w:t>Hilbert projection theorem</w:t>
      </w:r>
      <w:r w:rsidRPr="002730A4">
        <w:t xml:space="preserve"> every binding α has a </w:t>
      </w:r>
      <w:r w:rsidRPr="002730A4">
        <w:rPr>
          <w:i/>
          <w:iCs/>
        </w:rPr>
        <w:t>unique</w:t>
      </w:r>
      <w:r w:rsidRPr="002730A4">
        <w:t xml:space="preserve"> nearest point P_ε(α) </w:t>
      </w:r>
      <w:r w:rsidRPr="002730A4">
        <w:rPr>
          <w:rFonts w:ascii="Cambria Math" w:hAnsi="Cambria Math" w:cs="Cambria Math"/>
        </w:rPr>
        <w:t>∈</w:t>
      </w:r>
      <w:r w:rsidRPr="002730A4">
        <w:t xml:space="preserve"> A_</w:t>
      </w:r>
      <w:r w:rsidRPr="002730A4">
        <w:rPr>
          <w:rFonts w:ascii="Calibri" w:hAnsi="Calibri" w:cs="Calibri"/>
        </w:rPr>
        <w:t>ε</w:t>
      </w:r>
      <w:r w:rsidRPr="002730A4">
        <w:t>. Convexity of the global residual supplies exactly the universal best-approximation that pairwise tolerance could not.</w:t>
      </w:r>
    </w:p>
    <w:p w14:paraId="76DDFD32" w14:textId="77777777" w:rsidR="002730A4" w:rsidRPr="002730A4" w:rsidRDefault="002730A4" w:rsidP="002730A4">
      <w:pPr>
        <w:jc w:val="both"/>
      </w:pPr>
      <w:r w:rsidRPr="002730A4">
        <w:rPr>
          <w:b/>
          <w:bCs/>
        </w:rPr>
        <w:t>The reflector.</w:t>
      </w:r>
      <w:r w:rsidRPr="002730A4">
        <w:t xml:space="preserve"> P_ε is idempotent (P_ε</w:t>
      </w:r>
      <w:r w:rsidRPr="002730A4">
        <w:rPr>
          <w:rFonts w:ascii="Cambria Math" w:hAnsi="Cambria Math" w:cs="Cambria Math"/>
        </w:rPr>
        <w:t>∘</w:t>
      </w:r>
      <w:r w:rsidRPr="002730A4">
        <w:t>P_</w:t>
      </w:r>
      <w:r w:rsidRPr="002730A4">
        <w:rPr>
          <w:rFonts w:ascii="Calibri" w:hAnsi="Calibri" w:cs="Calibri"/>
        </w:rPr>
        <w:t>ε</w:t>
      </w:r>
      <w:r w:rsidRPr="002730A4">
        <w:t xml:space="preserve"> = P_</w:t>
      </w:r>
      <w:r w:rsidRPr="002730A4">
        <w:rPr>
          <w:rFonts w:ascii="Calibri" w:hAnsi="Calibri" w:cs="Calibri"/>
        </w:rPr>
        <w:t>ε</w:t>
      </w:r>
      <w:r w:rsidRPr="002730A4">
        <w:t>), fixes the subcategory (P_</w:t>
      </w:r>
      <w:r w:rsidRPr="002730A4">
        <w:rPr>
          <w:rFonts w:ascii="Calibri" w:hAnsi="Calibri" w:cs="Calibri"/>
        </w:rPr>
        <w:t>ε</w:t>
      </w:r>
      <w:r w:rsidRPr="002730A4">
        <w:t>|_{</w:t>
      </w:r>
      <w:r w:rsidRPr="002730A4">
        <w:rPr>
          <w:rFonts w:ascii="Cambria Math" w:hAnsi="Cambria Math" w:cs="Cambria Math"/>
        </w:rPr>
        <w:t>𝓔</w:t>
      </w:r>
      <w:r w:rsidRPr="002730A4">
        <w:t xml:space="preserve">_{≤ε}} = id), and is residual-reducing (r(P_ε α) ≤ r(α), equal to ε on the boundary). An idempotent, subcategory-fixing endofunctor with unit α → P_ε(α) is an idempotent monad, and idempotent monads are exactly reflective subcategories. </w:t>
      </w:r>
      <w:r w:rsidRPr="002730A4">
        <w:rPr>
          <w:b/>
          <w:bCs/>
        </w:rPr>
        <w:t>So the reflection exists</w:t>
      </w:r>
      <w:r w:rsidRPr="002730A4">
        <w:t xml:space="preserve">, and </w:t>
      </w:r>
      <w:r w:rsidRPr="002730A4">
        <w:rPr>
          <w:rFonts w:ascii="Cambria Math" w:hAnsi="Cambria Math" w:cs="Cambria Math"/>
        </w:rPr>
        <w:t>𝓔</w:t>
      </w:r>
      <w:r w:rsidRPr="002730A4">
        <w:t xml:space="preserve">_{≤ε} is a reflective subcategory of </w:t>
      </w:r>
      <w:r w:rsidRPr="002730A4">
        <w:rPr>
          <w:rFonts w:ascii="Cambria Math" w:hAnsi="Cambria Math" w:cs="Cambria Math"/>
        </w:rPr>
        <w:t>𝓔</w:t>
      </w:r>
      <w:r w:rsidRPr="002730A4">
        <w:t xml:space="preserve">. </w:t>
      </w:r>
      <w:r w:rsidRPr="002730A4">
        <w:rPr>
          <w:rFonts w:ascii="Cambria Math" w:hAnsi="Cambria Math" w:cs="Cambria Math"/>
        </w:rPr>
        <w:t>∎</w:t>
      </w:r>
    </w:p>
    <w:p w14:paraId="3D4756E2" w14:textId="77777777" w:rsidR="002730A4" w:rsidRPr="002730A4" w:rsidRDefault="002730A4" w:rsidP="002730A4">
      <w:pPr>
        <w:jc w:val="both"/>
      </w:pPr>
      <w:r w:rsidRPr="002730A4">
        <w:rPr>
          <w:b/>
          <w:bCs/>
        </w:rPr>
        <w:t>What convexity delivers, and what rests on a choice.</w:t>
      </w:r>
      <w:r w:rsidRPr="002730A4">
        <w:t xml:space="preserve"> The </w:t>
      </w:r>
      <w:r w:rsidRPr="002730A4">
        <w:rPr>
          <w:i/>
          <w:iCs/>
        </w:rPr>
        <w:t>existence</w:t>
      </w:r>
      <w:r w:rsidRPr="002730A4">
        <w:t xml:space="preserve"> of the canonical reflection is [LB], from convexity and the projection theorem. That P_ε is a left adjoint in the full categorical sense — every morphism into an admissible binding factoring uniquely through the unit — requires </w:t>
      </w:r>
      <w:r w:rsidRPr="002730A4">
        <w:rPr>
          <w:rFonts w:ascii="Cambria Math" w:hAnsi="Cambria Math" w:cs="Cambria Math"/>
        </w:rPr>
        <w:t>𝓔</w:t>
      </w:r>
      <w:r w:rsidRPr="002730A4">
        <w:t xml:space="preserve">'s morphisms to be residual-monotone (coherence-improving); under that modelling choice the reflective adjunction is complete, and the choice itself is [CAND]. The physically salient property — that the reflector </w:t>
      </w:r>
      <w:r w:rsidRPr="002730A4">
        <w:rPr>
          <w:i/>
          <w:iCs/>
        </w:rPr>
        <w:t>preserves the cover</w:t>
      </w:r>
      <w:r w:rsidRPr="002730A4">
        <w:t>, adjusting the binding without collapsing the patches — is a feature of the projection acting within each configuration, independent of the adjoint's handedness.</w:t>
      </w:r>
    </w:p>
    <w:p w14:paraId="74DCEF58" w14:textId="77777777" w:rsidR="002730A4" w:rsidRPr="002730A4" w:rsidRDefault="002730A4" w:rsidP="002730A4">
      <w:pPr>
        <w:jc w:val="both"/>
      </w:pPr>
      <w:r w:rsidRPr="002730A4">
        <w:rPr>
          <w:b/>
          <w:bCs/>
        </w:rPr>
        <w:t>The three regimes as states of one reflection.</w:t>
      </w:r>
      <w:r w:rsidRPr="002730A4">
        <w:t xml:space="preserve"> Health is the </w:t>
      </w:r>
      <w:r w:rsidRPr="002730A4">
        <w:rPr>
          <w:i/>
          <w:iCs/>
        </w:rPr>
        <w:t>proper, cover-preserving</w:t>
      </w:r>
      <w:r w:rsidRPr="002730A4">
        <w:t xml:space="preserve"> projection: ε in the discriminative band, A_ε a proper convex subset, each binding sent to its nearest admissible representative with no distinction collapsed. Capture (war) is the reflector </w:t>
      </w:r>
      <w:r w:rsidRPr="002730A4">
        <w:rPr>
          <w:i/>
          <w:iCs/>
        </w:rPr>
        <w:t>degenerating toward the identity</w:t>
      </w:r>
      <w:r w:rsidRPr="002730A4">
        <w:t xml:space="preserve">: as ε → ∞, A_ε → everything and P_ε → id, so contradictions are accepted — the false-zero. Epilepsy is the reflector's </w:t>
      </w:r>
      <w:r w:rsidRPr="002730A4">
        <w:rPr>
          <w:i/>
          <w:iCs/>
        </w:rPr>
        <w:t>target oscillating</w:t>
      </w:r>
      <w:r w:rsidRPr="002730A4">
        <w:t>: the operating tone sweeps, so the convex target A_{ε(T(t))} breathes faster than bindings resolve. One reflection; three states — proper, degenerate, oscillating.</w:t>
      </w:r>
    </w:p>
    <w:p w14:paraId="047F2DDF" w14:textId="45F3703B" w:rsidR="002730A4" w:rsidRPr="002730A4" w:rsidRDefault="00AF0516" w:rsidP="0052377D">
      <w:pPr>
        <w:pStyle w:val="Heading1"/>
      </w:pPr>
      <w:r>
        <w:lastRenderedPageBreak/>
        <w:t>References</w:t>
      </w:r>
    </w:p>
    <w:p w14:paraId="20D22DC4" w14:textId="77777777" w:rsidR="00337479" w:rsidRDefault="002730A4" w:rsidP="002730A4">
      <w:pPr>
        <w:jc w:val="both"/>
        <w:rPr>
          <w:i/>
          <w:iCs/>
          <w:sz w:val="20"/>
          <w:szCs w:val="20"/>
        </w:rPr>
      </w:pPr>
      <w:r w:rsidRPr="00D37D3D">
        <w:rPr>
          <w:i/>
          <w:iCs/>
          <w:sz w:val="20"/>
          <w:szCs w:val="20"/>
        </w:rPr>
        <w:t xml:space="preserve">The categorical results are internal. </w:t>
      </w:r>
    </w:p>
    <w:p w14:paraId="1E0F7F35" w14:textId="052CC019" w:rsidR="002730A4" w:rsidRPr="00D37D3D" w:rsidRDefault="002730A4" w:rsidP="002730A4">
      <w:pPr>
        <w:jc w:val="both"/>
        <w:rPr>
          <w:sz w:val="20"/>
          <w:szCs w:val="20"/>
        </w:rPr>
      </w:pPr>
      <w:r w:rsidRPr="00D37D3D">
        <w:rPr>
          <w:i/>
          <w:iCs/>
          <w:sz w:val="20"/>
          <w:szCs w:val="20"/>
        </w:rPr>
        <w:t>The references anchor the empirical ([SUP]) readings; the mathematics does not depend on them.</w:t>
      </w:r>
    </w:p>
    <w:p w14:paraId="538FDAC3" w14:textId="77777777" w:rsidR="002730A4" w:rsidRPr="00D37D3D" w:rsidRDefault="002730A4" w:rsidP="00932FD7">
      <w:pPr>
        <w:pStyle w:val="Heading2"/>
        <w:rPr>
          <w:sz w:val="28"/>
          <w:szCs w:val="28"/>
        </w:rPr>
      </w:pPr>
      <w:r w:rsidRPr="00D37D3D">
        <w:rPr>
          <w:sz w:val="28"/>
          <w:szCs w:val="28"/>
        </w:rPr>
        <w:t>Neuromodulatory directions and the regulatory signal.</w:t>
      </w:r>
    </w:p>
    <w:p w14:paraId="50C841C2" w14:textId="30A76E3C" w:rsidR="002730A4" w:rsidRPr="00D37D3D" w:rsidRDefault="002730A4" w:rsidP="00D37D3D">
      <w:pPr>
        <w:numPr>
          <w:ilvl w:val="0"/>
          <w:numId w:val="4"/>
        </w:numPr>
        <w:tabs>
          <w:tab w:val="clear" w:pos="360"/>
        </w:tabs>
        <w:jc w:val="both"/>
        <w:rPr>
          <w:sz w:val="20"/>
          <w:szCs w:val="20"/>
        </w:rPr>
      </w:pPr>
      <w:r w:rsidRPr="00D37D3D">
        <w:rPr>
          <w:sz w:val="20"/>
          <w:szCs w:val="20"/>
        </w:rPr>
        <w:t xml:space="preserve">Aston-Jones, G., &amp; Cohen, J. D. (2005). An integrative theory of locus coeruleus–norepinephrine function: adaptive gain and optimal performance. </w:t>
      </w:r>
      <w:r w:rsidRPr="00D37D3D">
        <w:rPr>
          <w:i/>
          <w:iCs/>
          <w:sz w:val="20"/>
          <w:szCs w:val="20"/>
        </w:rPr>
        <w:t>Annu. Rev. Neurosci.</w:t>
      </w:r>
      <w:r w:rsidRPr="00D37D3D">
        <w:rPr>
          <w:sz w:val="20"/>
          <w:szCs w:val="20"/>
        </w:rPr>
        <w:t xml:space="preserve"> 28, 403–450.</w:t>
      </w:r>
      <w:r w:rsidR="0013654F" w:rsidRPr="00D37D3D">
        <w:rPr>
          <w:sz w:val="20"/>
          <w:szCs w:val="20"/>
        </w:rPr>
        <w:t xml:space="preserve"> </w:t>
      </w:r>
      <w:hyperlink r:id="rId23" w:history="1">
        <w:r w:rsidR="0013654F" w:rsidRPr="00D37D3D">
          <w:rPr>
            <w:rStyle w:val="Hyperlink"/>
            <w:sz w:val="20"/>
            <w:szCs w:val="20"/>
          </w:rPr>
          <w:t>https://doi.org/10.1146/annurev.neuro.28.061604.135709</w:t>
        </w:r>
      </w:hyperlink>
      <w:r w:rsidR="0013654F" w:rsidRPr="00D37D3D">
        <w:rPr>
          <w:sz w:val="20"/>
          <w:szCs w:val="20"/>
        </w:rPr>
        <w:t xml:space="preserve"> </w:t>
      </w:r>
    </w:p>
    <w:p w14:paraId="2D8F7DEE" w14:textId="5E1CB0CC" w:rsidR="002730A4" w:rsidRPr="00D37D3D" w:rsidRDefault="002730A4" w:rsidP="00D37D3D">
      <w:pPr>
        <w:numPr>
          <w:ilvl w:val="0"/>
          <w:numId w:val="4"/>
        </w:numPr>
        <w:jc w:val="both"/>
        <w:rPr>
          <w:sz w:val="20"/>
          <w:szCs w:val="20"/>
        </w:rPr>
      </w:pPr>
      <w:r w:rsidRPr="00D37D3D">
        <w:rPr>
          <w:sz w:val="20"/>
          <w:szCs w:val="20"/>
        </w:rPr>
        <w:t xml:space="preserve">Sales, A. C., Friston, K. J., Jones, M. W., Pickering, A. E., &amp; Moran, R. J. (2019). Locus Coeruleus tracking of prediction errors optimises cognitive flexibility: an Active Inference model. </w:t>
      </w:r>
      <w:r w:rsidRPr="00D37D3D">
        <w:rPr>
          <w:i/>
          <w:iCs/>
          <w:sz w:val="20"/>
          <w:szCs w:val="20"/>
        </w:rPr>
        <w:t>PLOS Comput. Biol.</w:t>
      </w:r>
      <w:r w:rsidRPr="00D37D3D">
        <w:rPr>
          <w:sz w:val="20"/>
          <w:szCs w:val="20"/>
        </w:rPr>
        <w:t xml:space="preserve"> 15(1): e1006267.</w:t>
      </w:r>
      <w:r w:rsidR="0013654F" w:rsidRPr="00D37D3D">
        <w:rPr>
          <w:sz w:val="20"/>
          <w:szCs w:val="20"/>
        </w:rPr>
        <w:t xml:space="preserve"> </w:t>
      </w:r>
      <w:hyperlink r:id="rId24" w:history="1">
        <w:r w:rsidR="0013654F" w:rsidRPr="00D37D3D">
          <w:rPr>
            <w:rStyle w:val="Hyperlink"/>
            <w:sz w:val="20"/>
            <w:szCs w:val="20"/>
          </w:rPr>
          <w:t>https://doi.org/10.1371/journal.pcbi.1006267</w:t>
        </w:r>
      </w:hyperlink>
      <w:r w:rsidR="0013654F" w:rsidRPr="00D37D3D">
        <w:rPr>
          <w:sz w:val="20"/>
          <w:szCs w:val="20"/>
        </w:rPr>
        <w:t xml:space="preserve"> </w:t>
      </w:r>
    </w:p>
    <w:p w14:paraId="63B87C72" w14:textId="3AF5CBCB" w:rsidR="0013654F" w:rsidRPr="00D37D3D" w:rsidRDefault="0013654F" w:rsidP="00D37D3D">
      <w:pPr>
        <w:numPr>
          <w:ilvl w:val="0"/>
          <w:numId w:val="4"/>
        </w:numPr>
        <w:tabs>
          <w:tab w:val="clear" w:pos="360"/>
        </w:tabs>
        <w:jc w:val="both"/>
        <w:rPr>
          <w:sz w:val="20"/>
          <w:szCs w:val="20"/>
        </w:rPr>
      </w:pPr>
      <w:r w:rsidRPr="00D37D3D">
        <w:rPr>
          <w:sz w:val="20"/>
          <w:szCs w:val="20"/>
        </w:rPr>
        <w:t xml:space="preserve">Lawson RP, Bisby J, Nord CL, Burgess N, Rees G. </w:t>
      </w:r>
      <w:r w:rsidRPr="00D37D3D">
        <w:rPr>
          <w:sz w:val="20"/>
          <w:szCs w:val="20"/>
        </w:rPr>
        <w:t>(</w:t>
      </w:r>
      <w:r w:rsidRPr="00D37D3D">
        <w:rPr>
          <w:sz w:val="20"/>
          <w:szCs w:val="20"/>
        </w:rPr>
        <w:t>2021</w:t>
      </w:r>
      <w:r w:rsidRPr="00D37D3D">
        <w:rPr>
          <w:sz w:val="20"/>
          <w:szCs w:val="20"/>
        </w:rPr>
        <w:t xml:space="preserve">). </w:t>
      </w:r>
      <w:r w:rsidRPr="00D37D3D">
        <w:rPr>
          <w:sz w:val="20"/>
          <w:szCs w:val="20"/>
        </w:rPr>
        <w:t xml:space="preserve">The Computational, Pharmacological, and Physiological Determinants of Sensory Learning under Uncertainty. Curr Biol. 11;31(1):163-172.e4. </w:t>
      </w:r>
      <w:hyperlink r:id="rId25" w:history="1">
        <w:r w:rsidRPr="00D37D3D">
          <w:rPr>
            <w:rStyle w:val="Hyperlink"/>
            <w:sz w:val="20"/>
            <w:szCs w:val="20"/>
          </w:rPr>
          <w:t>https://doi.org/10.1016/j.cub.2020.10.043</w:t>
        </w:r>
      </w:hyperlink>
      <w:r w:rsidRPr="00D37D3D">
        <w:rPr>
          <w:sz w:val="20"/>
          <w:szCs w:val="20"/>
        </w:rPr>
        <w:t xml:space="preserve"> </w:t>
      </w:r>
    </w:p>
    <w:p w14:paraId="22884B18" w14:textId="1F69BABE" w:rsidR="002730A4" w:rsidRPr="00D37D3D" w:rsidRDefault="002730A4" w:rsidP="00D37D3D">
      <w:pPr>
        <w:numPr>
          <w:ilvl w:val="0"/>
          <w:numId w:val="4"/>
        </w:numPr>
        <w:tabs>
          <w:tab w:val="clear" w:pos="360"/>
        </w:tabs>
        <w:jc w:val="both"/>
        <w:rPr>
          <w:sz w:val="20"/>
          <w:szCs w:val="20"/>
        </w:rPr>
      </w:pPr>
      <w:r w:rsidRPr="00D37D3D">
        <w:rPr>
          <w:sz w:val="20"/>
          <w:szCs w:val="20"/>
        </w:rPr>
        <w:t xml:space="preserve">Carhart-Harris, R. L., &amp; Friston, K. J. (2019). REBUS and the Anarchic Brain: toward a unified model of the brain action of psychedelics. </w:t>
      </w:r>
      <w:r w:rsidRPr="00D37D3D">
        <w:rPr>
          <w:i/>
          <w:iCs/>
          <w:sz w:val="20"/>
          <w:szCs w:val="20"/>
        </w:rPr>
        <w:t>Pharmacol. Rev.</w:t>
      </w:r>
      <w:r w:rsidRPr="00D37D3D">
        <w:rPr>
          <w:sz w:val="20"/>
          <w:szCs w:val="20"/>
        </w:rPr>
        <w:t xml:space="preserve"> 71(3), 316–344.</w:t>
      </w:r>
      <w:r w:rsidR="0013654F" w:rsidRPr="00D37D3D">
        <w:rPr>
          <w:sz w:val="20"/>
          <w:szCs w:val="20"/>
        </w:rPr>
        <w:t xml:space="preserve"> </w:t>
      </w:r>
      <w:hyperlink r:id="rId26" w:history="1">
        <w:r w:rsidR="0013654F" w:rsidRPr="00D37D3D">
          <w:rPr>
            <w:rStyle w:val="Hyperlink"/>
            <w:sz w:val="20"/>
            <w:szCs w:val="20"/>
          </w:rPr>
          <w:t>https://doi.org/10.1124/pr.118.017160</w:t>
        </w:r>
      </w:hyperlink>
      <w:r w:rsidR="0013654F" w:rsidRPr="00D37D3D">
        <w:rPr>
          <w:sz w:val="20"/>
          <w:szCs w:val="20"/>
        </w:rPr>
        <w:t xml:space="preserve"> </w:t>
      </w:r>
    </w:p>
    <w:p w14:paraId="11753AEE" w14:textId="6EB4219C" w:rsidR="0013654F" w:rsidRPr="00D37D3D" w:rsidRDefault="002730A4" w:rsidP="00D37D3D">
      <w:pPr>
        <w:numPr>
          <w:ilvl w:val="0"/>
          <w:numId w:val="4"/>
        </w:numPr>
        <w:jc w:val="both"/>
        <w:rPr>
          <w:sz w:val="20"/>
          <w:szCs w:val="20"/>
        </w:rPr>
      </w:pPr>
      <w:r w:rsidRPr="00D37D3D">
        <w:rPr>
          <w:sz w:val="20"/>
          <w:szCs w:val="20"/>
        </w:rPr>
        <w:t xml:space="preserve">Hasselmo, M. E., &amp; McGaughy, J. (2004). High acetylcholine levels set circuit dynamics for attention and encoding; low levels set dynamics for consolidation. </w:t>
      </w:r>
      <w:r w:rsidRPr="00D37D3D">
        <w:rPr>
          <w:i/>
          <w:iCs/>
          <w:sz w:val="20"/>
          <w:szCs w:val="20"/>
        </w:rPr>
        <w:t>Prog. Brain Res.</w:t>
      </w:r>
      <w:r w:rsidRPr="00D37D3D">
        <w:rPr>
          <w:sz w:val="20"/>
          <w:szCs w:val="20"/>
        </w:rPr>
        <w:t xml:space="preserve"> 145, 207–231; </w:t>
      </w:r>
      <w:hyperlink r:id="rId27" w:history="1">
        <w:r w:rsidR="0013654F" w:rsidRPr="00D37D3D">
          <w:rPr>
            <w:rStyle w:val="Hyperlink"/>
            <w:sz w:val="20"/>
            <w:szCs w:val="20"/>
          </w:rPr>
          <w:t>https://doi.org/10.1016/s0079-6123(03)45015-2</w:t>
        </w:r>
      </w:hyperlink>
      <w:r w:rsidR="0013654F" w:rsidRPr="00D37D3D">
        <w:rPr>
          <w:sz w:val="20"/>
          <w:szCs w:val="20"/>
        </w:rPr>
        <w:t xml:space="preserve"> </w:t>
      </w:r>
    </w:p>
    <w:p w14:paraId="61B5936F" w14:textId="0237AB07" w:rsidR="002730A4" w:rsidRPr="00D37D3D" w:rsidRDefault="002730A4" w:rsidP="00D37D3D">
      <w:pPr>
        <w:numPr>
          <w:ilvl w:val="0"/>
          <w:numId w:val="4"/>
        </w:numPr>
        <w:jc w:val="both"/>
        <w:rPr>
          <w:sz w:val="20"/>
          <w:szCs w:val="20"/>
        </w:rPr>
      </w:pPr>
      <w:r w:rsidRPr="00D37D3D">
        <w:rPr>
          <w:sz w:val="20"/>
          <w:szCs w:val="20"/>
        </w:rPr>
        <w:t xml:space="preserve">Hasselmo, M. E. (1999). Neuromodulation: acetylcholine and memory consolidation. </w:t>
      </w:r>
      <w:r w:rsidRPr="00D37D3D">
        <w:rPr>
          <w:i/>
          <w:iCs/>
          <w:sz w:val="20"/>
          <w:szCs w:val="20"/>
        </w:rPr>
        <w:t>Trends Cogn. Sci.</w:t>
      </w:r>
      <w:r w:rsidRPr="00D37D3D">
        <w:rPr>
          <w:sz w:val="20"/>
          <w:szCs w:val="20"/>
        </w:rPr>
        <w:t xml:space="preserve"> 3, 351–359.</w:t>
      </w:r>
      <w:r w:rsidR="0013654F" w:rsidRPr="00D37D3D">
        <w:rPr>
          <w:sz w:val="20"/>
          <w:szCs w:val="20"/>
        </w:rPr>
        <w:t xml:space="preserve"> </w:t>
      </w:r>
      <w:hyperlink r:id="rId28" w:history="1">
        <w:r w:rsidR="00D37D3D" w:rsidRPr="00D37D3D">
          <w:rPr>
            <w:rStyle w:val="Hyperlink"/>
            <w:sz w:val="20"/>
            <w:szCs w:val="20"/>
          </w:rPr>
          <w:t>https://doi.org/10.1016/s1364-6613(99)01365-0</w:t>
        </w:r>
      </w:hyperlink>
      <w:r w:rsidR="00D37D3D" w:rsidRPr="00D37D3D">
        <w:rPr>
          <w:sz w:val="20"/>
          <w:szCs w:val="20"/>
        </w:rPr>
        <w:t xml:space="preserve"> </w:t>
      </w:r>
    </w:p>
    <w:p w14:paraId="1D249B0E" w14:textId="3CAA56F5" w:rsidR="00D37D3D" w:rsidRPr="00D37D3D" w:rsidRDefault="00D37D3D" w:rsidP="00D37D3D">
      <w:pPr>
        <w:numPr>
          <w:ilvl w:val="0"/>
          <w:numId w:val="4"/>
        </w:numPr>
        <w:tabs>
          <w:tab w:val="clear" w:pos="360"/>
        </w:tabs>
        <w:jc w:val="both"/>
        <w:rPr>
          <w:sz w:val="20"/>
          <w:szCs w:val="20"/>
        </w:rPr>
      </w:pPr>
      <w:r w:rsidRPr="00D37D3D">
        <w:rPr>
          <w:sz w:val="20"/>
          <w:szCs w:val="20"/>
        </w:rPr>
        <w:t xml:space="preserve">Haarsma, J, et al. </w:t>
      </w:r>
      <w:r w:rsidRPr="00D37D3D">
        <w:rPr>
          <w:sz w:val="20"/>
          <w:szCs w:val="20"/>
        </w:rPr>
        <w:t>(</w:t>
      </w:r>
      <w:r w:rsidRPr="00D37D3D">
        <w:rPr>
          <w:sz w:val="20"/>
          <w:szCs w:val="20"/>
        </w:rPr>
        <w:t>2020</w:t>
      </w:r>
      <w:r w:rsidRPr="00D37D3D">
        <w:rPr>
          <w:sz w:val="20"/>
          <w:szCs w:val="20"/>
        </w:rPr>
        <w:t xml:space="preserve">). </w:t>
      </w:r>
      <w:r w:rsidRPr="00D37D3D">
        <w:rPr>
          <w:sz w:val="20"/>
          <w:szCs w:val="20"/>
        </w:rPr>
        <w:t xml:space="preserve">Precision Weighting of Cortical Unsigned Prediction Error Signals Benefits Learning, Is Mediated by Dopamine, and Is Impaired in Psychosis." Molecular Psychiatry, vol. 26, no. 9, 2020, p. 5320,  </w:t>
      </w:r>
      <w:hyperlink r:id="rId29" w:history="1">
        <w:r w:rsidRPr="00D37D3D">
          <w:rPr>
            <w:rStyle w:val="Hyperlink"/>
            <w:sz w:val="20"/>
            <w:szCs w:val="20"/>
          </w:rPr>
          <w:t>https://doi.org/10.1038/s41380-020-0803-8</w:t>
        </w:r>
      </w:hyperlink>
      <w:r w:rsidRPr="00D37D3D">
        <w:rPr>
          <w:sz w:val="20"/>
          <w:szCs w:val="20"/>
        </w:rPr>
        <w:t>.</w:t>
      </w:r>
      <w:r w:rsidRPr="00D37D3D">
        <w:rPr>
          <w:sz w:val="20"/>
          <w:szCs w:val="20"/>
        </w:rPr>
        <w:t xml:space="preserve"> </w:t>
      </w:r>
    </w:p>
    <w:p w14:paraId="0DE6009D" w14:textId="1AE90FE9" w:rsidR="002730A4" w:rsidRPr="00D37D3D" w:rsidRDefault="002730A4" w:rsidP="00D37D3D">
      <w:pPr>
        <w:numPr>
          <w:ilvl w:val="0"/>
          <w:numId w:val="4"/>
        </w:numPr>
        <w:tabs>
          <w:tab w:val="clear" w:pos="360"/>
        </w:tabs>
        <w:jc w:val="both"/>
        <w:rPr>
          <w:sz w:val="20"/>
          <w:szCs w:val="20"/>
        </w:rPr>
      </w:pPr>
      <w:r w:rsidRPr="00D37D3D">
        <w:rPr>
          <w:sz w:val="20"/>
          <w:szCs w:val="20"/>
        </w:rPr>
        <w:t xml:space="preserve">Moran, R. J., et al. / Friston, K. (2013). Free energy, precision and learning: the role of cholinergic neuromodulation. </w:t>
      </w:r>
      <w:r w:rsidRPr="00D37D3D">
        <w:rPr>
          <w:i/>
          <w:iCs/>
          <w:sz w:val="20"/>
          <w:szCs w:val="20"/>
        </w:rPr>
        <w:t>J. Neurosci.</w:t>
      </w:r>
      <w:r w:rsidRPr="00D37D3D">
        <w:rPr>
          <w:sz w:val="20"/>
          <w:szCs w:val="20"/>
        </w:rPr>
        <w:t xml:space="preserve"> 33(19), 8227–8236.</w:t>
      </w:r>
      <w:r w:rsidR="0013654F" w:rsidRPr="00D37D3D">
        <w:rPr>
          <w:sz w:val="20"/>
          <w:szCs w:val="20"/>
        </w:rPr>
        <w:t xml:space="preserve"> </w:t>
      </w:r>
      <w:hyperlink r:id="rId30" w:history="1">
        <w:r w:rsidR="0013654F" w:rsidRPr="00D37D3D">
          <w:rPr>
            <w:rStyle w:val="Hyperlink"/>
            <w:sz w:val="20"/>
            <w:szCs w:val="20"/>
          </w:rPr>
          <w:t>https://doi.org/10.1523/JNEUROSCI.4255-12.2013</w:t>
        </w:r>
      </w:hyperlink>
      <w:r w:rsidR="0013654F" w:rsidRPr="00D37D3D">
        <w:rPr>
          <w:sz w:val="20"/>
          <w:szCs w:val="20"/>
        </w:rPr>
        <w:t xml:space="preserve"> </w:t>
      </w:r>
    </w:p>
    <w:p w14:paraId="4BB2411B" w14:textId="3906BF93" w:rsidR="002730A4" w:rsidRPr="00D37D3D" w:rsidRDefault="00D37D3D" w:rsidP="00D37D3D">
      <w:pPr>
        <w:numPr>
          <w:ilvl w:val="0"/>
          <w:numId w:val="4"/>
        </w:numPr>
        <w:tabs>
          <w:tab w:val="clear" w:pos="360"/>
        </w:tabs>
        <w:jc w:val="both"/>
        <w:rPr>
          <w:sz w:val="20"/>
          <w:szCs w:val="20"/>
        </w:rPr>
      </w:pPr>
      <w:r w:rsidRPr="00D37D3D">
        <w:rPr>
          <w:sz w:val="20"/>
          <w:szCs w:val="20"/>
        </w:rPr>
        <w:t>S</w:t>
      </w:r>
      <w:r w:rsidR="002730A4" w:rsidRPr="00D37D3D">
        <w:rPr>
          <w:sz w:val="20"/>
          <w:szCs w:val="20"/>
        </w:rPr>
        <w:t>tandard source neuroanatomy of the raphe, locus coeruleus, VTA/substantia nigra, and basal forebrain.</w:t>
      </w:r>
    </w:p>
    <w:p w14:paraId="107879E2" w14:textId="77777777" w:rsidR="002730A4" w:rsidRPr="00D37D3D" w:rsidRDefault="002730A4" w:rsidP="00932FD7">
      <w:pPr>
        <w:pStyle w:val="Heading2"/>
        <w:rPr>
          <w:sz w:val="28"/>
          <w:szCs w:val="28"/>
        </w:rPr>
      </w:pPr>
      <w:r w:rsidRPr="00D37D3D">
        <w:rPr>
          <w:sz w:val="28"/>
          <w:szCs w:val="28"/>
        </w:rPr>
        <w:t>The adjoint G as allostasis.</w:t>
      </w:r>
    </w:p>
    <w:p w14:paraId="78E89B1B" w14:textId="5E0CB803" w:rsidR="002730A4" w:rsidRPr="00D37D3D" w:rsidRDefault="002730A4" w:rsidP="00D37D3D">
      <w:pPr>
        <w:numPr>
          <w:ilvl w:val="0"/>
          <w:numId w:val="5"/>
        </w:numPr>
        <w:tabs>
          <w:tab w:val="clear" w:pos="360"/>
        </w:tabs>
        <w:jc w:val="both"/>
        <w:rPr>
          <w:sz w:val="20"/>
          <w:szCs w:val="20"/>
        </w:rPr>
      </w:pPr>
      <w:r w:rsidRPr="00D37D3D">
        <w:rPr>
          <w:sz w:val="20"/>
          <w:szCs w:val="20"/>
        </w:rPr>
        <w:t xml:space="preserve">Sterling, P., &amp; Eyer, J. (1988); Sterling, P. (2012). Allostasis: a model of predictive regulation. </w:t>
      </w:r>
      <w:r w:rsidRPr="00D37D3D">
        <w:rPr>
          <w:i/>
          <w:iCs/>
          <w:sz w:val="20"/>
          <w:szCs w:val="20"/>
        </w:rPr>
        <w:t>Physiol. Behav.</w:t>
      </w:r>
      <w:r w:rsidRPr="00D37D3D">
        <w:rPr>
          <w:sz w:val="20"/>
          <w:szCs w:val="20"/>
        </w:rPr>
        <w:t xml:space="preserve"> 106, 5–15.</w:t>
      </w:r>
      <w:r w:rsidR="00D37D3D" w:rsidRPr="00D37D3D">
        <w:rPr>
          <w:sz w:val="20"/>
          <w:szCs w:val="20"/>
        </w:rPr>
        <w:t xml:space="preserve"> </w:t>
      </w:r>
      <w:hyperlink r:id="rId31" w:history="1">
        <w:r w:rsidR="00D37D3D" w:rsidRPr="00D37D3D">
          <w:rPr>
            <w:rStyle w:val="Hyperlink"/>
            <w:sz w:val="20"/>
            <w:szCs w:val="20"/>
          </w:rPr>
          <w:t>https://doi.org/10.1016/j.physbeh.2011.06.004</w:t>
        </w:r>
      </w:hyperlink>
      <w:r w:rsidR="00D37D3D" w:rsidRPr="00D37D3D">
        <w:rPr>
          <w:sz w:val="20"/>
          <w:szCs w:val="20"/>
        </w:rPr>
        <w:t xml:space="preserve"> </w:t>
      </w:r>
    </w:p>
    <w:p w14:paraId="0E934A01" w14:textId="4CB5840A" w:rsidR="002730A4" w:rsidRPr="00D37D3D" w:rsidRDefault="002730A4" w:rsidP="00D37D3D">
      <w:pPr>
        <w:numPr>
          <w:ilvl w:val="0"/>
          <w:numId w:val="5"/>
        </w:numPr>
        <w:tabs>
          <w:tab w:val="clear" w:pos="360"/>
        </w:tabs>
        <w:jc w:val="both"/>
        <w:rPr>
          <w:sz w:val="20"/>
          <w:szCs w:val="20"/>
        </w:rPr>
      </w:pPr>
      <w:r w:rsidRPr="00D37D3D">
        <w:rPr>
          <w:sz w:val="20"/>
          <w:szCs w:val="20"/>
        </w:rPr>
        <w:t xml:space="preserve">Barrett, L. F., &amp; Simmons, W. K. (2015). Interoceptive predictions in the brain. </w:t>
      </w:r>
      <w:r w:rsidRPr="00D37D3D">
        <w:rPr>
          <w:i/>
          <w:iCs/>
          <w:sz w:val="20"/>
          <w:szCs w:val="20"/>
        </w:rPr>
        <w:t>Nat. Rev. Neurosci.</w:t>
      </w:r>
      <w:r w:rsidRPr="00D37D3D">
        <w:rPr>
          <w:sz w:val="20"/>
          <w:szCs w:val="20"/>
        </w:rPr>
        <w:t xml:space="preserve"> 16, 419–429.</w:t>
      </w:r>
      <w:r w:rsidR="00D37D3D" w:rsidRPr="00D37D3D">
        <w:rPr>
          <w:sz w:val="20"/>
          <w:szCs w:val="20"/>
        </w:rPr>
        <w:t xml:space="preserve"> </w:t>
      </w:r>
      <w:hyperlink r:id="rId32" w:history="1">
        <w:r w:rsidR="00D37D3D" w:rsidRPr="00D37D3D">
          <w:rPr>
            <w:rStyle w:val="Hyperlink"/>
            <w:sz w:val="20"/>
            <w:szCs w:val="20"/>
          </w:rPr>
          <w:t>https://doi.org/10.1038/nrn3950</w:t>
        </w:r>
      </w:hyperlink>
      <w:r w:rsidR="00D37D3D" w:rsidRPr="00D37D3D">
        <w:rPr>
          <w:sz w:val="20"/>
          <w:szCs w:val="20"/>
        </w:rPr>
        <w:t xml:space="preserve"> </w:t>
      </w:r>
    </w:p>
    <w:p w14:paraId="438AD11E" w14:textId="1EBF63D0" w:rsidR="002730A4" w:rsidRPr="00D37D3D" w:rsidRDefault="002730A4" w:rsidP="00D37D3D">
      <w:pPr>
        <w:numPr>
          <w:ilvl w:val="0"/>
          <w:numId w:val="5"/>
        </w:numPr>
        <w:tabs>
          <w:tab w:val="clear" w:pos="360"/>
        </w:tabs>
        <w:jc w:val="both"/>
        <w:rPr>
          <w:sz w:val="20"/>
          <w:szCs w:val="20"/>
        </w:rPr>
      </w:pPr>
      <w:r w:rsidRPr="00D37D3D">
        <w:rPr>
          <w:sz w:val="20"/>
          <w:szCs w:val="20"/>
        </w:rPr>
        <w:t xml:space="preserve">Sennesh, E., Theriault, J., Brooks, D., van de Meent, J.-W., Barrett, L. F., &amp; Quigley, K. S. (2022). Interoception as modeling, allostasis as control. </w:t>
      </w:r>
      <w:r w:rsidRPr="00D37D3D">
        <w:rPr>
          <w:i/>
          <w:iCs/>
          <w:sz w:val="20"/>
          <w:szCs w:val="20"/>
        </w:rPr>
        <w:t>Biol. Psychol.</w:t>
      </w:r>
      <w:r w:rsidRPr="00D37D3D">
        <w:rPr>
          <w:sz w:val="20"/>
          <w:szCs w:val="20"/>
        </w:rPr>
        <w:t xml:space="preserve"> 167, 108242.</w:t>
      </w:r>
      <w:r w:rsidR="00D37D3D" w:rsidRPr="00D37D3D">
        <w:rPr>
          <w:sz w:val="20"/>
          <w:szCs w:val="20"/>
        </w:rPr>
        <w:t xml:space="preserve"> </w:t>
      </w:r>
      <w:hyperlink r:id="rId33" w:history="1">
        <w:r w:rsidR="00D37D3D" w:rsidRPr="00D37D3D">
          <w:rPr>
            <w:rStyle w:val="Hyperlink"/>
            <w:sz w:val="20"/>
            <w:szCs w:val="20"/>
          </w:rPr>
          <w:t>https://doi.org/10.1016/j.biopsycho.2021.108242</w:t>
        </w:r>
      </w:hyperlink>
      <w:r w:rsidR="00D37D3D" w:rsidRPr="00D37D3D">
        <w:rPr>
          <w:sz w:val="20"/>
          <w:szCs w:val="20"/>
        </w:rPr>
        <w:t xml:space="preserve"> </w:t>
      </w:r>
    </w:p>
    <w:p w14:paraId="3F85540D" w14:textId="6432E160" w:rsidR="002730A4" w:rsidRPr="00D37D3D" w:rsidRDefault="002730A4" w:rsidP="00D37D3D">
      <w:pPr>
        <w:numPr>
          <w:ilvl w:val="0"/>
          <w:numId w:val="5"/>
        </w:numPr>
        <w:tabs>
          <w:tab w:val="clear" w:pos="360"/>
        </w:tabs>
        <w:jc w:val="both"/>
        <w:rPr>
          <w:sz w:val="20"/>
          <w:szCs w:val="20"/>
        </w:rPr>
      </w:pPr>
      <w:r w:rsidRPr="00D37D3D">
        <w:rPr>
          <w:sz w:val="20"/>
          <w:szCs w:val="20"/>
        </w:rPr>
        <w:t>McEwen, B. S. Allostatic load — the cumulative cost of a chronically mis-set regulatory set-point.</w:t>
      </w:r>
      <w:r w:rsidR="00D37D3D" w:rsidRPr="00D37D3D">
        <w:rPr>
          <w:sz w:val="20"/>
          <w:szCs w:val="20"/>
        </w:rPr>
        <w:t xml:space="preserve"> </w:t>
      </w:r>
      <w:hyperlink r:id="rId34" w:history="1">
        <w:r w:rsidR="00D37D3D" w:rsidRPr="00D37D3D">
          <w:rPr>
            <w:rStyle w:val="Hyperlink"/>
            <w:sz w:val="20"/>
            <w:szCs w:val="20"/>
          </w:rPr>
          <w:t>https://doi.org/10.1111/j.1749-6632.1998.tb09546.x</w:t>
        </w:r>
      </w:hyperlink>
      <w:r w:rsidR="00D37D3D" w:rsidRPr="00D37D3D">
        <w:rPr>
          <w:sz w:val="20"/>
          <w:szCs w:val="20"/>
        </w:rPr>
        <w:t xml:space="preserve"> </w:t>
      </w:r>
    </w:p>
    <w:p w14:paraId="1A033182" w14:textId="1167655B" w:rsidR="00DC1523" w:rsidRDefault="00DC1523" w:rsidP="002730A4">
      <w:pPr>
        <w:jc w:val="both"/>
      </w:pPr>
    </w:p>
    <w:sectPr w:rsidR="00DC1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2268D" w14:textId="77777777" w:rsidR="006F558E" w:rsidRDefault="006F558E" w:rsidP="003C2063">
      <w:pPr>
        <w:spacing w:after="0" w:line="240" w:lineRule="auto"/>
      </w:pPr>
      <w:r>
        <w:separator/>
      </w:r>
    </w:p>
  </w:endnote>
  <w:endnote w:type="continuationSeparator" w:id="0">
    <w:p w14:paraId="655580E1" w14:textId="77777777" w:rsidR="006F558E" w:rsidRDefault="006F558E" w:rsidP="003C2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A2062" w14:textId="77777777" w:rsidR="006F558E" w:rsidRDefault="006F558E" w:rsidP="003C2063">
      <w:pPr>
        <w:spacing w:after="0" w:line="240" w:lineRule="auto"/>
      </w:pPr>
      <w:r>
        <w:separator/>
      </w:r>
    </w:p>
  </w:footnote>
  <w:footnote w:type="continuationSeparator" w:id="0">
    <w:p w14:paraId="4828FBA7" w14:textId="77777777" w:rsidR="006F558E" w:rsidRDefault="006F558E" w:rsidP="003C20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10E63"/>
    <w:multiLevelType w:val="multilevel"/>
    <w:tmpl w:val="20F2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C3E9C"/>
    <w:multiLevelType w:val="multilevel"/>
    <w:tmpl w:val="4E22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D4610"/>
    <w:multiLevelType w:val="multilevel"/>
    <w:tmpl w:val="31CCDCAC"/>
    <w:lvl w:ilvl="0">
      <w:start w:val="1"/>
      <w:numFmt w:val="decimal"/>
      <w:lvlText w:val="[%1]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1480A"/>
    <w:multiLevelType w:val="multilevel"/>
    <w:tmpl w:val="BD26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51FD5"/>
    <w:multiLevelType w:val="multilevel"/>
    <w:tmpl w:val="677C7C74"/>
    <w:lvl w:ilvl="0">
      <w:start w:val="1"/>
      <w:numFmt w:val="decimal"/>
      <w:lvlText w:val="[%1]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359508488">
    <w:abstractNumId w:val="1"/>
  </w:num>
  <w:num w:numId="2" w16cid:durableId="1598489544">
    <w:abstractNumId w:val="0"/>
  </w:num>
  <w:num w:numId="3" w16cid:durableId="1623803229">
    <w:abstractNumId w:val="3"/>
  </w:num>
  <w:num w:numId="4" w16cid:durableId="196360339">
    <w:abstractNumId w:val="2"/>
  </w:num>
  <w:num w:numId="5" w16cid:durableId="18493268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537"/>
    <w:rsid w:val="0013654F"/>
    <w:rsid w:val="001414E5"/>
    <w:rsid w:val="001E626D"/>
    <w:rsid w:val="00251D5E"/>
    <w:rsid w:val="002730A4"/>
    <w:rsid w:val="002C3F9C"/>
    <w:rsid w:val="00337479"/>
    <w:rsid w:val="003C2063"/>
    <w:rsid w:val="00492548"/>
    <w:rsid w:val="004C7602"/>
    <w:rsid w:val="004D5342"/>
    <w:rsid w:val="0052377D"/>
    <w:rsid w:val="00650A2B"/>
    <w:rsid w:val="006F558E"/>
    <w:rsid w:val="008B08B7"/>
    <w:rsid w:val="008D5A00"/>
    <w:rsid w:val="008E1537"/>
    <w:rsid w:val="00914A10"/>
    <w:rsid w:val="00932FD7"/>
    <w:rsid w:val="00997E89"/>
    <w:rsid w:val="009D1E93"/>
    <w:rsid w:val="00AF0516"/>
    <w:rsid w:val="00B51CDE"/>
    <w:rsid w:val="00C24516"/>
    <w:rsid w:val="00D04B09"/>
    <w:rsid w:val="00D37D3D"/>
    <w:rsid w:val="00DB2093"/>
    <w:rsid w:val="00DC1523"/>
    <w:rsid w:val="00F008CA"/>
    <w:rsid w:val="00F06F1C"/>
    <w:rsid w:val="00F404CD"/>
    <w:rsid w:val="00F75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6A950"/>
  <w15:chartTrackingRefBased/>
  <w15:docId w15:val="{293C5F33-438F-4C8E-8D0E-0B9967E2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5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5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5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5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5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5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5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5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5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5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5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2FD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C20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063"/>
  </w:style>
  <w:style w:type="paragraph" w:styleId="Footer">
    <w:name w:val="footer"/>
    <w:basedOn w:val="Normal"/>
    <w:link w:val="FooterChar"/>
    <w:uiPriority w:val="99"/>
    <w:unhideWhenUsed/>
    <w:rsid w:val="003C20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063"/>
  </w:style>
  <w:style w:type="character" w:styleId="UnresolvedMention">
    <w:name w:val="Unresolved Mention"/>
    <w:basedOn w:val="DefaultParagraphFont"/>
    <w:uiPriority w:val="99"/>
    <w:semiHidden/>
    <w:unhideWhenUsed/>
    <w:rsid w:val="001365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16/j.physbeh.2011.06.004" TargetMode="External"/><Relationship Id="rId18" Type="http://schemas.openxmlformats.org/officeDocument/2006/relationships/hyperlink" Target="https://doi.org/10.1124/pr.118.017160" TargetMode="External"/><Relationship Id="rId26" Type="http://schemas.openxmlformats.org/officeDocument/2006/relationships/hyperlink" Target="https://doi.org/10.1124/pr.118.01716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016/j.physbeh.2011.06.004" TargetMode="External"/><Relationship Id="rId34" Type="http://schemas.openxmlformats.org/officeDocument/2006/relationships/hyperlink" Target="https://doi.org/10.1111/j.1749-6632.1998.tb09546.x" TargetMode="External"/><Relationship Id="rId7" Type="http://schemas.openxmlformats.org/officeDocument/2006/relationships/hyperlink" Target="mailto:debiprasadghosh@lntecc.com" TargetMode="External"/><Relationship Id="rId12" Type="http://schemas.openxmlformats.org/officeDocument/2006/relationships/hyperlink" Target="https://doi.org/10.13140/RG.2.2.13377.31849" TargetMode="External"/><Relationship Id="rId17" Type="http://schemas.openxmlformats.org/officeDocument/2006/relationships/hyperlink" Target="https://doi.org/10.1371/journal.pcbi.1006267" TargetMode="External"/><Relationship Id="rId25" Type="http://schemas.openxmlformats.org/officeDocument/2006/relationships/hyperlink" Target="https://doi.org/10.1016/j.cub.2020.10.043" TargetMode="External"/><Relationship Id="rId33" Type="http://schemas.openxmlformats.org/officeDocument/2006/relationships/hyperlink" Target="https://doi.org/10.1016/j.biopsycho.2021.108242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16/j.cub.2020.10.043" TargetMode="External"/><Relationship Id="rId20" Type="http://schemas.openxmlformats.org/officeDocument/2006/relationships/hyperlink" Target="https://doi.org/10.1523/JNEUROSCI.4255-12.2013" TargetMode="External"/><Relationship Id="rId29" Type="http://schemas.openxmlformats.org/officeDocument/2006/relationships/hyperlink" Target="https://doi.org/10.1038/s41380-020-0803-8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3140/RG.2.2.22146.03521" TargetMode="External"/><Relationship Id="rId24" Type="http://schemas.openxmlformats.org/officeDocument/2006/relationships/hyperlink" Target="https://doi.org/10.1371/journal.pcbi.1006267" TargetMode="External"/><Relationship Id="rId32" Type="http://schemas.openxmlformats.org/officeDocument/2006/relationships/hyperlink" Target="https://doi.org/10.1038/nrn3950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146/annurev.neuro.28.061604.135709" TargetMode="External"/><Relationship Id="rId23" Type="http://schemas.openxmlformats.org/officeDocument/2006/relationships/hyperlink" Target="https://doi.org/10.1146/annurev.neuro.28.061604.135709" TargetMode="External"/><Relationship Id="rId28" Type="http://schemas.openxmlformats.org/officeDocument/2006/relationships/hyperlink" Target="https://doi.org/10.1016/s1364-6613(99)01365-0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doi.org/10.13140/RG.2.2.11096.66566" TargetMode="External"/><Relationship Id="rId19" Type="http://schemas.openxmlformats.org/officeDocument/2006/relationships/hyperlink" Target="https://doi.org/10.1016/s1364-6613(99)01365-0" TargetMode="External"/><Relationship Id="rId31" Type="http://schemas.openxmlformats.org/officeDocument/2006/relationships/hyperlink" Target="https://doi.org/10.1016/j.physbeh.2011.06.004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doi.org/10.1016/j.biopsycho.2021.108242" TargetMode="External"/><Relationship Id="rId22" Type="http://schemas.openxmlformats.org/officeDocument/2006/relationships/hyperlink" Target="https://doi.org/10.1111/j.1749-6632.1998.tb09546.x" TargetMode="External"/><Relationship Id="rId27" Type="http://schemas.openxmlformats.org/officeDocument/2006/relationships/hyperlink" Target="https://doi.org/10.1016/s0079-6123(03)45015-2" TargetMode="External"/><Relationship Id="rId30" Type="http://schemas.openxmlformats.org/officeDocument/2006/relationships/hyperlink" Target="https://doi.org/10.1523/JNEUROSCI.4255-12.2013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orcid.org/0000-0001-7393-29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3707</Words>
  <Characters>21136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Debiprasad Ghosh</dc:creator>
  <cp:keywords/>
  <dc:description/>
  <cp:lastModifiedBy>Debiprasad Ghosh</cp:lastModifiedBy>
  <cp:revision>21</cp:revision>
  <cp:lastPrinted>2026-06-11T18:14:00Z</cp:lastPrinted>
  <dcterms:created xsi:type="dcterms:W3CDTF">2026-06-11T15:47:00Z</dcterms:created>
  <dcterms:modified xsi:type="dcterms:W3CDTF">2026-06-11T18:16:00Z</dcterms:modified>
</cp:coreProperties>
</file>