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8656D" w14:textId="3BA648C4" w:rsidR="008701A2" w:rsidRPr="006B4CC5" w:rsidRDefault="008701A2" w:rsidP="008701A2">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w:t>
      </w:r>
      <w:r w:rsidRPr="006B4CC5">
        <w:rPr>
          <w:rFonts w:asciiTheme="minorHAnsi" w:hAnsiTheme="minorHAnsi"/>
          <w:sz w:val="22"/>
          <w:szCs w:val="22"/>
        </w:rPr>
        <w:t xml:space="preserve"> </w:t>
      </w:r>
      <w:r>
        <w:rPr>
          <w:rFonts w:asciiTheme="minorHAnsi" w:hAnsiTheme="minorHAnsi"/>
          <w:sz w:val="22"/>
          <w:szCs w:val="22"/>
        </w:rPr>
        <w:t>1</w:t>
      </w:r>
      <w:r>
        <w:rPr>
          <w:rFonts w:asciiTheme="minorHAnsi" w:hAnsiTheme="minorHAnsi"/>
          <w:sz w:val="22"/>
          <w:szCs w:val="22"/>
        </w:rPr>
        <w:t>4</w:t>
      </w:r>
      <w:r w:rsidRPr="006B4CC5">
        <w:rPr>
          <w:rFonts w:asciiTheme="minorHAnsi" w:hAnsiTheme="minorHAnsi"/>
          <w:sz w:val="22"/>
          <w:szCs w:val="22"/>
        </w:rPr>
        <w:t>, 202</w:t>
      </w:r>
      <w:r>
        <w:rPr>
          <w:rFonts w:asciiTheme="minorHAnsi" w:hAnsiTheme="minorHAnsi"/>
          <w:sz w:val="22"/>
          <w:szCs w:val="22"/>
        </w:rPr>
        <w:t xml:space="preserve">6; </w:t>
      </w:r>
    </w:p>
    <w:p w14:paraId="6033A776" w14:textId="6EAFCFC4" w:rsidR="007819ED" w:rsidRPr="00D708BC" w:rsidRDefault="007819ED" w:rsidP="00DA27B1">
      <w:pPr>
        <w:pStyle w:val="Title"/>
        <w:jc w:val="center"/>
        <w:rPr>
          <w:sz w:val="42"/>
          <w:szCs w:val="42"/>
        </w:rPr>
      </w:pPr>
      <w:r w:rsidRPr="006C78F7">
        <w:rPr>
          <w:sz w:val="48"/>
          <w:szCs w:val="48"/>
        </w:rPr>
        <w:t xml:space="preserve">The Defensible </w:t>
      </w:r>
      <w:r w:rsidR="00D708BC" w:rsidRPr="006C78F7">
        <w:rPr>
          <w:sz w:val="48"/>
          <w:szCs w:val="48"/>
        </w:rPr>
        <w:t xml:space="preserve">Cerebellum </w:t>
      </w:r>
      <w:r w:rsidRPr="006C78F7">
        <w:rPr>
          <w:sz w:val="48"/>
          <w:szCs w:val="48"/>
        </w:rPr>
        <w:t>Kernel</w:t>
      </w:r>
      <w:r w:rsidR="00DA27B1" w:rsidRPr="00D708BC">
        <w:rPr>
          <w:sz w:val="42"/>
          <w:szCs w:val="42"/>
        </w:rPr>
        <w:t xml:space="preserve">: </w:t>
      </w:r>
      <w:r w:rsidRPr="00D708BC">
        <w:rPr>
          <w:sz w:val="42"/>
          <w:szCs w:val="42"/>
        </w:rPr>
        <w:t>Fixed bounds, a learned readout, and the dissociation a seizure reveals</w:t>
      </w:r>
    </w:p>
    <w:p w14:paraId="5C60AE75" w14:textId="77777777" w:rsidR="008701A2" w:rsidRDefault="008701A2" w:rsidP="008701A2">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4D13A448" wp14:editId="05923FDE">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04119C3E" w14:textId="77777777" w:rsidR="008701A2" w:rsidRPr="006B4CC5" w:rsidRDefault="008701A2" w:rsidP="008701A2">
      <w:pPr>
        <w:jc w:val="center"/>
      </w:pPr>
      <w:r>
        <w:t>CTO, AI &amp;</w:t>
      </w:r>
      <w:r w:rsidRPr="006B4CC5">
        <w:t xml:space="preserve"> Automation</w:t>
      </w:r>
    </w:p>
    <w:p w14:paraId="32A3B2EB" w14:textId="77777777" w:rsidR="008701A2" w:rsidRDefault="008701A2" w:rsidP="008701A2">
      <w:pPr>
        <w:tabs>
          <w:tab w:val="center" w:pos="4513"/>
          <w:tab w:val="right" w:pos="9026"/>
        </w:tabs>
      </w:pPr>
      <w:r>
        <w:tab/>
      </w:r>
      <w:r w:rsidRPr="00F5609C">
        <w:t>Engineering Design &amp; Research Center, Larsen &amp; Toubro Construction (M&amp;M) Kolkata, India</w:t>
      </w:r>
    </w:p>
    <w:p w14:paraId="3BD29E08" w14:textId="590A88C2" w:rsidR="008701A2" w:rsidRPr="008701A2" w:rsidRDefault="00B96F90" w:rsidP="00B96F90">
      <w:pPr>
        <w:jc w:val="center"/>
      </w:pPr>
      <w:hyperlink r:id="rId8" w:history="1">
        <w:r w:rsidRPr="000F6E42">
          <w:rPr>
            <w:rStyle w:val="Hyperlink"/>
          </w:rPr>
          <w:t>https://doi.org/10.13140/RG.2.2.24318.55369</w:t>
        </w:r>
      </w:hyperlink>
    </w:p>
    <w:p w14:paraId="45615BB4" w14:textId="3671547E" w:rsidR="007819ED" w:rsidRDefault="007819ED" w:rsidP="007819ED">
      <w:pPr>
        <w:jc w:val="both"/>
      </w:pPr>
      <w:r w:rsidRPr="007819ED">
        <w:rPr>
          <w:b/>
          <w:bCs/>
        </w:rPr>
        <w:t>Abstract</w:t>
      </w:r>
      <w:r w:rsidR="00DA27B1">
        <w:rPr>
          <w:b/>
          <w:bCs/>
        </w:rPr>
        <w:t xml:space="preserve">: </w:t>
      </w:r>
      <w:r w:rsidRPr="007819ED">
        <w:t xml:space="preserve">A learning system is </w:t>
      </w:r>
      <w:r w:rsidRPr="00E927CC">
        <w:rPr>
          <w:b/>
          <w:bCs/>
        </w:rPr>
        <w:t>defensible</w:t>
      </w:r>
      <w:r w:rsidRPr="007819ED">
        <w:t xml:space="preserve"> when its failures stay inside an envelope it cannot be trained or attacked out of. We argue this requires separating what is learned from what bounds it, and placing the bounds </w:t>
      </w:r>
      <w:r w:rsidRPr="00E927CC">
        <w:rPr>
          <w:b/>
          <w:bCs/>
        </w:rPr>
        <w:t>outside</w:t>
      </w:r>
      <w:r w:rsidRPr="007819ED">
        <w:t xml:space="preserve"> the learning loop. The architecture is a </w:t>
      </w:r>
      <w:r w:rsidR="00D708BC">
        <w:t xml:space="preserve">Cerebellum </w:t>
      </w:r>
      <w:r w:rsidRPr="007819ED">
        <w:t xml:space="preserve">kernel </w:t>
      </w:r>
      <m:oMath>
        <m:r>
          <w:rPr>
            <w:rFonts w:ascii="Cambria Math" w:hAnsi="Cambria Math"/>
          </w:rPr>
          <m:t>K(x,y)=⟨</m:t>
        </m:r>
        <m:sSub>
          <m:sSubPr>
            <m:ctrlPr>
              <w:rPr>
                <w:rFonts w:ascii="Cambria Math" w:hAnsi="Cambria Math"/>
              </w:rPr>
            </m:ctrlPr>
          </m:sSubPr>
          <m:e>
            <m:r>
              <m:rPr>
                <m:sty m:val="p"/>
              </m:rPr>
              <w:rPr>
                <w:rFonts w:ascii="Cambria Math" w:hAnsi="Cambria Math"/>
              </w:rPr>
              <m:t>Φ</m:t>
            </m:r>
          </m:e>
          <m:sub>
            <m:r>
              <m:rPr>
                <m:nor/>
              </m:rPr>
              <m:t>fixed</m:t>
            </m:r>
          </m:sub>
        </m:sSub>
        <m:r>
          <w:rPr>
            <w:rFonts w:ascii="Cambria Math" w:hAnsi="Cambria Math"/>
          </w:rPr>
          <m:t>(x),</m:t>
        </m:r>
        <m:r>
          <m:rPr>
            <m:nor/>
          </m:rPr>
          <m:t> </m:t>
        </m:r>
        <m:sSub>
          <m:sSubPr>
            <m:ctrlPr>
              <w:rPr>
                <w:rFonts w:ascii="Cambria Math" w:hAnsi="Cambria Math"/>
              </w:rPr>
            </m:ctrlPr>
          </m:sSubPr>
          <m:e>
            <m:r>
              <w:rPr>
                <w:rFonts w:ascii="Cambria Math" w:hAnsi="Cambria Math"/>
              </w:rPr>
              <m:t>M</m:t>
            </m:r>
          </m:e>
          <m:sub>
            <m:r>
              <m:rPr>
                <m:nor/>
              </m:rPr>
              <m:t>learned</m:t>
            </m:r>
          </m:sub>
        </m:sSub>
        <m:r>
          <m:rPr>
            <m:nor/>
          </m:rPr>
          <m:t> </m:t>
        </m:r>
        <m:sSub>
          <m:sSubPr>
            <m:ctrlPr>
              <w:rPr>
                <w:rFonts w:ascii="Cambria Math" w:hAnsi="Cambria Math"/>
              </w:rPr>
            </m:ctrlPr>
          </m:sSubPr>
          <m:e>
            <m:r>
              <m:rPr>
                <m:sty m:val="p"/>
              </m:rPr>
              <w:rPr>
                <w:rFonts w:ascii="Cambria Math" w:hAnsi="Cambria Math"/>
              </w:rPr>
              <m:t>Φ</m:t>
            </m:r>
          </m:e>
          <m:sub>
            <m:r>
              <m:rPr>
                <m:nor/>
              </m:rPr>
              <m:t>fixed</m:t>
            </m:r>
          </m:sub>
        </m:sSub>
        <m:r>
          <w:rPr>
            <w:rFonts w:ascii="Cambria Math" w:hAnsi="Cambria Math"/>
          </w:rPr>
          <m:t>(y)⟩</m:t>
        </m:r>
      </m:oMath>
      <w:r w:rsidRPr="007819ED">
        <w:t xml:space="preserve">: a fixed, criticality-tuned expansion </w:t>
      </w:r>
      <m:oMath>
        <m:r>
          <m:rPr>
            <m:sty m:val="p"/>
          </m:rPr>
          <w:rPr>
            <w:rFonts w:ascii="Cambria Math" w:hAnsi="Cambria Math"/>
          </w:rPr>
          <m:t>Φ</m:t>
        </m:r>
      </m:oMath>
      <w:r w:rsidR="00E927CC">
        <w:rPr>
          <w:rFonts w:eastAsiaTheme="minorEastAsia"/>
        </w:rPr>
        <w:t xml:space="preserve"> </w:t>
      </w:r>
      <w:r w:rsidRPr="007819ED">
        <w:t xml:space="preserve">and a learned readout/metric </w:t>
      </w:r>
      <m:oMath>
        <m:r>
          <w:rPr>
            <w:rFonts w:ascii="Cambria Math" w:hAnsi="Cambria Math"/>
          </w:rPr>
          <m:t>M</m:t>
        </m:r>
      </m:oMath>
      <w:r w:rsidRPr="007819ED">
        <w:t xml:space="preserve">, with the slogan that drives the whole construction — </w:t>
      </w:r>
      <w:r w:rsidRPr="00E927CC">
        <w:rPr>
          <w:b/>
          <w:bCs/>
        </w:rPr>
        <w:t>a learnable bound is a breakable bound</w:t>
      </w:r>
      <w:r w:rsidRPr="007819ED">
        <w:t xml:space="preserve">. The fixed parts supply two bornologies: an input/dynamics bound (the echo-state / Lipschitz constant of the frozen </w:t>
      </w:r>
      <m:oMath>
        <m:r>
          <m:rPr>
            <m:sty m:val="p"/>
          </m:rPr>
          <w:rPr>
            <w:rFonts w:ascii="Cambria Math" w:hAnsi="Cambria Math"/>
          </w:rPr>
          <m:t>Φ</m:t>
        </m:r>
      </m:oMath>
      <w:r w:rsidRPr="007819ED">
        <w:t xml:space="preserve">) and an output bound that, in a motor system, is a physically unbreakable cone — muscles pull only, so achievable force is a non-negative combination of fixed synergy generators. Learning is sandwiched between them. This buys bounded, recoverable failure plus a certified margin — not adversarial immunity: a determined large perturbation can still produce a </w:t>
      </w:r>
      <w:r w:rsidRPr="00E927CC">
        <w:rPr>
          <w:b/>
          <w:bCs/>
        </w:rPr>
        <w:t>wrong</w:t>
      </w:r>
      <w:r w:rsidRPr="007819ED">
        <w:t xml:space="preserve"> output, but never an </w:t>
      </w:r>
      <w:r w:rsidRPr="00E927CC">
        <w:rPr>
          <w:b/>
          <w:bCs/>
        </w:rPr>
        <w:t>unbounded</w:t>
      </w:r>
      <w:r w:rsidRPr="007819ED">
        <w:t xml:space="preserve"> one. The Transformer is the counterexample that proves the rule: its dot-product attention is provably non-Lipschitz, so it carries neither bound. We then ask who learns the readout. The cone generators are subcortical primitives; the cortex learns and certifies the task-specific readout (the expensive obstructed ascent, the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rsidRPr="007819ED">
        <w:t xml:space="preserve">gate) and can extend the basis; once consolidated, execution is subcortical. This predicts a sharp dissociation if the cortex goes offline </w:t>
      </w:r>
      <w:r w:rsidRPr="00E927CC">
        <w:rPr>
          <w:b/>
          <w:bCs/>
        </w:rPr>
        <w:t>after</w:t>
      </w:r>
      <w:r w:rsidRPr="007819ED">
        <w:t xml:space="preserve"> learning: the consolidated readout still executes, bounded by the cone, but uncertified, inflexible, and unaware — and new learning is abolished. Epileptic automatisms confirm exactly this: stereotyped, situation-inappropriate, amnestic, physically-bounded execution of overlearned programmes. The seizure is the natural experiment that pulls the architecture's two layers apart: the bound enforced by morphology survives the loss of the bound enforced by computation.</w:t>
      </w:r>
    </w:p>
    <w:p w14:paraId="0BEF2174" w14:textId="77777777" w:rsidR="00DA27B1" w:rsidRPr="007819ED" w:rsidRDefault="00DA27B1" w:rsidP="00DA27B1">
      <w:pPr>
        <w:jc w:val="both"/>
      </w:pPr>
      <w:r w:rsidRPr="007819ED">
        <w:rPr>
          <w:i/>
          <w:iCs/>
        </w:rPr>
        <w:t xml:space="preserve">Part of the Defensible Intelligence program. This paper merges two results: the guarantees of a fixed-expansion / learned-readout kernel, and an account of who learns its parts together with a falsifiable prediction about what happens when the learner is removed. The mathematics is load-bearing; the cerebellar/cortical identifications are candidate structural isomorphisms; the clinical phenomenology is supported and supplies the test. Tiers: </w:t>
      </w:r>
      <w:r w:rsidRPr="007819ED">
        <w:rPr>
          <w:b/>
          <w:bCs/>
          <w:i/>
          <w:iCs/>
        </w:rPr>
        <w:t>[LB]</w:t>
      </w:r>
      <w:r w:rsidRPr="007819ED">
        <w:rPr>
          <w:i/>
          <w:iCs/>
        </w:rPr>
        <w:t xml:space="preserve"> load-bearing mathematics; </w:t>
      </w:r>
      <w:r w:rsidRPr="007819ED">
        <w:rPr>
          <w:b/>
          <w:bCs/>
          <w:i/>
          <w:iCs/>
        </w:rPr>
        <w:t>[SUP]</w:t>
      </w:r>
      <w:r w:rsidRPr="007819ED">
        <w:rPr>
          <w:i/>
          <w:iCs/>
        </w:rPr>
        <w:t xml:space="preserve"> cited support; </w:t>
      </w:r>
      <w:r w:rsidRPr="007819ED">
        <w:rPr>
          <w:b/>
          <w:bCs/>
          <w:i/>
          <w:iCs/>
        </w:rPr>
        <w:t>[CAND]</w:t>
      </w:r>
      <w:r w:rsidRPr="007819ED">
        <w:rPr>
          <w:i/>
          <w:iCs/>
        </w:rPr>
        <w:t xml:space="preserve"> falsifiable candidate or structural isomorphism; </w:t>
      </w:r>
      <w:r w:rsidRPr="007819ED">
        <w:rPr>
          <w:b/>
          <w:bCs/>
          <w:i/>
          <w:iCs/>
        </w:rPr>
        <w:t>[HOR]</w:t>
      </w:r>
      <w:r w:rsidRPr="007819ED">
        <w:rPr>
          <w:i/>
          <w:iCs/>
        </w:rPr>
        <w:t xml:space="preserve"> quarantined.</w:t>
      </w:r>
    </w:p>
    <w:p w14:paraId="1FAFCC6B" w14:textId="77777777" w:rsidR="007819ED" w:rsidRPr="007819ED" w:rsidRDefault="007819ED" w:rsidP="00DA27B1">
      <w:pPr>
        <w:pStyle w:val="Heading1"/>
      </w:pPr>
      <w:r w:rsidRPr="007819ED">
        <w:t>1. The architecture and the firewall</w:t>
      </w:r>
    </w:p>
    <w:p w14:paraId="3641F412" w14:textId="1CF66081" w:rsidR="007819ED" w:rsidRPr="007819ED" w:rsidRDefault="007819ED" w:rsidP="007819ED">
      <w:pPr>
        <w:jc w:val="both"/>
      </w:pPr>
      <w:r w:rsidRPr="007819ED">
        <w:t xml:space="preserve">End-to-end learning trains every parameter by the same gradient — in the present terms, both </w:t>
      </w:r>
      <m:oMath>
        <m:r>
          <m:rPr>
            <m:sty m:val="p"/>
          </m:rPr>
          <w:rPr>
            <w:rFonts w:ascii="Cambria Math" w:hAnsi="Cambria Math"/>
          </w:rPr>
          <m:t>Φ</m:t>
        </m:r>
      </m:oMath>
      <w:r w:rsidR="00D708BC">
        <w:rPr>
          <w:rFonts w:eastAsiaTheme="minorEastAsia"/>
        </w:rPr>
        <w:t xml:space="preserve"> </w:t>
      </w:r>
      <w:r w:rsidRPr="007819ED">
        <w:t xml:space="preserve">and </w:t>
      </w:r>
      <m:oMath>
        <m:r>
          <w:rPr>
            <w:rFonts w:ascii="Cambria Math" w:hAnsi="Cambria Math"/>
          </w:rPr>
          <m:t>M</m:t>
        </m:r>
      </m:oMath>
      <w:r w:rsidR="00D708BC">
        <w:rPr>
          <w:rFonts w:eastAsiaTheme="minorEastAsia"/>
        </w:rPr>
        <w:t xml:space="preserve"> </w:t>
      </w:r>
      <w:r w:rsidRPr="007819ED">
        <w:t>are learned. The macro-envelope is then *inside* the fast loop, and a gradient (a noisy task signal, or a crafted adversarial one) can warp it: this is the structural root of adversarial fragility and of representational drift. The cure is structural, and the slogan states it: a learnable bound is a breakable bound. Put the bound where the fast gradient cannot reach.</w:t>
      </w:r>
    </w:p>
    <w:p w14:paraId="1B3D3028" w14:textId="539F600F" w:rsidR="007819ED" w:rsidRPr="007819ED" w:rsidRDefault="007819ED" w:rsidP="007819ED">
      <w:pPr>
        <w:jc w:val="both"/>
      </w:pPr>
      <m:oMathPara>
        <m:oMath>
          <m:r>
            <w:rPr>
              <w:rFonts w:ascii="Cambria Math" w:hAnsi="Cambria Math"/>
            </w:rPr>
            <w:lastRenderedPageBreak/>
            <m:t>K(x,y)=⟨</m:t>
          </m:r>
          <m:r>
            <m:rPr>
              <m:nor/>
            </m:rPr>
            <m:t> </m:t>
          </m:r>
          <m:sSub>
            <m:sSubPr>
              <m:ctrlPr>
                <w:rPr>
                  <w:rFonts w:ascii="Cambria Math" w:hAnsi="Cambria Math"/>
                </w:rPr>
              </m:ctrlPr>
            </m:sSubPr>
            <m:e>
              <m:r>
                <m:rPr>
                  <m:sty m:val="p"/>
                </m:rPr>
                <w:rPr>
                  <w:rFonts w:ascii="Cambria Math" w:hAnsi="Cambria Math"/>
                </w:rPr>
                <m:t>Φ</m:t>
              </m:r>
            </m:e>
            <m:sub>
              <m:r>
                <m:rPr>
                  <m:nor/>
                </m:rPr>
                <m:t>fixed</m:t>
              </m:r>
            </m:sub>
          </m:sSub>
          <m:r>
            <w:rPr>
              <w:rFonts w:ascii="Cambria Math" w:hAnsi="Cambria Math"/>
            </w:rPr>
            <m:t>(x),</m:t>
          </m:r>
          <m:r>
            <m:rPr>
              <m:nor/>
            </m:rPr>
            <m:t>  </m:t>
          </m:r>
          <m:sSub>
            <m:sSubPr>
              <m:ctrlPr>
                <w:rPr>
                  <w:rFonts w:ascii="Cambria Math" w:hAnsi="Cambria Math"/>
                </w:rPr>
              </m:ctrlPr>
            </m:sSubPr>
            <m:e>
              <m:r>
                <w:rPr>
                  <w:rFonts w:ascii="Cambria Math" w:hAnsi="Cambria Math"/>
                </w:rPr>
                <m:t>M</m:t>
              </m:r>
            </m:e>
            <m:sub>
              <m:r>
                <m:rPr>
                  <m:nor/>
                </m:rPr>
                <m:t>learned</m:t>
              </m:r>
            </m:sub>
          </m:sSub>
          <m:r>
            <m:rPr>
              <m:nor/>
            </m:rPr>
            <m:t> </m:t>
          </m:r>
          <m:sSub>
            <m:sSubPr>
              <m:ctrlPr>
                <w:rPr>
                  <w:rFonts w:ascii="Cambria Math" w:hAnsi="Cambria Math"/>
                </w:rPr>
              </m:ctrlPr>
            </m:sSubPr>
            <m:e>
              <m:r>
                <m:rPr>
                  <m:sty m:val="p"/>
                </m:rPr>
                <w:rPr>
                  <w:rFonts w:ascii="Cambria Math" w:hAnsi="Cambria Math"/>
                </w:rPr>
                <m:t>Φ</m:t>
              </m:r>
            </m:e>
            <m:sub>
              <m:r>
                <m:rPr>
                  <m:nor/>
                </m:rPr>
                <m:t>fixed</m:t>
              </m:r>
            </m:sub>
          </m:sSub>
          <m:r>
            <w:rPr>
              <w:rFonts w:ascii="Cambria Math" w:hAnsi="Cambria Math"/>
            </w:rPr>
            <m:t>(y)</m:t>
          </m:r>
          <m:r>
            <m:rPr>
              <m:nor/>
            </m:rPr>
            <m:t> </m:t>
          </m:r>
          <m:r>
            <w:rPr>
              <w:rFonts w:ascii="Cambria Math" w:hAnsi="Cambria Math"/>
            </w:rPr>
            <m:t>⟩</m:t>
          </m:r>
          <m:r>
            <w:rPr>
              <w:i/>
            </w:rPr>
            <w:br/>
          </m:r>
        </m:oMath>
      </m:oMathPara>
    </w:p>
    <w:p w14:paraId="156D2B4D" w14:textId="730630B8" w:rsidR="007819ED" w:rsidRPr="007819ED" w:rsidRDefault="007819ED" w:rsidP="007819ED">
      <w:pPr>
        <w:jc w:val="both"/>
      </w:pPr>
      <m:oMath>
        <m:sSub>
          <m:sSubPr>
            <m:ctrlPr>
              <w:rPr>
                <w:rFonts w:ascii="Cambria Math" w:hAnsi="Cambria Math"/>
              </w:rPr>
            </m:ctrlPr>
          </m:sSubPr>
          <m:e>
            <m:r>
              <m:rPr>
                <m:sty m:val="p"/>
              </m:rPr>
              <w:rPr>
                <w:rFonts w:ascii="Cambria Math" w:hAnsi="Cambria Math"/>
              </w:rPr>
              <m:t>Φ</m:t>
            </m:r>
          </m:e>
          <m:sub>
            <m:r>
              <m:rPr>
                <m:nor/>
              </m:rPr>
              <m:t>fixed</m:t>
            </m:r>
          </m:sub>
        </m:sSub>
      </m:oMath>
      <w:r w:rsidR="00D708BC">
        <w:rPr>
          <w:rFonts w:eastAsiaTheme="minorEastAsia"/>
        </w:rPr>
        <w:t xml:space="preserve"> </w:t>
      </w:r>
      <w:r w:rsidRPr="007819ED">
        <w:t xml:space="preserve">is a key-generated, criticality-tuned expansion, frozen against the task gradient; </w:t>
      </w:r>
      <m:oMath>
        <m:sSub>
          <m:sSubPr>
            <m:ctrlPr>
              <w:rPr>
                <w:rFonts w:ascii="Cambria Math" w:hAnsi="Cambria Math"/>
              </w:rPr>
            </m:ctrlPr>
          </m:sSubPr>
          <m:e>
            <m:r>
              <w:rPr>
                <w:rFonts w:ascii="Cambria Math" w:hAnsi="Cambria Math"/>
              </w:rPr>
              <m:t>M</m:t>
            </m:r>
          </m:e>
          <m:sub>
            <m:r>
              <m:rPr>
                <m:nor/>
              </m:rPr>
              <m:t>learned</m:t>
            </m:r>
          </m:sub>
        </m:sSub>
      </m:oMath>
      <w:r w:rsidR="00D708BC">
        <w:rPr>
          <w:rFonts w:eastAsiaTheme="minorEastAsia"/>
        </w:rPr>
        <w:t xml:space="preserve"> </w:t>
      </w:r>
      <w:r w:rsidRPr="007819ED">
        <w:t xml:space="preserve">is the readout/metric the task fits. The firewall — the gradient may move </w:t>
      </w:r>
      <m:oMath>
        <m:r>
          <w:rPr>
            <w:rFonts w:ascii="Cambria Math" w:hAnsi="Cambria Math"/>
          </w:rPr>
          <m:t>M</m:t>
        </m:r>
      </m:oMath>
      <w:r w:rsidRPr="007819ED">
        <w:t xml:space="preserve">, may not touch </w:t>
      </w:r>
      <m:oMath>
        <m:r>
          <m:rPr>
            <m:sty m:val="p"/>
          </m:rPr>
          <w:rPr>
            <w:rFonts w:ascii="Cambria Math" w:hAnsi="Cambria Math"/>
          </w:rPr>
          <m:t>Φ</m:t>
        </m:r>
      </m:oMath>
      <w:r w:rsidRPr="007819ED">
        <w:t xml:space="preserve">— is the whole construction. "Fixed" does not mean arbitrary: </w:t>
      </w:r>
      <m:oMath>
        <m:r>
          <m:rPr>
            <m:sty m:val="p"/>
          </m:rPr>
          <w:rPr>
            <w:rFonts w:ascii="Cambria Math" w:hAnsi="Cambria Math"/>
          </w:rPr>
          <m:t>Φ</m:t>
        </m:r>
      </m:oMath>
      <w:r w:rsidR="00D708BC">
        <w:rPr>
          <w:rFonts w:eastAsiaTheme="minorEastAsia"/>
        </w:rPr>
        <w:t xml:space="preserve"> </w:t>
      </w:r>
      <w:r w:rsidRPr="007819ED">
        <w:t xml:space="preserve">is set on a slow loop (design, or evolution tuning a developmental rule toward the edge of chaos) and frozen on the fast one. The guarantee is only as good as the insulation between the loops: if the task signal could leak into the process that sets </w:t>
      </w:r>
      <m:oMath>
        <m:r>
          <m:rPr>
            <m:sty m:val="p"/>
          </m:rPr>
          <w:rPr>
            <w:rFonts w:ascii="Cambria Math" w:hAnsi="Cambria Math"/>
          </w:rPr>
          <m:t>Φ</m:t>
        </m:r>
      </m:oMath>
      <w:r w:rsidRPr="007819ED">
        <w:t>, an adversary could corrupt the envelope slowly — which is exactly the discipline π0.7's Knowledge Insulation enforces. And evolution does not compute spectral radii; criticality is an emergent correlate of selection, not an explicit search.</w:t>
      </w:r>
    </w:p>
    <w:p w14:paraId="1822E85D" w14:textId="77777777" w:rsidR="007819ED" w:rsidRPr="007819ED" w:rsidRDefault="007819ED" w:rsidP="00DA27B1">
      <w:pPr>
        <w:pStyle w:val="Heading1"/>
      </w:pPr>
      <w:r w:rsidRPr="007819ED">
        <w:t>2. The two bornologies</w:t>
      </w:r>
    </w:p>
    <w:p w14:paraId="0E3904E4" w14:textId="77777777" w:rsidR="007819ED" w:rsidRPr="007819ED" w:rsidRDefault="007819ED" w:rsidP="007819ED">
      <w:pPr>
        <w:jc w:val="both"/>
      </w:pPr>
      <w:r w:rsidRPr="007819ED">
        <w:t>The fixed structure supplies the bounds, and there are two, at the two ends of the computation.</w:t>
      </w:r>
    </w:p>
    <w:p w14:paraId="3C7D4EC8" w14:textId="4F87F363" w:rsidR="007819ED" w:rsidRPr="007819ED" w:rsidRDefault="007819ED" w:rsidP="007819ED">
      <w:pPr>
        <w:jc w:val="both"/>
      </w:pPr>
      <w:r w:rsidRPr="00D708BC">
        <w:rPr>
          <w:b/>
          <w:bCs/>
        </w:rPr>
        <w:t xml:space="preserve">2.1 The input/dynamics bound `[LB-able]`. </w:t>
      </w:r>
      <w:r w:rsidRPr="007819ED">
        <w:t xml:space="preserve">If </w:t>
      </w:r>
      <m:oMath>
        <m:r>
          <m:rPr>
            <m:sty m:val="p"/>
          </m:rPr>
          <w:rPr>
            <w:rFonts w:ascii="Cambria Math" w:hAnsi="Cambria Math"/>
          </w:rPr>
          <m:t>Φ</m:t>
        </m:r>
      </m:oMath>
      <w:r w:rsidR="00D708BC">
        <w:rPr>
          <w:rFonts w:eastAsiaTheme="minorEastAsia"/>
        </w:rPr>
        <w:t xml:space="preserve"> </w:t>
      </w:r>
      <w:r w:rsidRPr="007819ED">
        <w:t xml:space="preserve">has bounded gain — the echo-state property, spectral radius held at or below one, giving fading memory — and the readout </w:t>
      </w:r>
      <m:oMath>
        <m:r>
          <w:rPr>
            <w:rFonts w:ascii="Cambria Math" w:hAnsi="Cambria Math"/>
          </w:rPr>
          <m:t>M</m:t>
        </m:r>
      </m:oMath>
      <w:r w:rsidRPr="007819ED">
        <w:t xml:space="preserve">is norm-bounded, the output cannot diverge for any bounded input, regardless of how the fast gradient fits </w:t>
      </w:r>
      <m:oMath>
        <m:r>
          <w:rPr>
            <w:rFonts w:ascii="Cambria Math" w:hAnsi="Cambria Math"/>
          </w:rPr>
          <m:t>M</m:t>
        </m:r>
      </m:oMath>
      <w:r w:rsidRPr="007819ED">
        <w:t xml:space="preserve">. Equivalently, </w:t>
      </w:r>
      <m:oMath>
        <m:r>
          <m:rPr>
            <m:sty m:val="p"/>
          </m:rPr>
          <w:rPr>
            <w:rFonts w:ascii="Cambria Math" w:hAnsi="Cambria Math"/>
          </w:rPr>
          <m:t>Φ</m:t>
        </m:r>
      </m:oMath>
      <w:r w:rsidRPr="007819ED">
        <w:t xml:space="preserve">frozen with a finite Lipschitz constant and </w:t>
      </w:r>
      <m:oMath>
        <m:r>
          <w:rPr>
            <w:rFonts w:ascii="Cambria Math" w:hAnsi="Cambria Math"/>
          </w:rPr>
          <m:t>M</m:t>
        </m:r>
      </m:oMath>
      <w:r w:rsidRPr="007819ED">
        <w:t xml:space="preserve">bounded make the whole map Lipschitz with a *computable* constant. One correction worth stating because it is easy to miss: freezing </w:t>
      </w:r>
      <m:oMath>
        <m:r>
          <m:rPr>
            <m:sty m:val="p"/>
          </m:rPr>
          <w:rPr>
            <w:rFonts w:ascii="Cambria Math" w:hAnsi="Cambria Math"/>
          </w:rPr>
          <m:t>Φ</m:t>
        </m:r>
      </m:oMath>
      <w:r w:rsidRPr="007819ED">
        <w:t xml:space="preserve">bounds the reservoir *state*, not the *output* — an unbounded </w:t>
      </w:r>
      <m:oMath>
        <m:r>
          <w:rPr>
            <w:rFonts w:ascii="Cambria Math" w:hAnsi="Cambria Math"/>
          </w:rPr>
          <m:t>M</m:t>
        </m:r>
      </m:oMath>
      <w:r w:rsidRPr="007819ED">
        <w:t xml:space="preserve">diverges even with a perfect </w:t>
      </w:r>
      <m:oMath>
        <m:r>
          <m:rPr>
            <m:sty m:val="p"/>
          </m:rPr>
          <w:rPr>
            <w:rFonts w:ascii="Cambria Math" w:hAnsi="Cambria Math"/>
          </w:rPr>
          <m:t>Φ</m:t>
        </m:r>
      </m:oMath>
      <w:r w:rsidRPr="007819ED">
        <w:t xml:space="preserve">. The bound is *bounded </w:t>
      </w:r>
      <m:oMath>
        <m:r>
          <m:rPr>
            <m:sty m:val="p"/>
          </m:rPr>
          <w:rPr>
            <w:rFonts w:ascii="Cambria Math" w:hAnsi="Cambria Math"/>
          </w:rPr>
          <m:t>Φ</m:t>
        </m:r>
      </m:oMath>
      <w:r w:rsidRPr="007819ED">
        <w:t xml:space="preserve">and bounded </w:t>
      </w:r>
      <m:oMath>
        <m:r>
          <w:rPr>
            <w:rFonts w:ascii="Cambria Math" w:hAnsi="Cambria Math"/>
          </w:rPr>
          <m:t>M</m:t>
        </m:r>
      </m:oMath>
      <w:r w:rsidRPr="007819ED">
        <w:rPr>
          <w:rFonts w:ascii="Cambria Math" w:hAnsi="Cambria Math" w:cs="Cambria Math"/>
        </w:rPr>
        <w:t>⟹</w:t>
      </w:r>
      <w:r w:rsidRPr="007819ED">
        <w:t xml:space="preserve"> bounded output*; freezing </w:t>
      </w:r>
      <m:oMath>
        <m:r>
          <m:rPr>
            <m:sty m:val="p"/>
          </m:rPr>
          <w:rPr>
            <w:rFonts w:ascii="Cambria Math" w:hAnsi="Cambria Math"/>
          </w:rPr>
          <m:t>Φ</m:t>
        </m:r>
      </m:oMath>
      <w:r w:rsidRPr="007819ED">
        <w:t>is necessary, not sufficient. (In closed loop, the readout's bound is the loop-stability conditions of the companion arc — boundedness, delay margin, the Hopf margin.)</w:t>
      </w:r>
    </w:p>
    <w:p w14:paraId="2E443216" w14:textId="6126B517" w:rsidR="007819ED" w:rsidRPr="007819ED" w:rsidRDefault="007819ED" w:rsidP="007819ED">
      <w:pPr>
        <w:jc w:val="both"/>
      </w:pPr>
      <w:r w:rsidRPr="00D708BC">
        <w:rPr>
          <w:b/>
          <w:bCs/>
        </w:rPr>
        <w:t>2.2 The output bound is a physically unbreakable cone `[SUP / CAND]`</w:t>
      </w:r>
      <w:r w:rsidRPr="007819ED">
        <w:t xml:space="preserve">. In a motor system the output bound has a specific, beautiful form. Muscles pull only; force is non-negative; net activation is a conical combination </w:t>
      </w:r>
      <m:oMath>
        <m:r>
          <w:rPr>
            <w:rFonts w:ascii="Cambria Math" w:hAnsi="Cambria Math"/>
          </w:rPr>
          <m:t>a=</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oMath>
      <w:r w:rsidRPr="007819ED">
        <w:t xml:space="preserve">with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oMath>
      <w:r w:rsidRPr="007819ED">
        <w:t xml:space="preserve">and synergy vectors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m:t>
        </m:r>
      </m:oMath>
      <w:r w:rsidRPr="007819ED">
        <w:t>— which is exactly why muscle synergies are extracted by *non-negative* matrix factorization rather than PCA. The achievable set is the conical hull of a few fixed non-negative generators (~4–6 synergies cover most behaviour), bounded by maximal contraction into a polytope. The "muscle invariants" are those generators, anatomically fixed and preserved even after cortical stroke. So the learned readout is sandwiched between two fixed non-negative structures: a high-dimensional fixed expansion at the input (the reservoir) and a low-dimensional fixed synergy cone at the output. Input expands, output contracts; both ends fixed; learning lives in the middle, and is cone-constrained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oMath>
      <w:r w:rsidRPr="007819ED">
        <w:t>) — non-negative learning (NMF, non-negative least squares), the established biological form.</w:t>
      </w:r>
    </w:p>
    <w:p w14:paraId="09425142" w14:textId="77777777" w:rsidR="007819ED" w:rsidRPr="007819ED" w:rsidRDefault="007819ED" w:rsidP="007819ED">
      <w:pPr>
        <w:jc w:val="both"/>
      </w:pPr>
      <w:r w:rsidRPr="007819ED">
        <w:t>This output cone is the strongest possible bound: not merely un-</w:t>
      </w:r>
      <w:r w:rsidRPr="007819ED">
        <w:rPr>
          <w:i/>
          <w:iCs/>
        </w:rPr>
        <w:t>learnable</w:t>
      </w:r>
      <w:r w:rsidRPr="007819ED">
        <w:t xml:space="preserve"> (the gradient may not touch it) but un-</w:t>
      </w:r>
      <w:r w:rsidRPr="007819ED">
        <w:rPr>
          <w:i/>
          <w:iCs/>
        </w:rPr>
        <w:t>representable</w:t>
      </w:r>
      <w:r w:rsidRPr="007819ED">
        <w:t xml:space="preserve"> — no command, learned or adversarial, can specify an out-of-cone force, because a muscle cannot push. The output envelope is guaranteed by the </w:t>
      </w:r>
      <w:r w:rsidRPr="007819ED">
        <w:rPr>
          <w:b/>
          <w:bCs/>
        </w:rPr>
        <w:t>morphology of the actuator itself</w:t>
      </w:r>
      <w:r w:rsidRPr="007819ED">
        <w:t xml:space="preserve">. (Two cones not to conflate: this output </w:t>
      </w:r>
      <w:r w:rsidRPr="007819ED">
        <w:rPr>
          <w:b/>
          <w:bCs/>
        </w:rPr>
        <w:t>force cone</w:t>
      </w:r>
      <w:r w:rsidRPr="007819ED">
        <w:t xml:space="preserve"> is distinct from the </w:t>
      </w:r>
      <w:r w:rsidRPr="007819ED">
        <w:rPr>
          <w:b/>
          <w:bCs/>
        </w:rPr>
        <w:t>PSD cone</w:t>
      </w:r>
      <w:r w:rsidRPr="007819ED">
        <w:t xml:space="preserve"> every valid kernel inhabits. Positivity runs through the pipeline — PSD kernel, non-negative features, non-negative output — but these are three different cones doing three different jobs; only the last is the physical bornology.)</w:t>
      </w:r>
    </w:p>
    <w:p w14:paraId="50340D98" w14:textId="77777777" w:rsidR="007819ED" w:rsidRPr="007819ED" w:rsidRDefault="007819ED" w:rsidP="00DA27B1">
      <w:pPr>
        <w:pStyle w:val="Heading1"/>
      </w:pPr>
      <w:r w:rsidRPr="007819ED">
        <w:t xml:space="preserve">3. What the architecture guarantees — </w:t>
      </w:r>
      <w:r w:rsidRPr="00DA27B1">
        <w:rPr>
          <w:sz w:val="32"/>
          <w:szCs w:val="32"/>
        </w:rPr>
        <w:t>and what it does not</w:t>
      </w:r>
    </w:p>
    <w:p w14:paraId="77FA5808" w14:textId="77777777" w:rsidR="007819ED" w:rsidRPr="007819ED" w:rsidRDefault="007819ED" w:rsidP="007819ED">
      <w:pPr>
        <w:jc w:val="both"/>
      </w:pPr>
      <w:r w:rsidRPr="007819ED">
        <w:t>Three guarantees, and immunity is not among them.</w:t>
      </w:r>
    </w:p>
    <w:p w14:paraId="5A10269D" w14:textId="785DE064" w:rsidR="007819ED" w:rsidRPr="007819ED" w:rsidRDefault="007819ED" w:rsidP="007819ED">
      <w:pPr>
        <w:numPr>
          <w:ilvl w:val="0"/>
          <w:numId w:val="1"/>
        </w:numPr>
        <w:jc w:val="both"/>
      </w:pPr>
      <w:r w:rsidRPr="007819ED">
        <w:rPr>
          <w:b/>
          <w:bCs/>
        </w:rPr>
        <w:lastRenderedPageBreak/>
        <w:t>Bounded, recoverable failure [LB-able]</w:t>
      </w:r>
      <w:r w:rsidRPr="007819ED">
        <w:t xml:space="preserve"> — the prize (§2.1, §2.2). The output cannot diverge: no runaway, no dysmetria, no escape from the bornology. This is uncorruptable by the task gradient because the bounds live in the frozen </w:t>
      </w:r>
      <m:oMath>
        <m:r>
          <m:rPr>
            <m:sty m:val="p"/>
          </m:rPr>
          <w:rPr>
            <w:rFonts w:ascii="Cambria Math" w:hAnsi="Cambria Math"/>
          </w:rPr>
          <m:t>Φ</m:t>
        </m:r>
      </m:oMath>
      <w:r w:rsidRPr="007819ED">
        <w:t>and the physical cone.</w:t>
      </w:r>
    </w:p>
    <w:p w14:paraId="38A62AAE" w14:textId="644D06F4" w:rsidR="007819ED" w:rsidRPr="007819ED" w:rsidRDefault="007819ED" w:rsidP="007819ED">
      <w:pPr>
        <w:numPr>
          <w:ilvl w:val="0"/>
          <w:numId w:val="1"/>
        </w:numPr>
        <w:jc w:val="both"/>
      </w:pPr>
      <w:r w:rsidRPr="007819ED">
        <w:rPr>
          <w:b/>
          <w:bCs/>
        </w:rPr>
        <w:t xml:space="preserve">A certified robustness </w:t>
      </w:r>
      <w:r w:rsidRPr="007819ED">
        <w:rPr>
          <w:b/>
          <w:bCs/>
          <w:i/>
          <w:iCs/>
        </w:rPr>
        <w:t>radius</w:t>
      </w:r>
      <w:r w:rsidRPr="007819ED">
        <w:rPr>
          <w:b/>
          <w:bCs/>
        </w:rPr>
        <w:t xml:space="preserve"> [LB-able]</w:t>
      </w:r>
      <w:r w:rsidRPr="007819ED">
        <w:t xml:space="preserve"> — real but limited. The computable Lipschitz constant </w:t>
      </w:r>
      <m:oMath>
        <m:r>
          <w:rPr>
            <w:rFonts w:ascii="Cambria Math" w:hAnsi="Cambria Math"/>
          </w:rPr>
          <m:t>L≲∥M∥⋅</m:t>
        </m:r>
        <m:r>
          <m:rPr>
            <m:sty m:val="p"/>
          </m:rPr>
          <w:rPr>
            <w:rFonts w:ascii="Cambria Math" w:hAnsi="Cambria Math"/>
          </w:rPr>
          <m:t>Lip</m:t>
        </m:r>
        <m:r>
          <w:rPr>
            <w:rFonts w:ascii="Cambria Math" w:hAnsi="Cambria Math"/>
          </w:rPr>
          <m:t>(</m:t>
        </m:r>
        <m:r>
          <m:rPr>
            <m:sty m:val="p"/>
          </m:rPr>
          <w:rPr>
            <w:rFonts w:ascii="Cambria Math" w:hAnsi="Cambria Math"/>
          </w:rPr>
          <m:t>Φ</m:t>
        </m:r>
        <m:r>
          <w:rPr>
            <w:rFonts w:ascii="Cambria Math" w:hAnsi="Cambria Math"/>
          </w:rPr>
          <m:t>)</m:t>
        </m:r>
      </m:oMath>
      <w:r w:rsidRPr="007819ED">
        <w:t xml:space="preserve">yields a provable safe radius (perturbations below </w:t>
      </w:r>
      <m:oMath>
        <m:r>
          <w:rPr>
            <w:rFonts w:ascii="Cambria Math" w:hAnsi="Cambria Math"/>
          </w:rPr>
          <m:t>≈</m:t>
        </m:r>
      </m:oMath>
      <w:r w:rsidRPr="007819ED">
        <w:t>margin</w:t>
      </w:r>
      <m:oMath>
        <m:r>
          <m:rPr>
            <m:sty m:val="p"/>
          </m:rPr>
          <w:rPr>
            <w:rFonts w:ascii="Cambria Math" w:hAnsi="Cambria Math"/>
          </w:rPr>
          <m:t>/</m:t>
        </m:r>
        <m:r>
          <w:rPr>
            <w:rFonts w:ascii="Cambria Math" w:hAnsi="Cambria Math"/>
          </w:rPr>
          <m:t>L</m:t>
        </m:r>
      </m:oMath>
      <w:r w:rsidRPr="007819ED">
        <w:t xml:space="preserve"> cannot flip the output). Honest caveat: global Lipschitz bounds are loose on expressive maps, so the certified radius is a guaranteed margin, not a wide moat.</w:t>
      </w:r>
    </w:p>
    <w:p w14:paraId="59C0204A" w14:textId="77777777" w:rsidR="007819ED" w:rsidRPr="007819ED" w:rsidRDefault="007819ED" w:rsidP="007819ED">
      <w:pPr>
        <w:numPr>
          <w:ilvl w:val="0"/>
          <w:numId w:val="1"/>
        </w:numPr>
        <w:jc w:val="both"/>
      </w:pPr>
      <w:r w:rsidRPr="007819ED">
        <w:rPr>
          <w:b/>
          <w:bCs/>
        </w:rPr>
        <w:t>Not immunity [established]</w:t>
      </w:r>
      <w:r w:rsidRPr="007819ED">
        <w:t xml:space="preserve"> — fixed/random features are </w:t>
      </w:r>
      <w:r w:rsidRPr="007819ED">
        <w:rPr>
          <w:i/>
          <w:iCs/>
        </w:rPr>
        <w:t>not</w:t>
      </w:r>
      <w:r w:rsidRPr="007819ED">
        <w:t xml:space="preserve"> adversarially immune; adversarial perturbations provably exist for them. A perturbation larger than the certified radius can still drive a </w:t>
      </w:r>
      <w:r w:rsidRPr="007819ED">
        <w:rPr>
          <w:i/>
          <w:iCs/>
        </w:rPr>
        <w:t>wrong</w:t>
      </w:r>
      <w:r w:rsidRPr="007819ED">
        <w:t xml:space="preserve"> readout. What is prevented is the wrong output being </w:t>
      </w:r>
      <w:r w:rsidRPr="007819ED">
        <w:rPr>
          <w:i/>
          <w:iCs/>
        </w:rPr>
        <w:t>unbounded</w:t>
      </w:r>
      <w:r w:rsidRPr="007819ED">
        <w:t xml:space="preserve">: the misread stays in the envelope, recoverable. </w:t>
      </w:r>
      <w:r w:rsidRPr="007819ED">
        <w:rPr>
          <w:b/>
          <w:bCs/>
        </w:rPr>
        <w:t>The kernel does not stop you from being fooled; it stops being fooled from becoming being broken.</w:t>
      </w:r>
    </w:p>
    <w:p w14:paraId="3AA390DF" w14:textId="77777777" w:rsidR="007819ED" w:rsidRPr="007819ED" w:rsidRDefault="007819ED" w:rsidP="007819ED">
      <w:pPr>
        <w:jc w:val="both"/>
      </w:pPr>
      <w:r w:rsidRPr="007819ED">
        <w:t xml:space="preserve">This triad is </w:t>
      </w:r>
      <w:r w:rsidRPr="007819ED">
        <w:rPr>
          <w:i/>
          <w:iCs/>
        </w:rPr>
        <w:t>stronger</w:t>
      </w:r>
      <w:r w:rsidRPr="007819ED">
        <w:t xml:space="preserve"> than the immunity it replaces, because immunity is false and recoverability is true — and recoverable failure is the spine of the whole program. A consequence-bearing agent need not be unfoolable; it needs its failures bounded.</w:t>
      </w:r>
    </w:p>
    <w:p w14:paraId="2FF99A9F" w14:textId="40FF6C54" w:rsidR="007819ED" w:rsidRPr="007819ED" w:rsidRDefault="007819ED" w:rsidP="007819ED">
      <w:pPr>
        <w:jc w:val="both"/>
      </w:pPr>
      <w:r w:rsidRPr="007819ED">
        <w:t xml:space="preserve">The Transformer is the counterexample that proves the rule. Standard dot-product self-attention is provably *non-Lipschitz*. A map with no finite Lipschitz constant has *neither* guarantee (1) *nor* (2): no boundedness, no certified radius. The Transformer does not merely fail to use a bornology; its core operation is constitutionally incapable of carrying one — the hard form of the framework's claim that it is the gluing engine with no envelope. The defensible repair is exactly to replace dot-product with an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sidRPr="007819ED">
        <w:t>-distance (Lipschitz) attention: to *supply the missing bound*.</w:t>
      </w:r>
    </w:p>
    <w:p w14:paraId="15AD96E9" w14:textId="77777777" w:rsidR="007819ED" w:rsidRPr="007819ED" w:rsidRDefault="007819ED" w:rsidP="00DA27B1">
      <w:pPr>
        <w:pStyle w:val="Heading1"/>
      </w:pPr>
      <w:r w:rsidRPr="007819ED">
        <w:t>4. Who learns the readout</w:t>
      </w:r>
    </w:p>
    <w:p w14:paraId="3F83379F" w14:textId="2F0FD8EC" w:rsidR="007819ED" w:rsidRPr="007819ED" w:rsidRDefault="007819ED" w:rsidP="007819ED">
      <w:pPr>
        <w:jc w:val="both"/>
      </w:pPr>
      <w:r w:rsidRPr="007819ED">
        <w:t>The architecture has a learned part (</w:t>
      </w:r>
      <m:oMath>
        <m:r>
          <w:rPr>
            <w:rFonts w:ascii="Cambria Math" w:hAnsi="Cambria Math"/>
          </w:rPr>
          <m:t>M</m:t>
        </m:r>
      </m:oMath>
      <w:r w:rsidRPr="007819ED">
        <w:t>) and fixed parts (the expansion, the cone). The biology assigns them across three timescales, and the cortex is the middle one.</w:t>
      </w:r>
    </w:p>
    <w:p w14:paraId="27F99379" w14:textId="77777777" w:rsidR="007819ED" w:rsidRPr="007819ED" w:rsidRDefault="007819ED" w:rsidP="007819ED">
      <w:pPr>
        <w:numPr>
          <w:ilvl w:val="0"/>
          <w:numId w:val="2"/>
        </w:numPr>
        <w:jc w:val="both"/>
      </w:pPr>
      <w:r w:rsidRPr="007819ED">
        <w:rPr>
          <w:b/>
          <w:bCs/>
        </w:rPr>
        <w:t>The cone generators are subcortical primitives [SUP]</w:t>
      </w:r>
      <w:r w:rsidRPr="007819ED">
        <w:t xml:space="preserve"> — spinal interneuron modules and brainstem pattern generators, evocable by spinal stimulation, present in newborn stepping without cortical involvement, and preserved after cortical stroke. The fixed output basis is set by the slowest (developmental/evolutionary) loop.</w:t>
      </w:r>
    </w:p>
    <w:p w14:paraId="2C9B5217" w14:textId="689C181A" w:rsidR="007819ED" w:rsidRPr="007819ED" w:rsidRDefault="007819ED" w:rsidP="007819ED">
      <w:pPr>
        <w:numPr>
          <w:ilvl w:val="0"/>
          <w:numId w:val="2"/>
        </w:numPr>
        <w:jc w:val="both"/>
      </w:pPr>
      <w:r w:rsidRPr="007819ED">
        <w:t xml:space="preserve">The cortex learns and certifies the readout, and can extend the basis `[SUP]`. It selects and combines the fixed primitives and supplies their timing; it learns new task-specific synergies via M1 plasticity (the cortically-coupled locomotor synergies are exactly those that emerge with independent walking); and it *certifies* the combination — the expensive, obstructed inner-product ascent, the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rsidRPr="007819ED">
        <w:t>gate. Decisively, motor-cortical projections are "essential for *learning* skills that, once acquired, can be generated subcortically" — a role in learning independent of control.</w:t>
      </w:r>
    </w:p>
    <w:p w14:paraId="5DA8FA9F" w14:textId="3571D5D2" w:rsidR="007819ED" w:rsidRPr="007819ED" w:rsidRDefault="007819ED" w:rsidP="007819ED">
      <w:pPr>
        <w:jc w:val="both"/>
      </w:pPr>
      <w:r w:rsidRPr="007819ED">
        <w:t xml:space="preserve">So the cortex is the within-lifetime learner of the certified readout </w:t>
      </w:r>
      <m:oMath>
        <m:r>
          <w:rPr>
            <w:rFonts w:ascii="Cambria Math" w:hAnsi="Cambria Math"/>
          </w:rPr>
          <m:t>M</m:t>
        </m:r>
      </m:oMath>
      <w:r w:rsidRPr="007819ED">
        <w:t xml:space="preserve">; the cone generators are the fixed subcortical basis; and once </w:t>
      </w:r>
      <m:oMath>
        <m:r>
          <w:rPr>
            <w:rFonts w:ascii="Cambria Math" w:hAnsi="Cambria Math"/>
          </w:rPr>
          <m:t>M</m:t>
        </m:r>
      </m:oMath>
      <w:r w:rsidRPr="007819ED">
        <w:t>is learned and certified it is consolidated into subcortical execution for cheap, gate-free running. The cortex learns and certifies the invariant *mapping*, and can grow the invariant *basis*; it neither stores nor executes the consolidated skill.</w:t>
      </w:r>
    </w:p>
    <w:p w14:paraId="36A37D6E" w14:textId="77777777" w:rsidR="007819ED" w:rsidRPr="007819ED" w:rsidRDefault="007819ED" w:rsidP="00DA27B1">
      <w:pPr>
        <w:pStyle w:val="Heading1"/>
      </w:pPr>
      <w:r w:rsidRPr="007819ED">
        <w:lastRenderedPageBreak/>
        <w:t>5. The prediction: take the learner offline</w:t>
      </w:r>
    </w:p>
    <w:p w14:paraId="390FAC5E" w14:textId="0AA94E1A" w:rsidR="007819ED" w:rsidRPr="007819ED" w:rsidRDefault="007819ED" w:rsidP="007819ED">
      <w:pPr>
        <w:jc w:val="both"/>
      </w:pPr>
      <w:r w:rsidRPr="007819ED">
        <w:t xml:space="preserve">Once a skill is consolidated, removing the cortex should produce a sharp dissociation, because the fixed bounds and the learned/certified readout live in different places. The framework predicts: the consolidated readout </w:t>
      </w:r>
      <w:r w:rsidRPr="007819ED">
        <w:rPr>
          <w:b/>
          <w:bCs/>
        </w:rPr>
        <w:t>still executes</w:t>
      </w:r>
      <w:r w:rsidRPr="007819ED">
        <w:t xml:space="preserve"> (subcortical, </w:t>
      </w:r>
      <m:oMath>
        <m:r>
          <w:rPr>
            <w:rFonts w:ascii="Cambria Math" w:hAnsi="Cambria Math"/>
          </w:rPr>
          <m:t>O(1)</m:t>
        </m:r>
      </m:oMath>
      <w:r w:rsidRPr="007819ED">
        <w:t>), but everything the cortex contributed is gone —</w:t>
      </w:r>
    </w:p>
    <w:p w14:paraId="29546FF6" w14:textId="77777777" w:rsidR="007819ED" w:rsidRPr="007819ED" w:rsidRDefault="007819ED" w:rsidP="007819ED">
      <w:pPr>
        <w:numPr>
          <w:ilvl w:val="0"/>
          <w:numId w:val="3"/>
        </w:numPr>
        <w:jc w:val="both"/>
      </w:pPr>
      <w:r w:rsidRPr="007819ED">
        <w:t xml:space="preserve">execution </w:t>
      </w:r>
      <w:r w:rsidRPr="007819ED">
        <w:rPr>
          <w:b/>
          <w:bCs/>
        </w:rPr>
        <w:t>preserved</w:t>
      </w:r>
      <w:r w:rsidRPr="007819ED">
        <w:t xml:space="preserve"> (the consolidated programme runs);</w:t>
      </w:r>
    </w:p>
    <w:p w14:paraId="2757F3BB" w14:textId="79327395" w:rsidR="007819ED" w:rsidRPr="007819ED" w:rsidRDefault="007819ED" w:rsidP="007819ED">
      <w:pPr>
        <w:numPr>
          <w:ilvl w:val="0"/>
          <w:numId w:val="3"/>
        </w:numPr>
        <w:jc w:val="both"/>
      </w:pPr>
      <w:r w:rsidRPr="007819ED">
        <w:t xml:space="preserve">uncertified — the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rsidRPr="007819ED">
        <w:t>gate is offline, so behaviour is *inappropriate to context*;</w:t>
      </w:r>
    </w:p>
    <w:p w14:paraId="742E0BB8" w14:textId="77777777" w:rsidR="007819ED" w:rsidRPr="007819ED" w:rsidRDefault="007819ED" w:rsidP="007819ED">
      <w:pPr>
        <w:numPr>
          <w:ilvl w:val="0"/>
          <w:numId w:val="3"/>
        </w:numPr>
        <w:jc w:val="both"/>
      </w:pPr>
      <w:r w:rsidRPr="007819ED">
        <w:rPr>
          <w:b/>
          <w:bCs/>
        </w:rPr>
        <w:t>inflexible</w:t>
      </w:r>
      <w:r w:rsidRPr="007819ED">
        <w:t xml:space="preserve"> — no cortical recombination, so </w:t>
      </w:r>
      <w:r w:rsidRPr="007819ED">
        <w:rPr>
          <w:i/>
          <w:iCs/>
        </w:rPr>
        <w:t>stereotyped and perseverative</w:t>
      </w:r>
      <w:r w:rsidRPr="007819ED">
        <w:t>, open-loop;</w:t>
      </w:r>
    </w:p>
    <w:p w14:paraId="25849A4A" w14:textId="77777777" w:rsidR="007819ED" w:rsidRPr="007819ED" w:rsidRDefault="007819ED" w:rsidP="007819ED">
      <w:pPr>
        <w:numPr>
          <w:ilvl w:val="0"/>
          <w:numId w:val="3"/>
        </w:numPr>
        <w:jc w:val="both"/>
      </w:pPr>
      <w:r w:rsidRPr="007819ED">
        <w:rPr>
          <w:b/>
          <w:bCs/>
        </w:rPr>
        <w:t>unaware and unremembered</w:t>
      </w:r>
      <w:r w:rsidRPr="007819ED">
        <w:t xml:space="preserve"> — the encoding gate is offline, so the agent is </w:t>
      </w:r>
      <w:r w:rsidRPr="007819ED">
        <w:rPr>
          <w:i/>
          <w:iCs/>
        </w:rPr>
        <w:t>amnestic</w:t>
      </w:r>
      <w:r w:rsidRPr="007819ED">
        <w:t xml:space="preserve"> to it;</w:t>
      </w:r>
    </w:p>
    <w:p w14:paraId="6B1FD9E1" w14:textId="77777777" w:rsidR="007819ED" w:rsidRPr="007819ED" w:rsidRDefault="007819ED" w:rsidP="007819ED">
      <w:pPr>
        <w:numPr>
          <w:ilvl w:val="0"/>
          <w:numId w:val="3"/>
        </w:numPr>
        <w:jc w:val="both"/>
      </w:pPr>
      <w:r w:rsidRPr="007819ED">
        <w:rPr>
          <w:b/>
          <w:bCs/>
        </w:rPr>
        <w:t>bounded</w:t>
      </w:r>
      <w:r w:rsidRPr="007819ED">
        <w:t xml:space="preserve"> — the output cone is physical and cortex-independent, so even an uncertified, unaware behaviour </w:t>
      </w:r>
      <w:r w:rsidRPr="007819ED">
        <w:rPr>
          <w:i/>
          <w:iCs/>
        </w:rPr>
        <w:t>cannot leave the envelope</w:t>
      </w:r>
      <w:r w:rsidRPr="007819ED">
        <w:t>; it is recoverable, not catastrophic;</w:t>
      </w:r>
    </w:p>
    <w:p w14:paraId="3FF67424" w14:textId="77777777" w:rsidR="007819ED" w:rsidRPr="007819ED" w:rsidRDefault="007819ED" w:rsidP="007819ED">
      <w:pPr>
        <w:numPr>
          <w:ilvl w:val="0"/>
          <w:numId w:val="3"/>
        </w:numPr>
        <w:jc w:val="both"/>
      </w:pPr>
      <w:r w:rsidRPr="007819ED">
        <w:rPr>
          <w:b/>
          <w:bCs/>
        </w:rPr>
        <w:t>no new learning</w:t>
      </w:r>
      <w:r w:rsidRPr="007819ED">
        <w:t xml:space="preserve"> — the ascent that discovers and certifies new invariants is exactly what is offline.</w:t>
      </w:r>
    </w:p>
    <w:p w14:paraId="6CD25607" w14:textId="77777777" w:rsidR="007819ED" w:rsidRPr="007819ED" w:rsidRDefault="007819ED" w:rsidP="00DA27B1">
      <w:pPr>
        <w:pStyle w:val="Heading1"/>
      </w:pPr>
      <w:r w:rsidRPr="007819ED">
        <w:t>6. The confirmation, and the falsifier</w:t>
      </w:r>
    </w:p>
    <w:p w14:paraId="5C3B3949" w14:textId="77777777" w:rsidR="007819ED" w:rsidRPr="007819ED" w:rsidRDefault="007819ED" w:rsidP="007819ED">
      <w:pPr>
        <w:jc w:val="both"/>
      </w:pPr>
      <w:r w:rsidRPr="007819ED">
        <w:t xml:space="preserve">This is the textbook description of </w:t>
      </w:r>
      <w:r w:rsidRPr="007819ED">
        <w:rPr>
          <w:b/>
          <w:bCs/>
        </w:rPr>
        <w:t>automatisms in focal impaired-awareness seizures [SUP]</w:t>
      </w:r>
      <w:r w:rsidRPr="007819ED">
        <w:t xml:space="preserve">: "nonpurposeful, stereotyped, and repetitive behaviours," "inappropriate for the situation," with patients "usually amnestic." The behaviours are overlearned motor programmes — oral (lip-smacking, chewing), manual (picking, fumbling), and complex (walking, bicycling). Point for point: the consolidated programme executes (the automatism happens); uncertified ("inappropriate for the situation"); inflexible ("stereotyped and repetitive"); unaware/unremembered ("amnestic," impaired awareness); and — the load-bearing point — </w:t>
      </w:r>
      <w:r w:rsidRPr="007819ED">
        <w:rPr>
          <w:b/>
          <w:bCs/>
        </w:rPr>
        <w:t>bounded</w:t>
      </w:r>
      <w:r w:rsidRPr="007819ED">
        <w:t xml:space="preserve">, because the automatisms stay within the physical envelope: the seizure never commands an out-of-cone force, because the cone is morphological, not cortical. </w:t>
      </w:r>
      <w:r w:rsidRPr="007819ED">
        <w:rPr>
          <w:b/>
          <w:bCs/>
        </w:rPr>
        <w:t>NREM parasomnia (sleepwalking)</w:t>
      </w:r>
      <w:r w:rsidRPr="007819ED">
        <w:t xml:space="preserve"> is the converging case — awareness cortex offline, consolidated programmes running, unaware, amnestic, bounded.</w:t>
      </w:r>
    </w:p>
    <w:p w14:paraId="67119157" w14:textId="1152B81C" w:rsidR="007819ED" w:rsidRPr="007819ED" w:rsidRDefault="007819ED" w:rsidP="007819ED">
      <w:pPr>
        <w:jc w:val="both"/>
      </w:pPr>
      <w:r w:rsidRPr="007819ED">
        <w:t xml:space="preserve">The deepest reading: a seizure pulls the architecture's two layers apart. The *physical bornology* (the muscle cone) holds — bounded, recoverable — while the *cortical certification* (the gate) fails — uncertified, context-blind, unaware. The bound enforced by *morphology* survives the loss of the bound enforced by *computation*. The body keeps you in the envelope; only the cortex could have kept you *appropriate* in it, and that is the part that goes. This matches Paper 2's reading of epilepsy as a non-stationary operating point at which </w:t>
      </w:r>
      <m:oMath>
        <m:r>
          <w:rPr>
            <w:rFonts w:ascii="Cambria Math" w:hAnsi="Cambria Math"/>
          </w:rPr>
          <m:t>F</m:t>
        </m:r>
      </m:oMath>
      <w:r w:rsidRPr="007819ED">
        <w:t xml:space="preserve">remains a functor: the filtration still runs (the readout executes), but its operating point is disrupted (certification fails). Automatisms are </w:t>
      </w:r>
      <m:oMath>
        <m:r>
          <w:rPr>
            <w:rFonts w:ascii="Cambria Math" w:hAnsi="Cambria Math"/>
          </w:rPr>
          <m:t>F</m:t>
        </m:r>
      </m:oMath>
      <w:r w:rsidRPr="007819ED">
        <w:t>running without a stationary gate.</w:t>
      </w:r>
    </w:p>
    <w:p w14:paraId="28019F0F" w14:textId="77777777" w:rsidR="007819ED" w:rsidRPr="007819ED" w:rsidRDefault="007819ED" w:rsidP="007819ED">
      <w:pPr>
        <w:jc w:val="both"/>
      </w:pPr>
      <w:r w:rsidRPr="007819ED">
        <w:rPr>
          <w:b/>
          <w:bCs/>
        </w:rPr>
        <w:t>The falsifier</w:t>
      </w:r>
      <w:r w:rsidRPr="007819ED">
        <w:t xml:space="preserve">, stated plainly: cortex-offline behaviour that is </w:t>
      </w:r>
      <w:r w:rsidRPr="007819ED">
        <w:rPr>
          <w:i/>
          <w:iCs/>
        </w:rPr>
        <w:t>novel and flexibly adapted</w:t>
      </w:r>
      <w:r w:rsidRPr="007819ED">
        <w:t xml:space="preserve"> (rather than consolidated and stereotyped), or that </w:t>
      </w:r>
      <w:r w:rsidRPr="007819ED">
        <w:rPr>
          <w:i/>
          <w:iCs/>
        </w:rPr>
        <w:t>leaves the physical envelope</w:t>
      </w:r>
      <w:r w:rsidRPr="007819ED">
        <w:t>, would break the prediction. Neither is what automatisms show.</w:t>
      </w:r>
    </w:p>
    <w:p w14:paraId="613FBDDE" w14:textId="77777777" w:rsidR="007819ED" w:rsidRPr="007819ED" w:rsidRDefault="007819ED" w:rsidP="00DA27B1">
      <w:pPr>
        <w:pStyle w:val="Heading1"/>
      </w:pPr>
      <w:r w:rsidRPr="007819ED">
        <w:t>7. Two honest edges</w:t>
      </w:r>
    </w:p>
    <w:p w14:paraId="6563C90F" w14:textId="0A7289B6" w:rsidR="007819ED" w:rsidRPr="007819ED" w:rsidRDefault="007819ED" w:rsidP="007819ED">
      <w:pPr>
        <w:jc w:val="both"/>
      </w:pPr>
      <w:r w:rsidRPr="007819ED">
        <w:rPr>
          <w:b/>
          <w:bCs/>
        </w:rPr>
        <w:t xml:space="preserve">Catastrophic forgetting is reduced and </w:t>
      </w:r>
      <w:r w:rsidRPr="007819ED">
        <w:rPr>
          <w:b/>
          <w:bCs/>
          <w:i/>
          <w:iCs/>
        </w:rPr>
        <w:t>relocated</w:t>
      </w:r>
      <w:r w:rsidRPr="007819ED">
        <w:rPr>
          <w:b/>
          <w:bCs/>
        </w:rPr>
        <w:t>, not cured.</w:t>
      </w:r>
      <w:r w:rsidRPr="007819ED">
        <w:t xml:space="preserve"> Freezing </w:t>
      </w:r>
      <m:oMath>
        <m:r>
          <m:rPr>
            <m:sty m:val="p"/>
          </m:rPr>
          <w:rPr>
            <w:rFonts w:ascii="Cambria Math" w:hAnsi="Cambria Math"/>
          </w:rPr>
          <m:t>Φ</m:t>
        </m:r>
      </m:oMath>
      <w:r w:rsidRPr="007819ED">
        <w:t xml:space="preserve">removes representational drift — old features do not move — which genuinely mitigates forgetting. But the learned </w:t>
      </w:r>
      <m:oMath>
        <m:r>
          <w:rPr>
            <w:rFonts w:ascii="Cambria Math" w:hAnsi="Cambria Math"/>
          </w:rPr>
          <m:t>M</m:t>
        </m:r>
      </m:oMath>
      <w:r w:rsidRPr="007819ED">
        <w:t xml:space="preserve">can still be </w:t>
      </w:r>
      <w:r w:rsidRPr="007819ED">
        <w:lastRenderedPageBreak/>
        <w:t>overwritten by a new task; forgetting is pushed from the frozen features into the readout, where it needs other handling (orthogonal readout subspaces, replay, regularization). The firewall helps; it does not finish the job.</w:t>
      </w:r>
    </w:p>
    <w:p w14:paraId="4025355E" w14:textId="77777777" w:rsidR="007819ED" w:rsidRPr="007819ED" w:rsidRDefault="007819ED" w:rsidP="007819ED">
      <w:pPr>
        <w:jc w:val="both"/>
      </w:pPr>
      <w:r w:rsidRPr="007819ED">
        <w:rPr>
          <w:b/>
          <w:bCs/>
        </w:rPr>
        <w:t>"Cortex unavailable" is approximate.</w:t>
      </w:r>
      <w:r w:rsidRPr="007819ED">
        <w:t xml:space="preserve"> Focal impaired-awareness seizures disrupt the awareness/certification networks (temporal-limbic and the consciousness network) while sparing motor execution; they are not a clean cortical ablation, and seizure type changes the </w:t>
      </w:r>
      <w:r w:rsidRPr="007819ED">
        <w:rPr>
          <w:i/>
          <w:iCs/>
        </w:rPr>
        <w:t>flavour</w:t>
      </w:r>
      <w:r w:rsidRPr="007819ED">
        <w:t xml:space="preserve"> of the automatism (temporal → oroalimentary/manual; frontal → hypermotor) without changing the signature (bounded, uncertified, unaware).</w:t>
      </w:r>
    </w:p>
    <w:p w14:paraId="6E7D26B8" w14:textId="3E72FD7C" w:rsidR="007819ED" w:rsidRPr="007819ED" w:rsidRDefault="007819ED" w:rsidP="00DA27B1">
      <w:pPr>
        <w:pStyle w:val="Heading1"/>
      </w:pPr>
      <w:r w:rsidRPr="007819ED">
        <w:t>8. Tiering ledger</w:t>
      </w:r>
      <w:r w:rsidR="00DA27B1">
        <w:tab/>
      </w:r>
    </w:p>
    <w:p w14:paraId="52435D4D" w14:textId="648BBE0A" w:rsidR="007819ED" w:rsidRPr="007819ED" w:rsidRDefault="007819ED" w:rsidP="007819ED">
      <w:pPr>
        <w:jc w:val="both"/>
      </w:pPr>
      <w:r w:rsidRPr="007819ED">
        <w:t xml:space="preserve">`[LB]` — the boundedness and Lipschitz-certified-radius mathematics; the echo-state property; the cone as a physically-unbreakable bound. `[SUP]` — muscle synergies as non-negative combinations of fixed generators; the subcortical locus of synergy primitives and the cortical role in learning/combining/certifying; the clinical phenomenology of automatisms; the non-Lipschitz character of dot-product attention. `[CAND]` — the identification of the cortical contribution with the certification gate, the cerebellar/reservoir reading of </w:t>
      </w:r>
      <m:oMath>
        <m:r>
          <m:rPr>
            <m:sty m:val="p"/>
          </m:rPr>
          <w:rPr>
            <w:rFonts w:ascii="Cambria Math" w:hAnsi="Cambria Math"/>
          </w:rPr>
          <m:t>Φ</m:t>
        </m:r>
      </m:oMath>
      <w:r w:rsidRPr="007819ED">
        <w:t>, and the muscle cone with the physical bornology. `[established correction]` — *not* adversarial immunity; catastrophic forgetting reduced and relocated, not cured. The honest center of gravity: a `[CAND]` architecture built on `[LB]` bounds and `[SUP]` biology, whose one sharp empirical claim — that taking the learner offline leaves bounded-but-uncertified execution — is `[SUP]`-confirmed by automatisms and carries an explicit falsifier.</w:t>
      </w:r>
    </w:p>
    <w:p w14:paraId="4597CCA2" w14:textId="77777777" w:rsidR="007819ED" w:rsidRPr="007819ED" w:rsidRDefault="007819ED" w:rsidP="00DA27B1">
      <w:pPr>
        <w:pStyle w:val="Heading1"/>
      </w:pPr>
      <w:r w:rsidRPr="007819ED">
        <w:t>Bibliography</w:t>
      </w:r>
    </w:p>
    <w:p w14:paraId="6B924096" w14:textId="77777777" w:rsidR="007819ED" w:rsidRPr="007819ED" w:rsidRDefault="007819ED" w:rsidP="00DA27B1">
      <w:pPr>
        <w:pStyle w:val="Heading2"/>
      </w:pPr>
      <w:r w:rsidRPr="007819ED">
        <w:t>Bounds and robustness.</w:t>
      </w:r>
    </w:p>
    <w:p w14:paraId="2B85BA30" w14:textId="02E04EFB" w:rsidR="004B1908" w:rsidRDefault="000131B6" w:rsidP="007819ED">
      <w:pPr>
        <w:numPr>
          <w:ilvl w:val="0"/>
          <w:numId w:val="4"/>
        </w:numPr>
        <w:jc w:val="both"/>
      </w:pPr>
      <w:r w:rsidRPr="007819ED">
        <w:t>Jaeger (20</w:t>
      </w:r>
      <w:r>
        <w:t>1</w:t>
      </w:r>
      <w:r w:rsidRPr="007819ED">
        <w:t>0)</w:t>
      </w:r>
      <w:r>
        <w:t>.</w:t>
      </w:r>
      <w:r>
        <w:t xml:space="preserve"> </w:t>
      </w:r>
      <w:r w:rsidRPr="000131B6">
        <w:t>The “echo state” approach to analysing and training recurrent neural networks– with an Erratum note</w:t>
      </w:r>
      <w:r w:rsidR="004B1908">
        <w:t xml:space="preserve"> </w:t>
      </w:r>
      <w:hyperlink r:id="rId9" w:history="1">
        <w:r w:rsidR="004B1908" w:rsidRPr="000F6E42">
          <w:rPr>
            <w:rStyle w:val="Hyperlink"/>
          </w:rPr>
          <w:t>https://www.ai.rug.nl/minds/uploads/EchoStatesTechRep.pdf</w:t>
        </w:r>
      </w:hyperlink>
      <w:r w:rsidR="004B1908">
        <w:t xml:space="preserve"> </w:t>
      </w:r>
    </w:p>
    <w:p w14:paraId="055E42A5" w14:textId="79902FC6" w:rsidR="004B1908" w:rsidRDefault="004B1908" w:rsidP="007819ED">
      <w:pPr>
        <w:numPr>
          <w:ilvl w:val="0"/>
          <w:numId w:val="4"/>
        </w:numPr>
        <w:jc w:val="both"/>
      </w:pPr>
      <w:r w:rsidRPr="004B1908">
        <w:t>Manjunath G, Jaeger H. Echo state property linked to an input: exploring a fundamental characteristic of recurrent neural networks. Neural Comput. 2013 Mar;25(3):671-96.</w:t>
      </w:r>
      <w:r>
        <w:t xml:space="preserve"> </w:t>
      </w:r>
      <w:hyperlink r:id="rId10" w:history="1">
        <w:r w:rsidRPr="000F6E42">
          <w:rPr>
            <w:rStyle w:val="Hyperlink"/>
          </w:rPr>
          <w:t>https://doi.org/10.1162/neco_a_00411</w:t>
        </w:r>
      </w:hyperlink>
      <w:r>
        <w:t xml:space="preserve"> </w:t>
      </w:r>
    </w:p>
    <w:p w14:paraId="51E5815B" w14:textId="4FDD69E4" w:rsidR="004B1908" w:rsidRPr="004B1908" w:rsidRDefault="004B1908" w:rsidP="007819ED">
      <w:pPr>
        <w:numPr>
          <w:ilvl w:val="0"/>
          <w:numId w:val="4"/>
        </w:numPr>
        <w:jc w:val="both"/>
      </w:pPr>
      <w:r w:rsidRPr="004B1908">
        <w:t xml:space="preserve">Maass W, Natschläger T, Markram H. Real-time computing without stable states: a new framework for neural computation based on perturbations. Neural Comput. 2002 Nov;14(11):2531-60. </w:t>
      </w:r>
      <w:hyperlink r:id="rId11" w:history="1">
        <w:r w:rsidRPr="000F6E42">
          <w:rPr>
            <w:rStyle w:val="Hyperlink"/>
          </w:rPr>
          <w:t>https://doi.org/10.1162/089976602760407955</w:t>
        </w:r>
      </w:hyperlink>
      <w:r>
        <w:t xml:space="preserve"> </w:t>
      </w:r>
    </w:p>
    <w:p w14:paraId="12F95091" w14:textId="0809D632" w:rsidR="004B1908" w:rsidRDefault="004B1908" w:rsidP="007819ED">
      <w:pPr>
        <w:numPr>
          <w:ilvl w:val="0"/>
          <w:numId w:val="4"/>
        </w:numPr>
        <w:jc w:val="both"/>
      </w:pPr>
      <w:r w:rsidRPr="004B1908">
        <w:t xml:space="preserve">Singh, Pradeep, et al. "Dynamics and Computational Principles of Echo State Networks: A Mathematical Perspective." ArXiv, 2025,  </w:t>
      </w:r>
      <w:hyperlink r:id="rId12" w:history="1">
        <w:r w:rsidRPr="000F6E42">
          <w:rPr>
            <w:rStyle w:val="Hyperlink"/>
          </w:rPr>
          <w:t>https://arxiv.org/abs/2504.11757</w:t>
        </w:r>
      </w:hyperlink>
      <w:r w:rsidRPr="004B1908">
        <w:t>.</w:t>
      </w:r>
      <w:r>
        <w:t xml:space="preserve"> </w:t>
      </w:r>
    </w:p>
    <w:p w14:paraId="6A8AE5D3" w14:textId="2560FF2E" w:rsidR="004B1908" w:rsidRPr="007819ED" w:rsidRDefault="004B1908" w:rsidP="007819ED">
      <w:pPr>
        <w:numPr>
          <w:ilvl w:val="0"/>
          <w:numId w:val="4"/>
        </w:numPr>
        <w:jc w:val="both"/>
      </w:pPr>
      <w:r w:rsidRPr="004B1908">
        <w:t xml:space="preserve">Yildiz, Izzet B., et al. "Re-visiting the Echo State Property." Neural Networks, vol. 35, 2012, pp. 1-9,  </w:t>
      </w:r>
      <w:hyperlink r:id="rId13" w:history="1">
        <w:r w:rsidRPr="000F6E42">
          <w:rPr>
            <w:rStyle w:val="Hyperlink"/>
          </w:rPr>
          <w:t>https://doi.org/10.1016/j.neunet.2012.07.005</w:t>
        </w:r>
      </w:hyperlink>
      <w:r w:rsidRPr="004B1908">
        <w:t>.</w:t>
      </w:r>
      <w:r>
        <w:t xml:space="preserve"> </w:t>
      </w:r>
    </w:p>
    <w:p w14:paraId="42297906" w14:textId="00A2F9A8" w:rsidR="000131B6" w:rsidRDefault="000131B6" w:rsidP="007819ED">
      <w:pPr>
        <w:numPr>
          <w:ilvl w:val="0"/>
          <w:numId w:val="4"/>
        </w:numPr>
        <w:jc w:val="both"/>
      </w:pPr>
      <w:r w:rsidRPr="000131B6">
        <w:t xml:space="preserve">Geuchen, Paul, et al. "Upper and Lower Bounds for the Lipschitz Constant of Random Neural Networks." ArXiv, 2023,  </w:t>
      </w:r>
      <w:hyperlink r:id="rId14" w:history="1">
        <w:r w:rsidRPr="000F6E42">
          <w:rPr>
            <w:rStyle w:val="Hyperlink"/>
          </w:rPr>
          <w:t>https://arxiv.org/abs/2311.01356</w:t>
        </w:r>
      </w:hyperlink>
      <w:r w:rsidRPr="000131B6">
        <w:t>.</w:t>
      </w:r>
    </w:p>
    <w:p w14:paraId="5E7F672B" w14:textId="3F5CCC65" w:rsidR="000131B6" w:rsidRPr="007819ED" w:rsidRDefault="000131B6" w:rsidP="007819ED">
      <w:pPr>
        <w:numPr>
          <w:ilvl w:val="0"/>
          <w:numId w:val="4"/>
        </w:numPr>
        <w:jc w:val="both"/>
      </w:pPr>
      <w:r w:rsidRPr="000131B6">
        <w:t xml:space="preserve">Meunier, Laurent, et al. "A Dynamical System Perspective for Lipschitz Neural Networks." ArXiv, 2021,  </w:t>
      </w:r>
      <w:hyperlink r:id="rId15" w:history="1">
        <w:r w:rsidRPr="000F6E42">
          <w:rPr>
            <w:rStyle w:val="Hyperlink"/>
          </w:rPr>
          <w:t>https://arxiv.org/abs/2110.12690</w:t>
        </w:r>
      </w:hyperlink>
      <w:r>
        <w:t xml:space="preserve">. </w:t>
      </w:r>
    </w:p>
    <w:p w14:paraId="27A163F5" w14:textId="008F0A6E" w:rsidR="000131B6" w:rsidRDefault="000131B6" w:rsidP="007819ED">
      <w:pPr>
        <w:numPr>
          <w:ilvl w:val="0"/>
          <w:numId w:val="4"/>
        </w:numPr>
        <w:jc w:val="both"/>
      </w:pPr>
      <w:r w:rsidRPr="000131B6">
        <w:lastRenderedPageBreak/>
        <w:t xml:space="preserve">Cohen, Jeremy M., et al. "Certified Adversarial Robustness via Randomized Smoothing." ArXiv, 2019,  </w:t>
      </w:r>
      <w:hyperlink r:id="rId16" w:history="1">
        <w:r w:rsidRPr="000F6E42">
          <w:rPr>
            <w:rStyle w:val="Hyperlink"/>
          </w:rPr>
          <w:t>https://arxiv.org/abs/1902.02918</w:t>
        </w:r>
      </w:hyperlink>
      <w:r w:rsidRPr="000131B6">
        <w:t>.</w:t>
      </w:r>
      <w:r>
        <w:t xml:space="preserve"> </w:t>
      </w:r>
    </w:p>
    <w:p w14:paraId="04FBA52D" w14:textId="3F7D122A" w:rsidR="007819ED" w:rsidRPr="000131B6" w:rsidRDefault="000131B6" w:rsidP="000131B6">
      <w:pPr>
        <w:numPr>
          <w:ilvl w:val="0"/>
          <w:numId w:val="4"/>
        </w:numPr>
        <w:jc w:val="both"/>
      </w:pPr>
      <w:r w:rsidRPr="000131B6">
        <w:t xml:space="preserve">Tsuzuku, Yusuke, et al. "Lipschitz-Margin Training: Scalable Certification of Perturbation Invariance for Deep Neural Networks." ArXiv, 2018,  </w:t>
      </w:r>
      <w:hyperlink r:id="rId17" w:history="1">
        <w:r w:rsidRPr="000F6E42">
          <w:rPr>
            <w:rStyle w:val="Hyperlink"/>
          </w:rPr>
          <w:t>https://arxiv.org/abs/1802.04034</w:t>
        </w:r>
      </w:hyperlink>
      <w:r w:rsidRPr="000131B6">
        <w:t>.</w:t>
      </w:r>
      <w:r>
        <w:t xml:space="preserve"> </w:t>
      </w:r>
    </w:p>
    <w:p w14:paraId="162FCCE5" w14:textId="39AE3026" w:rsidR="000131B6" w:rsidRDefault="000131B6" w:rsidP="007819ED">
      <w:pPr>
        <w:numPr>
          <w:ilvl w:val="0"/>
          <w:numId w:val="4"/>
        </w:numPr>
        <w:jc w:val="both"/>
      </w:pPr>
      <w:r w:rsidRPr="000131B6">
        <w:t xml:space="preserve">Gupta, Kavya, and Sagar Verma. "CertViT: Certified Robustness of Pre-Trained Vision Transformers." ArXiv, 2023,  </w:t>
      </w:r>
      <w:hyperlink r:id="rId18" w:history="1">
        <w:r w:rsidRPr="000F6E42">
          <w:rPr>
            <w:rStyle w:val="Hyperlink"/>
          </w:rPr>
          <w:t>https://arxiv.org/abs/2302.10287</w:t>
        </w:r>
      </w:hyperlink>
      <w:r w:rsidRPr="000131B6">
        <w:t>.</w:t>
      </w:r>
      <w:r>
        <w:t xml:space="preserve"> </w:t>
      </w:r>
    </w:p>
    <w:p w14:paraId="16346FA4" w14:textId="79E626B3" w:rsidR="000131B6" w:rsidRPr="007819ED" w:rsidRDefault="000131B6" w:rsidP="007819ED">
      <w:pPr>
        <w:numPr>
          <w:ilvl w:val="0"/>
          <w:numId w:val="4"/>
        </w:numPr>
        <w:jc w:val="both"/>
      </w:pPr>
      <w:r w:rsidRPr="000131B6">
        <w:t xml:space="preserve">Kim, Hyunjik, et al. "The Lipschitz Constant of Self-Attention." ArXiv, 2020,  </w:t>
      </w:r>
      <w:hyperlink r:id="rId19" w:history="1">
        <w:r w:rsidRPr="000F6E42">
          <w:rPr>
            <w:rStyle w:val="Hyperlink"/>
          </w:rPr>
          <w:t>https://arxiv.org/abs/2006.04710</w:t>
        </w:r>
      </w:hyperlink>
      <w:r w:rsidRPr="000131B6">
        <w:t>.</w:t>
      </w:r>
      <w:r>
        <w:t xml:space="preserve"> </w:t>
      </w:r>
    </w:p>
    <w:p w14:paraId="44FC5869" w14:textId="7E2CD2F8" w:rsidR="007819ED" w:rsidRPr="007819ED" w:rsidRDefault="007819ED" w:rsidP="00DA27B1">
      <w:pPr>
        <w:pStyle w:val="Heading2"/>
      </w:pPr>
      <w:r w:rsidRPr="007819ED">
        <w:t>The output cone.</w:t>
      </w:r>
      <w:r w:rsidR="00DA27B1">
        <w:tab/>
      </w:r>
    </w:p>
    <w:p w14:paraId="60C98009" w14:textId="527682FD" w:rsidR="00FF1124" w:rsidRDefault="00FF1124" w:rsidP="007819ED">
      <w:pPr>
        <w:numPr>
          <w:ilvl w:val="0"/>
          <w:numId w:val="5"/>
        </w:numPr>
        <w:jc w:val="both"/>
      </w:pPr>
      <w:r w:rsidRPr="00FF1124">
        <w:t xml:space="preserve">Alessandro, Cristiano, et al. "Muscle Synergies in Neuroscience and Robotics: From Input-space to Task-space Perspectives." Frontiers in Computational Neuroscience, vol. 7, 2013, p. 43262,  </w:t>
      </w:r>
      <w:hyperlink r:id="rId20" w:history="1">
        <w:r w:rsidRPr="000F6E42">
          <w:rPr>
            <w:rStyle w:val="Hyperlink"/>
          </w:rPr>
          <w:t>https://doi.org/10.3389/fncom.2013.00043</w:t>
        </w:r>
      </w:hyperlink>
      <w:r w:rsidRPr="00FF1124">
        <w:t>.</w:t>
      </w:r>
      <w:r>
        <w:t xml:space="preserve"> </w:t>
      </w:r>
    </w:p>
    <w:p w14:paraId="031A63E7" w14:textId="07692276" w:rsidR="000131B6" w:rsidRPr="000131B6" w:rsidRDefault="000131B6" w:rsidP="007819ED">
      <w:pPr>
        <w:numPr>
          <w:ilvl w:val="0"/>
          <w:numId w:val="5"/>
        </w:numPr>
        <w:jc w:val="both"/>
      </w:pPr>
      <w:r w:rsidRPr="000131B6">
        <w:t xml:space="preserve">Bizzi, Emilio, and Vincent C. K Cheung. "The Neural Origin of Muscle Synergies." Frontiers in Computational Neuroscience, vol. 7, 2013, p. 51,  </w:t>
      </w:r>
      <w:hyperlink r:id="rId21" w:history="1">
        <w:r w:rsidRPr="000F6E42">
          <w:rPr>
            <w:rStyle w:val="Hyperlink"/>
          </w:rPr>
          <w:t>https://doi.org/10.3389/fncom.2013.00051</w:t>
        </w:r>
      </w:hyperlink>
      <w:r w:rsidRPr="000131B6">
        <w:t>.</w:t>
      </w:r>
      <w:r>
        <w:t xml:space="preserve"> </w:t>
      </w:r>
    </w:p>
    <w:p w14:paraId="5F45E621" w14:textId="6132034B" w:rsidR="000131B6" w:rsidRDefault="000131B6" w:rsidP="007819ED">
      <w:pPr>
        <w:numPr>
          <w:ilvl w:val="0"/>
          <w:numId w:val="5"/>
        </w:numPr>
        <w:jc w:val="both"/>
      </w:pPr>
      <w:r w:rsidRPr="000131B6">
        <w:t xml:space="preserve">Burkholder, Thomas J. "Practical Limits on Muscle Synergy Identification by Non-negative Matrix Factorization in Systems with Mechanical Constraints." Medical &amp; Biological Engineering &amp; Computing, vol. 51, 2012, p. 187,  </w:t>
      </w:r>
      <w:hyperlink r:id="rId22" w:history="1">
        <w:r w:rsidRPr="000F6E42">
          <w:rPr>
            <w:rStyle w:val="Hyperlink"/>
          </w:rPr>
          <w:t>https://doi.org/10.1007/s11517-012-0983-8</w:t>
        </w:r>
      </w:hyperlink>
      <w:r w:rsidRPr="000131B6">
        <w:t>.</w:t>
      </w:r>
      <w:r>
        <w:t xml:space="preserve"> </w:t>
      </w:r>
    </w:p>
    <w:p w14:paraId="08AB0508" w14:textId="416C4B8D" w:rsidR="00FF1124" w:rsidRDefault="00FF1124" w:rsidP="007819ED">
      <w:pPr>
        <w:numPr>
          <w:ilvl w:val="0"/>
          <w:numId w:val="5"/>
        </w:numPr>
        <w:jc w:val="both"/>
      </w:pPr>
      <w:r w:rsidRPr="00FF1124">
        <w:t xml:space="preserve">Cheung, Vincent C., et al. "Plasticity of Muscle Synergies through Fractionation and Merging during Development and Training of Human Runners." Nature Communications, vol. 11, no. 1, 2020, p. 4356,  </w:t>
      </w:r>
      <w:hyperlink r:id="rId23" w:history="1">
        <w:r w:rsidRPr="000F6E42">
          <w:rPr>
            <w:rStyle w:val="Hyperlink"/>
          </w:rPr>
          <w:t>https://doi.org/10.1038/s41467-020-18210-4</w:t>
        </w:r>
      </w:hyperlink>
      <w:r w:rsidRPr="00FF1124">
        <w:t>.</w:t>
      </w:r>
      <w:r>
        <w:t xml:space="preserve"> </w:t>
      </w:r>
    </w:p>
    <w:p w14:paraId="2187561C" w14:textId="67796EB0" w:rsidR="004658C0" w:rsidRDefault="004658C0" w:rsidP="007819ED">
      <w:pPr>
        <w:numPr>
          <w:ilvl w:val="0"/>
          <w:numId w:val="5"/>
        </w:numPr>
        <w:jc w:val="both"/>
      </w:pPr>
      <w:r w:rsidRPr="004658C0">
        <w:t xml:space="preserve">K Cheung, Vincent C., et al. "Central and Sensory Contributions to the Activation and Organization of Muscle Synergies during Natural Motor Behaviors." The Journal of Neuroscience, vol. 25, no. 27, 2005, p. 6419,  </w:t>
      </w:r>
      <w:hyperlink r:id="rId24" w:history="1">
        <w:r w:rsidRPr="000F6E42">
          <w:rPr>
            <w:rStyle w:val="Hyperlink"/>
          </w:rPr>
          <w:t>https://doi.org/10.1523/JNEUROSCI.4904-04.2005</w:t>
        </w:r>
      </w:hyperlink>
      <w:r w:rsidRPr="004658C0">
        <w:t>.</w:t>
      </w:r>
      <w:r>
        <w:t xml:space="preserve"> </w:t>
      </w:r>
    </w:p>
    <w:p w14:paraId="0EBE0FA9" w14:textId="46E3B29D" w:rsidR="0072373D" w:rsidRDefault="0072373D" w:rsidP="007819ED">
      <w:pPr>
        <w:numPr>
          <w:ilvl w:val="0"/>
          <w:numId w:val="5"/>
        </w:numPr>
        <w:jc w:val="both"/>
      </w:pPr>
      <w:r w:rsidRPr="0072373D">
        <w:t xml:space="preserve">Chen, Xiaoling, et al. "Muscle Activation Patterns and Muscle Synergies Reflect Different Modes of Coordination during Upper Extremity Movement." Frontiers in Human Neuroscience, vol. 16, 2023, p. 912440,  </w:t>
      </w:r>
      <w:hyperlink r:id="rId25" w:history="1">
        <w:r w:rsidRPr="000F6E42">
          <w:rPr>
            <w:rStyle w:val="Hyperlink"/>
          </w:rPr>
          <w:t>https://doi.org/10.3389/fnhum.2022.912440</w:t>
        </w:r>
      </w:hyperlink>
      <w:r w:rsidRPr="0072373D">
        <w:t>.</w:t>
      </w:r>
      <w:r>
        <w:t xml:space="preserve"> </w:t>
      </w:r>
    </w:p>
    <w:p w14:paraId="0C398720" w14:textId="2B857679" w:rsidR="00434934" w:rsidRDefault="00434934" w:rsidP="007819ED">
      <w:pPr>
        <w:numPr>
          <w:ilvl w:val="0"/>
          <w:numId w:val="5"/>
        </w:numPr>
        <w:jc w:val="both"/>
      </w:pPr>
      <w:r w:rsidRPr="00434934">
        <w:t xml:space="preserve">Chen, Xiaoling, et al. "Muscle Synergy during Wrist Movements Based on Non-Negative Tucker Decomposition." Sensors, vol. 24, no. 10, 2023, p. 3225,  </w:t>
      </w:r>
      <w:hyperlink r:id="rId26" w:history="1">
        <w:r w:rsidRPr="000F6E42">
          <w:rPr>
            <w:rStyle w:val="Hyperlink"/>
          </w:rPr>
          <w:t>https://doi.org/10.3390/s24103225</w:t>
        </w:r>
      </w:hyperlink>
      <w:r w:rsidRPr="00434934">
        <w:t>.</w:t>
      </w:r>
      <w:r>
        <w:t xml:space="preserve"> </w:t>
      </w:r>
    </w:p>
    <w:p w14:paraId="1B4CE81C" w14:textId="198C6792" w:rsidR="001C1E69" w:rsidRDefault="001C1E69" w:rsidP="007819ED">
      <w:pPr>
        <w:numPr>
          <w:ilvl w:val="0"/>
          <w:numId w:val="5"/>
        </w:numPr>
        <w:jc w:val="both"/>
      </w:pPr>
      <w:r w:rsidRPr="001C1E69">
        <w:t xml:space="preserve">Ma, Yehao, et al. "A Novel Muscle Synergy Extraction Method Used for Motor Function Evaluation of Stroke Patients: A Pilot Study." Sensors (Basel, Switzerland), vol. 21, no. 11, 2021, p. 3833,  </w:t>
      </w:r>
      <w:hyperlink r:id="rId27" w:history="1">
        <w:r w:rsidRPr="000F6E42">
          <w:rPr>
            <w:rStyle w:val="Hyperlink"/>
          </w:rPr>
          <w:t>https://doi.org/10.3390/s21113833</w:t>
        </w:r>
      </w:hyperlink>
      <w:r w:rsidRPr="001C1E69">
        <w:t>.</w:t>
      </w:r>
      <w:r>
        <w:t xml:space="preserve"> </w:t>
      </w:r>
    </w:p>
    <w:p w14:paraId="60155145" w14:textId="77777777" w:rsidR="004658C0" w:rsidRPr="000131B6" w:rsidRDefault="004658C0" w:rsidP="004658C0">
      <w:pPr>
        <w:numPr>
          <w:ilvl w:val="0"/>
          <w:numId w:val="5"/>
        </w:numPr>
        <w:jc w:val="both"/>
      </w:pPr>
      <w:r w:rsidRPr="004658C0">
        <w:t xml:space="preserve">Ortega-Auriol, Pablo, et al. "Muscle Synergies Are Associated with Intermuscular Coherence and Cortico-synergy Coherence in an Isometric Upper Limb Task." Experimental Brain Research, vol. 241, no. 11-12, 2023, p. 2627,  </w:t>
      </w:r>
      <w:hyperlink r:id="rId28" w:history="1">
        <w:r w:rsidRPr="000F6E42">
          <w:rPr>
            <w:rStyle w:val="Hyperlink"/>
          </w:rPr>
          <w:t>https://doi.org/10.1007/s00221-023-06706-6</w:t>
        </w:r>
      </w:hyperlink>
      <w:r w:rsidRPr="004658C0">
        <w:t>.</w:t>
      </w:r>
      <w:r>
        <w:t xml:space="preserve"> </w:t>
      </w:r>
    </w:p>
    <w:p w14:paraId="5FED5ADE" w14:textId="7B840237" w:rsidR="0072373D" w:rsidRDefault="0072373D" w:rsidP="007819ED">
      <w:pPr>
        <w:numPr>
          <w:ilvl w:val="0"/>
          <w:numId w:val="5"/>
        </w:numPr>
        <w:jc w:val="both"/>
      </w:pPr>
      <w:r w:rsidRPr="0072373D">
        <w:t xml:space="preserve">Rabbi, Mohammad F., et al. "Non-negative Matrix Factorisation Is the Most Appropriate Method for Extraction of Muscle Synergies in Walking and Running." Scientific Reports, vol. 10, no. 1, 2020, p. 8266,  </w:t>
      </w:r>
      <w:hyperlink r:id="rId29" w:history="1">
        <w:r w:rsidRPr="000F6E42">
          <w:rPr>
            <w:rStyle w:val="Hyperlink"/>
          </w:rPr>
          <w:t>https://doi.org/10.1038/s41598-020-65257-w</w:t>
        </w:r>
      </w:hyperlink>
      <w:r w:rsidRPr="0072373D">
        <w:t>.</w:t>
      </w:r>
      <w:r>
        <w:t xml:space="preserve"> </w:t>
      </w:r>
    </w:p>
    <w:p w14:paraId="7C1B2C8C" w14:textId="6696F4CD" w:rsidR="00FF1124" w:rsidRDefault="00FF1124" w:rsidP="007819ED">
      <w:pPr>
        <w:numPr>
          <w:ilvl w:val="0"/>
          <w:numId w:val="5"/>
        </w:numPr>
        <w:jc w:val="both"/>
      </w:pPr>
      <w:r w:rsidRPr="00FF1124">
        <w:lastRenderedPageBreak/>
        <w:t xml:space="preserve">Young, David R., et al. "Evidence for Shared Neural Information between Muscle Synergies and Corticospinal Efficacy." Scientific Reports, vol. 12, no. 1, 2022, p. 8953,  </w:t>
      </w:r>
      <w:hyperlink r:id="rId30" w:history="1">
        <w:r w:rsidRPr="000F6E42">
          <w:rPr>
            <w:rStyle w:val="Hyperlink"/>
          </w:rPr>
          <w:t>https://doi.org/10.1038/s41598-022-12225-1</w:t>
        </w:r>
      </w:hyperlink>
      <w:r w:rsidRPr="00FF1124">
        <w:t>.</w:t>
      </w:r>
      <w:r>
        <w:t xml:space="preserve"> </w:t>
      </w:r>
    </w:p>
    <w:p w14:paraId="2A29A70F" w14:textId="3FCC2996" w:rsidR="00797586" w:rsidRPr="007819ED" w:rsidRDefault="00797586" w:rsidP="007819ED">
      <w:pPr>
        <w:numPr>
          <w:ilvl w:val="0"/>
          <w:numId w:val="5"/>
        </w:numPr>
        <w:jc w:val="both"/>
      </w:pPr>
      <w:r w:rsidRPr="00797586">
        <w:t xml:space="preserve">Zhao, Kunkun, et al. "Evaluation of Methods for the Extraction of Spatial Muscle Synergies." Frontiers in Neuroscience, vol. 16, 2022, p. 732156,  </w:t>
      </w:r>
      <w:hyperlink r:id="rId31" w:history="1">
        <w:r w:rsidRPr="000F6E42">
          <w:rPr>
            <w:rStyle w:val="Hyperlink"/>
          </w:rPr>
          <w:t>https://doi.org/10.3389/fnins.2022.732156</w:t>
        </w:r>
      </w:hyperlink>
      <w:r w:rsidRPr="00797586">
        <w:t>.</w:t>
      </w:r>
      <w:r>
        <w:t xml:space="preserve"> </w:t>
      </w:r>
    </w:p>
    <w:p w14:paraId="4F256CBD" w14:textId="77777777" w:rsidR="007819ED" w:rsidRPr="007819ED" w:rsidRDefault="007819ED" w:rsidP="00DA27B1">
      <w:pPr>
        <w:pStyle w:val="Heading2"/>
      </w:pPr>
      <w:r w:rsidRPr="007819ED">
        <w:t>Who learns, and the seizure test.</w:t>
      </w:r>
    </w:p>
    <w:p w14:paraId="0106364B" w14:textId="6887A8A7" w:rsidR="004658C0" w:rsidRDefault="004658C0" w:rsidP="007819ED">
      <w:pPr>
        <w:numPr>
          <w:ilvl w:val="0"/>
          <w:numId w:val="6"/>
        </w:numPr>
        <w:jc w:val="both"/>
      </w:pPr>
      <w:r w:rsidRPr="004658C0">
        <w:t xml:space="preserve">C Mizes, Kevin G., et al. "The Role of Motor Cortex in Motor Sequence Execution Depends on Demands for Flexibility." Nature Neuroscience, vol. 27, no. 12, 2024, p. 2466,  </w:t>
      </w:r>
      <w:hyperlink r:id="rId32" w:history="1">
        <w:r w:rsidRPr="000F6E42">
          <w:rPr>
            <w:rStyle w:val="Hyperlink"/>
          </w:rPr>
          <w:t>https://doi.org/10.1038/s41593-024-01792-3</w:t>
        </w:r>
      </w:hyperlink>
      <w:r w:rsidRPr="004658C0">
        <w:t>.</w:t>
      </w:r>
      <w:r>
        <w:t xml:space="preserve"> </w:t>
      </w:r>
    </w:p>
    <w:p w14:paraId="2D2178CE" w14:textId="45590429" w:rsidR="004658C0" w:rsidRDefault="004658C0" w:rsidP="007819ED">
      <w:pPr>
        <w:numPr>
          <w:ilvl w:val="0"/>
          <w:numId w:val="6"/>
        </w:numPr>
        <w:jc w:val="both"/>
      </w:pPr>
      <w:r w:rsidRPr="004658C0">
        <w:t xml:space="preserve">Economo, Michael N., et al. "Learning and Control in Motor Cortex across Cell Types and Scales." The Journal of Neuroscience, vol. 44, no. 40, 2024, p. e1233242024,  </w:t>
      </w:r>
      <w:hyperlink r:id="rId33" w:history="1">
        <w:r w:rsidRPr="000F6E42">
          <w:rPr>
            <w:rStyle w:val="Hyperlink"/>
          </w:rPr>
          <w:t>https://doi.org/10.1523/JNEUROSCI.1233-24.2024</w:t>
        </w:r>
      </w:hyperlink>
      <w:r w:rsidRPr="004658C0">
        <w:t>.</w:t>
      </w:r>
      <w:r>
        <w:t xml:space="preserve"> </w:t>
      </w:r>
    </w:p>
    <w:p w14:paraId="07A37B7E" w14:textId="4C542CC4" w:rsidR="004658C0" w:rsidRPr="007819ED" w:rsidRDefault="004658C0" w:rsidP="007819ED">
      <w:pPr>
        <w:numPr>
          <w:ilvl w:val="0"/>
          <w:numId w:val="6"/>
        </w:numPr>
        <w:jc w:val="both"/>
      </w:pPr>
      <w:r w:rsidRPr="004658C0">
        <w:t xml:space="preserve">Zandvoort, Coen S., et al. "Cortical Contributions to Locomotor Primitives in Toddlers and Adults." IScience, vol. 25, no. 10, 2022, p. 105229,  </w:t>
      </w:r>
      <w:hyperlink r:id="rId34" w:history="1">
        <w:r w:rsidRPr="000F6E42">
          <w:rPr>
            <w:rStyle w:val="Hyperlink"/>
          </w:rPr>
          <w:t>https://doi.org/10.1016/j.isci.2022.105229</w:t>
        </w:r>
      </w:hyperlink>
      <w:r w:rsidRPr="004658C0">
        <w:t>.</w:t>
      </w:r>
      <w:r>
        <w:t xml:space="preserve"> </w:t>
      </w:r>
    </w:p>
    <w:p w14:paraId="2687A81B" w14:textId="705C7C65" w:rsidR="004658C0" w:rsidRPr="004658C0" w:rsidRDefault="004658C0" w:rsidP="007819ED">
      <w:pPr>
        <w:numPr>
          <w:ilvl w:val="0"/>
          <w:numId w:val="6"/>
        </w:numPr>
        <w:jc w:val="both"/>
      </w:pPr>
      <w:r w:rsidRPr="004658C0">
        <w:t xml:space="preserve">Ighodaro ET, Maini K, Arya K, et al. Focal Onset Seizure. [Updated 2023 Sep 24]. In: StatPearls [Internet]. Treasure Island (FL): StatPearls Publishing; 2026 Jan-. Available from: </w:t>
      </w:r>
      <w:hyperlink r:id="rId35" w:history="1">
        <w:r w:rsidRPr="000F6E42">
          <w:rPr>
            <w:rStyle w:val="Hyperlink"/>
          </w:rPr>
          <w:t>https://www.ncbi.nlm.nih.gov/books/NBK500005/</w:t>
        </w:r>
      </w:hyperlink>
      <w:r>
        <w:t xml:space="preserve"> </w:t>
      </w:r>
    </w:p>
    <w:p w14:paraId="6B2DD5DC" w14:textId="15F7538C" w:rsidR="004658C0" w:rsidRPr="007819ED" w:rsidRDefault="004658C0" w:rsidP="007819ED">
      <w:pPr>
        <w:numPr>
          <w:ilvl w:val="0"/>
          <w:numId w:val="6"/>
        </w:numPr>
        <w:jc w:val="both"/>
      </w:pPr>
      <w:r w:rsidRPr="004658C0">
        <w:t xml:space="preserve">Kumar A, Ighodaro ET, Sharma S. Focal Impaired Awareness Seizure. 2024 Mar 19. In: StatPearls [Internet]. Treasure Island (FL): StatPearls Publishing; 2026 Jan–. </w:t>
      </w:r>
      <w:r>
        <w:t xml:space="preserve"> </w:t>
      </w:r>
      <w:hyperlink r:id="rId36" w:history="1">
        <w:r w:rsidRPr="000F6E42">
          <w:rPr>
            <w:rStyle w:val="Hyperlink"/>
          </w:rPr>
          <w:t>https://www.ncbi.nlm.nih.gov/books/NBK519030/</w:t>
        </w:r>
      </w:hyperlink>
      <w:r>
        <w:t xml:space="preserve">  </w:t>
      </w:r>
    </w:p>
    <w:p w14:paraId="027A125A" w14:textId="6812EAF2" w:rsidR="007819ED" w:rsidRPr="007819ED" w:rsidRDefault="007819ED" w:rsidP="00DA27B1">
      <w:pPr>
        <w:pStyle w:val="Heading2"/>
      </w:pPr>
      <w:r w:rsidRPr="007819ED">
        <w:t>This framework.</w:t>
      </w:r>
      <w:r w:rsidR="00DA27B1">
        <w:tab/>
      </w:r>
    </w:p>
    <w:p w14:paraId="3F581223" w14:textId="6ED2C416" w:rsidR="007819ED" w:rsidRDefault="005425C7" w:rsidP="007819ED">
      <w:pPr>
        <w:numPr>
          <w:ilvl w:val="0"/>
          <w:numId w:val="7"/>
        </w:numPr>
        <w:jc w:val="both"/>
      </w:pPr>
      <w:r w:rsidRPr="005425C7">
        <w:t>Ghosh D. P. (2026).</w:t>
      </w:r>
      <w:r>
        <w:t xml:space="preserve"> </w:t>
      </w:r>
      <w:r w:rsidR="007819ED" w:rsidRPr="007819ED">
        <w:rPr>
          <w:i/>
          <w:iCs/>
        </w:rPr>
        <w:t>Proximity, Uniformity, and Provenance</w:t>
      </w:r>
      <w:r w:rsidR="007819ED" w:rsidRPr="007819ED">
        <w:t xml:space="preserve"> (the Transformer with no envelope); </w:t>
      </w:r>
    </w:p>
    <w:p w14:paraId="17E3E906" w14:textId="3796E26D" w:rsidR="007819ED" w:rsidRDefault="005425C7" w:rsidP="007819ED">
      <w:pPr>
        <w:numPr>
          <w:ilvl w:val="0"/>
          <w:numId w:val="7"/>
        </w:numPr>
        <w:jc w:val="both"/>
      </w:pPr>
      <w:r w:rsidRPr="005425C7">
        <w:t>Ghosh D. P. (2026).</w:t>
      </w:r>
      <w:r>
        <w:t xml:space="preserve"> </w:t>
      </w:r>
      <w:r w:rsidR="007819ED" w:rsidRPr="007819ED">
        <w:rPr>
          <w:i/>
          <w:iCs/>
        </w:rPr>
        <w:t>The Hierarchy of Binding</w:t>
      </w:r>
      <w:r w:rsidR="007819ED" w:rsidRPr="007819ED">
        <w:t xml:space="preserve"> (π0.7 Knowledge Insulation); </w:t>
      </w:r>
    </w:p>
    <w:p w14:paraId="66408CB1" w14:textId="122C4C45" w:rsidR="005425C7" w:rsidRDefault="005425C7" w:rsidP="007819ED">
      <w:pPr>
        <w:numPr>
          <w:ilvl w:val="0"/>
          <w:numId w:val="7"/>
        </w:numPr>
        <w:jc w:val="both"/>
      </w:pPr>
      <w:r w:rsidRPr="005425C7">
        <w:t xml:space="preserve">Ghosh D. P. (2026). </w:t>
      </w:r>
      <w:r w:rsidRPr="005425C7">
        <w:t>Inhibit the Average, Inhibit the Tail: A Thalamocortical Theory of Conscious Access, Automatization, and Precision-Misalignment Pathology</w:t>
      </w:r>
      <w:r>
        <w:t xml:space="preserve">, </w:t>
      </w:r>
      <w:hyperlink r:id="rId37" w:history="1">
        <w:r w:rsidRPr="000F6E42">
          <w:rPr>
            <w:rStyle w:val="Hyperlink"/>
          </w:rPr>
          <w:t>https://doi.org/10.13140/RG.2.2.16306.77763</w:t>
        </w:r>
      </w:hyperlink>
    </w:p>
    <w:p w14:paraId="0DE061CD" w14:textId="44AF6961" w:rsidR="005425C7" w:rsidRDefault="005425C7" w:rsidP="007819ED">
      <w:pPr>
        <w:numPr>
          <w:ilvl w:val="0"/>
          <w:numId w:val="7"/>
        </w:numPr>
        <w:jc w:val="both"/>
      </w:pPr>
      <w:r w:rsidRPr="005425C7">
        <w:t>Ghosh D. P. (2026).</w:t>
      </w:r>
      <w:r>
        <w:t xml:space="preserve"> </w:t>
      </w:r>
      <w:r w:rsidRPr="005425C7">
        <w:t>The Geometry of Defensible Action: An Enrichment-Ladder Theory of Certifiable Intelligence, from Cortico-Striatal Gating to the Thalamic Binding of Action, Fear, and Sleep</w:t>
      </w:r>
      <w:r>
        <w:t xml:space="preserve">, </w:t>
      </w:r>
      <w:hyperlink r:id="rId38" w:history="1">
        <w:r w:rsidRPr="000F6E42">
          <w:rPr>
            <w:rStyle w:val="Hyperlink"/>
          </w:rPr>
          <w:t>https://doi.org/10.13140/RG.2.2.24454.54080</w:t>
        </w:r>
      </w:hyperlink>
      <w:r>
        <w:t xml:space="preserve"> </w:t>
      </w:r>
    </w:p>
    <w:p w14:paraId="3F21E754" w14:textId="7B4EFF85" w:rsidR="005425C7" w:rsidRDefault="005425C7" w:rsidP="007819ED">
      <w:pPr>
        <w:numPr>
          <w:ilvl w:val="0"/>
          <w:numId w:val="7"/>
        </w:numPr>
        <w:jc w:val="both"/>
      </w:pPr>
      <w:r w:rsidRPr="005425C7">
        <w:t>Ghosh D. P. (2026).</w:t>
      </w:r>
      <w:r>
        <w:t xml:space="preserve"> </w:t>
      </w:r>
      <w:r w:rsidRPr="005425C7">
        <w:t>The Categorical Foundations of the Thermodynamic-Electric Coupling</w:t>
      </w:r>
      <w:r>
        <w:t xml:space="preserve">, </w:t>
      </w:r>
      <w:hyperlink r:id="rId39" w:history="1">
        <w:r w:rsidRPr="000F6E42">
          <w:rPr>
            <w:rStyle w:val="Hyperlink"/>
          </w:rPr>
          <w:t>https://doi.org/10.13140/RG.2.2.11096.66566</w:t>
        </w:r>
      </w:hyperlink>
      <w:r>
        <w:t xml:space="preserve">. </w:t>
      </w:r>
    </w:p>
    <w:p w14:paraId="6C746F65" w14:textId="1A33BDC8" w:rsidR="00DC1523" w:rsidRPr="005425C7" w:rsidRDefault="005425C7" w:rsidP="007819ED">
      <w:pPr>
        <w:numPr>
          <w:ilvl w:val="0"/>
          <w:numId w:val="7"/>
        </w:numPr>
        <w:jc w:val="both"/>
      </w:pPr>
      <w:r w:rsidRPr="005425C7">
        <w:t>Ghosh D. P. (2026).</w:t>
      </w:r>
      <w:r>
        <w:t xml:space="preserve"> </w:t>
      </w:r>
      <w:r w:rsidRPr="005425C7">
        <w:t>Settling and Traversing: The Cerebellum as a Kernel Machine at the Uniform-Coarse Pivot</w:t>
      </w:r>
      <w:r>
        <w:t xml:space="preserve">, </w:t>
      </w:r>
      <w:hyperlink r:id="rId40" w:history="1">
        <w:r w:rsidRPr="000F6E42">
          <w:rPr>
            <w:rStyle w:val="Hyperlink"/>
          </w:rPr>
          <w:t>https://doi.org/10.13140/RG.2.2.31186.72648</w:t>
        </w:r>
      </w:hyperlink>
      <w:r>
        <w:t xml:space="preserve">. </w:t>
      </w:r>
    </w:p>
    <w:sectPr w:rsidR="00DC1523" w:rsidRPr="00542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F55"/>
    <w:multiLevelType w:val="multilevel"/>
    <w:tmpl w:val="3E9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961EA"/>
    <w:multiLevelType w:val="multilevel"/>
    <w:tmpl w:val="2F1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75181"/>
    <w:multiLevelType w:val="multilevel"/>
    <w:tmpl w:val="003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51D44"/>
    <w:multiLevelType w:val="multilevel"/>
    <w:tmpl w:val="D68C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32D44"/>
    <w:multiLevelType w:val="multilevel"/>
    <w:tmpl w:val="8CF8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424B65"/>
    <w:multiLevelType w:val="multilevel"/>
    <w:tmpl w:val="3300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792885"/>
    <w:multiLevelType w:val="multilevel"/>
    <w:tmpl w:val="4AC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13200">
    <w:abstractNumId w:val="4"/>
  </w:num>
  <w:num w:numId="2" w16cid:durableId="387605397">
    <w:abstractNumId w:val="1"/>
  </w:num>
  <w:num w:numId="3" w16cid:durableId="1923180319">
    <w:abstractNumId w:val="5"/>
  </w:num>
  <w:num w:numId="4" w16cid:durableId="1946576621">
    <w:abstractNumId w:val="0"/>
  </w:num>
  <w:num w:numId="5" w16cid:durableId="2001037763">
    <w:abstractNumId w:val="6"/>
  </w:num>
  <w:num w:numId="6" w16cid:durableId="1401556719">
    <w:abstractNumId w:val="3"/>
  </w:num>
  <w:num w:numId="7" w16cid:durableId="1248885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B14"/>
    <w:rsid w:val="000131B6"/>
    <w:rsid w:val="001C1E69"/>
    <w:rsid w:val="002C3F9C"/>
    <w:rsid w:val="00434934"/>
    <w:rsid w:val="004658C0"/>
    <w:rsid w:val="004B1908"/>
    <w:rsid w:val="005425C7"/>
    <w:rsid w:val="006C78F7"/>
    <w:rsid w:val="0072373D"/>
    <w:rsid w:val="007819ED"/>
    <w:rsid w:val="00797586"/>
    <w:rsid w:val="008701A2"/>
    <w:rsid w:val="008B08B7"/>
    <w:rsid w:val="00997E89"/>
    <w:rsid w:val="00A838AA"/>
    <w:rsid w:val="00B96F90"/>
    <w:rsid w:val="00C24516"/>
    <w:rsid w:val="00D708BC"/>
    <w:rsid w:val="00DA27B1"/>
    <w:rsid w:val="00DC1523"/>
    <w:rsid w:val="00E0129C"/>
    <w:rsid w:val="00E10B14"/>
    <w:rsid w:val="00E927CC"/>
    <w:rsid w:val="00F008CA"/>
    <w:rsid w:val="00F404CD"/>
    <w:rsid w:val="00FF03CD"/>
    <w:rsid w:val="00FF112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FC44"/>
  <w15:chartTrackingRefBased/>
  <w15:docId w15:val="{A721BC30-F412-40CF-A1FB-415B431F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0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B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B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B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0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B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B14"/>
    <w:rPr>
      <w:rFonts w:eastAsiaTheme="majorEastAsia" w:cstheme="majorBidi"/>
      <w:color w:val="272727" w:themeColor="text1" w:themeTint="D8"/>
    </w:rPr>
  </w:style>
  <w:style w:type="paragraph" w:styleId="Title">
    <w:name w:val="Title"/>
    <w:basedOn w:val="Normal"/>
    <w:next w:val="Normal"/>
    <w:link w:val="TitleChar"/>
    <w:uiPriority w:val="10"/>
    <w:qFormat/>
    <w:rsid w:val="00E10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B14"/>
    <w:pPr>
      <w:spacing w:before="160"/>
      <w:jc w:val="center"/>
    </w:pPr>
    <w:rPr>
      <w:i/>
      <w:iCs/>
      <w:color w:val="404040" w:themeColor="text1" w:themeTint="BF"/>
    </w:rPr>
  </w:style>
  <w:style w:type="character" w:customStyle="1" w:styleId="QuoteChar">
    <w:name w:val="Quote Char"/>
    <w:basedOn w:val="DefaultParagraphFont"/>
    <w:link w:val="Quote"/>
    <w:uiPriority w:val="29"/>
    <w:rsid w:val="00E10B14"/>
    <w:rPr>
      <w:i/>
      <w:iCs/>
      <w:color w:val="404040" w:themeColor="text1" w:themeTint="BF"/>
    </w:rPr>
  </w:style>
  <w:style w:type="paragraph" w:styleId="ListParagraph">
    <w:name w:val="List Paragraph"/>
    <w:basedOn w:val="Normal"/>
    <w:uiPriority w:val="34"/>
    <w:qFormat/>
    <w:rsid w:val="00E10B14"/>
    <w:pPr>
      <w:ind w:left="720"/>
      <w:contextualSpacing/>
    </w:pPr>
  </w:style>
  <w:style w:type="character" w:styleId="IntenseEmphasis">
    <w:name w:val="Intense Emphasis"/>
    <w:basedOn w:val="DefaultParagraphFont"/>
    <w:uiPriority w:val="21"/>
    <w:qFormat/>
    <w:rsid w:val="00E10B14"/>
    <w:rPr>
      <w:i/>
      <w:iCs/>
      <w:color w:val="2F5496" w:themeColor="accent1" w:themeShade="BF"/>
    </w:rPr>
  </w:style>
  <w:style w:type="paragraph" w:styleId="IntenseQuote">
    <w:name w:val="Intense Quote"/>
    <w:basedOn w:val="Normal"/>
    <w:next w:val="Normal"/>
    <w:link w:val="IntenseQuoteChar"/>
    <w:uiPriority w:val="30"/>
    <w:qFormat/>
    <w:rsid w:val="00E10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B14"/>
    <w:rPr>
      <w:i/>
      <w:iCs/>
      <w:color w:val="2F5496" w:themeColor="accent1" w:themeShade="BF"/>
    </w:rPr>
  </w:style>
  <w:style w:type="character" w:styleId="IntenseReference">
    <w:name w:val="Intense Reference"/>
    <w:basedOn w:val="DefaultParagraphFont"/>
    <w:uiPriority w:val="32"/>
    <w:qFormat/>
    <w:rsid w:val="00E10B14"/>
    <w:rPr>
      <w:b/>
      <w:bCs/>
      <w:smallCaps/>
      <w:color w:val="2F5496" w:themeColor="accent1" w:themeShade="BF"/>
      <w:spacing w:val="5"/>
    </w:rPr>
  </w:style>
  <w:style w:type="character" w:styleId="Hyperlink">
    <w:name w:val="Hyperlink"/>
    <w:basedOn w:val="DefaultParagraphFont"/>
    <w:uiPriority w:val="99"/>
    <w:unhideWhenUsed/>
    <w:rsid w:val="008701A2"/>
    <w:rPr>
      <w:color w:val="0563C1" w:themeColor="hyperlink"/>
      <w:u w:val="single"/>
    </w:rPr>
  </w:style>
  <w:style w:type="character" w:styleId="UnresolvedMention">
    <w:name w:val="Unresolved Mention"/>
    <w:basedOn w:val="DefaultParagraphFont"/>
    <w:uiPriority w:val="99"/>
    <w:semiHidden/>
    <w:unhideWhenUsed/>
    <w:rsid w:val="004B1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neunet.2012.07.005" TargetMode="External"/><Relationship Id="rId18" Type="http://schemas.openxmlformats.org/officeDocument/2006/relationships/hyperlink" Target="https://arxiv.org/abs/2302.10287" TargetMode="External"/><Relationship Id="rId26" Type="http://schemas.openxmlformats.org/officeDocument/2006/relationships/hyperlink" Target="https://doi.org/10.3390/s24103225" TargetMode="External"/><Relationship Id="rId39" Type="http://schemas.openxmlformats.org/officeDocument/2006/relationships/hyperlink" Target="https://doi.org/10.13140/RG.2.2.11096.66566" TargetMode="External"/><Relationship Id="rId21" Type="http://schemas.openxmlformats.org/officeDocument/2006/relationships/hyperlink" Target="https://doi.org/10.3389/fncom.2013.00051" TargetMode="External"/><Relationship Id="rId34" Type="http://schemas.openxmlformats.org/officeDocument/2006/relationships/hyperlink" Target="https://doi.org/10.1016/j.isci.2022.105229"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rxiv.org/abs/1902.02918" TargetMode="External"/><Relationship Id="rId20" Type="http://schemas.openxmlformats.org/officeDocument/2006/relationships/hyperlink" Target="https://doi.org/10.3389/fncom.2013.00043" TargetMode="External"/><Relationship Id="rId29" Type="http://schemas.openxmlformats.org/officeDocument/2006/relationships/hyperlink" Target="https://doi.org/10.1038/s41598-020-65257-w"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hyperlink" Target="https://doi.org/10.1162/089976602760407955" TargetMode="External"/><Relationship Id="rId24" Type="http://schemas.openxmlformats.org/officeDocument/2006/relationships/hyperlink" Target="https://doi.org/10.1523/JNEUROSCI.4904-04.2005" TargetMode="External"/><Relationship Id="rId32" Type="http://schemas.openxmlformats.org/officeDocument/2006/relationships/hyperlink" Target="https://doi.org/10.1038/s41593-024-01792-3" TargetMode="External"/><Relationship Id="rId37" Type="http://schemas.openxmlformats.org/officeDocument/2006/relationships/hyperlink" Target="https://doi.org/10.13140/RG.2.2.16306.77763" TargetMode="External"/><Relationship Id="rId40" Type="http://schemas.openxmlformats.org/officeDocument/2006/relationships/hyperlink" Target="https://doi.org/10.13140/RG.2.2.31186.72648" TargetMode="External"/><Relationship Id="rId5" Type="http://schemas.openxmlformats.org/officeDocument/2006/relationships/hyperlink" Target="mailto:debiprasadghosh@lntecc.com" TargetMode="External"/><Relationship Id="rId15" Type="http://schemas.openxmlformats.org/officeDocument/2006/relationships/hyperlink" Target="https://arxiv.org/abs/2110.12690" TargetMode="External"/><Relationship Id="rId23" Type="http://schemas.openxmlformats.org/officeDocument/2006/relationships/hyperlink" Target="https://doi.org/10.1038/s41467-020-18210-4" TargetMode="External"/><Relationship Id="rId28" Type="http://schemas.openxmlformats.org/officeDocument/2006/relationships/hyperlink" Target="https://doi.org/10.1007/s00221-023-06706-6" TargetMode="External"/><Relationship Id="rId36" Type="http://schemas.openxmlformats.org/officeDocument/2006/relationships/hyperlink" Target="https://www.ncbi.nlm.nih.gov/books/NBK519030/" TargetMode="External"/><Relationship Id="rId10" Type="http://schemas.openxmlformats.org/officeDocument/2006/relationships/hyperlink" Target="https://doi.org/10.1162/neco_a_00411" TargetMode="External"/><Relationship Id="rId19" Type="http://schemas.openxmlformats.org/officeDocument/2006/relationships/hyperlink" Target="https://arxiv.org/abs/2006.04710" TargetMode="External"/><Relationship Id="rId31" Type="http://schemas.openxmlformats.org/officeDocument/2006/relationships/hyperlink" Target="https://doi.org/10.3389/fnins.2022.732156" TargetMode="External"/><Relationship Id="rId4" Type="http://schemas.openxmlformats.org/officeDocument/2006/relationships/webSettings" Target="webSettings.xml"/><Relationship Id="rId9" Type="http://schemas.openxmlformats.org/officeDocument/2006/relationships/hyperlink" Target="https://www.ai.rug.nl/minds/uploads/EchoStatesTechRep.pdf" TargetMode="External"/><Relationship Id="rId14" Type="http://schemas.openxmlformats.org/officeDocument/2006/relationships/hyperlink" Target="https://arxiv.org/abs/2311.01356" TargetMode="External"/><Relationship Id="rId22" Type="http://schemas.openxmlformats.org/officeDocument/2006/relationships/hyperlink" Target="https://doi.org/10.1007/s11517-012-0983-8" TargetMode="External"/><Relationship Id="rId27" Type="http://schemas.openxmlformats.org/officeDocument/2006/relationships/hyperlink" Target="https://doi.org/10.3390/s21113833" TargetMode="External"/><Relationship Id="rId30" Type="http://schemas.openxmlformats.org/officeDocument/2006/relationships/hyperlink" Target="https://doi.org/10.1038/s41598-022-12225-1" TargetMode="External"/><Relationship Id="rId35" Type="http://schemas.openxmlformats.org/officeDocument/2006/relationships/hyperlink" Target="https://www.ncbi.nlm.nih.gov/books/NBK500005/" TargetMode="External"/><Relationship Id="rId8" Type="http://schemas.openxmlformats.org/officeDocument/2006/relationships/hyperlink" Target="https://doi.org/10.13140/RG.2.2.24318.55369" TargetMode="External"/><Relationship Id="rId3" Type="http://schemas.openxmlformats.org/officeDocument/2006/relationships/settings" Target="settings.xml"/><Relationship Id="rId12" Type="http://schemas.openxmlformats.org/officeDocument/2006/relationships/hyperlink" Target="https://arxiv.org/abs/2504.11757" TargetMode="External"/><Relationship Id="rId17" Type="http://schemas.openxmlformats.org/officeDocument/2006/relationships/hyperlink" Target="https://arxiv.org/abs/1802.04034" TargetMode="External"/><Relationship Id="rId25" Type="http://schemas.openxmlformats.org/officeDocument/2006/relationships/hyperlink" Target="https://doi.org/10.3389/fnhum.2022.912440" TargetMode="External"/><Relationship Id="rId33" Type="http://schemas.openxmlformats.org/officeDocument/2006/relationships/hyperlink" Target="https://doi.org/10.1523/JNEUROSCI.1233-24.2024" TargetMode="External"/><Relationship Id="rId38" Type="http://schemas.openxmlformats.org/officeDocument/2006/relationships/hyperlink" Target="https://doi.org/10.13140/RG.2.2.24454.54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7</Pages>
  <Words>3504</Words>
  <Characters>19976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19</cp:revision>
  <cp:lastPrinted>2026-06-13T06:22:00Z</cp:lastPrinted>
  <dcterms:created xsi:type="dcterms:W3CDTF">2026-06-13T03:59:00Z</dcterms:created>
  <dcterms:modified xsi:type="dcterms:W3CDTF">2026-06-13T06:26:00Z</dcterms:modified>
</cp:coreProperties>
</file>