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AC4C4" w14:textId="225A3B1A" w:rsidR="009F645A" w:rsidRPr="006B4CC5" w:rsidRDefault="009F645A" w:rsidP="009F645A">
      <w:pPr>
        <w:pStyle w:val="Title"/>
        <w:pBdr>
          <w:bottom w:val="single" w:sz="6" w:space="1" w:color="auto"/>
        </w:pBdr>
        <w:rPr>
          <w:rFonts w:asciiTheme="minorHAnsi" w:hAnsiTheme="minorHAnsi"/>
          <w:sz w:val="22"/>
          <w:szCs w:val="22"/>
        </w:rPr>
      </w:pPr>
      <w:r w:rsidRPr="006B4CC5">
        <w:rPr>
          <w:rFonts w:asciiTheme="minorHAnsi" w:hAnsiTheme="minorHAnsi"/>
          <w:sz w:val="22"/>
          <w:szCs w:val="22"/>
        </w:rPr>
        <w:t xml:space="preserve">Manuscript as of </w:t>
      </w:r>
      <w:r>
        <w:rPr>
          <w:rFonts w:asciiTheme="minorHAnsi" w:hAnsiTheme="minorHAnsi"/>
          <w:sz w:val="22"/>
          <w:szCs w:val="22"/>
        </w:rPr>
        <w:t>t</w:t>
      </w:r>
      <w:r w:rsidRPr="009F645A">
        <w:rPr>
          <w:rFonts w:asciiTheme="minorHAnsi" w:hAnsiTheme="minorHAnsi"/>
          <w:sz w:val="22"/>
          <w:szCs w:val="22"/>
        </w:rPr>
        <w:t>he 12th International Day of Yoga (June 21, 2026)</w:t>
      </w:r>
      <w:r>
        <w:rPr>
          <w:rFonts w:asciiTheme="minorHAnsi" w:hAnsiTheme="minorHAnsi"/>
          <w:sz w:val="22"/>
          <w:szCs w:val="22"/>
        </w:rPr>
        <w:t>.</w:t>
      </w:r>
    </w:p>
    <w:p w14:paraId="14007132" w14:textId="700346CE" w:rsidR="00DB05FE" w:rsidRPr="00DB05FE" w:rsidRDefault="00DB05FE" w:rsidP="00DB05FE">
      <w:pPr>
        <w:pStyle w:val="Title"/>
        <w:jc w:val="center"/>
        <w:rPr>
          <w:sz w:val="38"/>
          <w:szCs w:val="38"/>
        </w:rPr>
      </w:pPr>
      <w:r w:rsidRPr="00DB05FE">
        <w:rPr>
          <w:sz w:val="38"/>
          <w:szCs w:val="38"/>
        </w:rPr>
        <w:t>The Direct and Indirect Axes and the Construction AGI Island</w:t>
      </w:r>
      <w:r w:rsidRPr="00DB05FE">
        <w:rPr>
          <w:sz w:val="38"/>
          <w:szCs w:val="38"/>
        </w:rPr>
        <w:t>:</w:t>
      </w:r>
    </w:p>
    <w:p w14:paraId="5547B628" w14:textId="3099B6A4" w:rsidR="00DB05FE" w:rsidRDefault="00DB05FE" w:rsidP="00DB05FE">
      <w:pPr>
        <w:pStyle w:val="Title"/>
        <w:jc w:val="center"/>
        <w:rPr>
          <w:sz w:val="30"/>
          <w:szCs w:val="30"/>
        </w:rPr>
      </w:pPr>
      <w:r w:rsidRPr="00DB05FE">
        <w:rPr>
          <w:sz w:val="30"/>
          <w:szCs w:val="30"/>
        </w:rPr>
        <w:t>Two routes from the mathematics to the architecture, three independent coordinates of audit, and the one domain where signability has institutional teeth</w:t>
      </w:r>
    </w:p>
    <w:p w14:paraId="42D17283" w14:textId="77777777" w:rsidR="00844D1D" w:rsidRDefault="00844D1D" w:rsidP="00844D1D">
      <w:pPr>
        <w:jc w:val="center"/>
      </w:pPr>
      <w:r w:rsidRPr="006B4CC5">
        <w:t xml:space="preserve">Debi Prasad Ghosh, </w:t>
      </w:r>
      <w:hyperlink r:id="rId5" w:history="1">
        <w:r w:rsidRPr="006B4CC5">
          <w:rPr>
            <w:rStyle w:val="Hyperlink"/>
          </w:rPr>
          <w:t>debiprasadghosh@lntecc.com</w:t>
        </w:r>
      </w:hyperlink>
      <w:r>
        <w:t xml:space="preserve"> </w:t>
      </w:r>
      <w:r>
        <w:rPr>
          <w:noProof/>
        </w:rPr>
        <w:drawing>
          <wp:inline distT="0" distB="0" distL="0" distR="0" wp14:anchorId="1AB22D5B" wp14:editId="4082C843">
            <wp:extent cx="133067" cy="133067"/>
            <wp:effectExtent l="0" t="0" r="635" b="635"/>
            <wp:docPr id="1305915393" name="Picture 7">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15393" name="Picture 7">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142530" cy="142530"/>
                    </a:xfrm>
                    <a:prstGeom prst="rect">
                      <a:avLst/>
                    </a:prstGeom>
                    <a:noFill/>
                  </pic:spPr>
                </pic:pic>
              </a:graphicData>
            </a:graphic>
          </wp:inline>
        </w:drawing>
      </w:r>
    </w:p>
    <w:p w14:paraId="7822D444" w14:textId="77777777" w:rsidR="00844D1D" w:rsidRPr="006B4CC5" w:rsidRDefault="00844D1D" w:rsidP="00844D1D">
      <w:pPr>
        <w:jc w:val="center"/>
      </w:pPr>
      <w:r>
        <w:t>CTO, AI &amp;</w:t>
      </w:r>
      <w:r w:rsidRPr="006B4CC5">
        <w:t xml:space="preserve"> Automation</w:t>
      </w:r>
    </w:p>
    <w:p w14:paraId="6B363C3F" w14:textId="77777777" w:rsidR="00844D1D" w:rsidRDefault="00844D1D" w:rsidP="00844D1D">
      <w:pPr>
        <w:tabs>
          <w:tab w:val="center" w:pos="4513"/>
          <w:tab w:val="right" w:pos="9026"/>
        </w:tabs>
      </w:pPr>
      <w:r>
        <w:tab/>
      </w:r>
      <w:r w:rsidRPr="00F5609C">
        <w:t>Engineering Design &amp; Research Center, Larsen &amp; Toubro Construction (M&amp;M) Kolkata, India</w:t>
      </w:r>
    </w:p>
    <w:p w14:paraId="71BA3DA0" w14:textId="5328682D" w:rsidR="00DB05FE" w:rsidRPr="00DB05FE" w:rsidRDefault="00BC2EF3" w:rsidP="00844D1D">
      <w:pPr>
        <w:jc w:val="center"/>
      </w:pPr>
      <w:hyperlink r:id="rId8" w:history="1">
        <w:r w:rsidRPr="002E59B9">
          <w:rPr>
            <w:rStyle w:val="Hyperlink"/>
          </w:rPr>
          <w:t>https://doi.org/10.13140/RG.2.2.26647.53922</w:t>
        </w:r>
      </w:hyperlink>
      <w:r>
        <w:t xml:space="preserve"> </w:t>
      </w:r>
    </w:p>
    <w:p w14:paraId="10DB091B" w14:textId="427541B2" w:rsidR="00DB05FE" w:rsidRDefault="00DB05FE" w:rsidP="00DB05FE">
      <w:pPr>
        <w:jc w:val="both"/>
        <w:rPr>
          <w:i/>
          <w:iCs/>
        </w:rPr>
      </w:pPr>
      <w:r w:rsidRPr="00DB05FE">
        <w:rPr>
          <w:b/>
          <w:bCs/>
          <w:i/>
          <w:iCs/>
        </w:rPr>
        <w:t>Abstract</w:t>
      </w:r>
      <w:r>
        <w:rPr>
          <w:i/>
          <w:iCs/>
        </w:rPr>
        <w:t xml:space="preserve">: </w:t>
      </w:r>
      <w:r w:rsidRPr="00DB05FE">
        <w:rPr>
          <w:i/>
          <w:iCs/>
        </w:rPr>
        <w:t>An organizing note. It names the two routes by which the framework reaches its architecture — the direct route from mathematics to neuroscience, and the indirect route through the failure modes of present AI — and locates Construction AGI as the island where both meet a domain that must produce a signable result. The note carries three corrections to a tempting over-statement of this picture. First, the so-called "Pareto front" of upgrades is not a Pareto front: there is no trade-off surface, and the real structure is three independent, individually necessary coordinates of audit — a minimal spanning set. Second, the indirect axis generates hypotheses about the brain; it does not confirm them, because "current AI lacks X" does not entail "the brain supplies X." Third, Construction AGI is an application of the framework, not an expansion of it, and is strongest when it says so. The note introduces no new load-bearing mathematics: it is a framing of deposited results plus two candidate AI diagnoses.</w:t>
      </w:r>
    </w:p>
    <w:p w14:paraId="6A57EFC8" w14:textId="77777777" w:rsidR="00FE044F" w:rsidRPr="00FE044F" w:rsidRDefault="00FE044F" w:rsidP="00FE044F">
      <w:pPr>
        <w:jc w:val="both"/>
      </w:pPr>
      <w:r w:rsidRPr="00FE044F">
        <w:t>No signature without audit; no audit without cover; no cover without refinement; no intelligence without refusal.</w:t>
      </w:r>
    </w:p>
    <w:p w14:paraId="00720CC3" w14:textId="77777777" w:rsidR="00DB05FE" w:rsidRPr="00DB05FE" w:rsidRDefault="00DB05FE" w:rsidP="00DB05FE">
      <w:pPr>
        <w:pStyle w:val="Heading1"/>
      </w:pPr>
      <w:r w:rsidRPr="00DB05FE">
        <w:t>1. Introduction</w:t>
      </w:r>
    </w:p>
    <w:p w14:paraId="32603C2E" w14:textId="77777777" w:rsidR="00DB05FE" w:rsidRPr="00DB05FE" w:rsidRDefault="00DB05FE" w:rsidP="00DB05FE">
      <w:pPr>
        <w:jc w:val="both"/>
      </w:pPr>
      <w:r w:rsidRPr="00DB05FE">
        <w:t xml:space="preserve">Defensible Intelligence begins from a simple engineering question: when an intelligent system produces a representation, a decision, a drawing, a plan, or an action, </w:t>
      </w:r>
      <w:r w:rsidRPr="00DB05FE">
        <w:rPr>
          <w:b/>
          <w:bCs/>
        </w:rPr>
        <w:t>who signs for its coherence?</w:t>
      </w:r>
      <w:r w:rsidRPr="00DB05FE">
        <w:t xml:space="preserve"> The framework answers this by treating cognition as a local-to-global problem. Local fragments — sensory patches, linguistic claims, motor affordances, memories, rules, constraints, project documents, or site observations — must be glued into a global state before the system can act. But gluing is not automatically legitimate. A system that always binds will bind contradictions as readily as facts; it will produce fluent hallucinations, plausible but unsafe designs, or confident decisions over unresolved conflicts. Defensible intelligence is therefore the capacity to compute when binding is not warranted and to withhold the result. The core operation is not generation, prediction, or optimization alone, but </w:t>
      </w:r>
      <w:r w:rsidRPr="00DB05FE">
        <w:rPr>
          <w:b/>
          <w:bCs/>
        </w:rPr>
        <w:t>audited gluing</w:t>
      </w:r>
      <w:r w:rsidRPr="00DB05FE">
        <w:t>: propose local sections, compare them through restriction maps, compute whether the obstruction to global coherence is trivial at the precision tolerance ε(Π), and refuse or repair when it is not.</w:t>
      </w:r>
    </w:p>
    <w:p w14:paraId="30F1720D" w14:textId="77777777" w:rsidR="00DB05FE" w:rsidRPr="00DB05FE" w:rsidRDefault="00DB05FE" w:rsidP="00DB05FE">
      <w:pPr>
        <w:jc w:val="both"/>
      </w:pPr>
      <w:r w:rsidRPr="00DB05FE">
        <w:t xml:space="preserve">This paper organizes the next stage of that framework by naming two routes from mathematics to architecture. The first is the </w:t>
      </w:r>
      <w:r w:rsidRPr="00DB05FE">
        <w:rPr>
          <w:b/>
          <w:bCs/>
        </w:rPr>
        <w:t>direct axis</w:t>
      </w:r>
      <w:r w:rsidRPr="00DB05FE">
        <w:t xml:space="preserve">, Mathematics → Neuroscience. This is the route already used throughout the Defensible Intelligence series: mathematical structures such as covers, nerves, hypercovers, sheaves, restriction maps, obstruction classes, and precision-gated refusal are read as structural analogues of cortical hierarchy, thalamic routing, corticothalamic feedback, basal-ganglia veto, and neuromodulatory precision. The second is the </w:t>
      </w:r>
      <w:r w:rsidRPr="00DB05FE">
        <w:rPr>
          <w:b/>
          <w:bCs/>
        </w:rPr>
        <w:t>indirect axis</w:t>
      </w:r>
      <w:r w:rsidRPr="00DB05FE">
        <w:t xml:space="preserve">, Mathematics → AI → Neuroscience. This route first diagnoses present AI systems as incomplete fragments of the same </w:t>
      </w:r>
      <w:r w:rsidRPr="00DB05FE">
        <w:lastRenderedPageBreak/>
        <w:t>mathematical architecture, then uses their failure modes to sharpen the biological hypothesis. The Transformer proposes contextual mixtures without refusal; diffusion models iteratively repair samples without certifying gluing; joint-embedding predictive architectures predict latent structure without proving higher-order compatibility. These AI gaps do not prove that the brain implements the missing operations, but they identify candidate operations that any defensible intelligence may need.</w:t>
      </w:r>
    </w:p>
    <w:p w14:paraId="39B12AB0" w14:textId="77777777" w:rsidR="00DB05FE" w:rsidRPr="00DB05FE" w:rsidRDefault="00DB05FE" w:rsidP="00DB05FE">
      <w:pPr>
        <w:jc w:val="both"/>
      </w:pPr>
      <w:r w:rsidRPr="00DB05FE">
        <w:t xml:space="preserve">The paper also corrects an earlier tempting overstatement. The upgrade set discussed here is not properly a Pareto front. A Pareto front is a trade-off surface where improving one objective worsens another. The structure here is different. The framework requires three independent coordinates of audit adequacy: a </w:t>
      </w:r>
      <w:r w:rsidRPr="00DB05FE">
        <w:rPr>
          <w:b/>
          <w:bCs/>
        </w:rPr>
        <w:t>domain coordinate</w:t>
      </w:r>
      <w:r w:rsidRPr="00DB05FE">
        <w:t xml:space="preserve">, a </w:t>
      </w:r>
      <w:r w:rsidRPr="00DB05FE">
        <w:rPr>
          <w:b/>
          <w:bCs/>
        </w:rPr>
        <w:t>cover-adequacy coordinate</w:t>
      </w:r>
      <w:r w:rsidRPr="00DB05FE">
        <w:t xml:space="preserve">, and a </w:t>
      </w:r>
      <w:r w:rsidRPr="00DB05FE">
        <w:rPr>
          <w:b/>
          <w:bCs/>
        </w:rPr>
        <w:t>restriction coordinate</w:t>
      </w:r>
      <w:r w:rsidRPr="00DB05FE">
        <w:t>. Remove the domain coordinate and there is nothing legitimate on which to compute the obstruction; pairwise attention may draw the boundary of a triangle without proving that the triangular face exists. Remove the cover-adequacy coordinate and the system can compute a false zero, clearing a binding only because the cover was too coarse to reveal the contradiction hidden inside an overlap. Remove the restriction coordinate and high-level proposals are never forced to descend against lower evidence. These three coordinates are therefore a minimal spanning set of audit failure modes, not a domination frontier. Two are already deposited in the framework — Hypercovering and Descent for false-zero repair, and the Feedback Abelian Cortex for restriction — while the genuinely new coordinate is Nerve-Attention, which supplies witnessed higher simplices rather than clique-completed pairwise graphs.</w:t>
      </w:r>
    </w:p>
    <w:p w14:paraId="5CBF687B" w14:textId="77777777" w:rsidR="00DB05FE" w:rsidRPr="00DB05FE" w:rsidRDefault="00DB05FE" w:rsidP="00DB05FE">
      <w:pPr>
        <w:jc w:val="both"/>
      </w:pPr>
      <w:r w:rsidRPr="00DB05FE">
        <w:t xml:space="preserve">The final organizing site of the paper is </w:t>
      </w:r>
      <w:r w:rsidRPr="00DB05FE">
        <w:rPr>
          <w:b/>
          <w:bCs/>
        </w:rPr>
        <w:t>Construction AGI</w:t>
      </w:r>
      <w:r w:rsidRPr="00DB05FE">
        <w:t xml:space="preserve">, the practical island where the direct and indirect axes meet. Construction is not introduced here as a new mathematical extension of the framework. It is an application domain with unusually strong institutional force because its outputs must be signed. Drawings, BIM models, design codes, material quantities, schedules, vendor information, contracts, soil reports, method statements, safety constraints, and site observations are not merely data sources; they are local sections that must glue into a signable project state. A wrong but fluent answer is not only an epistemic failure; it is a liability. Construction AGI therefore crystallizes the framework’s central question in its most concrete form: </w:t>
      </w:r>
      <w:r w:rsidRPr="00DB05FE">
        <w:rPr>
          <w:b/>
          <w:bCs/>
        </w:rPr>
        <w:t>who signs, on what cover, after which audit, and with which refusal path still open?</w:t>
      </w:r>
    </w:p>
    <w:p w14:paraId="3618243B" w14:textId="77777777" w:rsidR="00DB05FE" w:rsidRPr="00DB05FE" w:rsidRDefault="00DB05FE" w:rsidP="00DB05FE">
      <w:pPr>
        <w:jc w:val="both"/>
        <w:rPr>
          <w:b/>
          <w:bCs/>
        </w:rPr>
      </w:pPr>
      <w:r w:rsidRPr="00DB05FE">
        <w:rPr>
          <w:b/>
          <w:bCs/>
        </w:rPr>
        <w:t>1.1 Neuroscience motivation</w:t>
      </w:r>
    </w:p>
    <w:p w14:paraId="5732B456" w14:textId="77777777" w:rsidR="00DB05FE" w:rsidRPr="00DB05FE" w:rsidRDefault="00DB05FE" w:rsidP="00DB05FE">
      <w:pPr>
        <w:jc w:val="both"/>
      </w:pPr>
      <w:r w:rsidRPr="00DB05FE">
        <w:t>The neuroscience motivation for this paper is not that the brain literally computes sheaf cohomology, Čech nerves, or hypercovers. The framework’s standing discipline is structural isomorphism, not identity. The claim is that the architecture demanded by the mathematics has plausible biological counterparts: hierarchical proposal, recurrent feedback, thalamic routing, action gating, precision control, and offline repair. The cortex is not a flat pairwise attention matrix. It is a recurrent, laminar, multi-area system in which local activity is repeatedly constrained by larger-scale context and returned through feedback pathways. This supports the idea that perception and cognition require more than pairwise association; they require structured multi-way binding and repeated compatibility checks. Likewise, the thalamus is not merely a passive relay. Higher-order thalamic nuclei participate in routing information between cortical areas, coordinating attention, and regulating which signals become available for integration. This supplies a plausible substrate for the framework’s restriction and refinement operations.</w:t>
      </w:r>
    </w:p>
    <w:p w14:paraId="4F3D3D54" w14:textId="77777777" w:rsidR="00DB05FE" w:rsidRPr="00DB05FE" w:rsidRDefault="00DB05FE" w:rsidP="00DB05FE">
      <w:pPr>
        <w:jc w:val="both"/>
      </w:pPr>
      <w:r w:rsidRPr="00DB05FE">
        <w:t xml:space="preserve">The basal ganglia supply a second motivation. Biological action is not released merely because a representation is present. It is gated. The basal-ganglia circuit can be read structurally as a release/withhold mechanism that decides whether a proposed action or separation has earned the right to proceed. This resembles the framework’s claim that a representation should not be acted upon </w:t>
      </w:r>
      <w:r w:rsidRPr="00DB05FE">
        <w:lastRenderedPageBreak/>
        <w:t>merely because it is generated; it should be released only after the relevant obstruction has vanished or been judged trivial at the current precision. Neuromodulatory systems supply the third motivation. Arousal, uncertainty, attention, stress, and task demand change the strictness with which the system binds or refuses. In framework terms, neuromodulatory tone sets the effective precision ε(Π): high-risk, high-uncertainty, or high-cost contexts tighten the gate, whereas familiar low-risk contexts allow looser binding.</w:t>
      </w:r>
    </w:p>
    <w:p w14:paraId="7B66A38B" w14:textId="77777777" w:rsidR="00DB05FE" w:rsidRPr="00DB05FE" w:rsidRDefault="00DB05FE" w:rsidP="00DB05FE">
      <w:pPr>
        <w:jc w:val="both"/>
      </w:pPr>
      <w:r w:rsidRPr="00DB05FE">
        <w:t>Finally, sleep and offline consolidation motivate the separation between online audit and offline repair. Waking cognition operates under real-time pressure. It cannot always refine every cover, test every overlap, or rebuild every representation. It audits, withholds, tags, and defers. Sleep and offline consolidation then provide a biological analogue of delayed repair: replay, re-coordination, and stabilization of structures that could not be fully resolved online. This supports the paper’s architectural division: online systems should be able to detect and quarantine unresolved obstructions, while offline systems perform the more expensive work of re-covering, re-gluing, and consolidating.</w:t>
      </w:r>
    </w:p>
    <w:p w14:paraId="2B9CF825" w14:textId="77777777" w:rsidR="00DB05FE" w:rsidRPr="00DB05FE" w:rsidRDefault="00DB05FE" w:rsidP="00DB05FE">
      <w:pPr>
        <w:jc w:val="both"/>
        <w:rPr>
          <w:b/>
          <w:bCs/>
        </w:rPr>
      </w:pPr>
      <w:r w:rsidRPr="00DB05FE">
        <w:rPr>
          <w:b/>
          <w:bCs/>
        </w:rPr>
        <w:t>1.2 Literature Survey</w:t>
      </w:r>
    </w:p>
    <w:p w14:paraId="3FE8659A" w14:textId="48A69458" w:rsidR="00DB05FE" w:rsidRPr="00DB05FE" w:rsidRDefault="00DB05FE" w:rsidP="00DB05FE">
      <w:pPr>
        <w:jc w:val="both"/>
      </w:pPr>
      <w:r w:rsidRPr="00DB05FE">
        <w:t>The mathematical background comes from the sheaf-theoretic and topological language of local-to-global consistency. Sheaf theory formalizes how local data over a cover may or may not glue into a global section, and Čech cohomology measures the obstruction to that gluing (</w:t>
      </w:r>
      <w:hyperlink r:id="rId9" w:history="1">
        <w:r w:rsidRPr="006D29E7">
          <w:rPr>
            <w:rStyle w:val="Hyperlink"/>
          </w:rPr>
          <w:t>Bredon, 1997</w:t>
        </w:r>
      </w:hyperlink>
      <w:r w:rsidRPr="00DB05FE">
        <w:t xml:space="preserve">; </w:t>
      </w:r>
      <w:hyperlink r:id="rId10" w:history="1">
        <w:r w:rsidRPr="006D29E7">
          <w:rPr>
            <w:rStyle w:val="Hyperlink"/>
          </w:rPr>
          <w:t>Kashiwara &amp; Schapira, 1990</w:t>
        </w:r>
      </w:hyperlink>
      <w:r w:rsidRPr="00DB05FE">
        <w:t>). The nerve of a cover captures the combinatorial structure of intersections, but the key correction for the present paper is that a clique in a pairwise graph is not automatically a simplex in the nerve: pairwise overlap does not guarantee genuine joint overlap. Hypercovering and cohomological descent extend this logic by showing that a single cover may be too coarse, and that overlaps may themselves need to be covered before the correct cohomological information is recovered (</w:t>
      </w:r>
      <w:hyperlink r:id="rId11" w:history="1">
        <w:r w:rsidRPr="006D29E7">
          <w:rPr>
            <w:rStyle w:val="Hyperlink"/>
          </w:rPr>
          <w:t>Artin, Grothendieck, &amp; Verdier, 1972</w:t>
        </w:r>
      </w:hyperlink>
      <w:r w:rsidRPr="00DB05FE">
        <w:t>). This mathematical tradition supplies the paper’s audit coordinates: witnessed higher simplices, adequate cover refinement, and restriction maps.</w:t>
      </w:r>
    </w:p>
    <w:p w14:paraId="518EADB2" w14:textId="2008A17C" w:rsidR="00DB05FE" w:rsidRPr="00DB05FE" w:rsidRDefault="00DB05FE" w:rsidP="00DB05FE">
      <w:pPr>
        <w:jc w:val="both"/>
      </w:pPr>
      <w:r w:rsidRPr="00DB05FE">
        <w:t>The AI literature supplies the indirect axis. The Transformer introduced self-attention as a powerful mechanism for context-dependent sequence modeling (</w:t>
      </w:r>
      <w:hyperlink r:id="rId12" w:history="1">
        <w:r w:rsidRPr="006D29E7">
          <w:rPr>
            <w:rStyle w:val="Hyperlink"/>
          </w:rPr>
          <w:t>Vaswani et al., 2017</w:t>
        </w:r>
      </w:hyperlink>
      <w:r w:rsidRPr="00DB05FE">
        <w:t>). In the present framework, the Transformer is read as a soft gluing machine: attention forms contextual mixtures, feedforward blocks apply shared transformations, normalization maintains scale, and residual streams preserve provenance. What it lacks is an intrinsic obstruction gate that can withhold incoherent binding. Diffusion models provide a different fragment of the architecture. Nonequilibrium and denoising diffusion models learn to reverse a corruption process and generate plausible samples through iterative refinement (</w:t>
      </w:r>
      <w:hyperlink r:id="rId13" w:history="1">
        <w:r w:rsidRPr="006D29E7">
          <w:rPr>
            <w:rStyle w:val="Hyperlink"/>
          </w:rPr>
          <w:t>Sohl-Dickstein et al., 2015</w:t>
        </w:r>
      </w:hyperlink>
      <w:r w:rsidRPr="00DB05FE">
        <w:t xml:space="preserve">; </w:t>
      </w:r>
      <w:hyperlink r:id="rId14" w:history="1">
        <w:r w:rsidRPr="006D29E7">
          <w:rPr>
            <w:rStyle w:val="Hyperlink"/>
          </w:rPr>
          <w:t>Ho, Jain, &amp; Abbeel, 2020</w:t>
        </w:r>
      </w:hyperlink>
      <w:r w:rsidRPr="00DB05FE">
        <w:t>). In the framework’s terms, diffusion repairs toward plausibility but does not certify that local sections glue into a signed global state. Joint-embedding predictive architectures supply another fragment: they learn latent predictive structure without requiring pixel-level reconstruction, offering a path toward world-model-like abstraction (</w:t>
      </w:r>
      <w:hyperlink r:id="rId15" w:history="1">
        <w:r w:rsidRPr="006D29E7">
          <w:rPr>
            <w:rStyle w:val="Hyperlink"/>
          </w:rPr>
          <w:t>LeCun, 2022</w:t>
        </w:r>
      </w:hyperlink>
      <w:r w:rsidRPr="00DB05FE">
        <w:t xml:space="preserve">; </w:t>
      </w:r>
      <w:hyperlink r:id="rId16" w:history="1">
        <w:r w:rsidRPr="006D29E7">
          <w:rPr>
            <w:rStyle w:val="Hyperlink"/>
          </w:rPr>
          <w:t>Assran et al., 2023</w:t>
        </w:r>
      </w:hyperlink>
      <w:r w:rsidRPr="00DB05FE">
        <w:t>). But latent prediction remains insufficient unless the predicted agreement is tested for higher-order compatibility, cover adequacy, and downward restriction.</w:t>
      </w:r>
    </w:p>
    <w:p w14:paraId="69AA5CF4" w14:textId="2B6DCA9B" w:rsidR="00DB05FE" w:rsidRPr="00DB05FE" w:rsidRDefault="00DB05FE" w:rsidP="00DB05FE">
      <w:pPr>
        <w:jc w:val="both"/>
      </w:pPr>
      <w:r w:rsidRPr="00DB05FE">
        <w:t>The neuroscience literature supplies the direct axis. Distributed hierarchical processing in primate cortex shows that cognition is organized through structured multi-area connectivity rather than a single association graph (</w:t>
      </w:r>
      <w:hyperlink r:id="rId17" w:history="1">
        <w:r w:rsidRPr="006D29E7">
          <w:rPr>
            <w:rStyle w:val="Hyperlink"/>
          </w:rPr>
          <w:t>Felleman &amp; Van Essen, 1991</w:t>
        </w:r>
      </w:hyperlink>
      <w:r w:rsidRPr="00DB05FE">
        <w:t>). Canonical microcircuit accounts emphasize recurrent laminar organization and repeated local computation across cortical areas (</w:t>
      </w:r>
      <w:hyperlink r:id="rId18" w:history="1">
        <w:r w:rsidRPr="006D29E7">
          <w:rPr>
            <w:rStyle w:val="Hyperlink"/>
          </w:rPr>
          <w:t>Douglas &amp; Martin, 2004</w:t>
        </w:r>
      </w:hyperlink>
      <w:r w:rsidRPr="00DB05FE">
        <w:t>). Predictive coding models describe cortical inference as an exchange of predictions and prediction errors across hierarchical levels (</w:t>
      </w:r>
      <w:hyperlink r:id="rId19" w:history="1">
        <w:r w:rsidRPr="006D29E7">
          <w:rPr>
            <w:rStyle w:val="Hyperlink"/>
          </w:rPr>
          <w:t>Rao &amp; Ballard, 1999</w:t>
        </w:r>
      </w:hyperlink>
      <w:r w:rsidRPr="00DB05FE">
        <w:t xml:space="preserve">; </w:t>
      </w:r>
      <w:hyperlink r:id="rId20" w:history="1">
        <w:r w:rsidRPr="006D29E7">
          <w:rPr>
            <w:rStyle w:val="Hyperlink"/>
          </w:rPr>
          <w:t>Friston, 2010</w:t>
        </w:r>
      </w:hyperlink>
      <w:r w:rsidRPr="00DB05FE">
        <w:t xml:space="preserve">), while more detailed </w:t>
      </w:r>
      <w:r w:rsidRPr="00DB05FE">
        <w:lastRenderedPageBreak/>
        <w:t>laminar predictive-processing accounts map feedforward and feedback streams onto distinct cortical pathways (</w:t>
      </w:r>
      <w:hyperlink r:id="rId21" w:history="1">
        <w:r w:rsidRPr="006D29E7">
          <w:rPr>
            <w:rStyle w:val="Hyperlink"/>
          </w:rPr>
          <w:t>Bastos et al., 2012</w:t>
        </w:r>
      </w:hyperlink>
      <w:r w:rsidRPr="00DB05FE">
        <w:t>). Thalamic research further supports the idea that routing and attention are active components of cognition rather than passive relay functions (</w:t>
      </w:r>
      <w:hyperlink r:id="rId22" w:history="1">
        <w:r w:rsidRPr="006D29E7">
          <w:rPr>
            <w:rStyle w:val="Hyperlink"/>
          </w:rPr>
          <w:t>Sherman &amp; Guillery, 2005</w:t>
        </w:r>
      </w:hyperlink>
      <w:r w:rsidRPr="00DB05FE">
        <w:t xml:space="preserve">; </w:t>
      </w:r>
      <w:hyperlink r:id="rId23" w:history="1">
        <w:r w:rsidRPr="006D29E7">
          <w:rPr>
            <w:rStyle w:val="Hyperlink"/>
          </w:rPr>
          <w:t>Saalmann &amp; Kastner, 2011</w:t>
        </w:r>
      </w:hyperlink>
      <w:r w:rsidRPr="00DB05FE">
        <w:t xml:space="preserve">; </w:t>
      </w:r>
      <w:hyperlink r:id="rId24" w:history="1">
        <w:r w:rsidRPr="006D29E7">
          <w:rPr>
            <w:rStyle w:val="Hyperlink"/>
          </w:rPr>
          <w:t>Halassa &amp; Kastner, 2017</w:t>
        </w:r>
      </w:hyperlink>
      <w:r w:rsidRPr="00DB05FE">
        <w:t>). Basal-ganglia models of action selection explain how competing actions are suppressed or released through gated loops (</w:t>
      </w:r>
      <w:hyperlink r:id="rId25" w:history="1">
        <w:r w:rsidRPr="006D29E7">
          <w:rPr>
            <w:rStyle w:val="Hyperlink"/>
          </w:rPr>
          <w:t>Mink, 1996</w:t>
        </w:r>
      </w:hyperlink>
      <w:r w:rsidRPr="00DB05FE">
        <w:t xml:space="preserve">; </w:t>
      </w:r>
      <w:hyperlink r:id="rId26" w:history="1">
        <w:r w:rsidRPr="006D29E7">
          <w:rPr>
            <w:rStyle w:val="Hyperlink"/>
          </w:rPr>
          <w:t>Gurney, Prescott, &amp; Redgrave, 2001</w:t>
        </w:r>
        <w:r w:rsidR="006D29E7" w:rsidRPr="006D29E7">
          <w:rPr>
            <w:rStyle w:val="Hyperlink"/>
          </w:rPr>
          <w:t>a</w:t>
        </w:r>
      </w:hyperlink>
      <w:r w:rsidR="006D29E7">
        <w:t xml:space="preserve">, </w:t>
      </w:r>
      <w:hyperlink r:id="rId27" w:history="1">
        <w:r w:rsidR="006D29E7" w:rsidRPr="006D29E7">
          <w:rPr>
            <w:rStyle w:val="Hyperlink"/>
          </w:rPr>
          <w:t>2001b</w:t>
        </w:r>
      </w:hyperlink>
      <w:r w:rsidRPr="00DB05FE">
        <w:t>). Together, these literatures motivate a brain-like architecture in which proposals are constructed, routed, restricted, gated, and sometimes withheld.</w:t>
      </w:r>
    </w:p>
    <w:p w14:paraId="47BCEDEF" w14:textId="77777777" w:rsidR="00DB05FE" w:rsidRPr="00DB05FE" w:rsidRDefault="00DB05FE" w:rsidP="00DB05FE">
      <w:pPr>
        <w:jc w:val="both"/>
      </w:pPr>
      <w:r w:rsidRPr="00DB05FE">
        <w:t>The construction and engineering motivation comes from the domain of signable action. Engineering practice already distinguishes plausible output from certified output. A design is not accepted merely because it is fluent, elegant, or statistically likely; it must be checked against codes, loads, boundary conditions, safety factors, site constraints, construction methods, vendor realities, and professional responsibility. This makes construction a natural deployment substrate for Defensible Intelligence. Unlike open-ended conversation, construction AGI must produce artifacts that can be reviewed, signed, revised, or rejected. The literature on AI architectures gives the tools; the neuroscience literature gives the structural analogy; the mathematical literature gives the certification grammar. The paper’s task is to align these three without overstating any one of them.</w:t>
      </w:r>
    </w:p>
    <w:p w14:paraId="3600B5E1" w14:textId="77777777" w:rsidR="00DB05FE" w:rsidRPr="00DB05FE" w:rsidRDefault="00DB05FE" w:rsidP="00DB05FE">
      <w:pPr>
        <w:jc w:val="both"/>
        <w:rPr>
          <w:b/>
          <w:bCs/>
        </w:rPr>
      </w:pPr>
      <w:r w:rsidRPr="00DB05FE">
        <w:rPr>
          <w:b/>
          <w:bCs/>
        </w:rPr>
        <w:t>1.3 Paper Contribution</w:t>
      </w:r>
    </w:p>
    <w:p w14:paraId="544E3A3A" w14:textId="77777777" w:rsidR="00DB05FE" w:rsidRPr="00DB05FE" w:rsidRDefault="00DB05FE" w:rsidP="00DB05FE">
      <w:pPr>
        <w:jc w:val="both"/>
      </w:pPr>
      <w:r w:rsidRPr="00DB05FE">
        <w:t xml:space="preserve">This paper makes four contributions. First, it names and distinguishes the </w:t>
      </w:r>
      <w:r w:rsidRPr="00DB05FE">
        <w:rPr>
          <w:b/>
          <w:bCs/>
        </w:rPr>
        <w:t>direct</w:t>
      </w:r>
      <w:r w:rsidRPr="00DB05FE">
        <w:t xml:space="preserve"> and </w:t>
      </w:r>
      <w:r w:rsidRPr="00DB05FE">
        <w:rPr>
          <w:b/>
          <w:bCs/>
        </w:rPr>
        <w:t>indirect</w:t>
      </w:r>
      <w:r w:rsidRPr="00DB05FE">
        <w:t xml:space="preserve"> axes of the framework. The direct axis, Mathematics → Neuroscience, is the framework’s established route: mathematical structure is read as a structural analogue of biological architecture. The indirect axis, Mathematics → AI → Neuroscience, is a hypothesis-generating route: present AI failures identify missing operations that may also clarify what biological cognition must solve. This distinction is important because the indirect axis cannot confirm neuroscience by itself. The fact that current AI lacks refusal, certified higher-order compatibility, or cover adequacy does not prove that the brain implements those operations. It only identifies candidate requirements that must be evaluated through direct-axis evidence and experiment.</w:t>
      </w:r>
    </w:p>
    <w:p w14:paraId="581C9378" w14:textId="77777777" w:rsidR="00DB05FE" w:rsidRPr="00DB05FE" w:rsidRDefault="00DB05FE" w:rsidP="00DB05FE">
      <w:pPr>
        <w:jc w:val="both"/>
      </w:pPr>
      <w:r w:rsidRPr="00DB05FE">
        <w:t xml:space="preserve">Second, the paper corrects the “Pareto front” language and replaces it with the stronger and cleaner concept of a </w:t>
      </w:r>
      <w:r w:rsidRPr="00DB05FE">
        <w:rPr>
          <w:b/>
          <w:bCs/>
        </w:rPr>
        <w:t>three-coordinate audit basis</w:t>
      </w:r>
      <w:r w:rsidRPr="00DB05FE">
        <w:t>. The framework requires a domain coordinate, a cover-adequacy coordinate, and a restriction coordinate. Nerve-Attention closes missing-simplex failure by requiring witnessed higher simplices rather than pairwise cliques. Hypercovering and Descent closes false-zero failure by refining covers whose overlaps hide internal obstruction. The Feedback Abelian Cortex closes restriction failure by treating feedback as the downward comparison of high-level proposals against lower local evidence. These coordinates are independent and individually necessary. Their relation is not trade-off but mutual incompleteness: each solves a failure mode that the other two cannot solve alone.</w:t>
      </w:r>
    </w:p>
    <w:p w14:paraId="5B52389C" w14:textId="77777777" w:rsidR="00DB05FE" w:rsidRPr="00DB05FE" w:rsidRDefault="00DB05FE" w:rsidP="00DB05FE">
      <w:pPr>
        <w:jc w:val="both"/>
      </w:pPr>
      <w:r w:rsidRPr="00DB05FE">
        <w:t>Third, the paper positions Construction AGI as the application island where the two axes meet. From the direct axis, Construction AGI inherits the architecture of audited binding: proposals, restrictions, gates, precision, and offline repair. From the indirect axis, it inherits present AI substrates: Transformers as proposers, diffusion models as iterative repairers, and JEPA-like systems as latent predictors. But the construction system becomes defensible only when these substrates are wrapped inside obstruction-gated refusal and project-level provenance. The distinctive contribution of Construction AGI is not new mathematics but a concrete signability test: every generated drawing, schedule, quantity, method statement, or site decision must be traceable to the cover, audit path, and refusal conditions that licensed it.</w:t>
      </w:r>
    </w:p>
    <w:p w14:paraId="7C52A697" w14:textId="77777777" w:rsidR="00DB05FE" w:rsidRPr="00DB05FE" w:rsidRDefault="00DB05FE" w:rsidP="00DB05FE">
      <w:pPr>
        <w:jc w:val="both"/>
      </w:pPr>
      <w:r w:rsidRPr="00DB05FE">
        <w:lastRenderedPageBreak/>
        <w:t>Fourth, the paper establishes epistemic fences for the upgrade program. It fences structural analogy from identity, AI diagnosis from neuroscience proof, generative diffusion from unrelated reaction-diffusion metaphors, and framework application from framework expansion. These fences are not rhetorical caution; they are part of the framework’s method. A defensible theory must be able to say what it has proved, what it has only proposed, what it borrows from established science, and what remains an open candidate. This paper therefore adds no new load-bearing mathematics. Its contribution is organizational: it clarifies the two axes, relabels the audit front correctly, identifies the one genuinely new audit coordinate, and places Construction AGI in its proper role as a high-value application domain.</w:t>
      </w:r>
    </w:p>
    <w:p w14:paraId="09CDDA9B" w14:textId="77777777" w:rsidR="00DB05FE" w:rsidRPr="00DB05FE" w:rsidRDefault="00DB05FE" w:rsidP="00DB05FE">
      <w:pPr>
        <w:jc w:val="both"/>
        <w:rPr>
          <w:b/>
          <w:bCs/>
        </w:rPr>
      </w:pPr>
      <w:r w:rsidRPr="00DB05FE">
        <w:rPr>
          <w:b/>
          <w:bCs/>
        </w:rPr>
        <w:t>1.4 Paper Structure</w:t>
      </w:r>
    </w:p>
    <w:p w14:paraId="39482794" w14:textId="77777777" w:rsidR="00DB05FE" w:rsidRPr="00DB05FE" w:rsidRDefault="00DB05FE" w:rsidP="00DB05FE">
      <w:pPr>
        <w:jc w:val="both"/>
      </w:pPr>
      <w:r w:rsidRPr="00DB05FE">
        <w:t>The paper is structured in four parts. Section 2 develops the two-axis framing. It defines the direct axis from mathematics to neuroscience and the indirect axis from mathematics through AI to neuroscience. It explains why the direct axis inherits the framework’s structural-isomorphism discipline, and why the indirect axis must remain hypothesis-generating rather than confirmatory. It then diagnoses the three present AI substrates most relevant to the framework: the Transformer as soft gluing without refusal, diffusion as iterative repair without cohomological certification, and JEPA as latent prediction without guaranteed higher-order compatibility.</w:t>
      </w:r>
    </w:p>
    <w:p w14:paraId="2023263E" w14:textId="77777777" w:rsidR="00DB05FE" w:rsidRPr="00DB05FE" w:rsidRDefault="00DB05FE" w:rsidP="00DB05FE">
      <w:pPr>
        <w:jc w:val="both"/>
      </w:pPr>
      <w:r w:rsidRPr="00DB05FE">
        <w:t>Section 3 develops the audit basis. It replaces the language of Pareto optimality with the language of three independent audit coordinates. The section defines missing-simplex failure, false-zero failure, and restriction failure. It then maps these failures to their corresponding architectural remedies: Nerve-Attention for witnessed higher simplices, Hypercovering and Descent for cover adequacy, and Feedback Abelian Cortex for downward restriction. This section also clarifies novelty: Hypercovering and feedback restriction are already deposited in the framework, while Nerve-Attention is the genuinely new coordinate that must be built as its own note.</w:t>
      </w:r>
    </w:p>
    <w:p w14:paraId="7F7EEB51" w14:textId="77777777" w:rsidR="00DB05FE" w:rsidRPr="00DB05FE" w:rsidRDefault="00DB05FE" w:rsidP="00DB05FE">
      <w:pPr>
        <w:jc w:val="both"/>
      </w:pPr>
      <w:r w:rsidRPr="00DB05FE">
        <w:t>Section 4 develops Construction AGI as the island between the two axes. It translates the framework into the construction domain by treating drawings, BIM models, codes, schedules, quantities, vendor data, site observations, contracts, and safety constraints as local sections over a project cover. It shows how the obstruction gate produces the construction verdicts bind, deliberate, refine, and withhold; how project risk can tighten the precision gate; how false-zero failure appears at interdisciplinary seams; and how offline project sleep corresponds to deferred re-gluing of a moving project base. The section emphasizes that Construction AGI applies the framework rather than extending it.</w:t>
      </w:r>
    </w:p>
    <w:p w14:paraId="4316779D" w14:textId="77777777" w:rsidR="00DB05FE" w:rsidRPr="00DB05FE" w:rsidRDefault="00DB05FE" w:rsidP="00DB05FE">
      <w:pPr>
        <w:jc w:val="both"/>
      </w:pPr>
      <w:r w:rsidRPr="00DB05FE">
        <w:t>Section 5 states the tiering, fences, and scope. It identifies which claims are load-bearing, supported, candidate, or framework cross-references. It restates the main fences: the audit basis is not a Pareto front; the indirect axis generates hypotheses rather than confirming neuroscience; generative diffusion must not be confused with reaction-diffusion sleep-pressure models; Construction AGI is an application rather than a new theoretical spine; and biological readings remain structural isomorphisms. The paper closes by identifying the immediate next work: a dedicated Nerve-Attention note, an experimental benchmark for missing-simplex and false-zero failures, and a Construction AGI prototype organized around the question, “who signs, on what cover, after which audit?”</w:t>
      </w:r>
    </w:p>
    <w:p w14:paraId="166267F8" w14:textId="4FB45A3F" w:rsidR="00DB05FE" w:rsidRPr="00DB05FE" w:rsidRDefault="00DB05FE" w:rsidP="00DB05FE">
      <w:pPr>
        <w:pStyle w:val="Heading1"/>
      </w:pPr>
      <w:r>
        <w:t>2</w:t>
      </w:r>
      <w:r w:rsidRPr="00DB05FE">
        <w:t>. The two axes [CAND] / [F]</w:t>
      </w:r>
    </w:p>
    <w:p w14:paraId="583B4F29" w14:textId="77777777" w:rsidR="00DB05FE" w:rsidRPr="00DB05FE" w:rsidRDefault="00DB05FE" w:rsidP="00DB05FE">
      <w:pPr>
        <w:jc w:val="both"/>
      </w:pPr>
      <w:r w:rsidRPr="00DB05FE">
        <w:t>The framework reaches the same architecture by two routes, and naming them clarifies what each can and cannot establish.</w:t>
      </w:r>
    </w:p>
    <w:p w14:paraId="7658CF54" w14:textId="77777777" w:rsidR="00DB05FE" w:rsidRPr="00DB05FE" w:rsidRDefault="00DB05FE" w:rsidP="00DB05FE">
      <w:pPr>
        <w:jc w:val="both"/>
      </w:pPr>
      <w:r w:rsidRPr="00DB05FE">
        <w:rPr>
          <w:b/>
          <w:bCs/>
        </w:rPr>
        <w:lastRenderedPageBreak/>
        <w:t>The direct axis — Mathematics → Neuroscience.</w:t>
      </w:r>
      <w:r w:rsidRPr="00DB05FE">
        <w:t xml:space="preserve"> This reads the mathematical structures — covers, nerves, hypercovers, restriction maps, transition maps, obstruction classes, trust-region steps — as structural analogues of hierarchical recurrent cortex, thalamic routing, corticothalamic feedback, the basal-ganglia veto, and neuromodulatory precision. This is the route the deposited corpus already runs: every published reading in the series is a direct-axis move, offered as a structural isomorphism and not an identity. The direct axis is therefore a faithful </w:t>
      </w:r>
      <w:r w:rsidRPr="00DB05FE">
        <w:rPr>
          <w:i/>
          <w:iCs/>
        </w:rPr>
        <w:t>summary</w:t>
      </w:r>
      <w:r w:rsidRPr="00DB05FE">
        <w:t xml:space="preserve"> of the framework's method, not an extension of it, and it inherits the discipline the corpus already holds — the cortex is read as </w:t>
      </w:r>
      <w:r w:rsidRPr="00DB05FE">
        <w:rPr>
          <w:i/>
          <w:iCs/>
        </w:rPr>
        <w:t>having the structure of</w:t>
      </w:r>
      <w:r w:rsidRPr="00DB05FE">
        <w:t xml:space="preserve"> the mathematics, never as literally computing sheaf cohomology.</w:t>
      </w:r>
    </w:p>
    <w:p w14:paraId="4816B7E3" w14:textId="77777777" w:rsidR="00DB05FE" w:rsidRPr="00DB05FE" w:rsidRDefault="00DB05FE" w:rsidP="00DB05FE">
      <w:pPr>
        <w:jc w:val="both"/>
      </w:pPr>
      <w:r w:rsidRPr="00DB05FE">
        <w:rPr>
          <w:b/>
          <w:bCs/>
        </w:rPr>
        <w:t>The indirect axis — Mathematics → AI → Neuroscience.</w:t>
      </w:r>
      <w:r w:rsidRPr="00DB05FE">
        <w:t xml:space="preserve"> This route first reads present AI systems as incomplete fragments of the same architecture, then uses their failure modes to </w:t>
      </w:r>
      <w:r w:rsidRPr="00DB05FE">
        <w:rPr>
          <w:i/>
          <w:iCs/>
        </w:rPr>
        <w:t>sharpen</w:t>
      </w:r>
      <w:r w:rsidRPr="00DB05FE">
        <w:t xml:space="preserve"> the neuroscientific hypothesis. Three diagnoses:</w:t>
      </w:r>
    </w:p>
    <w:p w14:paraId="2A99485F" w14:textId="77777777" w:rsidR="00DB05FE" w:rsidRPr="00DB05FE" w:rsidRDefault="00DB05FE" w:rsidP="00DB05FE">
      <w:pPr>
        <w:numPr>
          <w:ilvl w:val="0"/>
          <w:numId w:val="1"/>
        </w:numPr>
        <w:jc w:val="both"/>
      </w:pPr>
      <w:r w:rsidRPr="00DB05FE">
        <w:rPr>
          <w:b/>
          <w:bCs/>
        </w:rPr>
        <w:t>The Transformer soft-glues without refusal</w:t>
      </w:r>
      <w:r w:rsidRPr="00DB05FE">
        <w:t xml:space="preserve"> — it builds contextual mixtures by partition-of-unity-like attention, supplies a shared law, maintains the rung, and transports provenance, but computes no obstruction and cannot withhold. This is deposited (the Transformer sheaf reading).</w:t>
      </w:r>
    </w:p>
    <w:p w14:paraId="557A343C" w14:textId="77777777" w:rsidR="00DB05FE" w:rsidRPr="00DB05FE" w:rsidRDefault="00DB05FE" w:rsidP="00DB05FE">
      <w:pPr>
        <w:numPr>
          <w:ilvl w:val="0"/>
          <w:numId w:val="1"/>
        </w:numPr>
        <w:jc w:val="both"/>
      </w:pPr>
      <w:r w:rsidRPr="00DB05FE">
        <w:rPr>
          <w:b/>
          <w:bCs/>
        </w:rPr>
        <w:t>Diffusion repairs without cohomological certification</w:t>
      </w:r>
      <w:r w:rsidRPr="00DB05FE">
        <w:t xml:space="preserve"> — iterative denoising improves a sample toward the data manifold, but it has no operation that proves local sections glue; it produces plausibility, not a signed global section. [CAND], and to be fenced (below) against the unrelated reaction-diffusion model of sleep pressure in the consciousness paper.</w:t>
      </w:r>
    </w:p>
    <w:p w14:paraId="4C32C5D3" w14:textId="77777777" w:rsidR="00DB05FE" w:rsidRPr="00DB05FE" w:rsidRDefault="00DB05FE" w:rsidP="00DB05FE">
      <w:pPr>
        <w:numPr>
          <w:ilvl w:val="0"/>
          <w:numId w:val="1"/>
        </w:numPr>
        <w:jc w:val="both"/>
      </w:pPr>
      <w:r w:rsidRPr="00DB05FE">
        <w:rPr>
          <w:b/>
          <w:bCs/>
        </w:rPr>
        <w:t>JEPA predicts without higher-order compatibility</w:t>
      </w:r>
      <w:r w:rsidRPr="00DB05FE">
        <w:t xml:space="preserve"> — latent-space prediction checks that a predicted representation matches an observed one, but matching at the latent level is compressed proximity, not a test of joint multi-way coherence. This sharpens the deposited multimodal paper's reading of I-JEPA as lower-rung latent construction; the "no higher-order compatibility" point is the [CAND] addition.</w:t>
      </w:r>
    </w:p>
    <w:p w14:paraId="52DC1C4C" w14:textId="77777777" w:rsidR="00DB05FE" w:rsidRPr="00DB05FE" w:rsidRDefault="00DB05FE" w:rsidP="00DB05FE">
      <w:pPr>
        <w:jc w:val="both"/>
      </w:pPr>
      <w:r w:rsidRPr="00DB05FE">
        <w:rPr>
          <w:b/>
          <w:bCs/>
        </w:rPr>
        <w:t>The epistemic fence the indirect axis requires.</w:t>
      </w:r>
      <w:r w:rsidRPr="00DB05FE">
        <w:t xml:space="preserve"> The inference "current AI lacks operation X, therefore the brain must perform X" is </w:t>
      </w:r>
      <w:r w:rsidRPr="00DB05FE">
        <w:rPr>
          <w:b/>
          <w:bCs/>
        </w:rPr>
        <w:t>not valid</w:t>
      </w:r>
      <w:r w:rsidRPr="00DB05FE">
        <w:t xml:space="preserve">. The brain might also lack X, or might reach coherence by a route that does not include X. What the AI failure modes do is </w:t>
      </w:r>
      <w:r w:rsidRPr="00DB05FE">
        <w:rPr>
          <w:i/>
          <w:iCs/>
        </w:rPr>
        <w:t>identify candidate necessary operations</w:t>
      </w:r>
      <w:r w:rsidRPr="00DB05FE">
        <w:t xml:space="preserve"> — refusal, certification, higher-order compatibility — and </w:t>
      </w:r>
      <w:r w:rsidRPr="00DB05FE">
        <w:rPr>
          <w:i/>
          <w:iCs/>
        </w:rPr>
        <w:t>raise</w:t>
      </w:r>
      <w:r w:rsidRPr="00DB05FE">
        <w:t xml:space="preserve"> the hypothesis that biological coherence requires them. The indirect axis is hypothesis-generating, not hypothesis-confirming; its neuroscientific conclusions are [CAND] and earn their standing only through the direct axis's structural evidence and through experiment, never from the AI gap alone. An indirect-axis claim that forgets this is smuggling an AI fact in as a brain fact.</w:t>
      </w:r>
    </w:p>
    <w:p w14:paraId="613677FC" w14:textId="7420A725" w:rsidR="00DB05FE" w:rsidRPr="00DB05FE" w:rsidRDefault="00DB05FE" w:rsidP="00DB05FE">
      <w:pPr>
        <w:pStyle w:val="Heading1"/>
      </w:pPr>
      <w:r>
        <w:t>3</w:t>
      </w:r>
      <w:r w:rsidRPr="00DB05FE">
        <w:t xml:space="preserve">. The </w:t>
      </w:r>
      <w:r w:rsidR="00A07573">
        <w:t>A</w:t>
      </w:r>
      <w:r w:rsidRPr="00DB05FE">
        <w:t xml:space="preserve">udit </w:t>
      </w:r>
      <w:r w:rsidR="00A07573">
        <w:t>F</w:t>
      </w:r>
      <w:r w:rsidRPr="00DB05FE">
        <w:t>ront: three independent coordinates, not a Pareto front [CAND] / [F]</w:t>
      </w:r>
    </w:p>
    <w:p w14:paraId="01A5D95D" w14:textId="77777777" w:rsidR="00DB05FE" w:rsidRPr="00DB05FE" w:rsidRDefault="00DB05FE" w:rsidP="00DB05FE">
      <w:pPr>
        <w:jc w:val="both"/>
      </w:pPr>
      <w:r w:rsidRPr="00DB05FE">
        <w:t>The upgrades cluster around a real and useful observation: a defensible audit needs three different things, and they are not substitutes for one another. But the right name for that structure is not "Pareto optimal."</w:t>
      </w:r>
    </w:p>
    <w:p w14:paraId="52907DF4" w14:textId="77777777" w:rsidR="00DB05FE" w:rsidRPr="00DB05FE" w:rsidRDefault="00DB05FE" w:rsidP="00DB05FE">
      <w:pPr>
        <w:jc w:val="both"/>
      </w:pPr>
      <w:r w:rsidRPr="00DB05FE">
        <w:rPr>
          <w:b/>
          <w:bCs/>
        </w:rPr>
        <w:t>The relabel, and why it matters.</w:t>
      </w:r>
      <w:r w:rsidRPr="00DB05FE">
        <w:t xml:space="preserve"> A Pareto front is a trade-off surface — a set of points where improving one objective necessarily worsens another, and "non-dominated" is a statement about that trade-off. No trade-off surface is ever exhibited here. The actual argument is the opposite kind: </w:t>
      </w:r>
      <w:r w:rsidRPr="00DB05FE">
        <w:rPr>
          <w:i/>
          <w:iCs/>
        </w:rPr>
        <w:t xml:space="preserve">remove the domain and there is nothing to audit; remove the restriction and proposals are never tested against </w:t>
      </w:r>
      <w:r w:rsidRPr="00DB05FE">
        <w:rPr>
          <w:i/>
          <w:iCs/>
        </w:rPr>
        <w:lastRenderedPageBreak/>
        <w:t>lower evidence; remove the cover-refinement and the gate certifies a false zero.</w:t>
      </w:r>
      <w:r w:rsidRPr="00DB05FE">
        <w:t xml:space="preserve"> That is an </w:t>
      </w:r>
      <w:r w:rsidRPr="00DB05FE">
        <w:rPr>
          <w:b/>
          <w:bCs/>
        </w:rPr>
        <w:t>independence-and-necessity</w:t>
      </w:r>
      <w:r w:rsidRPr="00DB05FE">
        <w:t xml:space="preserve"> argument — the three are a minimal spanning set, a basis of the audit-failure space, each individually necessary and none reconstructible from the others. Calling a basis a Pareto front is borrowed prestige; the framework's own discipline rejects it. Stated correctly, the claim is stronger: </w:t>
      </w:r>
      <w:r w:rsidRPr="00DB05FE">
        <w:rPr>
          <w:b/>
          <w:bCs/>
        </w:rPr>
        <w:t>three independent, individually necessary coordinates of audit adequacy</w:t>
      </w:r>
      <w:r w:rsidRPr="00DB05FE">
        <w:t>, each closing one of three distinct failure modes —</w:t>
      </w:r>
    </w:p>
    <w:p w14:paraId="0C3CEA30" w14:textId="77777777" w:rsidR="00DB05FE" w:rsidRPr="00DB05FE" w:rsidRDefault="00DB05FE" w:rsidP="00DB05FE">
      <w:pPr>
        <w:numPr>
          <w:ilvl w:val="0"/>
          <w:numId w:val="2"/>
        </w:numPr>
        <w:jc w:val="both"/>
      </w:pPr>
      <w:r w:rsidRPr="00DB05FE">
        <w:rPr>
          <w:b/>
          <w:bCs/>
        </w:rPr>
        <w:t>missing-simplex failure</w:t>
      </w:r>
      <w:r w:rsidRPr="00DB05FE">
        <w:t xml:space="preserve"> — pairwise agreement is mistaken for joint agreement;</w:t>
      </w:r>
    </w:p>
    <w:p w14:paraId="17F0EBA3" w14:textId="77777777" w:rsidR="00DB05FE" w:rsidRPr="00DB05FE" w:rsidRDefault="00DB05FE" w:rsidP="00DB05FE">
      <w:pPr>
        <w:numPr>
          <w:ilvl w:val="0"/>
          <w:numId w:val="2"/>
        </w:numPr>
        <w:jc w:val="both"/>
      </w:pPr>
      <w:r w:rsidRPr="00DB05FE">
        <w:rPr>
          <w:b/>
          <w:bCs/>
        </w:rPr>
        <w:t>false-zero failure</w:t>
      </w:r>
      <w:r w:rsidRPr="00DB05FE">
        <w:t xml:space="preserve"> — the obstruction is real but the cover is too coarse to expose it;</w:t>
      </w:r>
    </w:p>
    <w:p w14:paraId="108C8889" w14:textId="77777777" w:rsidR="00DB05FE" w:rsidRPr="00DB05FE" w:rsidRDefault="00DB05FE" w:rsidP="00DB05FE">
      <w:pPr>
        <w:numPr>
          <w:ilvl w:val="0"/>
          <w:numId w:val="2"/>
        </w:numPr>
        <w:jc w:val="both"/>
      </w:pPr>
      <w:r w:rsidRPr="00DB05FE">
        <w:rPr>
          <w:b/>
          <w:bCs/>
        </w:rPr>
        <w:t>restriction failure</w:t>
      </w:r>
      <w:r w:rsidRPr="00DB05FE">
        <w:t xml:space="preserve"> — a high-level proposal is never forced to descend against lower evidence.</w:t>
      </w:r>
    </w:p>
    <w:p w14:paraId="7A5EABB5" w14:textId="77777777" w:rsidR="00DB05FE" w:rsidRPr="00DB05FE" w:rsidRDefault="00DB05FE" w:rsidP="00DB05FE">
      <w:pPr>
        <w:jc w:val="both"/>
      </w:pPr>
      <w:r w:rsidRPr="00DB05FE">
        <w:rPr>
          <w:b/>
          <w:bCs/>
        </w:rPr>
        <w:t>The three coordinates, and which are new.</w:t>
      </w:r>
      <w:r w:rsidRPr="00DB05FE">
        <w:t xml:space="preserve"> The coordinate that closes </w:t>
      </w:r>
      <w:r w:rsidRPr="00DB05FE">
        <w:rPr>
          <w:i/>
          <w:iCs/>
        </w:rPr>
        <w:t>missing-simplex</w:t>
      </w:r>
      <w:r w:rsidRPr="00DB05FE">
        <w:t xml:space="preserve"> failure is </w:t>
      </w:r>
      <w:r w:rsidRPr="00DB05FE">
        <w:rPr>
          <w:b/>
          <w:bCs/>
        </w:rPr>
        <w:t>Nerve-Attention</w:t>
      </w:r>
      <w:r w:rsidRPr="00DB05FE">
        <w:t xml:space="preserve"> — the point that a clique is not a simplex (pairwise overlap does not imply joint overlap), so an attention matrix that draws a triangle's boundary has not certified that the face exists; the δ¹ test needs </w:t>
      </w:r>
      <w:r w:rsidRPr="00DB05FE">
        <w:rPr>
          <w:i/>
          <w:iCs/>
        </w:rPr>
        <w:t>witnessed</w:t>
      </w:r>
      <w:r w:rsidRPr="00DB05FE">
        <w:t xml:space="preserve"> triple overlaps, not clique-completed ones. This is the one coordinate </w:t>
      </w:r>
      <w:r w:rsidRPr="00DB05FE">
        <w:rPr>
          <w:b/>
          <w:bCs/>
        </w:rPr>
        <w:t>not yet deposited</w:t>
      </w:r>
      <w:r w:rsidRPr="00DB05FE">
        <w:t xml:space="preserve">, and it is the genuine new vertex. The coordinate that closes </w:t>
      </w:r>
      <w:r w:rsidRPr="00DB05FE">
        <w:rPr>
          <w:i/>
          <w:iCs/>
        </w:rPr>
        <w:t>false-zero</w:t>
      </w:r>
      <w:r w:rsidRPr="00DB05FE">
        <w:t xml:space="preserve"> failure is </w:t>
      </w:r>
      <w:r w:rsidRPr="00DB05FE">
        <w:rPr>
          <w:b/>
          <w:bCs/>
        </w:rPr>
        <w:t>Hypercovering and Descent</w:t>
      </w:r>
      <w:r w:rsidRPr="00DB05FE">
        <w:t xml:space="preserve"> — already deposited; cover, then overlaps, then overlaps-of-overlaps until descent stabilizes. The coordinate that closes </w:t>
      </w:r>
      <w:r w:rsidRPr="00DB05FE">
        <w:rPr>
          <w:i/>
          <w:iCs/>
        </w:rPr>
        <w:t>restriction</w:t>
      </w:r>
      <w:r w:rsidRPr="00DB05FE">
        <w:t xml:space="preserve"> failure is the </w:t>
      </w:r>
      <w:r w:rsidRPr="00DB05FE">
        <w:rPr>
          <w:b/>
          <w:bCs/>
        </w:rPr>
        <w:t>Feedback Abelian Cortex</w:t>
      </w:r>
      <w:r w:rsidRPr="00DB05FE">
        <w:t xml:space="preserve"> — already deposited (the Abelian Cortex note and its connecting-homomorphism and PFC–MD extensions); feedback is restriction, and the connecting homomorphism is the veto. So the "new framework front" is, on inspection, two-thirds a re-organization of deposited results around a clarifying lens, plus one new coordinate. That is worth having — the lens is good — but the novelty is the Nerve-Attention vertex, not the front.</w:t>
      </w:r>
    </w:p>
    <w:p w14:paraId="1CEE4AF2" w14:textId="388CE33A" w:rsidR="00DB05FE" w:rsidRPr="00DB05FE" w:rsidRDefault="00DB05FE" w:rsidP="00DB05FE">
      <w:pPr>
        <w:jc w:val="both"/>
      </w:pPr>
      <w:r w:rsidRPr="00DB05FE">
        <w:t>A bookkeeping note for whoever builds on this: the source material names the front two ways — once as the derived objects (Hyper-Nerve Attention, Active Cover Policy, Bidirectional Thalamo-Cortical Transformer) and once as the original-bundle items (Hypercovering, Nerve-Attention, Feedback Abelian Cortex). They correspond coordinate-for-coordinate (domain / cover / restriction), but the indexing should be pinned to one scheme before anything is built on top.</w:t>
      </w:r>
    </w:p>
    <w:p w14:paraId="7CBDFA0E" w14:textId="075CC85D" w:rsidR="00DB05FE" w:rsidRPr="00DB05FE" w:rsidRDefault="00DB05FE" w:rsidP="00DB05FE">
      <w:pPr>
        <w:pStyle w:val="Heading1"/>
      </w:pPr>
      <w:r>
        <w:t>4</w:t>
      </w:r>
      <w:r w:rsidRPr="00DB05FE">
        <w:t xml:space="preserve">. The Construction AGI </w:t>
      </w:r>
      <w:r w:rsidR="00A07573">
        <w:t>I</w:t>
      </w:r>
      <w:r w:rsidRPr="00DB05FE">
        <w:t xml:space="preserve">sland [CAND] </w:t>
      </w:r>
      <w:r w:rsidR="00A07573">
        <w:t>A</w:t>
      </w:r>
      <w:r w:rsidRPr="00DB05FE">
        <w:t>pplication</w:t>
      </w:r>
    </w:p>
    <w:p w14:paraId="1F2EEA9E" w14:textId="77777777" w:rsidR="00DB05FE" w:rsidRPr="00DB05FE" w:rsidRDefault="00DB05FE" w:rsidP="00DB05FE">
      <w:pPr>
        <w:jc w:val="both"/>
      </w:pPr>
      <w:r w:rsidRPr="00DB05FE">
        <w:t xml:space="preserve">Construction AGI is the domain where the two axes meet a problem that must end in a signature, and it is strongest when it is honest that it is an </w:t>
      </w:r>
      <w:r w:rsidRPr="00DB05FE">
        <w:rPr>
          <w:i/>
          <w:iCs/>
        </w:rPr>
        <w:t>application</w:t>
      </w:r>
      <w:r w:rsidRPr="00DB05FE">
        <w:t xml:space="preserve"> of the framework rather than an expansion of it. From the direct axis it inherits the brain-like audit architecture; from the indirect axis it inherits the working AI substrate (a Transformer that proposes, diffusion that repairs, latent prediction that forecasts) together with the diagnosis of what each substrate lacks. The island is where they are wrapped inside obstruction-gated refusal.</w:t>
      </w:r>
    </w:p>
    <w:p w14:paraId="65EB68DE" w14:textId="77777777" w:rsidR="00DB05FE" w:rsidRPr="00DB05FE" w:rsidRDefault="00DB05FE" w:rsidP="00DB05FE">
      <w:pPr>
        <w:jc w:val="both"/>
      </w:pPr>
      <w:r w:rsidRPr="00DB05FE">
        <w:t xml:space="preserve">The objects are the local sections: drawings, BIM models, design codes, schedules, quantities, vendor data, site observations, soil reports, contracts, and safety constraints. They must glue into a </w:t>
      </w:r>
      <w:r w:rsidRPr="00DB05FE">
        <w:rPr>
          <w:b/>
          <w:bCs/>
        </w:rPr>
        <w:t>signable project state</w:t>
      </w:r>
      <w:r w:rsidRPr="00DB05FE">
        <w:t>, and the governing question is the framework's question in its construction form:</w:t>
      </w:r>
    </w:p>
    <w:p w14:paraId="1322F2B4" w14:textId="77777777" w:rsidR="00DB05FE" w:rsidRPr="00DB05FE" w:rsidRDefault="00DB05FE" w:rsidP="00DB05FE">
      <w:pPr>
        <w:jc w:val="both"/>
      </w:pPr>
      <w:r w:rsidRPr="00DB05FE">
        <w:rPr>
          <w:b/>
          <w:bCs/>
        </w:rPr>
        <w:t>Who signs, on what cover, after which audit, and with which refusal path still open?</w:t>
      </w:r>
    </w:p>
    <w:p w14:paraId="3EC5A601" w14:textId="77777777" w:rsidR="00DB05FE" w:rsidRPr="00DB05FE" w:rsidRDefault="00DB05FE" w:rsidP="00DB05FE">
      <w:pPr>
        <w:jc w:val="both"/>
      </w:pPr>
      <w:r w:rsidRPr="00DB05FE">
        <w:t xml:space="preserve">This maps the framework's gate / provenance / refusal triad onto professional engineering sign-off, and it is the one domain where signability has institutional teeth — a wrong-but-fluent answer is not a curiosity but an unsigned, unsignable liability. The application then specializes the deposited machinery without adding to it: the obstruction gate gives four verdicts — bind, deliberate, refine, </w:t>
      </w:r>
      <w:r w:rsidRPr="00DB05FE">
        <w:lastRenderedPageBreak/>
        <w:t xml:space="preserve">withhold — over the project manifold (the binding-as-gluing, withhold-while-the-obstruction-is-nonzero rule of the Geometry paper); project risk tunes the gate's strictness the way the precision dial ε(Π) tunes it biologically (the Proximity Floor and the thermodynamic coupling), so a crane hazard or a structural-distress signal tightens the gate globally; the two hallucination species carry over — illegitimate gluing (the contradiction is seen and tolerated) and false-zero gluing (the contradiction is hidden in a coarse interface), the latter especially dangerous at the civil–mechanical, design–site, schedule–safety, and vendor–construction seams, where </w:t>
      </w:r>
      <w:r w:rsidRPr="00DB05FE">
        <w:rPr>
          <w:b/>
          <w:bCs/>
        </w:rPr>
        <w:t>hypercovering</w:t>
      </w:r>
      <w:r w:rsidRPr="00DB05FE">
        <w:t xml:space="preserve"> is the remedy; an offline "project sleep" re-glues the moving project base when waking audit could only defer; and stable workflows crystallize into automation that </w:t>
      </w:r>
      <w:r w:rsidRPr="00DB05FE">
        <w:rPr>
          <w:i/>
          <w:iCs/>
        </w:rPr>
        <w:t>melts</w:t>
      </w:r>
      <w:r w:rsidRPr="00DB05FE">
        <w:t xml:space="preserve"> gracefully — descending to proximity routing or escalating to a human engineer — rather than crashing when novelty exceeds the certified envelope.</w:t>
      </w:r>
    </w:p>
    <w:p w14:paraId="3F7E3A32" w14:textId="77777777" w:rsidR="00DB05FE" w:rsidRPr="00DB05FE" w:rsidRDefault="00DB05FE" w:rsidP="00DB05FE">
      <w:pPr>
        <w:jc w:val="both"/>
      </w:pPr>
      <w:r w:rsidRPr="00DB05FE">
        <w:t>The discipline to hold here is the tier. Construction AGI applies the gate, the cover, the restriction, the provenance, and the offline lift; it does not derive any of them. Its contribution is the "who signs" crystallization and the mapping of the framework's refusal discipline onto a domain that already has a culture of signatures, liability, and staged certification — which is exactly why it is the most structurally prepared deployment substrate, and exactly why it must not be sold as a framework extension.</w:t>
      </w:r>
    </w:p>
    <w:p w14:paraId="688B7517" w14:textId="3B1F056B" w:rsidR="00DB05FE" w:rsidRPr="00DB05FE" w:rsidRDefault="00DB05FE" w:rsidP="00DB05FE">
      <w:pPr>
        <w:pStyle w:val="Heading1"/>
      </w:pPr>
      <w:r>
        <w:t>5</w:t>
      </w:r>
      <w:r w:rsidRPr="00DB05FE">
        <w:t>. Tiers, fences, and scope</w:t>
      </w:r>
    </w:p>
    <w:p w14:paraId="4917E6E5" w14:textId="77777777" w:rsidR="00DB05FE" w:rsidRPr="00DB05FE" w:rsidRDefault="00DB05FE" w:rsidP="00DB05FE">
      <w:pPr>
        <w:jc w:val="both"/>
      </w:pPr>
      <w:r w:rsidRPr="00DB05FE">
        <w:t>[LB] — none new; the clique-is-not-a-simplex fact that grounds the Nerve-Attention coordinate is load-bearing standard topology, but it lives in the Nerve-Attention note, not here. [SUP] — the AI architectures diagnosed on the indirect axis (Transformer, diffusion models, joint-embedding predictive architectures). [CAND] — the indirect-axis Diffusion and JEPA diagnoses, and the Construction AGI island mapping. [F] — the direct axis as the corpus's method; the deposited coordinates (Transformer sheaf reading, Hypercovering, Feedback Abelian Cortex); the Geometry paper's gluing-and-withhold rule; the precision dial; the cup-product gate; Dynamic Predictive Gluing's online/offline regimes.</w:t>
      </w:r>
    </w:p>
    <w:p w14:paraId="3501BC7A" w14:textId="77777777" w:rsidR="00DB05FE" w:rsidRPr="00DB05FE" w:rsidRDefault="00DB05FE" w:rsidP="00A07573">
      <w:pPr>
        <w:pStyle w:val="Heading2"/>
      </w:pPr>
      <w:r w:rsidRPr="00DB05FE">
        <w:t>Fences.</w:t>
      </w:r>
    </w:p>
    <w:p w14:paraId="1EA873A2" w14:textId="77777777" w:rsidR="00DB05FE" w:rsidRPr="00DB05FE" w:rsidRDefault="00DB05FE" w:rsidP="00DB05FE">
      <w:pPr>
        <w:numPr>
          <w:ilvl w:val="0"/>
          <w:numId w:val="3"/>
        </w:numPr>
        <w:jc w:val="both"/>
      </w:pPr>
      <w:r w:rsidRPr="00DB05FE">
        <w:rPr>
          <w:b/>
          <w:bCs/>
        </w:rPr>
        <w:t>The audit front is a basis, not a Pareto front</w:t>
      </w:r>
      <w:r w:rsidRPr="00DB05FE">
        <w:t xml:space="preserve"> — three independent, individually necessary coordinates, established by an independence-and-necessity argument, not a trade-off/domination argument. "Pareto optimal" is borrowed prestige and is dropped.</w:t>
      </w:r>
    </w:p>
    <w:p w14:paraId="3F68C320" w14:textId="77777777" w:rsidR="00DB05FE" w:rsidRPr="00DB05FE" w:rsidRDefault="00DB05FE" w:rsidP="00DB05FE">
      <w:pPr>
        <w:numPr>
          <w:ilvl w:val="0"/>
          <w:numId w:val="3"/>
        </w:numPr>
        <w:jc w:val="both"/>
      </w:pPr>
      <w:r w:rsidRPr="00DB05FE">
        <w:rPr>
          <w:b/>
          <w:bCs/>
        </w:rPr>
        <w:t>The indirect axis generates, it does not confirm</w:t>
      </w:r>
      <w:r w:rsidRPr="00DB05FE">
        <w:t xml:space="preserve"> — "AI lacks X" does not entail "the brain supplies X"; its neuroscientific conclusions are [CAND] and rest on the direct axis and experiment, not on the AI gap.</w:t>
      </w:r>
    </w:p>
    <w:p w14:paraId="31128216" w14:textId="77777777" w:rsidR="00DB05FE" w:rsidRPr="00DB05FE" w:rsidRDefault="00DB05FE" w:rsidP="00DB05FE">
      <w:pPr>
        <w:numPr>
          <w:ilvl w:val="0"/>
          <w:numId w:val="3"/>
        </w:numPr>
        <w:jc w:val="both"/>
      </w:pPr>
      <w:r w:rsidRPr="00DB05FE">
        <w:rPr>
          <w:b/>
          <w:bCs/>
        </w:rPr>
        <w:t>Generative Diffusion is not the reaction-diffusion sleep-pressure model</w:t>
      </w:r>
      <w:r w:rsidRPr="00DB05FE">
        <w:t xml:space="preserve"> — the indirect-axis "diffusion repairs without certification" diagnosis concerns the generative model and must not be conflated with the deposited reaction-diffusion model of sleep pressure (an illustrative PDE in the consciousness paper); same word, different objects.</w:t>
      </w:r>
    </w:p>
    <w:p w14:paraId="2E154934" w14:textId="77777777" w:rsidR="00DB05FE" w:rsidRPr="00DB05FE" w:rsidRDefault="00DB05FE" w:rsidP="00DB05FE">
      <w:pPr>
        <w:numPr>
          <w:ilvl w:val="0"/>
          <w:numId w:val="3"/>
        </w:numPr>
        <w:jc w:val="both"/>
      </w:pPr>
      <w:r w:rsidRPr="00DB05FE">
        <w:rPr>
          <w:b/>
          <w:bCs/>
        </w:rPr>
        <w:t>Construction AGI is an application, not an expansion</w:t>
      </w:r>
      <w:r w:rsidRPr="00DB05FE">
        <w:t xml:space="preserve"> — it specializes deposited machinery and derives none of it.</w:t>
      </w:r>
    </w:p>
    <w:p w14:paraId="01A6271C" w14:textId="77777777" w:rsidR="00DB05FE" w:rsidRPr="00DB05FE" w:rsidRDefault="00DB05FE" w:rsidP="00DB05FE">
      <w:pPr>
        <w:numPr>
          <w:ilvl w:val="0"/>
          <w:numId w:val="3"/>
        </w:numPr>
        <w:jc w:val="both"/>
      </w:pPr>
      <w:r w:rsidRPr="00DB05FE">
        <w:rPr>
          <w:b/>
          <w:bCs/>
        </w:rPr>
        <w:t>Two of the three audit coordinates are deposited</w:t>
      </w:r>
      <w:r w:rsidRPr="00DB05FE">
        <w:t xml:space="preserve"> — only Nerve-Attention is new; the "new front" is a lens over mostly-deposited results.</w:t>
      </w:r>
    </w:p>
    <w:p w14:paraId="5E372121" w14:textId="77777777" w:rsidR="00DB05FE" w:rsidRPr="00DB05FE" w:rsidRDefault="00DB05FE" w:rsidP="00DB05FE">
      <w:pPr>
        <w:numPr>
          <w:ilvl w:val="0"/>
          <w:numId w:val="3"/>
        </w:numPr>
        <w:jc w:val="both"/>
      </w:pPr>
      <w:r w:rsidRPr="00DB05FE">
        <w:rPr>
          <w:b/>
          <w:bCs/>
        </w:rPr>
        <w:t>The direct axis is a summary of the corpus, not a new method</w:t>
      </w:r>
      <w:r w:rsidRPr="00DB05FE">
        <w:t>, and structural isomorphism holds throughout — the cortex has the structure of the audit, it does not compute it.</w:t>
      </w:r>
    </w:p>
    <w:p w14:paraId="5F3FA68B" w14:textId="77777777" w:rsidR="00107DEC" w:rsidRDefault="00DB05FE" w:rsidP="00107DEC">
      <w:pPr>
        <w:pStyle w:val="Heading2"/>
      </w:pPr>
      <w:r w:rsidRPr="00DB05FE">
        <w:lastRenderedPageBreak/>
        <w:t xml:space="preserve">Scope. </w:t>
      </w:r>
    </w:p>
    <w:p w14:paraId="03FEE588" w14:textId="2BAE7808" w:rsidR="00DB05FE" w:rsidRDefault="00DB05FE" w:rsidP="00DB05FE">
      <w:pPr>
        <w:jc w:val="both"/>
      </w:pPr>
      <w:r w:rsidRPr="00DB05FE">
        <w:t>This note organizes and corrects; it adds no [LB]. Its useful products are the two-axis framing with the indirect-axis fence, the relabeling of the audit front as a basis of three necessary coordinates, and the Construction AGI "who signs" crystallization. Its most exposed claims are the two new indirect-axis diagnoses (Diffusion, JEPA), which are [CAND] and should be confirmed against the current architectures before any formal deposit. The single new audit coordinate it points to — Nerve-Attention — is left to its own note.</w:t>
      </w:r>
    </w:p>
    <w:p w14:paraId="13F9645A" w14:textId="51F2D816" w:rsidR="00F87A03" w:rsidRPr="00F87A03" w:rsidRDefault="00F87A03" w:rsidP="00F87A03">
      <w:pPr>
        <w:pStyle w:val="Heading1"/>
      </w:pPr>
      <w:r>
        <w:t>6</w:t>
      </w:r>
      <w:r w:rsidRPr="00F87A03">
        <w:t>. Conclusion</w:t>
      </w:r>
    </w:p>
    <w:p w14:paraId="618B9D0C" w14:textId="77777777" w:rsidR="00F87A03" w:rsidRPr="00F87A03" w:rsidRDefault="00F87A03" w:rsidP="00F87A03">
      <w:pPr>
        <w:jc w:val="both"/>
      </w:pPr>
      <w:r w:rsidRPr="00F87A03">
        <w:t>This paper has not added a new mathematical spine to the Defensible Intelligence framework. Its purpose has been more modest and, for that reason, more exact: to organize the next extension of the framework without inflating its claims. It names two routes by which the framework reaches architecture, corrects the language around the so-called upgrade front, and locates Construction AGI as the application domain where the framework’s central question receives its most concrete form. The result is a cleaner map of what has already been deposited, what remains candidate, and what must be built next.</w:t>
      </w:r>
    </w:p>
    <w:p w14:paraId="4414B2B8" w14:textId="77777777" w:rsidR="00F87A03" w:rsidRPr="00F87A03" w:rsidRDefault="00F87A03" w:rsidP="00F87A03">
      <w:pPr>
        <w:jc w:val="both"/>
      </w:pPr>
      <w:r w:rsidRPr="00F87A03">
        <w:t xml:space="preserve">The first clarification is the distinction between the </w:t>
      </w:r>
      <w:r w:rsidRPr="00F87A03">
        <w:rPr>
          <w:b/>
          <w:bCs/>
        </w:rPr>
        <w:t>direct</w:t>
      </w:r>
      <w:r w:rsidRPr="00F87A03">
        <w:t xml:space="preserve"> and </w:t>
      </w:r>
      <w:r w:rsidRPr="00F87A03">
        <w:rPr>
          <w:b/>
          <w:bCs/>
        </w:rPr>
        <w:t>indirect</w:t>
      </w:r>
      <w:r w:rsidRPr="00F87A03">
        <w:t xml:space="preserve"> axes. The direct axis, Mathematics → Neuroscience, is the framework’s established method. It reads covers, nerves, hypercovers, restriction maps, obstruction classes, and precision-gated refusal as structural analogues of hierarchical recurrent cortex, thalamic routing, corticothalamic feedback, basal-ganglia gating, neuromodulatory precision, and offline consolidation. This route remains the stronger route because it rests on the framework’s standing discipline: biological correspondences are structural isomorphisms, not identity claims. The cortex is not asserted to compute sheaf cohomology literally; rather, it is read as an architecture that satisfies the same operational demands: proposal, restriction, audit, withholding, routing, and repair.</w:t>
      </w:r>
    </w:p>
    <w:p w14:paraId="6919231E" w14:textId="77777777" w:rsidR="00F87A03" w:rsidRPr="00F87A03" w:rsidRDefault="00F87A03" w:rsidP="00F87A03">
      <w:pPr>
        <w:jc w:val="both"/>
      </w:pPr>
      <w:r w:rsidRPr="00F87A03">
        <w:t>The indirect axis, Mathematics → AI → Neuroscience, is useful but weaker. Present AI systems reveal partial fragments of the required architecture. The Transformer proposes contextual bindings but lacks a native obstruction gate. Diffusion models perform iterative repair but do not certify that local sections glue into a signed global state. JEPA-like systems predict latent structure but do not by themselves prove higher-order compatibility. These diagnoses sharpen the framework because they show what fluent, powerful, present AI still fails to do. But the paper has fenced this inference carefully: the fact that current AI lacks an operation does not prove that the brain supplies it. The indirect axis generates hypotheses; it does not confirm them. Confirmation must come either from the direct mathematical–neuroscientific route or from experiment.</w:t>
      </w:r>
    </w:p>
    <w:p w14:paraId="046533C8" w14:textId="77777777" w:rsidR="00F87A03" w:rsidRPr="00F87A03" w:rsidRDefault="00F87A03" w:rsidP="00F87A03">
      <w:pPr>
        <w:jc w:val="both"/>
      </w:pPr>
      <w:r w:rsidRPr="00F87A03">
        <w:t xml:space="preserve">The second clarification is the replacement of “Pareto front” by a more accurate concept: a </w:t>
      </w:r>
      <w:r w:rsidRPr="00F87A03">
        <w:rPr>
          <w:b/>
          <w:bCs/>
        </w:rPr>
        <w:t>three-coordinate audit basis</w:t>
      </w:r>
      <w:r w:rsidRPr="00F87A03">
        <w:t xml:space="preserve">. The framework does not exhibit a trade-off surface in which improving one objective worsens another. It exhibits three independent and individually necessary coordinates of audit adequacy. The first is the domain coordinate: a gate cannot audit higher-order consistency unless genuine higher simplices have been witnessed. This is the role of Nerve-Attention and the missing-simplex failure it repairs. The second is the cover-adequacy coordinate: even a valid obstruction gate can return a false zero if the cover is too coarse. This is the role of Hypercovering and Descent. The third is the restriction coordinate: a high-level proposal is not defensible until it has descended against lower evidence through feedback restriction. This is the role of the Feedback Abelian Cortex. These </w:t>
      </w:r>
      <w:r w:rsidRPr="00F87A03">
        <w:lastRenderedPageBreak/>
        <w:t>three coordinates are not substitutes. Remove any one of them and a distinct class of hallucination or unsafe binding reappears.</w:t>
      </w:r>
    </w:p>
    <w:p w14:paraId="39803921" w14:textId="77777777" w:rsidR="00F87A03" w:rsidRPr="00F87A03" w:rsidRDefault="00F87A03" w:rsidP="00F87A03">
      <w:pPr>
        <w:jc w:val="both"/>
      </w:pPr>
      <w:r w:rsidRPr="00F87A03">
        <w:t>This correction is not merely terminological. Calling the structure a Pareto front imports the prestige of optimization language where no domination relation has been demonstrated. Calling it an audit basis states the stronger claim: the three coordinates span the minimal failure space of defensible binding. Missing-simplex failure, false-zero failure, and restriction failure are three ways a system can produce coherence without earning it. The framework therefore does not need a larger slogan; it needs the discipline to keep these coordinates separate, to state which are already deposited, and to identify which one remains genuinely new. On that accounting, Hypercovering and feedback restriction are already part of the framework’s corpus, while Nerve-Attention is the new coordinate that must now be built as its own note.</w:t>
      </w:r>
    </w:p>
    <w:p w14:paraId="071C66AE" w14:textId="77777777" w:rsidR="00F87A03" w:rsidRPr="00F87A03" w:rsidRDefault="00F87A03" w:rsidP="00F87A03">
      <w:pPr>
        <w:jc w:val="both"/>
      </w:pPr>
      <w:r w:rsidRPr="00F87A03">
        <w:t xml:space="preserve">The third clarification is the status of </w:t>
      </w:r>
      <w:r w:rsidRPr="00F87A03">
        <w:rPr>
          <w:b/>
          <w:bCs/>
        </w:rPr>
        <w:t>Construction AGI</w:t>
      </w:r>
      <w:r w:rsidRPr="00F87A03">
        <w:t>. Construction AGI is not a new theoretical expansion of the framework. It is an application, but it is an unusually important one because it lives in a domain where signability has institutional teeth. In construction, outputs are not merely plausible or helpful; they must be checkable, reviewable, traceable, and signable. Drawings, BIM models, codes, schedules, quantities, vendor data, soil reports, method statements, contracts, safety constraints, and site observations form local sections over a project cover. The task of Construction AGI is to glue them into a project state that can withstand professional responsibility. A fluent answer that cannot be signed is not intelligence in this domain. It is an unsignable liability.</w:t>
      </w:r>
    </w:p>
    <w:p w14:paraId="679BE3D2" w14:textId="77777777" w:rsidR="00F87A03" w:rsidRPr="00F87A03" w:rsidRDefault="00F87A03" w:rsidP="00F87A03">
      <w:pPr>
        <w:jc w:val="both"/>
      </w:pPr>
      <w:r w:rsidRPr="00F87A03">
        <w:t xml:space="preserve">This is why Construction AGI sits on the island between the two flows. From the direct axis it inherits the brain-like audit architecture: proposal, restriction, gating, precision, and offline repair. From the indirect axis it inherits working AI substrates: Transformers that propose, diffusion-like systems that repair, and latent predictive systems that forecast. But none of these substrates is sufficient until wrapped inside the framework’s refusal discipline. The construction question is therefore the framework question in its most practical form: </w:t>
      </w:r>
      <w:r w:rsidRPr="00F87A03">
        <w:rPr>
          <w:b/>
          <w:bCs/>
        </w:rPr>
        <w:t>who signs, on what cover, after which audit, and with which refusal path still open?</w:t>
      </w:r>
      <w:r w:rsidRPr="00F87A03">
        <w:t xml:space="preserve"> This sentence should be treated as the governing design test for any Construction AGI prototype.</w:t>
      </w:r>
    </w:p>
    <w:p w14:paraId="627FDB7C" w14:textId="77777777" w:rsidR="00F87A03" w:rsidRPr="00F87A03" w:rsidRDefault="00F87A03" w:rsidP="00F87A03">
      <w:pPr>
        <w:jc w:val="both"/>
      </w:pPr>
      <w:r w:rsidRPr="00F87A03">
        <w:t>The paper’s main contribution is therefore organizational rather than foundational. It gives the next development program its correct shape. First, build the Nerve-Attention note to close the missing-simplex coordinate. Second, integrate Nerve-Attention with Hypercovering and Feedback Abelian Cortex as a three-coordinate audit basis. Third, test the indirect-axis diagnoses by showing where Transformer, diffusion, and JEPA-style systems fail on missing-simplex, false-zero, and restriction tasks. Fourth, instantiate the architecture in Construction AGI, where every output must preserve cover, provenance, audit trace, and refusal option. Fifth, maintain the tiering discipline: mathematics as load-bearing, neuroscience as supported structural reading, AI diagnosis as candidate unless experimentally confirmed, and Construction AGI as application rather than expansion.</w:t>
      </w:r>
    </w:p>
    <w:p w14:paraId="5E1408F9" w14:textId="77777777" w:rsidR="00F87A03" w:rsidRDefault="00F87A03" w:rsidP="00F87A03">
      <w:pPr>
        <w:jc w:val="both"/>
      </w:pPr>
      <w:r w:rsidRPr="00F87A03">
        <w:t>The final position is simple. Defensible Intelligence cannot be reduced to generation, prediction, attention, denoising, or optimization. It is the discipline of binding only what has earned the right to be bound. The next framework extension must therefore move from fluent proposal to audited proposal; from pairwise attention to witnessed higher simplices; from fixed covers to hypercover refinement; from feedback as tuning to feedback as restriction; from output confidence to signable provenance; and from brittle automation to systems that can withhold. The framework advances not by saying more, but by refusing more precisely. Its central promise remains unchanged: an intelligent system becomes defensible only when it can fail in the open.</w:t>
      </w:r>
    </w:p>
    <w:p w14:paraId="379D8145" w14:textId="77777777" w:rsidR="00A96025" w:rsidRPr="00031827" w:rsidRDefault="00A96025" w:rsidP="00A96025">
      <w:pPr>
        <w:pStyle w:val="Heading1"/>
        <w:rPr>
          <w:sz w:val="36"/>
          <w:szCs w:val="36"/>
        </w:rPr>
      </w:pPr>
      <w:r w:rsidRPr="00031827">
        <w:rPr>
          <w:sz w:val="36"/>
          <w:szCs w:val="36"/>
        </w:rPr>
        <w:lastRenderedPageBreak/>
        <w:t>References</w:t>
      </w:r>
    </w:p>
    <w:p w14:paraId="3074F8B4" w14:textId="77777777" w:rsidR="00A96025" w:rsidRPr="00031827" w:rsidRDefault="00A96025" w:rsidP="00A96025">
      <w:pPr>
        <w:jc w:val="both"/>
        <w:rPr>
          <w:sz w:val="20"/>
          <w:szCs w:val="20"/>
        </w:rPr>
      </w:pPr>
      <w:r w:rsidRPr="00031827">
        <w:rPr>
          <w:sz w:val="20"/>
          <w:szCs w:val="20"/>
        </w:rPr>
        <w:t xml:space="preserve">Artin, M., Grothendieck, A., &amp; Verdier, J.-L. (Eds.). (1972). </w:t>
      </w:r>
      <w:r w:rsidRPr="00031827">
        <w:rPr>
          <w:i/>
          <w:iCs/>
          <w:sz w:val="20"/>
          <w:szCs w:val="20"/>
        </w:rPr>
        <w:t>Théorie des topos et cohomologie étale des schémas: Séminaire de Géométrie Algébrique du Bois-Marie 1963–1964 (SGA 4), Tome 1</w:t>
      </w:r>
      <w:r w:rsidRPr="00031827">
        <w:rPr>
          <w:sz w:val="20"/>
          <w:szCs w:val="20"/>
        </w:rPr>
        <w:t xml:space="preserve"> (Lecture Notes in Mathematics, Vol. 269). Springer. </w:t>
      </w:r>
      <w:hyperlink r:id="rId28" w:history="1">
        <w:r w:rsidRPr="00031827">
          <w:rPr>
            <w:rStyle w:val="Hyperlink"/>
            <w:sz w:val="20"/>
            <w:szCs w:val="20"/>
          </w:rPr>
          <w:t>https://doi.org/10.1007/BFb008155</w:t>
        </w:r>
        <w:r w:rsidRPr="00031827">
          <w:rPr>
            <w:rStyle w:val="Hyperlink"/>
            <w:sz w:val="20"/>
            <w:szCs w:val="20"/>
          </w:rPr>
          <w:t>1</w:t>
        </w:r>
      </w:hyperlink>
    </w:p>
    <w:p w14:paraId="1275D38E" w14:textId="77777777" w:rsidR="00A96025" w:rsidRPr="00031827" w:rsidRDefault="00A96025" w:rsidP="00A96025">
      <w:pPr>
        <w:jc w:val="both"/>
        <w:rPr>
          <w:sz w:val="20"/>
          <w:szCs w:val="20"/>
        </w:rPr>
      </w:pPr>
      <w:r w:rsidRPr="00031827">
        <w:rPr>
          <w:sz w:val="20"/>
          <w:szCs w:val="20"/>
        </w:rPr>
        <w:t xml:space="preserve">Assran, M., Duval, Q., Misra, I., Bojanowski, P., Vincent, P., Rabbat, M., LeCun, Y., &amp; Ballas, N. (2023). </w:t>
      </w:r>
      <w:r w:rsidRPr="00031827">
        <w:rPr>
          <w:i/>
          <w:iCs/>
          <w:sz w:val="20"/>
          <w:szCs w:val="20"/>
        </w:rPr>
        <w:t>Self-supervised learning from images with a joint-embedding predictive architecture</w:t>
      </w:r>
      <w:r w:rsidRPr="00031827">
        <w:rPr>
          <w:sz w:val="20"/>
          <w:szCs w:val="20"/>
        </w:rPr>
        <w:t xml:space="preserve">. Proceedings of the IEEE/CVF Conference on Computer Vision and Pattern Recognition (CVPR). </w:t>
      </w:r>
      <w:hyperlink r:id="rId29" w:history="1">
        <w:r w:rsidRPr="00031827">
          <w:rPr>
            <w:rStyle w:val="Hyperlink"/>
            <w:sz w:val="20"/>
            <w:szCs w:val="20"/>
          </w:rPr>
          <w:t>https://arxiv.org/abs/23</w:t>
        </w:r>
        <w:r w:rsidRPr="00031827">
          <w:rPr>
            <w:rStyle w:val="Hyperlink"/>
            <w:sz w:val="20"/>
            <w:szCs w:val="20"/>
          </w:rPr>
          <w:t>0</w:t>
        </w:r>
        <w:r w:rsidRPr="00031827">
          <w:rPr>
            <w:rStyle w:val="Hyperlink"/>
            <w:sz w:val="20"/>
            <w:szCs w:val="20"/>
          </w:rPr>
          <w:t>1.08243</w:t>
        </w:r>
      </w:hyperlink>
    </w:p>
    <w:p w14:paraId="4D41B0F9" w14:textId="77777777" w:rsidR="00A96025" w:rsidRPr="00031827" w:rsidRDefault="00A96025" w:rsidP="00A96025">
      <w:pPr>
        <w:jc w:val="both"/>
        <w:rPr>
          <w:sz w:val="20"/>
          <w:szCs w:val="20"/>
        </w:rPr>
      </w:pPr>
      <w:r w:rsidRPr="00031827">
        <w:rPr>
          <w:sz w:val="20"/>
          <w:szCs w:val="20"/>
        </w:rPr>
        <w:t xml:space="preserve">Bastos, A. M., Usrey, W. M., Adams, R. A., Mangun, G. R., Fries, P., &amp; Friston, K. J. (2012). Canonical microcircuits for predictive coding. </w:t>
      </w:r>
      <w:r w:rsidRPr="00031827">
        <w:rPr>
          <w:i/>
          <w:iCs/>
          <w:sz w:val="20"/>
          <w:szCs w:val="20"/>
        </w:rPr>
        <w:t>Neuron, 76</w:t>
      </w:r>
      <w:r w:rsidRPr="00031827">
        <w:rPr>
          <w:sz w:val="20"/>
          <w:szCs w:val="20"/>
        </w:rPr>
        <w:t xml:space="preserve">(4), 695–711. </w:t>
      </w:r>
      <w:hyperlink r:id="rId30" w:history="1">
        <w:r w:rsidRPr="00031827">
          <w:rPr>
            <w:rStyle w:val="Hyperlink"/>
            <w:sz w:val="20"/>
            <w:szCs w:val="20"/>
          </w:rPr>
          <w:t>https://doi.org/10.1016/j.neuron.2012.1</w:t>
        </w:r>
        <w:r w:rsidRPr="00031827">
          <w:rPr>
            <w:rStyle w:val="Hyperlink"/>
            <w:sz w:val="20"/>
            <w:szCs w:val="20"/>
          </w:rPr>
          <w:t>0</w:t>
        </w:r>
        <w:r w:rsidRPr="00031827">
          <w:rPr>
            <w:rStyle w:val="Hyperlink"/>
            <w:sz w:val="20"/>
            <w:szCs w:val="20"/>
          </w:rPr>
          <w:t>.038</w:t>
        </w:r>
      </w:hyperlink>
    </w:p>
    <w:p w14:paraId="6C2F17BF" w14:textId="77777777" w:rsidR="00A96025" w:rsidRPr="00031827" w:rsidRDefault="00A96025" w:rsidP="00A96025">
      <w:pPr>
        <w:jc w:val="both"/>
        <w:rPr>
          <w:sz w:val="20"/>
          <w:szCs w:val="20"/>
        </w:rPr>
      </w:pPr>
      <w:r w:rsidRPr="00031827">
        <w:rPr>
          <w:sz w:val="20"/>
          <w:szCs w:val="20"/>
        </w:rPr>
        <w:t xml:space="preserve">Bredon, G. E. (1997). </w:t>
      </w:r>
      <w:r w:rsidRPr="00031827">
        <w:rPr>
          <w:i/>
          <w:iCs/>
          <w:sz w:val="20"/>
          <w:szCs w:val="20"/>
        </w:rPr>
        <w:t>Sheaf theory</w:t>
      </w:r>
      <w:r w:rsidRPr="00031827">
        <w:rPr>
          <w:sz w:val="20"/>
          <w:szCs w:val="20"/>
        </w:rPr>
        <w:t xml:space="preserve"> (2nd ed., Graduate Texts in Mathematics, Vol. 170). Springer. </w:t>
      </w:r>
      <w:hyperlink r:id="rId31" w:history="1">
        <w:r w:rsidRPr="00031827">
          <w:rPr>
            <w:rStyle w:val="Hyperlink"/>
            <w:sz w:val="20"/>
            <w:szCs w:val="20"/>
          </w:rPr>
          <w:t>https://doi.org/10.1007/978-1-4612-</w:t>
        </w:r>
        <w:r w:rsidRPr="00031827">
          <w:rPr>
            <w:rStyle w:val="Hyperlink"/>
            <w:sz w:val="20"/>
            <w:szCs w:val="20"/>
          </w:rPr>
          <w:t>0</w:t>
        </w:r>
        <w:r w:rsidRPr="00031827">
          <w:rPr>
            <w:rStyle w:val="Hyperlink"/>
            <w:sz w:val="20"/>
            <w:szCs w:val="20"/>
          </w:rPr>
          <w:t>647-7</w:t>
        </w:r>
      </w:hyperlink>
    </w:p>
    <w:p w14:paraId="65AEEBAD" w14:textId="77777777" w:rsidR="00A96025" w:rsidRPr="00031827" w:rsidRDefault="00A96025" w:rsidP="00A96025">
      <w:pPr>
        <w:jc w:val="both"/>
        <w:rPr>
          <w:sz w:val="20"/>
          <w:szCs w:val="20"/>
        </w:rPr>
      </w:pPr>
      <w:r w:rsidRPr="00031827">
        <w:rPr>
          <w:sz w:val="20"/>
          <w:szCs w:val="20"/>
        </w:rPr>
        <w:t xml:space="preserve">Douglas, R. J., &amp; Martin, K. A. C. (2004). Neuronal circuits of the neocortex. </w:t>
      </w:r>
      <w:r w:rsidRPr="00031827">
        <w:rPr>
          <w:i/>
          <w:iCs/>
          <w:sz w:val="20"/>
          <w:szCs w:val="20"/>
        </w:rPr>
        <w:t>Annual Review of Neuroscience, 27</w:t>
      </w:r>
      <w:r w:rsidRPr="00031827">
        <w:rPr>
          <w:sz w:val="20"/>
          <w:szCs w:val="20"/>
        </w:rPr>
        <w:t xml:space="preserve">, 419–451. </w:t>
      </w:r>
      <w:hyperlink r:id="rId32" w:history="1">
        <w:r w:rsidRPr="00031827">
          <w:rPr>
            <w:rStyle w:val="Hyperlink"/>
            <w:sz w:val="20"/>
            <w:szCs w:val="20"/>
          </w:rPr>
          <w:t>https://do</w:t>
        </w:r>
        <w:r w:rsidRPr="00031827">
          <w:rPr>
            <w:rStyle w:val="Hyperlink"/>
            <w:sz w:val="20"/>
            <w:szCs w:val="20"/>
          </w:rPr>
          <w:t>i</w:t>
        </w:r>
        <w:r w:rsidRPr="00031827">
          <w:rPr>
            <w:rStyle w:val="Hyperlink"/>
            <w:sz w:val="20"/>
            <w:szCs w:val="20"/>
          </w:rPr>
          <w:t>.org/10.1146/annurev.neuro.27.070203.144152</w:t>
        </w:r>
      </w:hyperlink>
    </w:p>
    <w:p w14:paraId="02943E44" w14:textId="77777777" w:rsidR="00A96025" w:rsidRPr="00031827" w:rsidRDefault="00A96025" w:rsidP="00A96025">
      <w:pPr>
        <w:jc w:val="both"/>
        <w:rPr>
          <w:sz w:val="20"/>
          <w:szCs w:val="20"/>
        </w:rPr>
      </w:pPr>
      <w:r w:rsidRPr="00031827">
        <w:rPr>
          <w:sz w:val="20"/>
          <w:szCs w:val="20"/>
        </w:rPr>
        <w:t xml:space="preserve">Felleman, D. J., &amp; Van Essen, D. C. (1991). Distributed hierarchical processing in the primate cerebral cortex. </w:t>
      </w:r>
      <w:r w:rsidRPr="00031827">
        <w:rPr>
          <w:i/>
          <w:iCs/>
          <w:sz w:val="20"/>
          <w:szCs w:val="20"/>
        </w:rPr>
        <w:t>Cerebral Cortex, 1</w:t>
      </w:r>
      <w:r w:rsidRPr="00031827">
        <w:rPr>
          <w:sz w:val="20"/>
          <w:szCs w:val="20"/>
        </w:rPr>
        <w:t xml:space="preserve">(1), 1–47. </w:t>
      </w:r>
      <w:hyperlink r:id="rId33" w:history="1">
        <w:r w:rsidRPr="00031827">
          <w:rPr>
            <w:rStyle w:val="Hyperlink"/>
            <w:sz w:val="20"/>
            <w:szCs w:val="20"/>
          </w:rPr>
          <w:t>https:/</w:t>
        </w:r>
        <w:r w:rsidRPr="00031827">
          <w:rPr>
            <w:rStyle w:val="Hyperlink"/>
            <w:sz w:val="20"/>
            <w:szCs w:val="20"/>
          </w:rPr>
          <w:t>/</w:t>
        </w:r>
        <w:r w:rsidRPr="00031827">
          <w:rPr>
            <w:rStyle w:val="Hyperlink"/>
            <w:sz w:val="20"/>
            <w:szCs w:val="20"/>
          </w:rPr>
          <w:t>doi.org/10.1093/cercor/1.1.1-a</w:t>
        </w:r>
      </w:hyperlink>
    </w:p>
    <w:p w14:paraId="0C257832" w14:textId="77777777" w:rsidR="00A96025" w:rsidRPr="00031827" w:rsidRDefault="00A96025" w:rsidP="00A96025">
      <w:pPr>
        <w:jc w:val="both"/>
        <w:rPr>
          <w:sz w:val="20"/>
          <w:szCs w:val="20"/>
        </w:rPr>
      </w:pPr>
      <w:r w:rsidRPr="00031827">
        <w:rPr>
          <w:sz w:val="20"/>
          <w:szCs w:val="20"/>
        </w:rPr>
        <w:t xml:space="preserve">Friston, K. (2010). The free-energy principle: A unified brain theory? </w:t>
      </w:r>
      <w:r w:rsidRPr="00031827">
        <w:rPr>
          <w:i/>
          <w:iCs/>
          <w:sz w:val="20"/>
          <w:szCs w:val="20"/>
        </w:rPr>
        <w:t>Nature Reviews Neuroscience, 11</w:t>
      </w:r>
      <w:r w:rsidRPr="00031827">
        <w:rPr>
          <w:sz w:val="20"/>
          <w:szCs w:val="20"/>
        </w:rPr>
        <w:t xml:space="preserve">(2), 127–138. </w:t>
      </w:r>
      <w:hyperlink r:id="rId34" w:history="1">
        <w:r w:rsidRPr="00031827">
          <w:rPr>
            <w:rStyle w:val="Hyperlink"/>
            <w:sz w:val="20"/>
            <w:szCs w:val="20"/>
          </w:rPr>
          <w:t>https://doi.org/10.10</w:t>
        </w:r>
        <w:r w:rsidRPr="00031827">
          <w:rPr>
            <w:rStyle w:val="Hyperlink"/>
            <w:sz w:val="20"/>
            <w:szCs w:val="20"/>
          </w:rPr>
          <w:t>3</w:t>
        </w:r>
        <w:r w:rsidRPr="00031827">
          <w:rPr>
            <w:rStyle w:val="Hyperlink"/>
            <w:sz w:val="20"/>
            <w:szCs w:val="20"/>
          </w:rPr>
          <w:t>8/nrn2787</w:t>
        </w:r>
      </w:hyperlink>
    </w:p>
    <w:p w14:paraId="1480C034" w14:textId="77777777" w:rsidR="00A96025" w:rsidRPr="00031827" w:rsidRDefault="00A96025" w:rsidP="00A96025">
      <w:pPr>
        <w:jc w:val="both"/>
        <w:rPr>
          <w:sz w:val="20"/>
          <w:szCs w:val="20"/>
        </w:rPr>
      </w:pPr>
      <w:r w:rsidRPr="00031827">
        <w:rPr>
          <w:sz w:val="20"/>
          <w:szCs w:val="20"/>
        </w:rPr>
        <w:t xml:space="preserve">Gurney, K., Prescott, T. J., &amp; Redgrave, P. (2001a). A computational model of action selection in the basal ganglia. I. A new functional anatomy. </w:t>
      </w:r>
      <w:r w:rsidRPr="00031827">
        <w:rPr>
          <w:i/>
          <w:iCs/>
          <w:sz w:val="20"/>
          <w:szCs w:val="20"/>
        </w:rPr>
        <w:t>Biological Cybernetics, 84</w:t>
      </w:r>
      <w:r w:rsidRPr="00031827">
        <w:rPr>
          <w:sz w:val="20"/>
          <w:szCs w:val="20"/>
        </w:rPr>
        <w:t xml:space="preserve">(6), 401–410. </w:t>
      </w:r>
      <w:hyperlink r:id="rId35" w:history="1">
        <w:r w:rsidRPr="00031827">
          <w:rPr>
            <w:rStyle w:val="Hyperlink"/>
            <w:sz w:val="20"/>
            <w:szCs w:val="20"/>
          </w:rPr>
          <w:t>https://doi.org/10.1007/PL00007</w:t>
        </w:r>
        <w:r w:rsidRPr="00031827">
          <w:rPr>
            <w:rStyle w:val="Hyperlink"/>
            <w:sz w:val="20"/>
            <w:szCs w:val="20"/>
          </w:rPr>
          <w:t>9</w:t>
        </w:r>
        <w:r w:rsidRPr="00031827">
          <w:rPr>
            <w:rStyle w:val="Hyperlink"/>
            <w:sz w:val="20"/>
            <w:szCs w:val="20"/>
          </w:rPr>
          <w:t>84</w:t>
        </w:r>
      </w:hyperlink>
    </w:p>
    <w:p w14:paraId="2A5A518A" w14:textId="77777777" w:rsidR="00A96025" w:rsidRPr="00031827" w:rsidRDefault="00A96025" w:rsidP="00A96025">
      <w:pPr>
        <w:jc w:val="both"/>
        <w:rPr>
          <w:sz w:val="20"/>
          <w:szCs w:val="20"/>
        </w:rPr>
      </w:pPr>
      <w:r w:rsidRPr="00031827">
        <w:rPr>
          <w:sz w:val="20"/>
          <w:szCs w:val="20"/>
        </w:rPr>
        <w:t xml:space="preserve">Gurney, K., Prescott, T. J., &amp; Redgrave, P. (2001b). A computational model of action selection in the basal ganglia. II. Analysis and simulation of behaviour. </w:t>
      </w:r>
      <w:r w:rsidRPr="00031827">
        <w:rPr>
          <w:i/>
          <w:iCs/>
          <w:sz w:val="20"/>
          <w:szCs w:val="20"/>
        </w:rPr>
        <w:t>Biological Cybernetics, 84</w:t>
      </w:r>
      <w:r w:rsidRPr="00031827">
        <w:rPr>
          <w:sz w:val="20"/>
          <w:szCs w:val="20"/>
        </w:rPr>
        <w:t xml:space="preserve">(6), 411–423. </w:t>
      </w:r>
      <w:hyperlink r:id="rId36" w:history="1">
        <w:r w:rsidRPr="00031827">
          <w:rPr>
            <w:rStyle w:val="Hyperlink"/>
            <w:sz w:val="20"/>
            <w:szCs w:val="20"/>
          </w:rPr>
          <w:t>https://doi.org/10.1007/PL0000</w:t>
        </w:r>
        <w:r w:rsidRPr="00031827">
          <w:rPr>
            <w:rStyle w:val="Hyperlink"/>
            <w:sz w:val="20"/>
            <w:szCs w:val="20"/>
          </w:rPr>
          <w:t>7</w:t>
        </w:r>
        <w:r w:rsidRPr="00031827">
          <w:rPr>
            <w:rStyle w:val="Hyperlink"/>
            <w:sz w:val="20"/>
            <w:szCs w:val="20"/>
          </w:rPr>
          <w:t>985</w:t>
        </w:r>
      </w:hyperlink>
    </w:p>
    <w:p w14:paraId="65F6F0BD" w14:textId="77777777" w:rsidR="00A96025" w:rsidRPr="00031827" w:rsidRDefault="00A96025" w:rsidP="00A96025">
      <w:pPr>
        <w:jc w:val="both"/>
        <w:rPr>
          <w:sz w:val="20"/>
          <w:szCs w:val="20"/>
        </w:rPr>
      </w:pPr>
      <w:r w:rsidRPr="00031827">
        <w:rPr>
          <w:sz w:val="20"/>
          <w:szCs w:val="20"/>
        </w:rPr>
        <w:t xml:space="preserve">Halassa, M. M., &amp; Kastner, S. (2017). Thalamic functions in distributed cognitive control. </w:t>
      </w:r>
      <w:r w:rsidRPr="00031827">
        <w:rPr>
          <w:i/>
          <w:iCs/>
          <w:sz w:val="20"/>
          <w:szCs w:val="20"/>
        </w:rPr>
        <w:t>Nature Neuroscience, 20</w:t>
      </w:r>
      <w:r w:rsidRPr="00031827">
        <w:rPr>
          <w:sz w:val="20"/>
          <w:szCs w:val="20"/>
        </w:rPr>
        <w:t xml:space="preserve">(12), 1669–1679. </w:t>
      </w:r>
      <w:hyperlink r:id="rId37" w:history="1">
        <w:r w:rsidRPr="00031827">
          <w:rPr>
            <w:rStyle w:val="Hyperlink"/>
            <w:sz w:val="20"/>
            <w:szCs w:val="20"/>
          </w:rPr>
          <w:t>https://doi.org/10.1038</w:t>
        </w:r>
        <w:r w:rsidRPr="00031827">
          <w:rPr>
            <w:rStyle w:val="Hyperlink"/>
            <w:sz w:val="20"/>
            <w:szCs w:val="20"/>
          </w:rPr>
          <w:t>/</w:t>
        </w:r>
        <w:r w:rsidRPr="00031827">
          <w:rPr>
            <w:rStyle w:val="Hyperlink"/>
            <w:sz w:val="20"/>
            <w:szCs w:val="20"/>
          </w:rPr>
          <w:t>s41593-017-0020-1</w:t>
        </w:r>
      </w:hyperlink>
    </w:p>
    <w:p w14:paraId="4D7E5D6F" w14:textId="77777777" w:rsidR="00A96025" w:rsidRPr="00031827" w:rsidRDefault="00A96025" w:rsidP="00A96025">
      <w:pPr>
        <w:jc w:val="both"/>
        <w:rPr>
          <w:sz w:val="20"/>
          <w:szCs w:val="20"/>
        </w:rPr>
      </w:pPr>
      <w:r w:rsidRPr="00031827">
        <w:rPr>
          <w:sz w:val="20"/>
          <w:szCs w:val="20"/>
        </w:rPr>
        <w:t xml:space="preserve">Ho, J., Jain, A., &amp; Abbeel, P. (2020). Denoising diffusion probabilistic models. </w:t>
      </w:r>
      <w:r w:rsidRPr="00031827">
        <w:rPr>
          <w:i/>
          <w:iCs/>
          <w:sz w:val="20"/>
          <w:szCs w:val="20"/>
        </w:rPr>
        <w:t>Advances in Neural Information Processing Systems, 33</w:t>
      </w:r>
      <w:r w:rsidRPr="00031827">
        <w:rPr>
          <w:sz w:val="20"/>
          <w:szCs w:val="20"/>
        </w:rPr>
        <w:t xml:space="preserve">, 6840–6851. </w:t>
      </w:r>
      <w:hyperlink r:id="rId38" w:history="1">
        <w:r w:rsidRPr="00031827">
          <w:rPr>
            <w:rStyle w:val="Hyperlink"/>
            <w:sz w:val="20"/>
            <w:szCs w:val="20"/>
          </w:rPr>
          <w:t>https://proceedings.neurips.cc/paper/202</w:t>
        </w:r>
        <w:r w:rsidRPr="00031827">
          <w:rPr>
            <w:rStyle w:val="Hyperlink"/>
            <w:sz w:val="20"/>
            <w:szCs w:val="20"/>
          </w:rPr>
          <w:t>0</w:t>
        </w:r>
        <w:r w:rsidRPr="00031827">
          <w:rPr>
            <w:rStyle w:val="Hyperlink"/>
            <w:sz w:val="20"/>
            <w:szCs w:val="20"/>
          </w:rPr>
          <w:t>/hash/4c5bcfec8584af0d967f1ab10179ca4b-Abstract.html</w:t>
        </w:r>
      </w:hyperlink>
    </w:p>
    <w:p w14:paraId="03D35A86" w14:textId="77777777" w:rsidR="00A96025" w:rsidRPr="00031827" w:rsidRDefault="00A96025" w:rsidP="00A96025">
      <w:pPr>
        <w:jc w:val="both"/>
        <w:rPr>
          <w:sz w:val="20"/>
          <w:szCs w:val="20"/>
        </w:rPr>
      </w:pPr>
      <w:r w:rsidRPr="00031827">
        <w:rPr>
          <w:sz w:val="20"/>
          <w:szCs w:val="20"/>
        </w:rPr>
        <w:t xml:space="preserve">Kashiwara, M., &amp; Schapira, P. (1990). </w:t>
      </w:r>
      <w:r w:rsidRPr="00031827">
        <w:rPr>
          <w:i/>
          <w:iCs/>
          <w:sz w:val="20"/>
          <w:szCs w:val="20"/>
        </w:rPr>
        <w:t>Sheaves on manifolds</w:t>
      </w:r>
      <w:r w:rsidRPr="00031827">
        <w:rPr>
          <w:sz w:val="20"/>
          <w:szCs w:val="20"/>
        </w:rPr>
        <w:t xml:space="preserve"> (Grundlehren der mathematischen Wissenschaften, Vol. 292). Springer. </w:t>
      </w:r>
      <w:hyperlink r:id="rId39" w:history="1">
        <w:r w:rsidRPr="00031827">
          <w:rPr>
            <w:rStyle w:val="Hyperlink"/>
            <w:sz w:val="20"/>
            <w:szCs w:val="20"/>
          </w:rPr>
          <w:t>https://doi.org/10.1007/978</w:t>
        </w:r>
        <w:r w:rsidRPr="00031827">
          <w:rPr>
            <w:rStyle w:val="Hyperlink"/>
            <w:sz w:val="20"/>
            <w:szCs w:val="20"/>
          </w:rPr>
          <w:t>-</w:t>
        </w:r>
        <w:r w:rsidRPr="00031827">
          <w:rPr>
            <w:rStyle w:val="Hyperlink"/>
            <w:sz w:val="20"/>
            <w:szCs w:val="20"/>
          </w:rPr>
          <w:t>3-662-02661-8</w:t>
        </w:r>
      </w:hyperlink>
    </w:p>
    <w:p w14:paraId="5E446912" w14:textId="7F459967" w:rsidR="00A96025" w:rsidRPr="00031827" w:rsidRDefault="00A96025" w:rsidP="00A96025">
      <w:pPr>
        <w:jc w:val="both"/>
        <w:rPr>
          <w:sz w:val="20"/>
          <w:szCs w:val="20"/>
        </w:rPr>
      </w:pPr>
      <w:r w:rsidRPr="00031827">
        <w:rPr>
          <w:sz w:val="20"/>
          <w:szCs w:val="20"/>
        </w:rPr>
        <w:t xml:space="preserve">LeCun, Y. (2022). </w:t>
      </w:r>
      <w:r w:rsidRPr="00031827">
        <w:rPr>
          <w:i/>
          <w:iCs/>
          <w:sz w:val="20"/>
          <w:szCs w:val="20"/>
        </w:rPr>
        <w:t>A path towards autonomous machine intelligence</w:t>
      </w:r>
      <w:r w:rsidRPr="00031827">
        <w:rPr>
          <w:sz w:val="20"/>
          <w:szCs w:val="20"/>
        </w:rPr>
        <w:t>. OpenReview. (JEPA — latent prediction without higher-order compatibility.)</w:t>
      </w:r>
      <w:r w:rsidRPr="00031827">
        <w:rPr>
          <w:sz w:val="20"/>
          <w:szCs w:val="20"/>
        </w:rPr>
        <w:t xml:space="preserve"> </w:t>
      </w:r>
      <w:hyperlink r:id="rId40" w:history="1">
        <w:r w:rsidRPr="00031827">
          <w:rPr>
            <w:rStyle w:val="Hyperlink"/>
            <w:sz w:val="20"/>
            <w:szCs w:val="20"/>
          </w:rPr>
          <w:t>https://openreview.net/pdf?id=BZ5a1r-k</w:t>
        </w:r>
        <w:r w:rsidRPr="00031827">
          <w:rPr>
            <w:rStyle w:val="Hyperlink"/>
            <w:sz w:val="20"/>
            <w:szCs w:val="20"/>
          </w:rPr>
          <w:t>V</w:t>
        </w:r>
        <w:r w:rsidRPr="00031827">
          <w:rPr>
            <w:rStyle w:val="Hyperlink"/>
            <w:sz w:val="20"/>
            <w:szCs w:val="20"/>
          </w:rPr>
          <w:t>sf</w:t>
        </w:r>
      </w:hyperlink>
    </w:p>
    <w:p w14:paraId="017FBFB2" w14:textId="77777777" w:rsidR="00A96025" w:rsidRPr="00031827" w:rsidRDefault="00A96025" w:rsidP="00A96025">
      <w:pPr>
        <w:jc w:val="both"/>
        <w:rPr>
          <w:sz w:val="20"/>
          <w:szCs w:val="20"/>
        </w:rPr>
      </w:pPr>
      <w:r w:rsidRPr="00031827">
        <w:rPr>
          <w:sz w:val="20"/>
          <w:szCs w:val="20"/>
        </w:rPr>
        <w:t xml:space="preserve">Mink, J. W. (1996). The basal ganglia: Focused selection and inhibition of competing motor programs. </w:t>
      </w:r>
      <w:r w:rsidRPr="00031827">
        <w:rPr>
          <w:i/>
          <w:iCs/>
          <w:sz w:val="20"/>
          <w:szCs w:val="20"/>
        </w:rPr>
        <w:t>Progress in Neurobiology, 50</w:t>
      </w:r>
      <w:r w:rsidRPr="00031827">
        <w:rPr>
          <w:sz w:val="20"/>
          <w:szCs w:val="20"/>
        </w:rPr>
        <w:t xml:space="preserve">(4), 381–425. </w:t>
      </w:r>
      <w:hyperlink r:id="rId41" w:history="1">
        <w:r w:rsidRPr="00031827">
          <w:rPr>
            <w:rStyle w:val="Hyperlink"/>
            <w:sz w:val="20"/>
            <w:szCs w:val="20"/>
          </w:rPr>
          <w:t>https://doi.o</w:t>
        </w:r>
        <w:r w:rsidRPr="00031827">
          <w:rPr>
            <w:rStyle w:val="Hyperlink"/>
            <w:sz w:val="20"/>
            <w:szCs w:val="20"/>
          </w:rPr>
          <w:t>r</w:t>
        </w:r>
        <w:r w:rsidRPr="00031827">
          <w:rPr>
            <w:rStyle w:val="Hyperlink"/>
            <w:sz w:val="20"/>
            <w:szCs w:val="20"/>
          </w:rPr>
          <w:t>g/10.1016/S0301-0082(96)00042-1</w:t>
        </w:r>
      </w:hyperlink>
    </w:p>
    <w:p w14:paraId="1CE9AF36" w14:textId="77777777" w:rsidR="00A96025" w:rsidRPr="00031827" w:rsidRDefault="00A96025" w:rsidP="00A96025">
      <w:pPr>
        <w:jc w:val="both"/>
        <w:rPr>
          <w:sz w:val="20"/>
          <w:szCs w:val="20"/>
        </w:rPr>
      </w:pPr>
      <w:r w:rsidRPr="00031827">
        <w:rPr>
          <w:sz w:val="20"/>
          <w:szCs w:val="20"/>
        </w:rPr>
        <w:t xml:space="preserve">Rao, R. P. N., &amp; Ballard, D. H. (1999). Predictive coding in the visual cortex: A functional interpretation of some extra-classical receptive-field effects. </w:t>
      </w:r>
      <w:r w:rsidRPr="00031827">
        <w:rPr>
          <w:i/>
          <w:iCs/>
          <w:sz w:val="20"/>
          <w:szCs w:val="20"/>
        </w:rPr>
        <w:t>Nature Neuroscience, 2</w:t>
      </w:r>
      <w:r w:rsidRPr="00031827">
        <w:rPr>
          <w:sz w:val="20"/>
          <w:szCs w:val="20"/>
        </w:rPr>
        <w:t xml:space="preserve">(1), 79–87. </w:t>
      </w:r>
      <w:hyperlink r:id="rId42" w:history="1">
        <w:r w:rsidRPr="00031827">
          <w:rPr>
            <w:rStyle w:val="Hyperlink"/>
            <w:sz w:val="20"/>
            <w:szCs w:val="20"/>
          </w:rPr>
          <w:t>https://doi.org/10.1038/4</w:t>
        </w:r>
        <w:r w:rsidRPr="00031827">
          <w:rPr>
            <w:rStyle w:val="Hyperlink"/>
            <w:sz w:val="20"/>
            <w:szCs w:val="20"/>
          </w:rPr>
          <w:t>5</w:t>
        </w:r>
        <w:r w:rsidRPr="00031827">
          <w:rPr>
            <w:rStyle w:val="Hyperlink"/>
            <w:sz w:val="20"/>
            <w:szCs w:val="20"/>
          </w:rPr>
          <w:t>80</w:t>
        </w:r>
      </w:hyperlink>
    </w:p>
    <w:p w14:paraId="4BF37027" w14:textId="77777777" w:rsidR="00A96025" w:rsidRPr="00031827" w:rsidRDefault="00A96025" w:rsidP="00A96025">
      <w:pPr>
        <w:jc w:val="both"/>
        <w:rPr>
          <w:sz w:val="20"/>
          <w:szCs w:val="20"/>
        </w:rPr>
      </w:pPr>
      <w:r w:rsidRPr="00031827">
        <w:rPr>
          <w:sz w:val="20"/>
          <w:szCs w:val="20"/>
        </w:rPr>
        <w:t xml:space="preserve">Saalmann, Y. B., &amp; Kastner, S. (2011). Cognitive and perceptual functions of the visual thalamus. </w:t>
      </w:r>
      <w:r w:rsidRPr="00031827">
        <w:rPr>
          <w:i/>
          <w:iCs/>
          <w:sz w:val="20"/>
          <w:szCs w:val="20"/>
        </w:rPr>
        <w:t>Neuron, 71</w:t>
      </w:r>
      <w:r w:rsidRPr="00031827">
        <w:rPr>
          <w:sz w:val="20"/>
          <w:szCs w:val="20"/>
        </w:rPr>
        <w:t xml:space="preserve">(2), 209–223. </w:t>
      </w:r>
      <w:hyperlink r:id="rId43" w:history="1">
        <w:r w:rsidRPr="00031827">
          <w:rPr>
            <w:rStyle w:val="Hyperlink"/>
            <w:sz w:val="20"/>
            <w:szCs w:val="20"/>
          </w:rPr>
          <w:t>https://doi.org/10.1016/j.ne</w:t>
        </w:r>
        <w:r w:rsidRPr="00031827">
          <w:rPr>
            <w:rStyle w:val="Hyperlink"/>
            <w:sz w:val="20"/>
            <w:szCs w:val="20"/>
          </w:rPr>
          <w:t>u</w:t>
        </w:r>
        <w:r w:rsidRPr="00031827">
          <w:rPr>
            <w:rStyle w:val="Hyperlink"/>
            <w:sz w:val="20"/>
            <w:szCs w:val="20"/>
          </w:rPr>
          <w:t>ron.2011.06.027</w:t>
        </w:r>
      </w:hyperlink>
    </w:p>
    <w:p w14:paraId="55225CB9" w14:textId="77777777" w:rsidR="00A96025" w:rsidRPr="00031827" w:rsidRDefault="00A96025" w:rsidP="00A96025">
      <w:pPr>
        <w:jc w:val="both"/>
        <w:rPr>
          <w:sz w:val="20"/>
          <w:szCs w:val="20"/>
        </w:rPr>
      </w:pPr>
      <w:r w:rsidRPr="00031827">
        <w:rPr>
          <w:sz w:val="20"/>
          <w:szCs w:val="20"/>
        </w:rPr>
        <w:t xml:space="preserve">Sherman, S. M., &amp; Guillery, R. W. (2005). </w:t>
      </w:r>
      <w:r w:rsidRPr="00031827">
        <w:rPr>
          <w:i/>
          <w:iCs/>
          <w:sz w:val="20"/>
          <w:szCs w:val="20"/>
        </w:rPr>
        <w:t>Exploring the thalamus and its role in cortical function</w:t>
      </w:r>
      <w:r w:rsidRPr="00031827">
        <w:rPr>
          <w:sz w:val="20"/>
          <w:szCs w:val="20"/>
        </w:rPr>
        <w:t xml:space="preserve"> (2nd ed.). MIT Press. </w:t>
      </w:r>
      <w:hyperlink r:id="rId44" w:history="1">
        <w:r w:rsidRPr="00031827">
          <w:rPr>
            <w:rStyle w:val="Hyperlink"/>
            <w:sz w:val="20"/>
            <w:szCs w:val="20"/>
          </w:rPr>
          <w:t>https://direct.mit.edu/books/monogra</w:t>
        </w:r>
        <w:r w:rsidRPr="00031827">
          <w:rPr>
            <w:rStyle w:val="Hyperlink"/>
            <w:sz w:val="20"/>
            <w:szCs w:val="20"/>
          </w:rPr>
          <w:t>p</w:t>
        </w:r>
        <w:r w:rsidRPr="00031827">
          <w:rPr>
            <w:rStyle w:val="Hyperlink"/>
            <w:sz w:val="20"/>
            <w:szCs w:val="20"/>
          </w:rPr>
          <w:t>h/3000/Exploring-the-Thalamus-and-Its-Role-in-Cortical</w:t>
        </w:r>
      </w:hyperlink>
    </w:p>
    <w:p w14:paraId="224C118E" w14:textId="0A7D19F5" w:rsidR="00A96025" w:rsidRPr="00031827" w:rsidRDefault="00A96025" w:rsidP="00A96025">
      <w:pPr>
        <w:jc w:val="both"/>
        <w:rPr>
          <w:sz w:val="20"/>
          <w:szCs w:val="20"/>
        </w:rPr>
      </w:pPr>
      <w:r w:rsidRPr="00031827">
        <w:rPr>
          <w:sz w:val="20"/>
          <w:szCs w:val="20"/>
        </w:rPr>
        <w:lastRenderedPageBreak/>
        <w:t xml:space="preserve">Sohl-Dickstein, J., Weiss, E. A., Maheswaranathan, N., &amp; Ganguli, S. (2015). Deep unsupervised learning using nonequilibrium thermodynamics. </w:t>
      </w:r>
      <w:r w:rsidRPr="00031827">
        <w:rPr>
          <w:i/>
          <w:iCs/>
          <w:sz w:val="20"/>
          <w:szCs w:val="20"/>
        </w:rPr>
        <w:t>Proceedings of the 32nd International Conference on Machine Learning</w:t>
      </w:r>
      <w:r w:rsidRPr="00031827">
        <w:rPr>
          <w:sz w:val="20"/>
          <w:szCs w:val="20"/>
        </w:rPr>
        <w:t>, 37, 2256–2265.</w:t>
      </w:r>
      <w:r w:rsidRPr="00031827">
        <w:rPr>
          <w:sz w:val="20"/>
          <w:szCs w:val="20"/>
        </w:rPr>
        <w:t xml:space="preserve"> </w:t>
      </w:r>
      <w:r w:rsidRPr="00031827">
        <w:rPr>
          <w:sz w:val="20"/>
          <w:szCs w:val="20"/>
        </w:rPr>
        <w:t xml:space="preserve">(Diffusion — iterative repair without cohomological certification.) </w:t>
      </w:r>
      <w:hyperlink r:id="rId45" w:history="1">
        <w:r w:rsidRPr="00031827">
          <w:rPr>
            <w:rStyle w:val="Hyperlink"/>
            <w:sz w:val="20"/>
            <w:szCs w:val="20"/>
          </w:rPr>
          <w:t>https://arxiv.org/abs/1</w:t>
        </w:r>
        <w:r w:rsidRPr="00031827">
          <w:rPr>
            <w:rStyle w:val="Hyperlink"/>
            <w:sz w:val="20"/>
            <w:szCs w:val="20"/>
          </w:rPr>
          <w:t>5</w:t>
        </w:r>
        <w:r w:rsidRPr="00031827">
          <w:rPr>
            <w:rStyle w:val="Hyperlink"/>
            <w:sz w:val="20"/>
            <w:szCs w:val="20"/>
          </w:rPr>
          <w:t>03.03585</w:t>
        </w:r>
      </w:hyperlink>
    </w:p>
    <w:p w14:paraId="5B4A4116" w14:textId="62CC64A8" w:rsidR="00A96025" w:rsidRPr="00031827" w:rsidRDefault="00A96025" w:rsidP="00A96025">
      <w:pPr>
        <w:jc w:val="both"/>
        <w:rPr>
          <w:sz w:val="20"/>
          <w:szCs w:val="20"/>
        </w:rPr>
      </w:pPr>
      <w:r w:rsidRPr="00031827">
        <w:rPr>
          <w:sz w:val="20"/>
          <w:szCs w:val="20"/>
        </w:rPr>
        <w:t xml:space="preserve">Vaswani, A., Shazeer, N., Parmar, N., Uszkoreit, J., Jones, L., Gomez, A. N., Kaiser, Ł., &amp; Polosukhin, I. (2017). Attention is all you need. </w:t>
      </w:r>
      <w:r w:rsidRPr="00031827">
        <w:rPr>
          <w:i/>
          <w:iCs/>
          <w:sz w:val="20"/>
          <w:szCs w:val="20"/>
        </w:rPr>
        <w:t>Advances in Neural Information Processing Systems, 30</w:t>
      </w:r>
      <w:r w:rsidRPr="00031827">
        <w:rPr>
          <w:sz w:val="20"/>
          <w:szCs w:val="20"/>
        </w:rPr>
        <w:t xml:space="preserve">. </w:t>
      </w:r>
      <w:r w:rsidRPr="00031827">
        <w:rPr>
          <w:i/>
          <w:iCs/>
          <w:sz w:val="20"/>
          <w:szCs w:val="20"/>
        </w:rPr>
        <w:t>NeurIPS</w:t>
      </w:r>
      <w:r w:rsidRPr="00031827">
        <w:rPr>
          <w:sz w:val="20"/>
          <w:szCs w:val="20"/>
        </w:rPr>
        <w:t xml:space="preserve"> 30. (The Transformer — soft gluing without refusal.)</w:t>
      </w:r>
      <w:r w:rsidRPr="00031827">
        <w:rPr>
          <w:sz w:val="20"/>
          <w:szCs w:val="20"/>
        </w:rPr>
        <w:t xml:space="preserve"> </w:t>
      </w:r>
      <w:hyperlink r:id="rId46" w:history="1">
        <w:r w:rsidRPr="00031827">
          <w:rPr>
            <w:rStyle w:val="Hyperlink"/>
            <w:sz w:val="20"/>
            <w:szCs w:val="20"/>
          </w:rPr>
          <w:t>https://arxiv.org/abs/1706.0</w:t>
        </w:r>
        <w:r w:rsidRPr="00031827">
          <w:rPr>
            <w:rStyle w:val="Hyperlink"/>
            <w:sz w:val="20"/>
            <w:szCs w:val="20"/>
          </w:rPr>
          <w:t>3</w:t>
        </w:r>
        <w:r w:rsidRPr="00031827">
          <w:rPr>
            <w:rStyle w:val="Hyperlink"/>
            <w:sz w:val="20"/>
            <w:szCs w:val="20"/>
          </w:rPr>
          <w:t>762</w:t>
        </w:r>
      </w:hyperlink>
    </w:p>
    <w:p w14:paraId="07AA9FFB" w14:textId="77777777" w:rsidR="00DB05FE" w:rsidRPr="00031827" w:rsidRDefault="00DB05FE" w:rsidP="00DB05FE">
      <w:pPr>
        <w:pStyle w:val="Heading2"/>
        <w:rPr>
          <w:sz w:val="28"/>
          <w:szCs w:val="28"/>
        </w:rPr>
      </w:pPr>
      <w:r w:rsidRPr="00031827">
        <w:rPr>
          <w:sz w:val="28"/>
          <w:szCs w:val="28"/>
        </w:rPr>
        <w:t>This framework [F].</w:t>
      </w:r>
    </w:p>
    <w:p w14:paraId="37C8178E" w14:textId="2C699DD5" w:rsidR="00DB05FE" w:rsidRPr="00031827" w:rsidRDefault="00DB05FE" w:rsidP="008F3626">
      <w:pPr>
        <w:jc w:val="both"/>
        <w:rPr>
          <w:sz w:val="20"/>
          <w:szCs w:val="20"/>
        </w:rPr>
      </w:pPr>
      <w:r w:rsidRPr="00031827">
        <w:rPr>
          <w:sz w:val="20"/>
          <w:szCs w:val="20"/>
        </w:rPr>
        <w:t xml:space="preserve">Ghosh, D. P. (2026). </w:t>
      </w:r>
      <w:r w:rsidRPr="00031827">
        <w:rPr>
          <w:i/>
          <w:iCs/>
          <w:sz w:val="20"/>
          <w:szCs w:val="20"/>
        </w:rPr>
        <w:t>The Transformer as a Sheaf-Gluing Engine with the Obstruction Gate Removed.</w:t>
      </w:r>
      <w:r w:rsidRPr="00031827">
        <w:rPr>
          <w:sz w:val="20"/>
          <w:szCs w:val="20"/>
        </w:rPr>
        <w:t xml:space="preserve"> </w:t>
      </w:r>
      <w:hyperlink r:id="rId47" w:history="1">
        <w:r w:rsidR="00592DF6" w:rsidRPr="00031827">
          <w:rPr>
            <w:rStyle w:val="Hyperlink"/>
            <w:sz w:val="20"/>
            <w:szCs w:val="20"/>
          </w:rPr>
          <w:t>https://d</w:t>
        </w:r>
        <w:r w:rsidR="00592DF6" w:rsidRPr="00031827">
          <w:rPr>
            <w:rStyle w:val="Hyperlink"/>
            <w:sz w:val="20"/>
            <w:szCs w:val="20"/>
          </w:rPr>
          <w:t>oi</w:t>
        </w:r>
        <w:r w:rsidR="00592DF6" w:rsidRPr="00031827">
          <w:rPr>
            <w:rStyle w:val="Hyperlink"/>
            <w:sz w:val="20"/>
            <w:szCs w:val="20"/>
          </w:rPr>
          <w:t>.org/</w:t>
        </w:r>
        <w:r w:rsidR="00592DF6" w:rsidRPr="00031827">
          <w:rPr>
            <w:rStyle w:val="Hyperlink"/>
            <w:sz w:val="20"/>
            <w:szCs w:val="20"/>
          </w:rPr>
          <w:t>10.13140/RG.2.2.22726.02889</w:t>
        </w:r>
      </w:hyperlink>
      <w:r w:rsidRPr="00031827">
        <w:rPr>
          <w:sz w:val="20"/>
          <w:szCs w:val="20"/>
        </w:rPr>
        <w:t>.</w:t>
      </w:r>
      <w:r w:rsidR="00592DF6" w:rsidRPr="00031827">
        <w:rPr>
          <w:sz w:val="20"/>
          <w:szCs w:val="20"/>
        </w:rPr>
        <w:t xml:space="preserve"> </w:t>
      </w:r>
      <w:r w:rsidRPr="00031827">
        <w:rPr>
          <w:sz w:val="20"/>
          <w:szCs w:val="20"/>
        </w:rPr>
        <w:t>(The Transformer diagnosis — the deposited indirect-axis vertex.)</w:t>
      </w:r>
    </w:p>
    <w:p w14:paraId="123C8558" w14:textId="1F17663E" w:rsidR="00DB05FE" w:rsidRPr="00031827" w:rsidRDefault="00DB05FE" w:rsidP="008F3626">
      <w:pPr>
        <w:jc w:val="both"/>
        <w:rPr>
          <w:sz w:val="20"/>
          <w:szCs w:val="20"/>
        </w:rPr>
      </w:pPr>
      <w:r w:rsidRPr="00031827">
        <w:rPr>
          <w:sz w:val="20"/>
          <w:szCs w:val="20"/>
        </w:rPr>
        <w:t xml:space="preserve">Ghosh, D. P. </w:t>
      </w:r>
      <w:r w:rsidR="00592DF6" w:rsidRPr="00031827">
        <w:rPr>
          <w:sz w:val="20"/>
          <w:szCs w:val="20"/>
        </w:rPr>
        <w:t>(2026).</w:t>
      </w:r>
      <w:r w:rsidR="00592DF6" w:rsidRPr="00031827">
        <w:rPr>
          <w:sz w:val="20"/>
          <w:szCs w:val="20"/>
        </w:rPr>
        <w:t xml:space="preserve"> </w:t>
      </w:r>
      <w:r w:rsidRPr="00031827">
        <w:rPr>
          <w:i/>
          <w:iCs/>
          <w:sz w:val="20"/>
          <w:szCs w:val="20"/>
        </w:rPr>
        <w:t>Hypercovering and Descent</w:t>
      </w:r>
      <w:r w:rsidR="00592DF6" w:rsidRPr="00031827">
        <w:rPr>
          <w:i/>
          <w:iCs/>
          <w:sz w:val="20"/>
          <w:szCs w:val="20"/>
        </w:rPr>
        <w:t>: A Thalamo-Cortical Algorithm for Defensible Multimodal Gluing</w:t>
      </w:r>
      <w:r w:rsidR="00592DF6" w:rsidRPr="00031827">
        <w:rPr>
          <w:i/>
          <w:iCs/>
          <w:sz w:val="20"/>
          <w:szCs w:val="20"/>
        </w:rPr>
        <w:t>.</w:t>
      </w:r>
      <w:r w:rsidRPr="00031827">
        <w:rPr>
          <w:sz w:val="20"/>
          <w:szCs w:val="20"/>
        </w:rPr>
        <w:t xml:space="preserve"> </w:t>
      </w:r>
      <w:hyperlink r:id="rId48" w:history="1">
        <w:r w:rsidR="00592DF6" w:rsidRPr="00031827">
          <w:rPr>
            <w:rStyle w:val="Hyperlink"/>
            <w:sz w:val="20"/>
            <w:szCs w:val="20"/>
          </w:rPr>
          <w:t>https://doi.org/10.13140/RG.2.2.31337.45929</w:t>
        </w:r>
      </w:hyperlink>
      <w:r w:rsidRPr="00031827">
        <w:rPr>
          <w:sz w:val="20"/>
          <w:szCs w:val="20"/>
        </w:rPr>
        <w:t>.</w:t>
      </w:r>
      <w:r w:rsidR="00592DF6" w:rsidRPr="00031827">
        <w:rPr>
          <w:sz w:val="20"/>
          <w:szCs w:val="20"/>
        </w:rPr>
        <w:t xml:space="preserve"> </w:t>
      </w:r>
      <w:r w:rsidRPr="00031827">
        <w:rPr>
          <w:sz w:val="20"/>
          <w:szCs w:val="20"/>
        </w:rPr>
        <w:t>(The cover-adequacy coordinate — closes false-zero failure.)</w:t>
      </w:r>
    </w:p>
    <w:p w14:paraId="36D443E1" w14:textId="77777777" w:rsidR="00DB05FE" w:rsidRPr="00031827" w:rsidRDefault="00DB05FE" w:rsidP="008F3626">
      <w:pPr>
        <w:jc w:val="both"/>
        <w:rPr>
          <w:sz w:val="20"/>
          <w:szCs w:val="20"/>
        </w:rPr>
      </w:pPr>
      <w:r w:rsidRPr="00031827">
        <w:rPr>
          <w:sz w:val="20"/>
          <w:szCs w:val="20"/>
        </w:rPr>
        <w:t xml:space="preserve">Ghosh, D. P. </w:t>
      </w:r>
      <w:r w:rsidRPr="00031827">
        <w:rPr>
          <w:i/>
          <w:iCs/>
          <w:sz w:val="20"/>
          <w:szCs w:val="20"/>
        </w:rPr>
        <w:t>The Abelian Cortex</w:t>
      </w:r>
      <w:r w:rsidRPr="00031827">
        <w:rPr>
          <w:sz w:val="20"/>
          <w:szCs w:val="20"/>
        </w:rPr>
        <w:t xml:space="preserve"> (synthesis note, with the connecting-homomorphism §3.1 and the realized-exact-sequence / PFC–MD extension). (The restriction-architecture coordinate — closes restriction failure; feedback is restriction, the connecting homomorphism is the veto.)</w:t>
      </w:r>
    </w:p>
    <w:p w14:paraId="083CF073" w14:textId="77777777" w:rsidR="00DB05FE" w:rsidRPr="00031827" w:rsidRDefault="00DB05FE" w:rsidP="008F3626">
      <w:pPr>
        <w:jc w:val="both"/>
        <w:rPr>
          <w:sz w:val="20"/>
          <w:szCs w:val="20"/>
        </w:rPr>
      </w:pPr>
      <w:r w:rsidRPr="00031827">
        <w:rPr>
          <w:sz w:val="20"/>
          <w:szCs w:val="20"/>
        </w:rPr>
        <w:t xml:space="preserve">Ghosh, D. P. </w:t>
      </w:r>
      <w:r w:rsidRPr="00031827">
        <w:rPr>
          <w:i/>
          <w:iCs/>
          <w:sz w:val="20"/>
          <w:szCs w:val="20"/>
        </w:rPr>
        <w:t>Nerve-Attention</w:t>
      </w:r>
      <w:r w:rsidRPr="00031827">
        <w:rPr>
          <w:sz w:val="20"/>
          <w:szCs w:val="20"/>
        </w:rPr>
        <w:t xml:space="preserve"> (to be built). (The domain-of-audit coordinate — closes missing-simplex failure; the one new vertex.)</w:t>
      </w:r>
    </w:p>
    <w:p w14:paraId="24E119DC" w14:textId="09AA81B7" w:rsidR="00DB05FE" w:rsidRPr="00031827" w:rsidRDefault="00DB05FE" w:rsidP="008F3626">
      <w:pPr>
        <w:jc w:val="both"/>
        <w:rPr>
          <w:sz w:val="20"/>
          <w:szCs w:val="20"/>
        </w:rPr>
      </w:pPr>
      <w:r w:rsidRPr="00031827">
        <w:rPr>
          <w:sz w:val="20"/>
          <w:szCs w:val="20"/>
        </w:rPr>
        <w:t xml:space="preserve">Ghosh, D. P. (2026). </w:t>
      </w:r>
      <w:r w:rsidRPr="00031827">
        <w:rPr>
          <w:i/>
          <w:iCs/>
          <w:sz w:val="20"/>
          <w:szCs w:val="20"/>
        </w:rPr>
        <w:t>The Hierarchy of Binding: Multimodal Dynamic Predictive Gluing, and Why Language Must Enter at the Top.</w:t>
      </w:r>
      <w:r w:rsidR="00592DF6" w:rsidRPr="00031827">
        <w:rPr>
          <w:sz w:val="20"/>
          <w:szCs w:val="20"/>
        </w:rPr>
        <w:t xml:space="preserve"> </w:t>
      </w:r>
      <w:hyperlink r:id="rId49" w:history="1">
        <w:r w:rsidR="00592DF6" w:rsidRPr="00031827">
          <w:rPr>
            <w:rStyle w:val="Hyperlink"/>
            <w:sz w:val="20"/>
            <w:szCs w:val="20"/>
          </w:rPr>
          <w:t>https://doi.org/10.13140/RG.2.2.34889.51044</w:t>
        </w:r>
      </w:hyperlink>
      <w:r w:rsidRPr="00031827">
        <w:rPr>
          <w:sz w:val="20"/>
          <w:szCs w:val="20"/>
        </w:rPr>
        <w:t>.</w:t>
      </w:r>
      <w:r w:rsidR="00592DF6" w:rsidRPr="00031827">
        <w:rPr>
          <w:sz w:val="20"/>
          <w:szCs w:val="20"/>
        </w:rPr>
        <w:t xml:space="preserve"> </w:t>
      </w:r>
      <w:r w:rsidRPr="00031827">
        <w:rPr>
          <w:sz w:val="20"/>
          <w:szCs w:val="20"/>
        </w:rPr>
        <w:t>(The deposited I-JEPA cross-reference the JEPA diagnosis sharpens; why language enters at the top.)</w:t>
      </w:r>
    </w:p>
    <w:p w14:paraId="6AA9DB98" w14:textId="28C196DA" w:rsidR="00DB05FE" w:rsidRPr="00031827" w:rsidRDefault="00DB05FE" w:rsidP="008F3626">
      <w:pPr>
        <w:jc w:val="both"/>
        <w:rPr>
          <w:sz w:val="20"/>
          <w:szCs w:val="20"/>
        </w:rPr>
      </w:pPr>
      <w:r w:rsidRPr="00031827">
        <w:rPr>
          <w:sz w:val="20"/>
          <w:szCs w:val="20"/>
        </w:rPr>
        <w:t xml:space="preserve">Ghosh, D. P. (2026). </w:t>
      </w:r>
      <w:r w:rsidRPr="00031827">
        <w:rPr>
          <w:i/>
          <w:iCs/>
          <w:sz w:val="20"/>
          <w:szCs w:val="20"/>
        </w:rPr>
        <w:t>The Geometry of Defensible Action</w:t>
      </w:r>
      <w:r w:rsidRPr="00031827">
        <w:rPr>
          <w:sz w:val="20"/>
          <w:szCs w:val="20"/>
        </w:rPr>
        <w:t xml:space="preserve"> (Paper 1). </w:t>
      </w:r>
      <w:hyperlink r:id="rId50" w:history="1">
        <w:r w:rsidR="00592DF6" w:rsidRPr="00031827">
          <w:rPr>
            <w:rStyle w:val="Hyperlink"/>
            <w:sz w:val="20"/>
            <w:szCs w:val="20"/>
          </w:rPr>
          <w:t>https://doi.org/10.13140/RG.2.2.24454.54080</w:t>
        </w:r>
      </w:hyperlink>
      <w:r w:rsidRPr="00031827">
        <w:rPr>
          <w:sz w:val="20"/>
          <w:szCs w:val="20"/>
        </w:rPr>
        <w:t>.</w:t>
      </w:r>
      <w:r w:rsidR="00592DF6" w:rsidRPr="00031827">
        <w:rPr>
          <w:sz w:val="20"/>
          <w:szCs w:val="20"/>
        </w:rPr>
        <w:t xml:space="preserve"> </w:t>
      </w:r>
      <w:r w:rsidRPr="00031827">
        <w:rPr>
          <w:sz w:val="20"/>
          <w:szCs w:val="20"/>
        </w:rPr>
        <w:t>(Binding as gluing; withhold while the obstruction is nonzero — the construction sign-off rule.)</w:t>
      </w:r>
    </w:p>
    <w:p w14:paraId="115A4BC9" w14:textId="0ABAE2C3" w:rsidR="00DB05FE" w:rsidRPr="00031827" w:rsidRDefault="00DB05FE" w:rsidP="008F3626">
      <w:pPr>
        <w:jc w:val="both"/>
        <w:rPr>
          <w:sz w:val="20"/>
          <w:szCs w:val="20"/>
        </w:rPr>
      </w:pPr>
      <w:r w:rsidRPr="00031827">
        <w:rPr>
          <w:sz w:val="20"/>
          <w:szCs w:val="20"/>
        </w:rPr>
        <w:t xml:space="preserve">Ghosh, D. P. (2026). </w:t>
      </w:r>
      <w:r w:rsidRPr="00031827">
        <w:rPr>
          <w:i/>
          <w:iCs/>
          <w:sz w:val="20"/>
          <w:szCs w:val="20"/>
        </w:rPr>
        <w:t>Dynamic Predictive Gluing</w:t>
      </w:r>
      <w:r w:rsidRPr="00031827">
        <w:rPr>
          <w:sz w:val="20"/>
          <w:szCs w:val="20"/>
        </w:rPr>
        <w:t xml:space="preserve"> (Paper 3). </w:t>
      </w:r>
      <w:hyperlink r:id="rId51" w:history="1">
        <w:r w:rsidR="00592DF6" w:rsidRPr="00031827">
          <w:rPr>
            <w:rStyle w:val="Hyperlink"/>
            <w:sz w:val="20"/>
            <w:szCs w:val="20"/>
          </w:rPr>
          <w:t>https://doi.org/10.13140/RG.2.2.19848.99846</w:t>
        </w:r>
      </w:hyperlink>
      <w:r w:rsidRPr="00031827">
        <w:rPr>
          <w:sz w:val="20"/>
          <w:szCs w:val="20"/>
        </w:rPr>
        <w:t>.</w:t>
      </w:r>
      <w:r w:rsidR="00592DF6" w:rsidRPr="00031827">
        <w:rPr>
          <w:sz w:val="20"/>
          <w:szCs w:val="20"/>
        </w:rPr>
        <w:t xml:space="preserve"> </w:t>
      </w:r>
      <w:r w:rsidRPr="00031827">
        <w:rPr>
          <w:sz w:val="20"/>
          <w:szCs w:val="20"/>
        </w:rPr>
        <w:t>(Online audit / offline lift — the "project sleep" of §3; the reaction-diffusion sleep-pressure model fenced from generative Diffusion.)</w:t>
      </w:r>
    </w:p>
    <w:p w14:paraId="501A1145" w14:textId="03BBC122" w:rsidR="00DB05FE" w:rsidRPr="00031827" w:rsidRDefault="00DB05FE" w:rsidP="008F3626">
      <w:pPr>
        <w:jc w:val="both"/>
        <w:rPr>
          <w:sz w:val="20"/>
          <w:szCs w:val="20"/>
        </w:rPr>
      </w:pPr>
      <w:r w:rsidRPr="00031827">
        <w:rPr>
          <w:sz w:val="20"/>
          <w:szCs w:val="20"/>
        </w:rPr>
        <w:t xml:space="preserve">Ghosh, D. P. </w:t>
      </w:r>
      <w:r w:rsidRPr="00031827">
        <w:rPr>
          <w:i/>
          <w:iCs/>
          <w:sz w:val="20"/>
          <w:szCs w:val="20"/>
        </w:rPr>
        <w:t>The Algorithm of the 3→6-Layer Cortex.</w:t>
      </w:r>
      <w:r w:rsidRPr="00031827">
        <w:rPr>
          <w:sz w:val="20"/>
          <w:szCs w:val="20"/>
        </w:rPr>
        <w:t xml:space="preserve"> </w:t>
      </w:r>
      <w:hyperlink r:id="rId52" w:history="1">
        <w:r w:rsidR="00592DF6" w:rsidRPr="00031827">
          <w:rPr>
            <w:rStyle w:val="Hyperlink"/>
            <w:sz w:val="20"/>
            <w:szCs w:val="20"/>
          </w:rPr>
          <w:t>https://doi.org/10.13140/RG.2.2.14232.56328</w:t>
        </w:r>
      </w:hyperlink>
      <w:r w:rsidRPr="00031827">
        <w:rPr>
          <w:sz w:val="20"/>
          <w:szCs w:val="20"/>
        </w:rPr>
        <w:t>.</w:t>
      </w:r>
      <w:r w:rsidR="00592DF6" w:rsidRPr="00031827">
        <w:rPr>
          <w:sz w:val="20"/>
          <w:szCs w:val="20"/>
        </w:rPr>
        <w:t xml:space="preserve"> </w:t>
      </w:r>
      <w:r w:rsidRPr="00031827">
        <w:rPr>
          <w:sz w:val="20"/>
          <w:szCs w:val="20"/>
        </w:rPr>
        <w:t>(The cup-product H² gate the missing-simplex coordinate feeds.)</w:t>
      </w:r>
    </w:p>
    <w:p w14:paraId="5E1B7D95" w14:textId="7A791CCF" w:rsidR="00DC1523" w:rsidRPr="00031827" w:rsidRDefault="00DB05FE" w:rsidP="00DB05FE">
      <w:pPr>
        <w:jc w:val="both"/>
        <w:rPr>
          <w:sz w:val="20"/>
          <w:szCs w:val="20"/>
        </w:rPr>
      </w:pPr>
      <w:r w:rsidRPr="00031827">
        <w:rPr>
          <w:sz w:val="20"/>
          <w:szCs w:val="20"/>
        </w:rPr>
        <w:t xml:space="preserve">Ghosh, D. P. </w:t>
      </w:r>
      <w:r w:rsidRPr="00031827">
        <w:rPr>
          <w:i/>
          <w:iCs/>
          <w:sz w:val="20"/>
          <w:szCs w:val="20"/>
        </w:rPr>
        <w:t>The Proximity Floor.</w:t>
      </w:r>
      <w:r w:rsidRPr="00031827">
        <w:rPr>
          <w:sz w:val="20"/>
          <w:szCs w:val="20"/>
        </w:rPr>
        <w:t xml:space="preserve"> </w:t>
      </w:r>
      <w:hyperlink r:id="rId53" w:history="1">
        <w:r w:rsidR="00592DF6" w:rsidRPr="00031827">
          <w:rPr>
            <w:rStyle w:val="Hyperlink"/>
            <w:sz w:val="20"/>
            <w:szCs w:val="20"/>
          </w:rPr>
          <w:t>https://doi.org/10.13140/RG.2.2.20333.96488</w:t>
        </w:r>
      </w:hyperlink>
      <w:r w:rsidRPr="00031827">
        <w:rPr>
          <w:sz w:val="20"/>
          <w:szCs w:val="20"/>
        </w:rPr>
        <w:t>.</w:t>
      </w:r>
      <w:r w:rsidR="00592DF6" w:rsidRPr="00031827">
        <w:rPr>
          <w:sz w:val="20"/>
          <w:szCs w:val="20"/>
        </w:rPr>
        <w:t xml:space="preserve"> </w:t>
      </w:r>
      <w:r w:rsidRPr="00031827">
        <w:rPr>
          <w:sz w:val="20"/>
          <w:szCs w:val="20"/>
        </w:rPr>
        <w:t>(The precision dial ε(Π) — project risk as the construction gate's strictness.)</w:t>
      </w:r>
    </w:p>
    <w:p w14:paraId="26F2684D" w14:textId="77777777" w:rsidR="00031827" w:rsidRPr="00FE044F" w:rsidRDefault="00031827" w:rsidP="00031827">
      <w:pPr>
        <w:pStyle w:val="Heading1"/>
        <w:rPr>
          <w:rFonts w:eastAsiaTheme="minorHAnsi"/>
          <w:sz w:val="32"/>
          <w:szCs w:val="32"/>
        </w:rPr>
      </w:pPr>
      <w:r w:rsidRPr="00FE044F">
        <w:t xml:space="preserve">Appendix A: </w:t>
      </w:r>
      <w:r w:rsidRPr="00FE044F">
        <w:rPr>
          <w:rFonts w:eastAsiaTheme="minorHAnsi"/>
          <w:sz w:val="32"/>
          <w:szCs w:val="32"/>
        </w:rPr>
        <w:t>A Five-Level Complexity Explanation of the Paper</w:t>
      </w:r>
    </w:p>
    <w:p w14:paraId="3C981B7A" w14:textId="77777777" w:rsidR="00031827" w:rsidRPr="00FE044F" w:rsidRDefault="00031827" w:rsidP="00FE044F">
      <w:pPr>
        <w:pStyle w:val="Heading2"/>
      </w:pPr>
      <w:r w:rsidRPr="00031827">
        <w:t>Level 1 — Common Reader: Why this paper matters</w:t>
      </w:r>
    </w:p>
    <w:p w14:paraId="3262F86E" w14:textId="77777777" w:rsidR="00031827" w:rsidRPr="00031827" w:rsidRDefault="00031827" w:rsidP="00031827">
      <w:pPr>
        <w:jc w:val="both"/>
        <w:rPr>
          <w:sz w:val="20"/>
          <w:szCs w:val="20"/>
        </w:rPr>
      </w:pPr>
      <w:r w:rsidRPr="00031827">
        <w:rPr>
          <w:sz w:val="20"/>
          <w:szCs w:val="20"/>
        </w:rPr>
        <w:t>This paper asks a simple question: when an intelligent system gives an answer, who can trust it enough to sign it? In everyday AI, a system may produce a fluent paragraph, a plausible image, or a convincing recommendation. But in serious domains — engineering, construction, medicine, law, infrastructure, safety — plausibility is not enough. A decision must be checked, traceable, and defensible. The paper says that intelligence is not only about producing answers; it is about knowing when not to produce an answer. A safe system must be able to say: “These pieces do not fit together yet. I should not bind them into one conclusion.”</w:t>
      </w:r>
    </w:p>
    <w:p w14:paraId="19E15706" w14:textId="77777777" w:rsidR="00031827" w:rsidRPr="00031827" w:rsidRDefault="00031827" w:rsidP="00031827">
      <w:pPr>
        <w:jc w:val="both"/>
        <w:rPr>
          <w:sz w:val="20"/>
          <w:szCs w:val="20"/>
        </w:rPr>
      </w:pPr>
      <w:r w:rsidRPr="00031827">
        <w:rPr>
          <w:sz w:val="20"/>
          <w:szCs w:val="20"/>
        </w:rPr>
        <w:t xml:space="preserve">The paper uses the word “gluing” for this process. A construction project, for example, contains many pieces: drawings, codes, quantities, soil reports, BIM models, schedules, vendor data, contracts, safety constraints, and site observations. A Construction AGI must glue these pieces into a coherent project state. But if the pieces conflict, the system must not hide the conflict under a fluent output. It must detect the conflict, refuse the unsafe </w:t>
      </w:r>
      <w:r w:rsidRPr="00031827">
        <w:rPr>
          <w:sz w:val="20"/>
          <w:szCs w:val="20"/>
        </w:rPr>
        <w:lastRenderedPageBreak/>
        <w:t xml:space="preserve">binding, ask for refinement, or send the issue to a human engineer. The paper’s most practical question is therefore: </w:t>
      </w:r>
      <w:r w:rsidRPr="00031827">
        <w:rPr>
          <w:b/>
          <w:bCs/>
          <w:sz w:val="20"/>
          <w:szCs w:val="20"/>
        </w:rPr>
        <w:t>who signs, on what cover, after which audit, and with which refusal path still open?</w:t>
      </w:r>
    </w:p>
    <w:p w14:paraId="74D44A75" w14:textId="77777777" w:rsidR="00031827" w:rsidRPr="00FE044F" w:rsidRDefault="00031827" w:rsidP="00FE044F">
      <w:pPr>
        <w:pStyle w:val="Heading2"/>
      </w:pPr>
      <w:r w:rsidRPr="00031827">
        <w:t>Level 2 — Engineering Reader: The audit basis</w:t>
      </w:r>
    </w:p>
    <w:p w14:paraId="0F395D13" w14:textId="77777777" w:rsidR="00031827" w:rsidRPr="00031827" w:rsidRDefault="00031827" w:rsidP="00031827">
      <w:pPr>
        <w:jc w:val="both"/>
        <w:rPr>
          <w:sz w:val="20"/>
          <w:szCs w:val="20"/>
        </w:rPr>
      </w:pPr>
      <w:r w:rsidRPr="00031827">
        <w:rPr>
          <w:sz w:val="20"/>
          <w:szCs w:val="20"/>
        </w:rPr>
        <w:t>For an engineering reader, the paper is about converting AI from an output machine into an audit machine. A standard AI system often behaves like a fast drafter: it produces something that looks complete. A defensible AI system behaves more like a responsible engineering checker: it knows the data sources, the assumptions, the overlaps, the inconsistencies, and the limits of its own conclusion.</w:t>
      </w:r>
    </w:p>
    <w:p w14:paraId="26B44B0A" w14:textId="77777777" w:rsidR="00031827" w:rsidRPr="00031827" w:rsidRDefault="00031827" w:rsidP="00031827">
      <w:pPr>
        <w:jc w:val="both"/>
        <w:rPr>
          <w:sz w:val="20"/>
          <w:szCs w:val="20"/>
        </w:rPr>
      </w:pPr>
      <w:r w:rsidRPr="00031827">
        <w:rPr>
          <w:sz w:val="20"/>
          <w:szCs w:val="20"/>
        </w:rPr>
        <w:t xml:space="preserve">The paper identifies three independent audit requirements. First, the system needs a proper </w:t>
      </w:r>
      <w:r w:rsidRPr="00031827">
        <w:rPr>
          <w:b/>
          <w:bCs/>
          <w:sz w:val="20"/>
          <w:szCs w:val="20"/>
        </w:rPr>
        <w:t>domain of audit</w:t>
      </w:r>
      <w:r w:rsidRPr="00031827">
        <w:rPr>
          <w:sz w:val="20"/>
          <w:szCs w:val="20"/>
        </w:rPr>
        <w:t xml:space="preserve">. It is not enough to compare items pairwise. In construction, a beam, a load, a support condition, a connection detail, a fabrication constraint, and a site sequence may all look compatible in pairs, while failing jointly. This is called missing-simplex failure: the system sees edges but does not prove the face. Second, the system needs </w:t>
      </w:r>
      <w:r w:rsidRPr="00031827">
        <w:rPr>
          <w:b/>
          <w:bCs/>
          <w:sz w:val="20"/>
          <w:szCs w:val="20"/>
        </w:rPr>
        <w:t>cover adequacy</w:t>
      </w:r>
      <w:r w:rsidRPr="00031827">
        <w:rPr>
          <w:sz w:val="20"/>
          <w:szCs w:val="20"/>
        </w:rPr>
        <w:t xml:space="preserve">. A conflict may be hidden inside a coarse interface — for example, a civil–mechanical interface, a vendor–construction interface, or a design–site interface. If the cover is too coarse, the system may falsely declare coherence. This is false-zero failure. Third, the system needs </w:t>
      </w:r>
      <w:r w:rsidRPr="00031827">
        <w:rPr>
          <w:b/>
          <w:bCs/>
          <w:sz w:val="20"/>
          <w:szCs w:val="20"/>
        </w:rPr>
        <w:t>restriction</w:t>
      </w:r>
      <w:r w:rsidRPr="00031827">
        <w:rPr>
          <w:sz w:val="20"/>
          <w:szCs w:val="20"/>
        </w:rPr>
        <w:t>. A high-level proposal must descend back to lower evidence. A schedule claim must restrict to actual quantities and site access; a drawing must restrict to codes and constructability; a method statement must restrict to safety and equipment availability. Without this downward audit, the system can remain coherent only in language, not in reality.</w:t>
      </w:r>
    </w:p>
    <w:p w14:paraId="6DAF8DC1" w14:textId="77777777" w:rsidR="00031827" w:rsidRPr="00031827" w:rsidRDefault="00031827" w:rsidP="00031827">
      <w:pPr>
        <w:jc w:val="both"/>
        <w:rPr>
          <w:sz w:val="20"/>
          <w:szCs w:val="20"/>
        </w:rPr>
      </w:pPr>
      <w:r w:rsidRPr="00031827">
        <w:rPr>
          <w:sz w:val="20"/>
          <w:szCs w:val="20"/>
        </w:rPr>
        <w:t>These three audit coordinates are not a trade-off surface. They are not a Pareto front in the strict optimization sense. They are a minimal basis of defensible checking. If any one is missing, a distinct failure mode reappears.</w:t>
      </w:r>
    </w:p>
    <w:p w14:paraId="02DE1E20" w14:textId="77777777" w:rsidR="00031827" w:rsidRPr="00031827" w:rsidRDefault="00031827" w:rsidP="00031827">
      <w:pPr>
        <w:pStyle w:val="Heading2"/>
        <w:rPr>
          <w:sz w:val="28"/>
          <w:szCs w:val="28"/>
        </w:rPr>
      </w:pPr>
      <w:r w:rsidRPr="00FE044F">
        <w:t>Level 3 — AI Practitioner</w:t>
      </w:r>
      <w:r w:rsidRPr="00031827">
        <w:rPr>
          <w:sz w:val="28"/>
          <w:szCs w:val="28"/>
        </w:rPr>
        <w:t xml:space="preserve">: </w:t>
      </w:r>
      <w:r w:rsidRPr="00FE044F">
        <w:rPr>
          <w:sz w:val="24"/>
          <w:szCs w:val="24"/>
        </w:rPr>
        <w:t>Transformer, Diffusion, and JEPA as incomplete machines</w:t>
      </w:r>
    </w:p>
    <w:p w14:paraId="1E367297" w14:textId="77777777" w:rsidR="00031827" w:rsidRPr="00031827" w:rsidRDefault="00031827" w:rsidP="00031827">
      <w:pPr>
        <w:jc w:val="both"/>
        <w:rPr>
          <w:sz w:val="20"/>
          <w:szCs w:val="20"/>
        </w:rPr>
      </w:pPr>
      <w:r w:rsidRPr="00031827">
        <w:rPr>
          <w:sz w:val="20"/>
          <w:szCs w:val="20"/>
        </w:rPr>
        <w:t>For an AI practitioner, the paper says that today’s major AI architectures already contain useful fragments of the framework, but none completes the defensible loop. The Transformer is excellent at contextual proposal. Through attention, it mixes information from many locations and produces strong contextual representations. But the Transformer generally glues without a built-in refusal mechanism. It can combine fragments even when they should not be combined. In the paper’s language, it proposes but does not certify.</w:t>
      </w:r>
    </w:p>
    <w:p w14:paraId="29D6D0D8" w14:textId="77777777" w:rsidR="00031827" w:rsidRPr="00031827" w:rsidRDefault="00031827" w:rsidP="00031827">
      <w:pPr>
        <w:jc w:val="both"/>
        <w:rPr>
          <w:sz w:val="20"/>
          <w:szCs w:val="20"/>
        </w:rPr>
      </w:pPr>
      <w:r w:rsidRPr="00031827">
        <w:rPr>
          <w:sz w:val="20"/>
          <w:szCs w:val="20"/>
        </w:rPr>
        <w:t>Diffusion models add a different strength. They repair noisy states iteratively, gradually moving from disorder toward a plausible sample. This looks closer to refinement. But diffusion repair is not the same as cohomological certification. It can make an image or structure more plausible without proving that all local constraints glue into a signed global state. It repairs appearance, but not necessarily audit legitimacy.</w:t>
      </w:r>
    </w:p>
    <w:p w14:paraId="3116AB9D" w14:textId="77777777" w:rsidR="00031827" w:rsidRPr="00031827" w:rsidRDefault="00031827" w:rsidP="00031827">
      <w:pPr>
        <w:jc w:val="both"/>
        <w:rPr>
          <w:sz w:val="20"/>
          <w:szCs w:val="20"/>
        </w:rPr>
      </w:pPr>
      <w:r w:rsidRPr="00031827">
        <w:rPr>
          <w:sz w:val="20"/>
          <w:szCs w:val="20"/>
        </w:rPr>
        <w:t>JEPA-like architectures introduce another important fragment: latent prediction. They learn to predict meaningful representations rather than reconstruct every pixel or token. This is closer to a world-model direction. But latent agreement is still not enough. Two latent representations may be close while hiding a higher-order incompatibility. The paper therefore reads current AI as partial: Transformer proposes, Diffusion repairs, JEPA predicts. Defensible Intelligence requires a further layer: witnessed higher-order compatibility, feedback restriction, hypercover refinement, obstruction-class refusal, and offline repair.</w:t>
      </w:r>
    </w:p>
    <w:p w14:paraId="4DC261E7" w14:textId="77777777" w:rsidR="00031827" w:rsidRPr="00031827" w:rsidRDefault="00031827" w:rsidP="00031827">
      <w:pPr>
        <w:jc w:val="both"/>
        <w:rPr>
          <w:sz w:val="20"/>
          <w:szCs w:val="20"/>
        </w:rPr>
      </w:pPr>
      <w:r w:rsidRPr="00031827">
        <w:rPr>
          <w:sz w:val="20"/>
          <w:szCs w:val="20"/>
        </w:rPr>
        <w:t xml:space="preserve">This is the </w:t>
      </w:r>
      <w:r w:rsidRPr="00031827">
        <w:rPr>
          <w:b/>
          <w:bCs/>
          <w:sz w:val="20"/>
          <w:szCs w:val="20"/>
        </w:rPr>
        <w:t>indirect axis</w:t>
      </w:r>
      <w:r w:rsidRPr="00031827">
        <w:rPr>
          <w:sz w:val="20"/>
          <w:szCs w:val="20"/>
        </w:rPr>
        <w:t xml:space="preserve"> of the paper: Mathematics → AI → Neuroscience. By studying where present AI fails, we identify candidate operations that a brain-like defensible system may need. But the paper is careful: AI failure does not prove neuroscience. It only generates hypotheses.</w:t>
      </w:r>
    </w:p>
    <w:p w14:paraId="3532B9C7" w14:textId="77777777" w:rsidR="00031827" w:rsidRPr="00031827" w:rsidRDefault="00031827" w:rsidP="00031827">
      <w:pPr>
        <w:pStyle w:val="Heading2"/>
        <w:rPr>
          <w:sz w:val="28"/>
          <w:szCs w:val="28"/>
        </w:rPr>
      </w:pPr>
      <w:r w:rsidRPr="00031827">
        <w:rPr>
          <w:sz w:val="28"/>
          <w:szCs w:val="28"/>
        </w:rPr>
        <w:t xml:space="preserve">Level 4 — Mathematical Reader: </w:t>
      </w:r>
      <w:r w:rsidRPr="00FE044F">
        <w:rPr>
          <w:sz w:val="28"/>
          <w:szCs w:val="28"/>
        </w:rPr>
        <w:t>Covers, nerves, hypercovers, and restriction</w:t>
      </w:r>
    </w:p>
    <w:p w14:paraId="760DDF7B" w14:textId="77777777" w:rsidR="00031827" w:rsidRPr="00031827" w:rsidRDefault="00031827" w:rsidP="00031827">
      <w:pPr>
        <w:jc w:val="both"/>
        <w:rPr>
          <w:sz w:val="20"/>
          <w:szCs w:val="20"/>
        </w:rPr>
      </w:pPr>
      <w:r w:rsidRPr="00031827">
        <w:rPr>
          <w:sz w:val="20"/>
          <w:szCs w:val="20"/>
        </w:rPr>
        <w:t>At the mathematical level, the paper is about local-to-global coherence. A system receives local sections over a cover. These sections may agree locally or pairwise, but that does not guarantee that they glue into one global section. The obstruction to gluing is the framework’s formal version of incoherence. A defensible system must compute this obstruction and withhold binding when it is nontrivial at the relevant precision tolerance.</w:t>
      </w:r>
    </w:p>
    <w:p w14:paraId="0D4369DF" w14:textId="77777777" w:rsidR="00031827" w:rsidRPr="00031827" w:rsidRDefault="00031827" w:rsidP="00031827">
      <w:pPr>
        <w:jc w:val="both"/>
        <w:rPr>
          <w:sz w:val="20"/>
          <w:szCs w:val="20"/>
        </w:rPr>
      </w:pPr>
      <w:r w:rsidRPr="00031827">
        <w:rPr>
          <w:sz w:val="20"/>
          <w:szCs w:val="20"/>
        </w:rPr>
        <w:t xml:space="preserve">The first mathematical correction concerns attention. Pairwise attention gives a weighted graph, or a 1-skeleton. But a genuine nerve of a cover requires higher intersections. Three regions may overlap pairwise while having </w:t>
      </w:r>
      <w:r w:rsidRPr="00031827">
        <w:rPr>
          <w:sz w:val="20"/>
          <w:szCs w:val="20"/>
        </w:rPr>
        <w:lastRenderedPageBreak/>
        <w:t xml:space="preserve">no common triple intersection. Therefore, a clique is not automatically a simplex. This gives the first audit coordinate: </w:t>
      </w:r>
      <w:r w:rsidRPr="00031827">
        <w:rPr>
          <w:b/>
          <w:bCs/>
          <w:sz w:val="20"/>
          <w:szCs w:val="20"/>
        </w:rPr>
        <w:t>Nerve-Attention</w:t>
      </w:r>
      <w:r w:rsidRPr="00031827">
        <w:rPr>
          <w:sz w:val="20"/>
          <w:szCs w:val="20"/>
        </w:rPr>
        <w:t>. The system must witness higher simplices rather than infer them from pairwise compatibility.</w:t>
      </w:r>
    </w:p>
    <w:p w14:paraId="6E4150F9" w14:textId="77777777" w:rsidR="00031827" w:rsidRPr="00031827" w:rsidRDefault="00031827" w:rsidP="00031827">
      <w:pPr>
        <w:jc w:val="both"/>
        <w:rPr>
          <w:sz w:val="20"/>
          <w:szCs w:val="20"/>
        </w:rPr>
      </w:pPr>
      <w:r w:rsidRPr="00031827">
        <w:rPr>
          <w:sz w:val="20"/>
          <w:szCs w:val="20"/>
        </w:rPr>
        <w:t xml:space="preserve">The second correction concerns cover adequacy. Even if the system has a valid obstruction gate, the gate may compute over a cover that is too coarse. If a hidden contradiction lives inside an overlap that has not been refined, the obstruction may appear to vanish. This is false-zero gluing. The remedy is </w:t>
      </w:r>
      <w:r w:rsidRPr="00031827">
        <w:rPr>
          <w:b/>
          <w:bCs/>
          <w:sz w:val="20"/>
          <w:szCs w:val="20"/>
        </w:rPr>
        <w:t>Hypercovering and Descent</w:t>
      </w:r>
      <w:r w:rsidRPr="00031827">
        <w:rPr>
          <w:sz w:val="20"/>
          <w:szCs w:val="20"/>
        </w:rPr>
        <w:t>: cover the overlaps, then the overlaps of overlaps, until the hidden structure is exposed or the refinement becomes too costly to justify.</w:t>
      </w:r>
    </w:p>
    <w:p w14:paraId="5ACC4CCD" w14:textId="77777777" w:rsidR="00031827" w:rsidRPr="00031827" w:rsidRDefault="00031827" w:rsidP="00031827">
      <w:pPr>
        <w:jc w:val="both"/>
        <w:rPr>
          <w:sz w:val="20"/>
          <w:szCs w:val="20"/>
        </w:rPr>
      </w:pPr>
      <w:r w:rsidRPr="00031827">
        <w:rPr>
          <w:sz w:val="20"/>
          <w:szCs w:val="20"/>
        </w:rPr>
        <w:t xml:space="preserve">The third correction concerns feedback. A proposal cannot be certified only at the level where it was generated. It must be restricted downward. In sheaf language, restriction maps carry information from broader regions to narrower ones. In the framework, feedback is not merely a tuning signal; it is the architecture’s restriction operator. This gives the third coordinate: </w:t>
      </w:r>
      <w:r w:rsidRPr="00031827">
        <w:rPr>
          <w:b/>
          <w:bCs/>
          <w:sz w:val="20"/>
          <w:szCs w:val="20"/>
        </w:rPr>
        <w:t>Feedback Abelian Cortex</w:t>
      </w:r>
      <w:r w:rsidRPr="00031827">
        <w:rPr>
          <w:sz w:val="20"/>
          <w:szCs w:val="20"/>
        </w:rPr>
        <w:t xml:space="preserve"> or feedback-as-restriction.</w:t>
      </w:r>
    </w:p>
    <w:p w14:paraId="6AAB477C" w14:textId="77777777" w:rsidR="00031827" w:rsidRPr="00031827" w:rsidRDefault="00031827" w:rsidP="00031827">
      <w:pPr>
        <w:jc w:val="both"/>
        <w:rPr>
          <w:sz w:val="20"/>
          <w:szCs w:val="20"/>
        </w:rPr>
      </w:pPr>
      <w:r w:rsidRPr="00031827">
        <w:rPr>
          <w:sz w:val="20"/>
          <w:szCs w:val="20"/>
        </w:rPr>
        <w:t>Together, the three coordinates form the audit basis: witnessed domain, adequate cover, and downward restriction.</w:t>
      </w:r>
    </w:p>
    <w:p w14:paraId="47E25948" w14:textId="77777777" w:rsidR="00031827" w:rsidRPr="00FE044F" w:rsidRDefault="00031827" w:rsidP="00FE044F">
      <w:pPr>
        <w:pStyle w:val="Heading2"/>
      </w:pPr>
      <w:r w:rsidRPr="00031827">
        <w:t xml:space="preserve">Level 5 — Neuroscience and Construction AGI </w:t>
      </w:r>
      <w:r w:rsidRPr="00FE044F">
        <w:t>synthesis</w:t>
      </w:r>
    </w:p>
    <w:p w14:paraId="5187F4F3" w14:textId="77777777" w:rsidR="00031827" w:rsidRPr="00031827" w:rsidRDefault="00031827" w:rsidP="00031827">
      <w:pPr>
        <w:jc w:val="both"/>
        <w:rPr>
          <w:sz w:val="20"/>
          <w:szCs w:val="20"/>
        </w:rPr>
      </w:pPr>
      <w:r w:rsidRPr="00031827">
        <w:rPr>
          <w:sz w:val="20"/>
          <w:szCs w:val="20"/>
        </w:rPr>
        <w:t xml:space="preserve">At the highest level, the paper places Construction AGI on an island between two flows. The </w:t>
      </w:r>
      <w:r w:rsidRPr="00031827">
        <w:rPr>
          <w:b/>
          <w:bCs/>
          <w:sz w:val="20"/>
          <w:szCs w:val="20"/>
        </w:rPr>
        <w:t>direct axis</w:t>
      </w:r>
      <w:r w:rsidRPr="00031827">
        <w:rPr>
          <w:sz w:val="20"/>
          <w:szCs w:val="20"/>
        </w:rPr>
        <w:t xml:space="preserve"> is Mathematics → Neuroscience. It reads the brain structurally: hierarchical recurrent cortex proposes and integrates; thalamic routing selects and coordinates; corticothalamic feedback restricts; basal-ganglia circuits gate action release or veto; neuromodulatory precision sets how strict the gate should be; sleep and offline consolidation repair what waking audit could only defer. The paper does not claim that the brain literally computes sheaf cohomology. It claims that the brain has an architecture that resembles the operations demanded by the mathematics.</w:t>
      </w:r>
    </w:p>
    <w:p w14:paraId="67CCE74A" w14:textId="77777777" w:rsidR="00031827" w:rsidRPr="00031827" w:rsidRDefault="00031827" w:rsidP="00031827">
      <w:pPr>
        <w:jc w:val="both"/>
        <w:rPr>
          <w:sz w:val="20"/>
          <w:szCs w:val="20"/>
        </w:rPr>
      </w:pPr>
      <w:r w:rsidRPr="00031827">
        <w:rPr>
          <w:sz w:val="20"/>
          <w:szCs w:val="20"/>
        </w:rPr>
        <w:t xml:space="preserve">The </w:t>
      </w:r>
      <w:r w:rsidRPr="00031827">
        <w:rPr>
          <w:b/>
          <w:bCs/>
          <w:sz w:val="20"/>
          <w:szCs w:val="20"/>
        </w:rPr>
        <w:t>indirect axis</w:t>
      </w:r>
      <w:r w:rsidRPr="00031827">
        <w:rPr>
          <w:sz w:val="20"/>
          <w:szCs w:val="20"/>
        </w:rPr>
        <w:t xml:space="preserve"> is Mathematics → AI → Neuroscience. It starts from current AI. The Transformer shows what happens when a system can propose but cannot refuse. Diffusion shows repair without certification. JEPA shows prediction without guaranteed higher-order compatibility. These limitations sharpen the hypothesis that a defensible brain-like AGI must coordinate proposal, prediction, repair, restriction, and refusal in one gated loop.</w:t>
      </w:r>
    </w:p>
    <w:p w14:paraId="3AD1F9FE" w14:textId="77777777" w:rsidR="00031827" w:rsidRPr="00031827" w:rsidRDefault="00031827" w:rsidP="00031827">
      <w:pPr>
        <w:jc w:val="both"/>
        <w:rPr>
          <w:sz w:val="20"/>
          <w:szCs w:val="20"/>
        </w:rPr>
      </w:pPr>
      <w:r w:rsidRPr="00031827">
        <w:rPr>
          <w:sz w:val="20"/>
          <w:szCs w:val="20"/>
        </w:rPr>
        <w:t>Construction AGI is the place where these two flows become practical. In open-ended conversation, an AI hallucination may be embarrassing. In construction, it may be unsafe, expensive, or legally unsignable. A construction decision must respect codes, quantities, materials, drawings, site reality, sequence, safety, contracts, and responsibility. Therefore Construction AGI is the natural testbed for Defensible Intelligence. It forces the system to preserve provenance, expose unresolved conflicts, refuse unsafe binding, and escalate when the cover is inadequate.</w:t>
      </w:r>
    </w:p>
    <w:p w14:paraId="05234431" w14:textId="3CA46E3E" w:rsidR="00031827" w:rsidRPr="00031827" w:rsidRDefault="00031827" w:rsidP="00DB05FE">
      <w:pPr>
        <w:jc w:val="both"/>
        <w:rPr>
          <w:sz w:val="20"/>
          <w:szCs w:val="20"/>
        </w:rPr>
      </w:pPr>
      <w:r w:rsidRPr="00031827">
        <w:rPr>
          <w:sz w:val="20"/>
          <w:szCs w:val="20"/>
        </w:rPr>
        <w:t>The final message of the paper is that reliable AGI will not be built by making AI more fluent alone. It must be built by making AI more auditable. A defensible system must know what it has glued, what cover it used, what restrictions it checked, what obstruction remains, and why it is allowed to proceed. In construction language: no signature without audit; no audit without cover; no cover without refinement; no output without a refusal path.</w:t>
      </w:r>
    </w:p>
    <w:sectPr w:rsidR="00031827" w:rsidRPr="000318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189A"/>
    <w:multiLevelType w:val="multilevel"/>
    <w:tmpl w:val="12DC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576727"/>
    <w:multiLevelType w:val="multilevel"/>
    <w:tmpl w:val="1AAC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1D623D"/>
    <w:multiLevelType w:val="multilevel"/>
    <w:tmpl w:val="0B58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5E1272"/>
    <w:multiLevelType w:val="multilevel"/>
    <w:tmpl w:val="8900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1B6B83"/>
    <w:multiLevelType w:val="multilevel"/>
    <w:tmpl w:val="B562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996956">
    <w:abstractNumId w:val="4"/>
  </w:num>
  <w:num w:numId="2" w16cid:durableId="615791884">
    <w:abstractNumId w:val="3"/>
  </w:num>
  <w:num w:numId="3" w16cid:durableId="193730872">
    <w:abstractNumId w:val="2"/>
  </w:num>
  <w:num w:numId="4" w16cid:durableId="2024354718">
    <w:abstractNumId w:val="1"/>
  </w:num>
  <w:num w:numId="5" w16cid:durableId="1821769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22B"/>
    <w:rsid w:val="00031827"/>
    <w:rsid w:val="00107DEC"/>
    <w:rsid w:val="002C3F9C"/>
    <w:rsid w:val="00592DF6"/>
    <w:rsid w:val="006D29E7"/>
    <w:rsid w:val="00844D1D"/>
    <w:rsid w:val="008B08B7"/>
    <w:rsid w:val="008F3626"/>
    <w:rsid w:val="00973D82"/>
    <w:rsid w:val="00997E89"/>
    <w:rsid w:val="009F645A"/>
    <w:rsid w:val="00A07573"/>
    <w:rsid w:val="00A96025"/>
    <w:rsid w:val="00AC222B"/>
    <w:rsid w:val="00BC2EF3"/>
    <w:rsid w:val="00C24516"/>
    <w:rsid w:val="00D43B16"/>
    <w:rsid w:val="00DB05FE"/>
    <w:rsid w:val="00DC1523"/>
    <w:rsid w:val="00E24F7E"/>
    <w:rsid w:val="00EE795B"/>
    <w:rsid w:val="00F008CA"/>
    <w:rsid w:val="00F404CD"/>
    <w:rsid w:val="00F87A03"/>
    <w:rsid w:val="00FE044F"/>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24F70"/>
  <w15:chartTrackingRefBased/>
  <w15:docId w15:val="{A681BCD3-7137-48B0-8E95-C764A79BE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2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C22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22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22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22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22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2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2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2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2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C22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22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22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22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22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2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2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22B"/>
    <w:rPr>
      <w:rFonts w:eastAsiaTheme="majorEastAsia" w:cstheme="majorBidi"/>
      <w:color w:val="272727" w:themeColor="text1" w:themeTint="D8"/>
    </w:rPr>
  </w:style>
  <w:style w:type="paragraph" w:styleId="Title">
    <w:name w:val="Title"/>
    <w:basedOn w:val="Normal"/>
    <w:next w:val="Normal"/>
    <w:link w:val="TitleChar"/>
    <w:uiPriority w:val="10"/>
    <w:qFormat/>
    <w:rsid w:val="00AC22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2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2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2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22B"/>
    <w:pPr>
      <w:spacing w:before="160"/>
      <w:jc w:val="center"/>
    </w:pPr>
    <w:rPr>
      <w:i/>
      <w:iCs/>
      <w:color w:val="404040" w:themeColor="text1" w:themeTint="BF"/>
    </w:rPr>
  </w:style>
  <w:style w:type="character" w:customStyle="1" w:styleId="QuoteChar">
    <w:name w:val="Quote Char"/>
    <w:basedOn w:val="DefaultParagraphFont"/>
    <w:link w:val="Quote"/>
    <w:uiPriority w:val="29"/>
    <w:rsid w:val="00AC222B"/>
    <w:rPr>
      <w:i/>
      <w:iCs/>
      <w:color w:val="404040" w:themeColor="text1" w:themeTint="BF"/>
    </w:rPr>
  </w:style>
  <w:style w:type="paragraph" w:styleId="ListParagraph">
    <w:name w:val="List Paragraph"/>
    <w:basedOn w:val="Normal"/>
    <w:uiPriority w:val="34"/>
    <w:qFormat/>
    <w:rsid w:val="00AC222B"/>
    <w:pPr>
      <w:ind w:left="720"/>
      <w:contextualSpacing/>
    </w:pPr>
  </w:style>
  <w:style w:type="character" w:styleId="IntenseEmphasis">
    <w:name w:val="Intense Emphasis"/>
    <w:basedOn w:val="DefaultParagraphFont"/>
    <w:uiPriority w:val="21"/>
    <w:qFormat/>
    <w:rsid w:val="00AC222B"/>
    <w:rPr>
      <w:i/>
      <w:iCs/>
      <w:color w:val="2F5496" w:themeColor="accent1" w:themeShade="BF"/>
    </w:rPr>
  </w:style>
  <w:style w:type="paragraph" w:styleId="IntenseQuote">
    <w:name w:val="Intense Quote"/>
    <w:basedOn w:val="Normal"/>
    <w:next w:val="Normal"/>
    <w:link w:val="IntenseQuoteChar"/>
    <w:uiPriority w:val="30"/>
    <w:qFormat/>
    <w:rsid w:val="00AC22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222B"/>
    <w:rPr>
      <w:i/>
      <w:iCs/>
      <w:color w:val="2F5496" w:themeColor="accent1" w:themeShade="BF"/>
    </w:rPr>
  </w:style>
  <w:style w:type="character" w:styleId="IntenseReference">
    <w:name w:val="Intense Reference"/>
    <w:basedOn w:val="DefaultParagraphFont"/>
    <w:uiPriority w:val="32"/>
    <w:qFormat/>
    <w:rsid w:val="00AC222B"/>
    <w:rPr>
      <w:b/>
      <w:bCs/>
      <w:smallCaps/>
      <w:color w:val="2F5496" w:themeColor="accent1" w:themeShade="BF"/>
      <w:spacing w:val="5"/>
    </w:rPr>
  </w:style>
  <w:style w:type="character" w:styleId="Hyperlink">
    <w:name w:val="Hyperlink"/>
    <w:basedOn w:val="DefaultParagraphFont"/>
    <w:uiPriority w:val="99"/>
    <w:unhideWhenUsed/>
    <w:rsid w:val="00A96025"/>
    <w:rPr>
      <w:color w:val="0563C1" w:themeColor="hyperlink"/>
      <w:u w:val="single"/>
    </w:rPr>
  </w:style>
  <w:style w:type="character" w:styleId="UnresolvedMention">
    <w:name w:val="Unresolved Mention"/>
    <w:basedOn w:val="DefaultParagraphFont"/>
    <w:uiPriority w:val="99"/>
    <w:semiHidden/>
    <w:unhideWhenUsed/>
    <w:rsid w:val="00A96025"/>
    <w:rPr>
      <w:color w:val="605E5C"/>
      <w:shd w:val="clear" w:color="auto" w:fill="E1DFDD"/>
    </w:rPr>
  </w:style>
  <w:style w:type="character" w:styleId="FollowedHyperlink">
    <w:name w:val="FollowedHyperlink"/>
    <w:basedOn w:val="DefaultParagraphFont"/>
    <w:uiPriority w:val="99"/>
    <w:semiHidden/>
    <w:unhideWhenUsed/>
    <w:rsid w:val="00A9602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abs/1503.03585" TargetMode="External"/><Relationship Id="rId18" Type="http://schemas.openxmlformats.org/officeDocument/2006/relationships/hyperlink" Target="https://doi.org/10.1146/annurev.neuro.27.070203.144152" TargetMode="External"/><Relationship Id="rId26" Type="http://schemas.openxmlformats.org/officeDocument/2006/relationships/hyperlink" Target="https://doi.org/10.1007/PL00007984" TargetMode="External"/><Relationship Id="rId39" Type="http://schemas.openxmlformats.org/officeDocument/2006/relationships/hyperlink" Target="https://doi.org/10.1007/978-3-662-02661-8" TargetMode="External"/><Relationship Id="rId21" Type="http://schemas.openxmlformats.org/officeDocument/2006/relationships/hyperlink" Target="https://doi.org/10.1016/j.neuron.2012.10.038" TargetMode="External"/><Relationship Id="rId34" Type="http://schemas.openxmlformats.org/officeDocument/2006/relationships/hyperlink" Target="https://doi.org/10.1038/nrn2787" TargetMode="External"/><Relationship Id="rId42" Type="http://schemas.openxmlformats.org/officeDocument/2006/relationships/hyperlink" Target="https://doi.org/10.1038/4580" TargetMode="External"/><Relationship Id="rId47" Type="http://schemas.openxmlformats.org/officeDocument/2006/relationships/hyperlink" Target="https://doi.org/10.13140/RG.2.2.22726.02889" TargetMode="External"/><Relationship Id="rId50" Type="http://schemas.openxmlformats.org/officeDocument/2006/relationships/hyperlink" Target="https://doi.org/10.13140/RG.2.2.24454.54080" TargetMode="External"/><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arxiv.org/abs/2301.08243" TargetMode="External"/><Relationship Id="rId29" Type="http://schemas.openxmlformats.org/officeDocument/2006/relationships/hyperlink" Target="https://arxiv.org/abs/2301.08243" TargetMode="External"/><Relationship Id="rId11" Type="http://schemas.openxmlformats.org/officeDocument/2006/relationships/hyperlink" Target="https://doi.org/10.1007/BFb0081551" TargetMode="External"/><Relationship Id="rId24" Type="http://schemas.openxmlformats.org/officeDocument/2006/relationships/hyperlink" Target="https://doi.org/10.1038/s41593-017-0020-1" TargetMode="External"/><Relationship Id="rId32" Type="http://schemas.openxmlformats.org/officeDocument/2006/relationships/hyperlink" Target="https://doi.org/10.1146/annurev.neuro.27.070203.144152" TargetMode="External"/><Relationship Id="rId37" Type="http://schemas.openxmlformats.org/officeDocument/2006/relationships/hyperlink" Target="https://doi.org/10.1038/s41593-017-0020-1" TargetMode="External"/><Relationship Id="rId40" Type="http://schemas.openxmlformats.org/officeDocument/2006/relationships/hyperlink" Target="https://openreview.net/pdf?id=BZ5a1r-kVsf" TargetMode="External"/><Relationship Id="rId45" Type="http://schemas.openxmlformats.org/officeDocument/2006/relationships/hyperlink" Target="https://arxiv.org/abs/1503.03585" TargetMode="External"/><Relationship Id="rId53" Type="http://schemas.openxmlformats.org/officeDocument/2006/relationships/hyperlink" Target="https://doi.org/10.13140/RG.2.2.20333.96488" TargetMode="External"/><Relationship Id="rId5" Type="http://schemas.openxmlformats.org/officeDocument/2006/relationships/hyperlink" Target="mailto:debiprasadghosh@lntecc.com" TargetMode="External"/><Relationship Id="rId10" Type="http://schemas.openxmlformats.org/officeDocument/2006/relationships/hyperlink" Target="https://doi.org/10.1007/978-3-662-02661-8" TargetMode="External"/><Relationship Id="rId19" Type="http://schemas.openxmlformats.org/officeDocument/2006/relationships/hyperlink" Target="https://doi.org/10.1038/4580" TargetMode="External"/><Relationship Id="rId31" Type="http://schemas.openxmlformats.org/officeDocument/2006/relationships/hyperlink" Target="https://doi.org/10.1007/978-1-4612-0647-7" TargetMode="External"/><Relationship Id="rId44" Type="http://schemas.openxmlformats.org/officeDocument/2006/relationships/hyperlink" Target="https://direct.mit.edu/books/monograph/3000/Exploring-the-Thalamus-and-Its-Role-in-Cortical" TargetMode="External"/><Relationship Id="rId52" Type="http://schemas.openxmlformats.org/officeDocument/2006/relationships/hyperlink" Target="https://doi.org/10.13140/RG.2.2.14232.56328" TargetMode="External"/><Relationship Id="rId4" Type="http://schemas.openxmlformats.org/officeDocument/2006/relationships/webSettings" Target="webSettings.xml"/><Relationship Id="rId9" Type="http://schemas.openxmlformats.org/officeDocument/2006/relationships/hyperlink" Target="https://doi.org/10.1007/978-1-4612-0647-7" TargetMode="External"/><Relationship Id="rId14" Type="http://schemas.openxmlformats.org/officeDocument/2006/relationships/hyperlink" Target="https://proceedings.neurips.cc/paper/2020/hash/4c5bcfec8584af0d967f1ab10179ca4b-Abstract.html" TargetMode="External"/><Relationship Id="rId22" Type="http://schemas.openxmlformats.org/officeDocument/2006/relationships/hyperlink" Target="https://direct.mit.edu/books/monograph/3000/Exploring-the-Thalamus-and-Its-Role-in-Cortical" TargetMode="External"/><Relationship Id="rId27" Type="http://schemas.openxmlformats.org/officeDocument/2006/relationships/hyperlink" Target="https://doi.org/10.1007/PL00007985" TargetMode="External"/><Relationship Id="rId30" Type="http://schemas.openxmlformats.org/officeDocument/2006/relationships/hyperlink" Target="https://doi.org/10.1016/j.neuron.2012.10.038" TargetMode="External"/><Relationship Id="rId35" Type="http://schemas.openxmlformats.org/officeDocument/2006/relationships/hyperlink" Target="https://doi.org/10.1007/PL00007984" TargetMode="External"/><Relationship Id="rId43" Type="http://schemas.openxmlformats.org/officeDocument/2006/relationships/hyperlink" Target="https://doi.org/10.1016/j.neuron.2011.06.027" TargetMode="External"/><Relationship Id="rId48" Type="http://schemas.openxmlformats.org/officeDocument/2006/relationships/hyperlink" Target="https://doi.org/10.13140/RG.2.2.31337.45929" TargetMode="External"/><Relationship Id="rId8" Type="http://schemas.openxmlformats.org/officeDocument/2006/relationships/hyperlink" Target="https://doi.org/10.13140/RG.2.2.26647.53922" TargetMode="External"/><Relationship Id="rId51" Type="http://schemas.openxmlformats.org/officeDocument/2006/relationships/hyperlink" Target="https://doi.org/10.13140/RG.2.2.19848.99846" TargetMode="External"/><Relationship Id="rId3" Type="http://schemas.openxmlformats.org/officeDocument/2006/relationships/settings" Target="settings.xml"/><Relationship Id="rId12" Type="http://schemas.openxmlformats.org/officeDocument/2006/relationships/hyperlink" Target="https://arxiv.org/abs/1706.03762" TargetMode="External"/><Relationship Id="rId17" Type="http://schemas.openxmlformats.org/officeDocument/2006/relationships/hyperlink" Target="https://doi.org/10.1093/cercor/1.1.1-a" TargetMode="External"/><Relationship Id="rId25" Type="http://schemas.openxmlformats.org/officeDocument/2006/relationships/hyperlink" Target="https://doi.org/10.1016/S0301-0082(96)00042-1" TargetMode="External"/><Relationship Id="rId33" Type="http://schemas.openxmlformats.org/officeDocument/2006/relationships/hyperlink" Target="https://doi.org/10.1093/cercor/1.1.1-a" TargetMode="External"/><Relationship Id="rId38" Type="http://schemas.openxmlformats.org/officeDocument/2006/relationships/hyperlink" Target="https://proceedings.neurips.cc/paper/2020/hash/4c5bcfec8584af0d967f1ab10179ca4b-Abstract.html" TargetMode="External"/><Relationship Id="rId46" Type="http://schemas.openxmlformats.org/officeDocument/2006/relationships/hyperlink" Target="https://arxiv.org/abs/1706.03762" TargetMode="External"/><Relationship Id="rId20" Type="http://schemas.openxmlformats.org/officeDocument/2006/relationships/hyperlink" Target="https://doi.org/10.1038/nrn2787" TargetMode="External"/><Relationship Id="rId41" Type="http://schemas.openxmlformats.org/officeDocument/2006/relationships/hyperlink" Target="https://doi.org/10.1016/S0301-0082(96)00042-1"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orcid.org/0000-0001-7393-2907" TargetMode="External"/><Relationship Id="rId15" Type="http://schemas.openxmlformats.org/officeDocument/2006/relationships/hyperlink" Target="https://openreview.net/pdf?id=BZ5a1r-kVsf" TargetMode="External"/><Relationship Id="rId23" Type="http://schemas.openxmlformats.org/officeDocument/2006/relationships/hyperlink" Target="https://doi.org/10.1016/j.neuron.2011.06.027" TargetMode="External"/><Relationship Id="rId28" Type="http://schemas.openxmlformats.org/officeDocument/2006/relationships/hyperlink" Target="https://doi.org/10.1007/BFb0081551" TargetMode="External"/><Relationship Id="rId36" Type="http://schemas.openxmlformats.org/officeDocument/2006/relationships/hyperlink" Target="https://doi.org/10.1007/PL00007985" TargetMode="External"/><Relationship Id="rId49" Type="http://schemas.openxmlformats.org/officeDocument/2006/relationships/hyperlink" Target="https://doi.org/10.13140/RG.2.2.34889.510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251</TotalTime>
  <Pages>14</Pages>
  <Words>8405</Words>
  <Characters>47914</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Debiprasad Ghosh</dc:creator>
  <cp:keywords/>
  <dc:description/>
  <cp:lastModifiedBy>Debiprasad Ghosh</cp:lastModifiedBy>
  <cp:revision>14</cp:revision>
  <cp:lastPrinted>2026-06-21T08:19:00Z</cp:lastPrinted>
  <dcterms:created xsi:type="dcterms:W3CDTF">2026-06-21T04:09:00Z</dcterms:created>
  <dcterms:modified xsi:type="dcterms:W3CDTF">2026-06-21T08:23:00Z</dcterms:modified>
</cp:coreProperties>
</file>