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695E" w14:textId="1071B941" w:rsidR="00EB326B" w:rsidRPr="006B4CC5" w:rsidRDefault="00EB326B" w:rsidP="00EB326B">
      <w:pPr>
        <w:pStyle w:val="Title"/>
        <w:pBdr>
          <w:bottom w:val="single" w:sz="6" w:space="1" w:color="auto"/>
        </w:pBdr>
        <w:rPr>
          <w:rFonts w:asciiTheme="minorHAnsi" w:hAnsiTheme="minorHAnsi"/>
          <w:sz w:val="22"/>
          <w:szCs w:val="22"/>
        </w:rPr>
      </w:pPr>
      <w:r w:rsidRPr="006B4CC5">
        <w:rPr>
          <w:rFonts w:asciiTheme="minorHAnsi" w:hAnsiTheme="minorHAnsi"/>
          <w:sz w:val="22"/>
          <w:szCs w:val="22"/>
        </w:rPr>
        <w:t xml:space="preserve">Manuscript as of </w:t>
      </w:r>
      <w:r>
        <w:rPr>
          <w:rFonts w:asciiTheme="minorHAnsi" w:hAnsiTheme="minorHAnsi"/>
          <w:sz w:val="22"/>
          <w:szCs w:val="22"/>
        </w:rPr>
        <w:t>June</w:t>
      </w:r>
      <w:r w:rsidRPr="006B4CC5">
        <w:rPr>
          <w:rFonts w:asciiTheme="minorHAnsi" w:hAnsiTheme="minorHAnsi"/>
          <w:sz w:val="22"/>
          <w:szCs w:val="22"/>
        </w:rPr>
        <w:t xml:space="preserve"> </w:t>
      </w:r>
      <w:r>
        <w:rPr>
          <w:rFonts w:asciiTheme="minorHAnsi" w:hAnsiTheme="minorHAnsi"/>
          <w:sz w:val="22"/>
          <w:szCs w:val="22"/>
        </w:rPr>
        <w:t>03</w:t>
      </w:r>
      <w:r w:rsidRPr="006B4CC5">
        <w:rPr>
          <w:rFonts w:asciiTheme="minorHAnsi" w:hAnsiTheme="minorHAnsi"/>
          <w:sz w:val="22"/>
          <w:szCs w:val="22"/>
        </w:rPr>
        <w:t>, 202</w:t>
      </w:r>
      <w:r>
        <w:rPr>
          <w:rFonts w:asciiTheme="minorHAnsi" w:hAnsiTheme="minorHAnsi"/>
          <w:sz w:val="22"/>
          <w:szCs w:val="22"/>
        </w:rPr>
        <w:t xml:space="preserve">6; </w:t>
      </w:r>
      <w:r w:rsidRPr="00EB326B">
        <w:rPr>
          <w:rFonts w:asciiTheme="minorHAnsi" w:hAnsiTheme="minorHAnsi"/>
          <w:sz w:val="22"/>
          <w:szCs w:val="22"/>
        </w:rPr>
        <w:t>LinkedIn</w:t>
      </w:r>
      <w:r w:rsidR="00584323">
        <w:rPr>
          <w:rFonts w:asciiTheme="minorHAnsi" w:hAnsiTheme="minorHAnsi"/>
          <w:sz w:val="22"/>
          <w:szCs w:val="22"/>
        </w:rPr>
        <w:t xml:space="preserve"> Articles:</w:t>
      </w:r>
      <w:r w:rsidRPr="00EB326B">
        <w:rPr>
          <w:rFonts w:asciiTheme="minorHAnsi" w:hAnsiTheme="minorHAnsi"/>
          <w:sz w:val="22"/>
          <w:szCs w:val="22"/>
        </w:rPr>
        <w:t xml:space="preserve"> </w:t>
      </w:r>
      <w:hyperlink r:id="rId5" w:history="1">
        <w:r w:rsidR="00584323" w:rsidRPr="00584323">
          <w:rPr>
            <w:rStyle w:val="Hyperlink"/>
            <w:rFonts w:asciiTheme="minorHAnsi" w:hAnsiTheme="minorHAnsi"/>
            <w:sz w:val="22"/>
            <w:szCs w:val="22"/>
          </w:rPr>
          <w:t>Compactness</w:t>
        </w:r>
      </w:hyperlink>
      <w:r>
        <w:rPr>
          <w:rFonts w:asciiTheme="minorHAnsi" w:hAnsiTheme="minorHAnsi"/>
          <w:sz w:val="22"/>
          <w:szCs w:val="22"/>
        </w:rPr>
        <w:t xml:space="preserve">, </w:t>
      </w:r>
      <w:hyperlink r:id="rId6" w:history="1">
        <w:r w:rsidR="00584323" w:rsidRPr="00584323">
          <w:rPr>
            <w:rStyle w:val="Hyperlink"/>
            <w:rFonts w:asciiTheme="minorHAnsi" w:hAnsiTheme="minorHAnsi"/>
            <w:sz w:val="22"/>
            <w:szCs w:val="22"/>
          </w:rPr>
          <w:t>Ladder</w:t>
        </w:r>
      </w:hyperlink>
      <w:r>
        <w:rPr>
          <w:rFonts w:asciiTheme="minorHAnsi" w:hAnsiTheme="minorHAnsi"/>
          <w:sz w:val="22"/>
          <w:szCs w:val="22"/>
        </w:rPr>
        <w:t xml:space="preserve">, </w:t>
      </w:r>
      <w:hyperlink r:id="rId7" w:history="1">
        <w:r w:rsidR="00584323" w:rsidRPr="00584323">
          <w:rPr>
            <w:rStyle w:val="Hyperlink"/>
            <w:rFonts w:asciiTheme="minorHAnsi" w:hAnsiTheme="minorHAnsi"/>
            <w:sz w:val="22"/>
            <w:szCs w:val="22"/>
          </w:rPr>
          <w:t>Sleep</w:t>
        </w:r>
      </w:hyperlink>
      <w:r>
        <w:rPr>
          <w:rFonts w:asciiTheme="minorHAnsi" w:hAnsiTheme="minorHAnsi"/>
          <w:sz w:val="22"/>
          <w:szCs w:val="22"/>
        </w:rPr>
        <w:t>.</w:t>
      </w:r>
      <w:r>
        <w:rPr>
          <w:rFonts w:asciiTheme="minorHAnsi" w:hAnsiTheme="minorHAnsi"/>
          <w:sz w:val="22"/>
          <w:szCs w:val="22"/>
        </w:rPr>
        <w:t xml:space="preserve"> </w:t>
      </w:r>
    </w:p>
    <w:p w14:paraId="284A63C3" w14:textId="5F920C37" w:rsidR="00854B88" w:rsidRDefault="00854B88" w:rsidP="00854B88">
      <w:pPr>
        <w:pStyle w:val="Title"/>
        <w:jc w:val="center"/>
        <w:rPr>
          <w:sz w:val="40"/>
          <w:szCs w:val="40"/>
        </w:rPr>
      </w:pPr>
      <w:r w:rsidRPr="000B1B91">
        <w:rPr>
          <w:sz w:val="40"/>
          <w:szCs w:val="40"/>
        </w:rPr>
        <w:t>The Geometry of Defensible Action: An Enrichment-Ladder Theory of Certifiable Intelligence, from Cortico-Striatal Gating to the Thalamic Binding of Action, Fear, and Sleep</w:t>
      </w:r>
    </w:p>
    <w:p w14:paraId="76009D41" w14:textId="77777777" w:rsidR="00EB326B" w:rsidRDefault="00EB326B" w:rsidP="00EB326B">
      <w:pPr>
        <w:jc w:val="center"/>
      </w:pPr>
      <w:r w:rsidRPr="006B4CC5">
        <w:t xml:space="preserve">Debi Prasad Ghosh, </w:t>
      </w:r>
      <w:hyperlink r:id="rId8" w:history="1">
        <w:r w:rsidRPr="006B4CC5">
          <w:rPr>
            <w:rStyle w:val="Hyperlink"/>
          </w:rPr>
          <w:t>debiprasadghosh@lntecc.com</w:t>
        </w:r>
      </w:hyperlink>
      <w:r>
        <w:t xml:space="preserve"> </w:t>
      </w:r>
      <w:r>
        <w:rPr>
          <w:noProof/>
        </w:rPr>
        <w:drawing>
          <wp:inline distT="0" distB="0" distL="0" distR="0" wp14:anchorId="11B984C6" wp14:editId="15276158">
            <wp:extent cx="133067" cy="133067"/>
            <wp:effectExtent l="0" t="0" r="635" b="635"/>
            <wp:docPr id="1305915393" name="Picture 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15393" name="Picture 7">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42530" cy="142530"/>
                    </a:xfrm>
                    <a:prstGeom prst="rect">
                      <a:avLst/>
                    </a:prstGeom>
                    <a:noFill/>
                  </pic:spPr>
                </pic:pic>
              </a:graphicData>
            </a:graphic>
          </wp:inline>
        </w:drawing>
      </w:r>
    </w:p>
    <w:p w14:paraId="109DB5BC" w14:textId="77777777" w:rsidR="00EB326B" w:rsidRPr="006B4CC5" w:rsidRDefault="00EB326B" w:rsidP="00EB326B">
      <w:pPr>
        <w:jc w:val="center"/>
      </w:pPr>
      <w:r>
        <w:t>CTO, AI &amp;</w:t>
      </w:r>
      <w:r w:rsidRPr="006B4CC5">
        <w:t xml:space="preserve"> Automation</w:t>
      </w:r>
    </w:p>
    <w:p w14:paraId="0D51AF2A" w14:textId="77777777" w:rsidR="00EB326B" w:rsidRDefault="00EB326B" w:rsidP="00EB326B">
      <w:pPr>
        <w:jc w:val="center"/>
      </w:pPr>
      <w:r w:rsidRPr="00F5609C">
        <w:t>Engineering Design &amp; Research Center, Larsen &amp; Toubro Construction (M&amp;M) Kolkata, India</w:t>
      </w:r>
    </w:p>
    <w:p w14:paraId="48E20961" w14:textId="185FFC4E" w:rsidR="00854B88" w:rsidRPr="00854B88" w:rsidRDefault="003E38DC" w:rsidP="003E38DC">
      <w:pPr>
        <w:jc w:val="center"/>
      </w:pPr>
      <w:hyperlink r:id="rId11" w:history="1">
        <w:r w:rsidRPr="000A521E">
          <w:rPr>
            <w:rStyle w:val="Hyperlink"/>
          </w:rPr>
          <w:t>https://doi.org/10.13140/RG.2.2.24454.54080</w:t>
        </w:r>
      </w:hyperlink>
    </w:p>
    <w:p w14:paraId="7502E840" w14:textId="22137C03" w:rsidR="00464E7A" w:rsidRPr="00464E7A" w:rsidRDefault="00854B88" w:rsidP="00464E7A">
      <w:pPr>
        <w:jc w:val="both"/>
      </w:pPr>
      <w:r w:rsidRPr="00854B88">
        <w:rPr>
          <w:b/>
          <w:bCs/>
        </w:rPr>
        <w:t>Abstract</w:t>
      </w:r>
      <w:r>
        <w:rPr>
          <w:b/>
          <w:bCs/>
        </w:rPr>
        <w:t xml:space="preserve">: </w:t>
      </w:r>
      <w:r w:rsidRPr="00854B88">
        <w:t xml:space="preserve">We </w:t>
      </w:r>
      <w:r w:rsidR="00464E7A" w:rsidRPr="00464E7A">
        <w:t xml:space="preserve">propose a unifying conceptual framework in which the functional architecture of intelligence is organized along the </w:t>
      </w:r>
      <w:r w:rsidR="00464E7A" w:rsidRPr="00464E7A">
        <w:rPr>
          <w:i/>
          <w:iCs/>
        </w:rPr>
        <w:t>enrichment ladder</w:t>
      </w:r>
      <w:r w:rsidR="00464E7A" w:rsidRPr="00464E7A">
        <w:t xml:space="preserve"> of mathematical analysis — the nested hierarchy </w:t>
      </w:r>
      <w:r w:rsidR="00464E7A" w:rsidRPr="00CB488A">
        <w:rPr>
          <w:b/>
          <w:bCs/>
        </w:rPr>
        <w:t xml:space="preserve">topological </w:t>
      </w:r>
      <w:r w:rsidR="00464E7A" w:rsidRPr="00CB488A">
        <w:rPr>
          <w:rFonts w:ascii="Cambria Math" w:hAnsi="Cambria Math" w:cs="Cambria Math"/>
          <w:b/>
          <w:bCs/>
        </w:rPr>
        <w:t>⊂</w:t>
      </w:r>
      <w:r w:rsidR="00464E7A" w:rsidRPr="00CB488A">
        <w:rPr>
          <w:b/>
          <w:bCs/>
        </w:rPr>
        <w:t xml:space="preserve"> uniform </w:t>
      </w:r>
      <w:r w:rsidR="00464E7A" w:rsidRPr="00CB488A">
        <w:rPr>
          <w:rFonts w:ascii="Cambria Math" w:hAnsi="Cambria Math" w:cs="Cambria Math"/>
          <w:b/>
          <w:bCs/>
        </w:rPr>
        <w:t>⊂</w:t>
      </w:r>
      <w:r w:rsidR="00464E7A" w:rsidRPr="00CB488A">
        <w:rPr>
          <w:b/>
          <w:bCs/>
        </w:rPr>
        <w:t xml:space="preserve"> metric </w:t>
      </w:r>
      <w:r w:rsidR="00464E7A" w:rsidRPr="00CB488A">
        <w:rPr>
          <w:rFonts w:ascii="Cambria Math" w:hAnsi="Cambria Math" w:cs="Cambria Math"/>
          <w:b/>
          <w:bCs/>
        </w:rPr>
        <w:t>⊂</w:t>
      </w:r>
      <w:r w:rsidR="00464E7A" w:rsidRPr="00CB488A">
        <w:rPr>
          <w:b/>
          <w:bCs/>
        </w:rPr>
        <w:t xml:space="preserve"> normed </w:t>
      </w:r>
      <w:r w:rsidR="00464E7A" w:rsidRPr="00CB488A">
        <w:rPr>
          <w:rFonts w:ascii="Cambria Math" w:hAnsi="Cambria Math" w:cs="Cambria Math"/>
          <w:b/>
          <w:bCs/>
        </w:rPr>
        <w:t>⊂</w:t>
      </w:r>
      <w:r w:rsidR="00464E7A" w:rsidRPr="00CB488A">
        <w:rPr>
          <w:b/>
          <w:bCs/>
        </w:rPr>
        <w:t xml:space="preserve"> inner-product space</w:t>
      </w:r>
      <w:r w:rsidR="00464E7A" w:rsidRPr="00464E7A">
        <w:t xml:space="preserve"> </w:t>
      </w:r>
      <w:r w:rsidR="00464E7A" w:rsidRPr="00464E7A">
        <w:rPr>
          <w:rFonts w:ascii="Calibri" w:hAnsi="Calibri" w:cs="Calibri"/>
        </w:rPr>
        <w:t>—</w:t>
      </w:r>
      <w:r w:rsidR="00464E7A" w:rsidRPr="00464E7A">
        <w:t xml:space="preserve"> and in which each major neural system is hypothesized to operate at the lowest rung its function requires, and no higher. Under this </w:t>
      </w:r>
      <w:r w:rsidR="00464E7A" w:rsidRPr="00464E7A">
        <w:rPr>
          <w:i/>
          <w:iCs/>
        </w:rPr>
        <w:t>structural-parsimony principle</w:t>
      </w:r>
      <w:r w:rsidR="00464E7A" w:rsidRPr="00464E7A">
        <w:t>, the amygdala computes a topological membership verdict (danger / not-danger), the cerebellum a uniform structure (total boundedness via a finite ε-net, instantiating an entourage), the basal ganglia a metric structure (a γ-contraction whose fixed point supplies completeness of the reachable set), the hippocampus a normed structure (origin-anchored vector navigation), and the neocortex an inner-product structure (orthogonalized, interference-free representation). Because the rungs are nested, the assignments coexist on a single shared manifold while specializing upward; the ordering coincides with phylogenetic age, yielding a falsifiable claim that structural minimality and evolutionary order are the same sequence read from the bottom up.</w:t>
      </w:r>
    </w:p>
    <w:p w14:paraId="0B94C934" w14:textId="77777777" w:rsidR="00464E7A" w:rsidRPr="00464E7A" w:rsidRDefault="00464E7A" w:rsidP="00464E7A">
      <w:pPr>
        <w:jc w:val="both"/>
      </w:pPr>
      <w:r w:rsidRPr="00464E7A">
        <w:t xml:space="preserve">We argue that </w:t>
      </w:r>
      <w:r w:rsidRPr="00464E7A">
        <w:rPr>
          <w:i/>
          <w:iCs/>
        </w:rPr>
        <w:t>certifiable</w:t>
      </w:r>
      <w:r w:rsidRPr="00464E7A">
        <w:t xml:space="preserve"> — professionally signable, worst-case-bounded — action requires a </w:t>
      </w:r>
      <w:r w:rsidRPr="00464E7A">
        <w:rPr>
          <w:b/>
          <w:bCs/>
        </w:rPr>
        <w:t>compact</w:t>
      </w:r>
      <w:r w:rsidRPr="00464E7A">
        <w:t xml:space="preserve"> operating manifold, and that compactness, as the conjunction of completeness and total boundedness, is supplied jointly and non-redundantly by the basal ganglia and cerebellum, whose contributions are logically independent (witnessed by the standard complete-but-unbounded and totally-bounded-but-incomplete counterexamples). The Arzelà–Ascoli theorem then certifies a learned controller, its hypotheses partitioning cleanly across organs: compact domain (cerebellum + basal ganglia), uniform boundedness (the discount factor), and equicontinuity (the cerebellar forward model supplying the smoothness that value iteration alone lacks). This yields a concrete certification budget linking the contraction modulus, the covering number, and sample complexity, and recasts out-of-distribution failure as </w:t>
      </w:r>
      <w:r w:rsidRPr="00464E7A">
        <w:rPr>
          <w:i/>
          <w:iCs/>
        </w:rPr>
        <w:t>decompactification</w:t>
      </w:r>
      <w:r w:rsidRPr="00464E7A">
        <w:t>: the graded, measurable loss of total boundedness that voids the certificate, predicted to degrade continuously with coverage rather than as a discrete cliff.</w:t>
      </w:r>
    </w:p>
    <w:p w14:paraId="65F77D5F" w14:textId="77777777" w:rsidR="00464E7A" w:rsidRPr="00464E7A" w:rsidRDefault="00464E7A" w:rsidP="00464E7A">
      <w:pPr>
        <w:jc w:val="both"/>
      </w:pPr>
      <w:r w:rsidRPr="00464E7A">
        <w:t xml:space="preserve">We model inter-regional integration as a </w:t>
      </w:r>
      <w:r w:rsidRPr="00464E7A">
        <w:rPr>
          <w:b/>
          <w:bCs/>
        </w:rPr>
        <w:t>sheaf over a thalamic projection</w:t>
      </w:r>
      <w:r w:rsidRPr="00464E7A">
        <w:t xml:space="preserve">, in which local sections (region-specific computations at their respective rungs) must glue on overlaps via commensuration maps rather than by subtraction. The obstruction to gluing — the first cohomology — formalizes the binding problem: its non-vanishing corresponds to cognitive fragmentation (dissociation, hallucination), and the global section that exists when the obstruction vanishes provides a structural definition of unified awareness, related by isomorphism (not identity) to the Vedāntic distinction between the </w:t>
      </w:r>
      <w:r w:rsidRPr="00464E7A">
        <w:rPr>
          <w:i/>
          <w:iCs/>
        </w:rPr>
        <w:t>Antaḥkaraṇa</w:t>
      </w:r>
      <w:r w:rsidRPr="00464E7A">
        <w:t xml:space="preserve"> (the sheaf of active instruments) and the </w:t>
      </w:r>
      <w:r w:rsidRPr="00464E7A">
        <w:rPr>
          <w:i/>
          <w:iCs/>
        </w:rPr>
        <w:t>Sākṣin</w:t>
      </w:r>
      <w:r w:rsidRPr="00464E7A">
        <w:t xml:space="preserve"> (the global section as witness). The same criterion supplies an engineering rule for safe systems — </w:t>
      </w:r>
      <w:r w:rsidRPr="00464E7A">
        <w:rPr>
          <w:i/>
          <w:iCs/>
        </w:rPr>
        <w:t>withhold action while the binding obstruction is non-zero</w:t>
      </w:r>
      <w:r w:rsidRPr="00464E7A">
        <w:t xml:space="preserve"> — and a critique of architectures that merely stack a metric objective on an inner-product substrate, which we argue are structurally un-glued and therefore uncertifiable under distributional stress.</w:t>
      </w:r>
    </w:p>
    <w:p w14:paraId="6291892A" w14:textId="77777777" w:rsidR="00464E7A" w:rsidRPr="00464E7A" w:rsidRDefault="00464E7A" w:rsidP="00464E7A">
      <w:pPr>
        <w:jc w:val="both"/>
      </w:pPr>
      <w:r w:rsidRPr="00464E7A">
        <w:lastRenderedPageBreak/>
        <w:t xml:space="preserve">We then interpret the down/up asymmetry of the ladder — cheap, instantaneous downward projection versus costly upward lifting — to derive an account of </w:t>
      </w:r>
      <w:r w:rsidRPr="00464E7A">
        <w:rPr>
          <w:b/>
          <w:bCs/>
        </w:rPr>
        <w:t>sleep as the offline upward lift</w:t>
      </w:r>
      <w:r w:rsidRPr="00464E7A">
        <w:t xml:space="preserve">, and we anchor it to thalamic firing mode rather than mere anatomical presence, generating the framework's sharpest predictions. Consolidation becomes a family of rung-lifts terminating at the cortical inner-product level, ordered by </w:t>
      </w:r>
      <w:r w:rsidRPr="00464E7A">
        <w:rPr>
          <w:i/>
          <w:iCs/>
        </w:rPr>
        <w:t>dependency</w:t>
      </w:r>
      <w:r w:rsidRPr="00464E7A">
        <w:t xml:space="preserve"> rather than lift-distance: slow-wave sleep first builds the semantic coordinate frame (normed → inner-product), spindle-rich stages furnish it with procedural and strategic structure (uniform/metric → inner-product), and REM performs last the longest, most context-dependent lift (topological → inner-product) — the de-charging of a raw affective alarm into contextualized memory, "fear into the memory of fear." We make the falsifiable commitment that the thalamus abandons tonic (faithful-relay) mode for </w:t>
      </w:r>
      <w:r w:rsidRPr="00464E7A">
        <w:rPr>
          <w:b/>
          <w:bCs/>
        </w:rPr>
        <w:t>burst/non-relay mode throughout sleep</w:t>
      </w:r>
      <w:r w:rsidRPr="00464E7A">
        <w:t xml:space="preserve"> — the physical suspension of downward projection — with the thalamic reticular nucleus bolting the external sensory gate while the thalamus remains internally engaged: in NREM it </w:t>
      </w:r>
      <w:r w:rsidRPr="00464E7A">
        <w:rPr>
          <w:i/>
          <w:iCs/>
        </w:rPr>
        <w:t>co-authors</w:t>
      </w:r>
      <w:r w:rsidRPr="00464E7A">
        <w:t xml:space="preserve"> the lift, generating spindles and nesting them with hippocampal ripples under cortical slow oscillations to time the relay-bound (metric/normed) consolidations; in REM it is activated but non-relaying, carrying internally generated ponto-geniculo-occipital traffic as a closed-circuit screen while the binding of bypass-route content proceeds elsewhere. Because the affective and olfactory channels bypass the thalamus, REM bypasses its </w:t>
      </w:r>
      <w:r w:rsidRPr="00464E7A">
        <w:rPr>
          <w:i/>
          <w:iCs/>
        </w:rPr>
        <w:t>relay function</w:t>
      </w:r>
      <w:r w:rsidRPr="00464E7A">
        <w:t xml:space="preserve"> (not the thalamus itself) and computes the transition map gluing a </w:t>
      </w:r>
      <w:r w:rsidRPr="00464E7A">
        <w:rPr>
          <w:b/>
          <w:bCs/>
        </w:rPr>
        <w:t>limbic chart</w:t>
      </w:r>
      <w:r w:rsidRPr="00464E7A">
        <w:t xml:space="preserve"> to the </w:t>
      </w:r>
      <w:r w:rsidRPr="00464E7A">
        <w:rPr>
          <w:b/>
          <w:bCs/>
        </w:rPr>
        <w:t>thalamic base</w:t>
      </w:r>
      <w:r w:rsidRPr="00464E7A">
        <w:t xml:space="preserve"> — a </w:t>
      </w:r>
      <w:r w:rsidRPr="00464E7A">
        <w:rPr>
          <w:i/>
          <w:iCs/>
        </w:rPr>
        <w:t>two-chart</w:t>
      </w:r>
      <w:r w:rsidRPr="00464E7A">
        <w:t xml:space="preserve"> architecture whose central testable consequence is a </w:t>
      </w:r>
      <w:r w:rsidRPr="00464E7A">
        <w:rPr>
          <w:b/>
          <w:bCs/>
        </w:rPr>
        <w:t>double dissociation of binding routes</w:t>
      </w:r>
      <w:r w:rsidRPr="00464E7A">
        <w:t xml:space="preserve">: factual and procedural consolidation should track thalamo-cortical (spindle–ripple–slow-oscillation) coupling, whereas affective de-charging should track hippocampal–amygdalar coupling independently of thalamic relay fidelity. The same geometry predicts a complementary </w:t>
      </w:r>
      <w:r w:rsidRPr="00464E7A">
        <w:rPr>
          <w:b/>
          <w:bCs/>
        </w:rPr>
        <w:t>double dissociation of failure modes</w:t>
      </w:r>
      <w:r w:rsidRPr="00464E7A">
        <w:t xml:space="preserve"> — an integration failure (trauma intrusion: an un-glued alarm replayed in the present tense, cued by the bypass channels) versus a quarantine failure (REM behavior disorder: enacted dreams from a degraded atonia clamp) — and derives REM atonia as the obligatory </w:t>
      </w:r>
      <w:r w:rsidRPr="00464E7A">
        <w:rPr>
          <w:i/>
          <w:iCs/>
        </w:rPr>
        <w:t>downstream</w:t>
      </w:r>
      <w:r w:rsidRPr="00464E7A">
        <w:t xml:space="preserve"> motor clamp implementing a compute-fully-emit-nothing gating rule, located at the spinal final common path precisely because the fast-fear route bypasses higher gates.</w:t>
      </w:r>
    </w:p>
    <w:p w14:paraId="0448006E" w14:textId="77777777" w:rsidR="00464E7A" w:rsidRPr="00464E7A" w:rsidRDefault="00464E7A" w:rsidP="00464E7A">
      <w:pPr>
        <w:jc w:val="both"/>
      </w:pPr>
      <w:r w:rsidRPr="00464E7A">
        <w:t xml:space="preserve">Throughout, we are explicit that the claims constitute a </w:t>
      </w:r>
      <w:r w:rsidRPr="00464E7A">
        <w:rPr>
          <w:i/>
          <w:iCs/>
        </w:rPr>
        <w:t>specification-level</w:t>
      </w:r>
      <w:r w:rsidRPr="00464E7A">
        <w:t xml:space="preserve"> isomorphism between neural function and mathematical structure — a design contract for defensible intelligence, with the brain as existence proof — rather than an assertion of literal implementation. The framework's contribution is to derive a heterogeneous set of phenomena — action gating, certifiability and out-of-distribution failure, the binding problem and unified awareness, sleep-stage architecture, atonia, and the dissociation of trauma from dream-enactment disorder — as consequences of a single principle, each derivation carrying its own falsifiable prediction, of which the thalamic firing-mode commitment and the double dissociation of binding routes are the most decisive.</w:t>
      </w:r>
    </w:p>
    <w:p w14:paraId="4FB6F833" w14:textId="77777777" w:rsidR="00132F7F" w:rsidRPr="00132F7F" w:rsidRDefault="00132F7F" w:rsidP="00725D1A">
      <w:pPr>
        <w:pStyle w:val="Heading1"/>
      </w:pPr>
      <w:r w:rsidRPr="00132F7F">
        <w:t>1. Introduction</w:t>
      </w:r>
    </w:p>
    <w:p w14:paraId="395C8B81" w14:textId="77777777" w:rsidR="00132F7F" w:rsidRPr="00132F7F" w:rsidRDefault="00132F7F" w:rsidP="00132F7F">
      <w:pPr>
        <w:jc w:val="both"/>
      </w:pPr>
      <w:r w:rsidRPr="00132F7F">
        <w:t xml:space="preserve">A recurring difficulty in both computational neuroscience and artificial intelligence is that the most consequential failures of an intelligent system are not failures of </w:t>
      </w:r>
      <w:r w:rsidRPr="00132F7F">
        <w:rPr>
          <w:i/>
          <w:iCs/>
        </w:rPr>
        <w:t>accuracy</w:t>
      </w:r>
      <w:r w:rsidRPr="00132F7F">
        <w:t xml:space="preserve"> but failures of </w:t>
      </w:r>
      <w:r w:rsidRPr="00132F7F">
        <w:rPr>
          <w:i/>
          <w:iCs/>
        </w:rPr>
        <w:t>defensibility</w:t>
      </w:r>
      <w:r w:rsidRPr="00132F7F">
        <w:t xml:space="preserve">. A controller can be approximately correct on average and still produce, on some unexamined input, an output that cannot be justified, bounded, or signed for — an output whose worst-case behaviour is unknown because the region of the input space that produced it was never characterised. In engineering disciplines governed by professional liability, this distinction is foundational: a structural design is certified not because it is error-free but because its behaviour is bounded across the entire envelope of conditions it will encounter, and that bound is derivable from a finite set of checks. We take this notion of </w:t>
      </w:r>
      <w:r w:rsidRPr="00132F7F">
        <w:rPr>
          <w:i/>
          <w:iCs/>
        </w:rPr>
        <w:t>certifiable</w:t>
      </w:r>
      <w:r w:rsidRPr="00132F7F">
        <w:t xml:space="preserve"> or </w:t>
      </w:r>
      <w:r w:rsidRPr="00132F7F">
        <w:rPr>
          <w:i/>
          <w:iCs/>
        </w:rPr>
        <w:t>defensible</w:t>
      </w:r>
      <w:r w:rsidRPr="00132F7F">
        <w:t xml:space="preserve"> action — finite, worst-case, signable guarantees over an </w:t>
      </w:r>
      <w:r w:rsidRPr="00132F7F">
        <w:lastRenderedPageBreak/>
        <w:t>operating envelope — as the organising problem of this paper, and we argue that the conditions for it are simultaneously a theorem of analysis and a description of how the brain is built.</w:t>
      </w:r>
    </w:p>
    <w:p w14:paraId="2E609893" w14:textId="77777777" w:rsidR="00132F7F" w:rsidRPr="00132F7F" w:rsidRDefault="00132F7F" w:rsidP="00132F7F">
      <w:pPr>
        <w:jc w:val="both"/>
      </w:pPr>
      <w:r w:rsidRPr="00132F7F">
        <w:t xml:space="preserve">Our central proposal is that the functional architecture of intelligence is organised along the </w:t>
      </w:r>
      <w:r w:rsidRPr="00132F7F">
        <w:rPr>
          <w:i/>
          <w:iCs/>
        </w:rPr>
        <w:t>enrichment ladder</w:t>
      </w:r>
      <w:r w:rsidRPr="00132F7F">
        <w:t xml:space="preserve"> of mathematical analysis — the nested hierarchy of a topological space, a uniform space, a metric space, a normed space, and an inner-product space, in which each level adds exactly one structural commitment to the level beneath it — and that distinct neural systems are specialised to operate at distinct rungs of this ladder, each using the weakest structure its function requires. From this single organising principle we derive an account of action selection and its certifiability, of the binding of disparate computations into unified experience, and of the architecture of sleep, and we show that each derivation carries falsifiable predictions, the most decisive of which concern thalamic firing mode and a double dissociation of memory-binding routes.</w:t>
      </w:r>
    </w:p>
    <w:p w14:paraId="4ACA0888" w14:textId="77777777" w:rsidR="00132F7F" w:rsidRPr="00132F7F" w:rsidRDefault="00132F7F" w:rsidP="00132F7F">
      <w:pPr>
        <w:jc w:val="both"/>
        <w:rPr>
          <w:b/>
          <w:bCs/>
        </w:rPr>
      </w:pPr>
      <w:r w:rsidRPr="00132F7F">
        <w:rPr>
          <w:b/>
          <w:bCs/>
        </w:rPr>
        <w:t>1.1 Neuroscience motivation</w:t>
      </w:r>
    </w:p>
    <w:p w14:paraId="43B62E09" w14:textId="77777777" w:rsidR="00132F7F" w:rsidRPr="00132F7F" w:rsidRDefault="00132F7F" w:rsidP="00132F7F">
      <w:pPr>
        <w:jc w:val="both"/>
      </w:pPr>
      <w:r w:rsidRPr="00132F7F">
        <w:t>Three long-standing observations motivate the framework, and the framework's value rests on its ability to relate them.</w:t>
      </w:r>
    </w:p>
    <w:p w14:paraId="3F10E6F0" w14:textId="77777777" w:rsidR="00132F7F" w:rsidRPr="00132F7F" w:rsidRDefault="00132F7F" w:rsidP="00132F7F">
      <w:pPr>
        <w:jc w:val="both"/>
      </w:pPr>
      <w:r w:rsidRPr="00132F7F">
        <w:t xml:space="preserve">The first is the </w:t>
      </w:r>
      <w:r w:rsidRPr="00132F7F">
        <w:rPr>
          <w:i/>
          <w:iCs/>
        </w:rPr>
        <w:t>functional heterogeneity</w:t>
      </w:r>
      <w:r w:rsidRPr="00132F7F">
        <w:t xml:space="preserve"> of the major neural systems and the recurrent finding that this heterogeneity is not merely a division of subject matter but a division of computational </w:t>
      </w:r>
      <w:r w:rsidRPr="00132F7F">
        <w:rPr>
          <w:i/>
          <w:iCs/>
        </w:rPr>
        <w:t>style</w:t>
      </w:r>
      <w:r w:rsidRPr="00132F7F">
        <w:t xml:space="preserve">. Reinforcement-based action selection in the basal ganglia (Albin, Young, &amp; Penney, 1989; DeLong, 1990; Mink, 1996), supervised error-based learning in the cerebellum (Marr, 1969; Albus, 1971; Ito, 1984), and unsupervised representational learning in the neocortex have been argued to constitute genuinely different learning regimes within a single brain (Doya, 1999; Doya, 2000). The basal ganglia operate over graded reinforcement values and action contingencies; the cerebellum enforces a uniform standard of precision through a massively expanded, near-crystalline granular architecture that has been read as a finite basis or random-feature expansion (Marr, 1969; Albus, 1971); the hippocampal–entorhinal system represents space and episode through place and grid codes that are explicitly vectorial and origin-anchored (O'Keefe &amp; Dostrovsky, 1971; O'Keefe &amp; Nadel, 1978; Hafting, Fyhn, Molden, Moser, &amp; Moser, 2005); and the neocortex maintains sparse, decorrelated representations that minimise interference among stored contents. The amygdala, by contrast, computes a fast, categorical threat verdict, and crucially a portion of its afferent drive bypasses the thalamic relay entirely (LeDoux, 1996; LeDoux, 2000), as does the primal affective component of olfaction. These are not five instances of one computation; they are five computational </w:t>
      </w:r>
      <w:r w:rsidRPr="00132F7F">
        <w:rPr>
          <w:i/>
          <w:iCs/>
        </w:rPr>
        <w:t>kinds</w:t>
      </w:r>
      <w:r w:rsidRPr="00132F7F">
        <w:t>, and we will argue that they correspond to five rungs of the enrichment ladder.</w:t>
      </w:r>
    </w:p>
    <w:p w14:paraId="06784C99" w14:textId="77777777" w:rsidR="00132F7F" w:rsidRPr="00132F7F" w:rsidRDefault="00132F7F" w:rsidP="00132F7F">
      <w:pPr>
        <w:jc w:val="both"/>
      </w:pPr>
      <w:r w:rsidRPr="00132F7F">
        <w:t xml:space="preserve">The second is the </w:t>
      </w:r>
      <w:r w:rsidRPr="00132F7F">
        <w:rPr>
          <w:i/>
          <w:iCs/>
        </w:rPr>
        <w:t>gating logic of sign-constrained hardware</w:t>
      </w:r>
      <w:r w:rsidRPr="00132F7F">
        <w:t>. Neural output is non-negative, and the basal-ganglia output nuclei tonically inhibit their thalamic targets, so that action is released not by direct excitation but by disinhibition through the striatal direct pathway, opposed by the indirect and hyperdirect pathways (Albin et al., 1989; Mink, 1996; Gurney, Prescott, &amp; Redgrave, 2001), with dopamine acting reciprocally across D1- and D2-bearing populations to retune the balance (Schultz, Dayan, &amp; Montague, 1997; Frank, 2005). The same disinhibitory and gain-control motif recurs cortically as divisive normalisation (Heeger, 1992; Carandini &amp; Heeger, 2012) and as the precision weighting of prediction errors in predictive-coding accounts of perception and action (Rao &amp; Ballard, 1999; Friston, 2005; Feldman &amp; Friston, 2010). That the basal ganglia and cerebellum, classically treated as parallel and segregated, are in fact reciprocally interconnected at the subcortical level (Bostan, Dum, &amp; Strick, 2013; Bostan &amp; Strick, 2018) is essential to any claim that their contributions are jointly composed rather than merely co-present.</w:t>
      </w:r>
    </w:p>
    <w:p w14:paraId="501F4107" w14:textId="77777777" w:rsidR="00132F7F" w:rsidRPr="00132F7F" w:rsidRDefault="00132F7F" w:rsidP="00132F7F">
      <w:pPr>
        <w:jc w:val="both"/>
      </w:pPr>
      <w:r w:rsidRPr="00132F7F">
        <w:lastRenderedPageBreak/>
        <w:t xml:space="preserve">The third is the </w:t>
      </w:r>
      <w:r w:rsidRPr="00132F7F">
        <w:rPr>
          <w:i/>
          <w:iCs/>
        </w:rPr>
        <w:t>state-dependence of thalamic function</w:t>
      </w:r>
      <w:r w:rsidRPr="00132F7F">
        <w:t xml:space="preserve"> and its tight coupling to sleep architecture. Thalamic relay neurons switch between a tonic, faithful-relay mode in waking and a burst, non-relay mode in sleep, gated by the inhibitory shell of the thalamic reticular nucleus (Steriade, McCormick, &amp; Sejnowski, 1993; McCormick &amp; Bal, 1997; Sherman &amp; Guillery, 2006; Sherman, 2016). Sleep itself is now understood as an active period of memory reorganisation rather than passive rest (Wilson &amp; McNaughton, 1994; Stickgold, 2005; Diekelmann &amp; Born, 2010; Rasch &amp; Born, 2013), with thalamocortical spindles, cortical slow oscillations, and hippocampal sharp-wave ripples nested into a hierarchy that times systems-level consolidation (Steriade et al., 1993; Born &amp; Wilhelm, 2012), and with REM sleep implicated specifically in the processing and emotional de-potentiation of affective memory (Walker &amp; van der Helm, 2009; Goldstein &amp; Walker, 2014). REM motor atonia is enforced by a glutamatergic pontine trigger in the sublaterodorsal region driving medullary inhibition of spinal motor neurons (Lu, Sherman, Devor, &amp; Saper, 2006; Luppi et al., 2011); its failure produces REM sleep behaviour disorder, a dream-enactment syndrome strongly prodromal for synucleinopathy (Schenck &amp; Mahowald, 2002; Boeve, 2010). We will argue that this constellation — burst-mode gating, spindle-timed consolidation, REM affective processing, and atonia — is precisely what the enrichment-ladder account predicts sleep must look like.</w:t>
      </w:r>
    </w:p>
    <w:p w14:paraId="5A0E9344" w14:textId="77777777" w:rsidR="00132F7F" w:rsidRPr="00132F7F" w:rsidRDefault="00132F7F" w:rsidP="00132F7F">
      <w:pPr>
        <w:jc w:val="both"/>
      </w:pPr>
      <w:r w:rsidRPr="00132F7F">
        <w:t>The motivating question is therefore whether these three observations — heterogeneous computational styles, disinhibitory gating, and state-dependent thalamic binding — are independent facts or facets of a single architectural principle. We argue for the latter.</w:t>
      </w:r>
    </w:p>
    <w:p w14:paraId="7C347CDA" w14:textId="77777777" w:rsidR="00132F7F" w:rsidRPr="00132F7F" w:rsidRDefault="00132F7F" w:rsidP="00132F7F">
      <w:pPr>
        <w:jc w:val="both"/>
        <w:rPr>
          <w:b/>
          <w:bCs/>
        </w:rPr>
      </w:pPr>
      <w:r w:rsidRPr="00132F7F">
        <w:rPr>
          <w:b/>
          <w:bCs/>
        </w:rPr>
        <w:t>1.2 Literature survey</w:t>
      </w:r>
    </w:p>
    <w:p w14:paraId="04A6BFA5" w14:textId="77777777" w:rsidR="00132F7F" w:rsidRPr="00132F7F" w:rsidRDefault="00132F7F" w:rsidP="00132F7F">
      <w:pPr>
        <w:jc w:val="both"/>
      </w:pPr>
      <w:r w:rsidRPr="00132F7F">
        <w:t>The framework draws together several literatures that have rarely been brought into contact, and we situate our contribution against each.</w:t>
      </w:r>
    </w:p>
    <w:p w14:paraId="0C12C794" w14:textId="77777777" w:rsidR="00132F7F" w:rsidRPr="00132F7F" w:rsidRDefault="00132F7F" w:rsidP="00132F7F">
      <w:pPr>
        <w:jc w:val="both"/>
      </w:pPr>
      <w:r w:rsidRPr="00132F7F">
        <w:rPr>
          <w:b/>
          <w:bCs/>
        </w:rPr>
        <w:t>Computational specialisation of brain regions.</w:t>
      </w:r>
      <w:r w:rsidRPr="00132F7F">
        <w:t xml:space="preserve"> The proposal that cerebellum, basal ganglia, and cortex implement supervised, reinforcement, and unsupervised learning respectively (Doya, 1999; Doya, 2000) is the closest precursor to our rung-assignment, and the cerebellar forward-model tradition (Wolpert, Miall, &amp; Kawato, 1998; Ito, 2008) supplies the smoothness role we will formalise as equicontinuity. Basal-ganglia models of focused selection through centre–surround inhibition (Mink, 1996; Gurney et al., 2001) and of dopaminergic reinforcement (Schultz et al., 1997; Frank, 2005) supply the metric/contraction role. Our addition is to assign each region not a </w:t>
      </w:r>
      <w:r w:rsidRPr="00132F7F">
        <w:rPr>
          <w:i/>
          <w:iCs/>
        </w:rPr>
        <w:t>learning paradigm</w:t>
      </w:r>
      <w:r w:rsidRPr="00132F7F">
        <w:t xml:space="preserve"> but a </w:t>
      </w:r>
      <w:r w:rsidRPr="00132F7F">
        <w:rPr>
          <w:i/>
          <w:iCs/>
        </w:rPr>
        <w:t>level on the analysis hierarchy</w:t>
      </w:r>
      <w:r w:rsidRPr="00132F7F">
        <w:t>, and to derive the paradigm differences as consequences of the level.</w:t>
      </w:r>
    </w:p>
    <w:p w14:paraId="477F39CE" w14:textId="77777777" w:rsidR="00132F7F" w:rsidRPr="00132F7F" w:rsidRDefault="00132F7F" w:rsidP="00132F7F">
      <w:pPr>
        <w:jc w:val="both"/>
      </w:pPr>
      <w:r w:rsidRPr="00132F7F">
        <w:rPr>
          <w:b/>
          <w:bCs/>
        </w:rPr>
        <w:t>Reinforcement learning, fixed points, and certification.</w:t>
      </w:r>
      <w:r w:rsidRPr="00132F7F">
        <w:t xml:space="preserve"> The contraction property of the Bellman operator and its convergence to a unique optimum (Bellman, 1957; Sutton &amp; Barto, 1998) is a metric-space and Banach-fixed-point result, and learning-theoretic certification through covering numbers and metric entropy is likewise metric (Kolmogorov &amp; Tikhomirov, 1959; Vapnik, 1998). The Arzelà–Ascoli theorem, which we use as the certification device for learned controllers, is classical. To our knowledge these have not been combined with neuroanatomy to argue that two specific neural systems supply the two independent prerequisites of compactness.</w:t>
      </w:r>
    </w:p>
    <w:p w14:paraId="76D960C9" w14:textId="77777777" w:rsidR="00132F7F" w:rsidRPr="00132F7F" w:rsidRDefault="00132F7F" w:rsidP="00132F7F">
      <w:pPr>
        <w:jc w:val="both"/>
      </w:pPr>
      <w:r w:rsidRPr="00132F7F">
        <w:rPr>
          <w:b/>
          <w:bCs/>
        </w:rPr>
        <w:t>Predictive coding, normalisation, and gain control.</w:t>
      </w:r>
      <w:r w:rsidRPr="00132F7F">
        <w:t xml:space="preserve"> Precision-weighted prediction error (Rao &amp; Ballard, 1999; Friston, 2005; Friston, 2010; Feldman &amp; Friston, 2010) and divisive normalisation (Heeger, 1992; Carandini &amp; Heeger, 2012) provide the multiplicative-gating mechanisms our framework requires, and we relate disinhibition, shunting inhibition, and normalisation as alternative implementations of gain control on sign-constrained hardware.</w:t>
      </w:r>
    </w:p>
    <w:p w14:paraId="0C62EDC4" w14:textId="77777777" w:rsidR="00132F7F" w:rsidRPr="00132F7F" w:rsidRDefault="00132F7F" w:rsidP="00132F7F">
      <w:pPr>
        <w:jc w:val="both"/>
      </w:pPr>
      <w:r w:rsidRPr="00132F7F">
        <w:rPr>
          <w:b/>
          <w:bCs/>
        </w:rPr>
        <w:t>Spatial coding and the hippocampal vector frame.</w:t>
      </w:r>
      <w:r w:rsidRPr="00132F7F">
        <w:t xml:space="preserve"> Place and grid codes (O'Keefe &amp; Dostrovsky, 1971; Hafting et al., 2005; Moser, Kropff, &amp; Moser, 2008) motivate the normed (origin-anchored, vector-</w:t>
      </w:r>
      <w:r w:rsidRPr="00132F7F">
        <w:lastRenderedPageBreak/>
        <w:t>composable) assignment of the hippocampal–entorhinal system and its distinction from the metric basal ganglia.</w:t>
      </w:r>
    </w:p>
    <w:p w14:paraId="4A483DA9" w14:textId="77777777" w:rsidR="00132F7F" w:rsidRPr="00132F7F" w:rsidRDefault="00132F7F" w:rsidP="00132F7F">
      <w:pPr>
        <w:jc w:val="both"/>
      </w:pPr>
      <w:r w:rsidRPr="00132F7F">
        <w:rPr>
          <w:b/>
          <w:bCs/>
        </w:rPr>
        <w:t>Fear, the amygdala, and thalamic bypass.</w:t>
      </w:r>
      <w:r w:rsidRPr="00132F7F">
        <w:t xml:space="preserve"> The fast subcortical threat route and its bypass of cortical processing (LeDoux, 1996; LeDoux, 2000), and the dissociation between phasic, cue-driven fear (amygdala) and sustained, graded anxiety (bed nucleus of the stria terminalis) (Walker, Toufexis, &amp; Davis, 2003; Davis, Walker, Miles, &amp; Grillon, 2010), supply both the topological assignment of acute fear and the prediction that threat </w:t>
      </w:r>
      <w:r w:rsidRPr="00132F7F">
        <w:rPr>
          <w:i/>
          <w:iCs/>
        </w:rPr>
        <w:t>assessment</w:t>
      </w:r>
      <w:r w:rsidRPr="00132F7F">
        <w:t xml:space="preserve"> climbs to the metric rung.</w:t>
      </w:r>
    </w:p>
    <w:p w14:paraId="507264D8" w14:textId="77777777" w:rsidR="00132F7F" w:rsidRPr="00132F7F" w:rsidRDefault="00132F7F" w:rsidP="00132F7F">
      <w:pPr>
        <w:jc w:val="both"/>
      </w:pPr>
      <w:r w:rsidRPr="00132F7F">
        <w:rPr>
          <w:b/>
          <w:bCs/>
        </w:rPr>
        <w:t>Thalamic state, binding, and consciousness.</w:t>
      </w:r>
      <w:r w:rsidRPr="00132F7F">
        <w:t xml:space="preserve"> Tonic/burst relay (Steriade et al., 1993; Sherman &amp; Guillery, 2006; Sherman, 2016), the reticular-nucleus "searchlight" (Crick, 1984), and theories of integration and binding (Treisman, 1996; Singer, 1999; Tononi, 2004; Tononi, 2008; Dehaene &amp; Changeux, 2011; Baars, 1988) frame our treatment of the thalamus as a projection sustaining a global section. Our formal move — modelling integration as a sheaf and the binding problem as a cohomological gluing obstruction — connects to the nascent application of topology and sheaf theory to neural data and codes (Carlsson, 2009; Ghrist, 2014; Curto, 2017), but the cohomological criterion for binding and its identification with unified awareness are, as far as we are aware, novel.</w:t>
      </w:r>
    </w:p>
    <w:p w14:paraId="4F939440" w14:textId="77777777" w:rsidR="00132F7F" w:rsidRPr="00132F7F" w:rsidRDefault="00132F7F" w:rsidP="00132F7F">
      <w:pPr>
        <w:jc w:val="both"/>
      </w:pPr>
      <w:r w:rsidRPr="00132F7F">
        <w:rPr>
          <w:b/>
          <w:bCs/>
        </w:rPr>
        <w:t>Sleep, consolidation, and atonia.</w:t>
      </w:r>
      <w:r w:rsidRPr="00132F7F">
        <w:t xml:space="preserve"> Active-systems consolidation (Wilson &amp; McNaughton, 1994; Stickgold, 2005; Diekelmann &amp; Born, 2010; Rasch &amp; Born, 2013; Born &amp; Wilhelm, 2012), REM emotional processing (Walker &amp; van der Helm, 2009; Goldstein &amp; Walker, 2014), synaptic homeostasis (Tononi &amp; Cirelli, 2014), the atonia circuit (Lu et al., 2006; Luppi et al., 2011), and the clinical literature on RBD (Schenck &amp; Mahowald, 2002; Boeve, 2010) are reinterpreted here as the offline upward traversal of the enrichment ladder, with stage order set by dependency and atonia derived as an obligatory downstream clamp.</w:t>
      </w:r>
    </w:p>
    <w:p w14:paraId="6BAB36A9" w14:textId="77777777" w:rsidR="00132F7F" w:rsidRPr="00132F7F" w:rsidRDefault="00132F7F" w:rsidP="00132F7F">
      <w:pPr>
        <w:jc w:val="both"/>
      </w:pPr>
      <w:r w:rsidRPr="00132F7F">
        <w:rPr>
          <w:b/>
          <w:bCs/>
        </w:rPr>
        <w:t>Philosophy of mind.</w:t>
      </w:r>
      <w:r w:rsidRPr="00132F7F">
        <w:t xml:space="preserve"> The Advaita Vedānta distinction between the </w:t>
      </w:r>
      <w:r w:rsidRPr="00132F7F">
        <w:rPr>
          <w:i/>
          <w:iCs/>
        </w:rPr>
        <w:t>Antaḥkaraṇa</w:t>
      </w:r>
      <w:r w:rsidRPr="00132F7F">
        <w:t xml:space="preserve"> (the inner instrument of active mentation) and the </w:t>
      </w:r>
      <w:r w:rsidRPr="00132F7F">
        <w:rPr>
          <w:i/>
          <w:iCs/>
        </w:rPr>
        <w:t>Sākṣin</w:t>
      </w:r>
      <w:r w:rsidRPr="00132F7F">
        <w:t xml:space="preserve"> (the witnessing consciousness) (Gupta, 1998; Deutsch, 1969) supplies the conceptual vocabulary we relate, by structural isomorphism rather than identity, to the sheaf and its global section.</w:t>
      </w:r>
    </w:p>
    <w:p w14:paraId="225CE250" w14:textId="77777777" w:rsidR="00132F7F" w:rsidRPr="00132F7F" w:rsidRDefault="00132F7F" w:rsidP="00132F7F">
      <w:pPr>
        <w:jc w:val="both"/>
      </w:pPr>
      <w:r w:rsidRPr="00132F7F">
        <w:t>Against this composite background, no existing account, to our knowledge, derives action gating, certifiability, the binding problem, and sleep architecture from a single hierarchy-of-structure principle, nor commits to the falsifiable thalamic and dissociation predictions we set out.</w:t>
      </w:r>
    </w:p>
    <w:p w14:paraId="6062E6B6" w14:textId="77777777" w:rsidR="00132F7F" w:rsidRPr="00132F7F" w:rsidRDefault="00132F7F" w:rsidP="00132F7F">
      <w:pPr>
        <w:jc w:val="both"/>
        <w:rPr>
          <w:b/>
          <w:bCs/>
        </w:rPr>
      </w:pPr>
      <w:r w:rsidRPr="00132F7F">
        <w:rPr>
          <w:b/>
          <w:bCs/>
        </w:rPr>
        <w:t>1.3 Paper contribution</w:t>
      </w:r>
    </w:p>
    <w:p w14:paraId="4D39B12D" w14:textId="77777777" w:rsidR="00132F7F" w:rsidRPr="00132F7F" w:rsidRDefault="00132F7F" w:rsidP="00132F7F">
      <w:pPr>
        <w:jc w:val="both"/>
      </w:pPr>
      <w:r w:rsidRPr="00132F7F">
        <w:t>This paper makes the following contributions.</w:t>
      </w:r>
    </w:p>
    <w:p w14:paraId="394EFC1E" w14:textId="77777777" w:rsidR="00132F7F" w:rsidRPr="00132F7F" w:rsidRDefault="00132F7F" w:rsidP="00132F7F">
      <w:pPr>
        <w:jc w:val="both"/>
      </w:pPr>
      <w:r w:rsidRPr="00132F7F">
        <w:t xml:space="preserve">First, we introduce the </w:t>
      </w:r>
      <w:r w:rsidRPr="00132F7F">
        <w:rPr>
          <w:b/>
          <w:bCs/>
        </w:rPr>
        <w:t>enrichment-ladder principle</w:t>
      </w:r>
      <w:r w:rsidRPr="00132F7F">
        <w:t>: the hypothesis that major neural systems occupy distinct, nested rungs of the analysis hierarchy (topological, uniform, metric, normed, inner-product), each using the weakest structure its function requires, and we assign the amygdala, cerebellum, basal ganglia, hippocampus, and neocortex to these rungs on functional grounds. We observe that the assignment coincides with phylogenetic order, yielding the falsifiable claim that structural minimality and evolutionary age are the same sequence.</w:t>
      </w:r>
    </w:p>
    <w:p w14:paraId="262ACC8A" w14:textId="77777777" w:rsidR="00132F7F" w:rsidRPr="00132F7F" w:rsidRDefault="00132F7F" w:rsidP="00132F7F">
      <w:pPr>
        <w:jc w:val="both"/>
      </w:pPr>
      <w:r w:rsidRPr="00132F7F">
        <w:t xml:space="preserve">Second, we give a </w:t>
      </w:r>
      <w:r w:rsidRPr="00132F7F">
        <w:rPr>
          <w:b/>
          <w:bCs/>
        </w:rPr>
        <w:t>topological account of certifiable action</w:t>
      </w:r>
      <w:r w:rsidRPr="00132F7F">
        <w:t xml:space="preserve">, arguing that defensibility requires a compact operating manifold, that compactness as the conjunction of completeness and total boundedness is supplied jointly and non-redundantly by the basal ganglia and cerebellum (whose contributions we show to be logically independent), and that the Arzelà–Ascoli theorem certifies a learned controller with its hypotheses partitioned cleanly across these systems. We derive a certification budget relating the contraction modulus, covering number, and sample complexity, and </w:t>
      </w:r>
      <w:r w:rsidRPr="00132F7F">
        <w:lastRenderedPageBreak/>
        <w:t xml:space="preserve">we recast out-of-distribution failure as </w:t>
      </w:r>
      <w:r w:rsidRPr="00132F7F">
        <w:rPr>
          <w:i/>
          <w:iCs/>
        </w:rPr>
        <w:t>decompactification</w:t>
      </w:r>
      <w:r w:rsidRPr="00132F7F">
        <w:t xml:space="preserve"> — a graded, measurable loss of the certificate rather than a discrete cliff.</w:t>
      </w:r>
    </w:p>
    <w:p w14:paraId="52F5821A" w14:textId="77777777" w:rsidR="00132F7F" w:rsidRPr="00132F7F" w:rsidRDefault="00132F7F" w:rsidP="00132F7F">
      <w:pPr>
        <w:jc w:val="both"/>
      </w:pPr>
      <w:r w:rsidRPr="00132F7F">
        <w:t xml:space="preserve">Third, we propose a </w:t>
      </w:r>
      <w:r w:rsidRPr="00132F7F">
        <w:rPr>
          <w:b/>
          <w:bCs/>
        </w:rPr>
        <w:t>sheaf-theoretic model of binding</w:t>
      </w:r>
      <w:r w:rsidRPr="00132F7F">
        <w:t xml:space="preserve">, in which region-specific local computations must glue across overlaps through a thalamic projection, the obstruction to gluing formalises the binding problem, and the global section that exists when the obstruction vanishes furnishes a structural definition of unified awareness, related by isomorphism to the </w:t>
      </w:r>
      <w:r w:rsidRPr="00132F7F">
        <w:rPr>
          <w:i/>
          <w:iCs/>
        </w:rPr>
        <w:t>Antaḥkaraṇa</w:t>
      </w:r>
      <w:r w:rsidRPr="00132F7F">
        <w:t>/</w:t>
      </w:r>
      <w:r w:rsidRPr="00132F7F">
        <w:rPr>
          <w:i/>
          <w:iCs/>
        </w:rPr>
        <w:t>Sākṣin</w:t>
      </w:r>
      <w:r w:rsidRPr="00132F7F">
        <w:t xml:space="preserve"> distinction. This yields an engineering rule for safe autonomous systems — withhold action while the binding obstruction is non-zero — and a structural critique of architectures that stack a metric objective on an inner-product substrate without gluing them.</w:t>
      </w:r>
    </w:p>
    <w:p w14:paraId="2F8D1396" w14:textId="77777777" w:rsidR="00132F7F" w:rsidRPr="00132F7F" w:rsidRDefault="00132F7F" w:rsidP="00132F7F">
      <w:pPr>
        <w:jc w:val="both"/>
      </w:pPr>
      <w:r w:rsidRPr="00132F7F">
        <w:t xml:space="preserve">Fourth, we derive an account of </w:t>
      </w:r>
      <w:r w:rsidRPr="00132F7F">
        <w:rPr>
          <w:b/>
          <w:bCs/>
        </w:rPr>
        <w:t>sleep as the offline upward lift</w:t>
      </w:r>
      <w:r w:rsidRPr="00132F7F">
        <w:t xml:space="preserve">, in which consolidation is a family of rung-lifts terminating at the cortical inner-product level, ordered by dependency rather than lift-distance. We anchor this to thalamic firing mode, making the falsifiable commitment that the thalamus occupies burst/non-relay mode throughout sleep, co-authoring the relay-bound NREM lifts through spindle–ripple–slow-oscillation coupling while remaining activated but non-relaying in REM. From the thalamic bypass of fear and olfaction we motivate a two-chart architecture in which REM computes the transition gluing a limbic chart to the thalamic base, predicting a </w:t>
      </w:r>
      <w:r w:rsidRPr="00132F7F">
        <w:rPr>
          <w:b/>
          <w:bCs/>
        </w:rPr>
        <w:t>double dissociation of binding routes</w:t>
      </w:r>
      <w:r w:rsidRPr="00132F7F">
        <w:t xml:space="preserve"> (factual/procedural consolidation tracking thalamo-cortical coupling versus affective de-charging tracking hippocampal–amygdalar coupling) that parallels a </w:t>
      </w:r>
      <w:r w:rsidRPr="00132F7F">
        <w:rPr>
          <w:b/>
          <w:bCs/>
        </w:rPr>
        <w:t>double dissociation of failure modes</w:t>
      </w:r>
      <w:r w:rsidRPr="00132F7F">
        <w:t xml:space="preserve"> (trauma intrusion as an integration failure versus REM behaviour disorder as a quarantine failure). We derive REM atonia as the obligatory spinal clamp implementing a compute-fully-emit-nothing gating rule.</w:t>
      </w:r>
    </w:p>
    <w:p w14:paraId="523529CC" w14:textId="77777777" w:rsidR="00132F7F" w:rsidRPr="00132F7F" w:rsidRDefault="00132F7F" w:rsidP="00132F7F">
      <w:pPr>
        <w:jc w:val="both"/>
      </w:pPr>
      <w:r w:rsidRPr="00132F7F">
        <w:t xml:space="preserve">Throughout, we are explicit that these claims constitute a </w:t>
      </w:r>
      <w:r w:rsidRPr="00132F7F">
        <w:rPr>
          <w:i/>
          <w:iCs/>
        </w:rPr>
        <w:t>specification-level</w:t>
      </w:r>
      <w:r w:rsidRPr="00132F7F">
        <w:t xml:space="preserve"> isomorphism between neural function and mathematical structure — a design contract for defensible intelligence, with the brain as existence proof — rather than an assertion of literal neural implementation. The framework's contribution is unificatory and predictive: it derives a heterogeneous set of phenomena from one principle, and each derivation is accompanied by a falsifiable prediction.</w:t>
      </w:r>
    </w:p>
    <w:p w14:paraId="5C915BD0" w14:textId="77777777" w:rsidR="00132F7F" w:rsidRPr="00132F7F" w:rsidRDefault="00132F7F" w:rsidP="00132F7F">
      <w:pPr>
        <w:jc w:val="both"/>
        <w:rPr>
          <w:b/>
          <w:bCs/>
        </w:rPr>
      </w:pPr>
      <w:r w:rsidRPr="00132F7F">
        <w:rPr>
          <w:b/>
          <w:bCs/>
        </w:rPr>
        <w:t>1.4 Paper structure</w:t>
      </w:r>
    </w:p>
    <w:p w14:paraId="4F7C1932" w14:textId="77777777" w:rsidR="00132F7F" w:rsidRPr="00132F7F" w:rsidRDefault="00132F7F" w:rsidP="00132F7F">
      <w:pPr>
        <w:jc w:val="both"/>
      </w:pPr>
      <w:r w:rsidRPr="00132F7F">
        <w:t xml:space="preserve">The remainder of the paper is organised as follows. </w:t>
      </w:r>
      <w:r w:rsidRPr="00132F7F">
        <w:rPr>
          <w:b/>
          <w:bCs/>
        </w:rPr>
        <w:t>Section 2</w:t>
      </w:r>
      <w:r w:rsidRPr="00132F7F">
        <w:t xml:space="preserve"> develops the enrichment ladder as a formal hierarchy and states the structural-parsimony principle, assigning each neural system to its rung and arguing the nesting that allows the assignments to coexist on a shared manifold. </w:t>
      </w:r>
      <w:r w:rsidRPr="00132F7F">
        <w:rPr>
          <w:b/>
          <w:bCs/>
        </w:rPr>
        <w:t>Section 3</w:t>
      </w:r>
      <w:r w:rsidRPr="00132F7F">
        <w:t xml:space="preserve"> treats sign-constrained hardware and the gating motif, deriving disinhibition and gain control as the means by which a one-sided actuator achieves signed, multiplicative control, and grounding the basal-ganglia direct/indirect architecture in this logic. </w:t>
      </w:r>
      <w:r w:rsidRPr="00132F7F">
        <w:rPr>
          <w:b/>
          <w:bCs/>
        </w:rPr>
        <w:t>Section 4</w:t>
      </w:r>
      <w:r w:rsidRPr="00132F7F">
        <w:t xml:space="preserve"> presents the certification result: compactness as the conjunction of completeness (basal ganglia) and total boundedness (cerebellum), the Arzelà–Ascoli certification of a learned controller, the certification budget, and the decompactification account of out-of-distribution failure. </w:t>
      </w:r>
      <w:r w:rsidRPr="00132F7F">
        <w:rPr>
          <w:b/>
          <w:bCs/>
        </w:rPr>
        <w:t>Section 5</w:t>
      </w:r>
      <w:r w:rsidRPr="00132F7F">
        <w:t xml:space="preserve"> develops the sheaf-theoretic model of binding over the thalamic projection, the cohomological obstruction and its identification with cognitive fragmentation, the global section and its isomorphism to the witness, and the resulting safety rule and architectural critique. </w:t>
      </w:r>
      <w:r w:rsidRPr="00132F7F">
        <w:rPr>
          <w:b/>
          <w:bCs/>
        </w:rPr>
        <w:t>Section 6</w:t>
      </w:r>
      <w:r w:rsidRPr="00132F7F">
        <w:t xml:space="preserve"> derives sleep as the offline upward lift, establishing the dependency ordering of stages, the thalamic firing-mode commitment, the two-chart architecture and the double dissociation of binding routes, and the derivation of atonia together with the dissociation of trauma from dream-enactment disorder. </w:t>
      </w:r>
      <w:r w:rsidRPr="00132F7F">
        <w:rPr>
          <w:b/>
          <w:bCs/>
        </w:rPr>
        <w:t>Section 7</w:t>
      </w:r>
      <w:r w:rsidRPr="00132F7F">
        <w:t xml:space="preserve"> consolidates the framework's falsifiable predictions and proposes experimental tests. </w:t>
      </w:r>
      <w:r w:rsidRPr="00132F7F">
        <w:rPr>
          <w:b/>
          <w:bCs/>
        </w:rPr>
        <w:t>Section 8</w:t>
      </w:r>
      <w:r w:rsidRPr="00132F7F">
        <w:t xml:space="preserve"> states the scope and limits of the framework, emphasising its status as a specification-level isomorphism, and concludes.</w:t>
      </w:r>
    </w:p>
    <w:p w14:paraId="3FE383DE" w14:textId="77777777" w:rsidR="00FD3FB3" w:rsidRPr="00FD3FB3" w:rsidRDefault="00FD3FB3" w:rsidP="00725D1A">
      <w:pPr>
        <w:pStyle w:val="Heading1"/>
      </w:pPr>
      <w:r w:rsidRPr="00FD3FB3">
        <w:lastRenderedPageBreak/>
        <w:t>2. The Enrichment Ladder and the Structural-Parsimony Principle</w:t>
      </w:r>
    </w:p>
    <w:p w14:paraId="1646C394" w14:textId="77777777" w:rsidR="00FD3FB3" w:rsidRPr="00FD3FB3" w:rsidRDefault="00FD3FB3" w:rsidP="00FD3FB3">
      <w:pPr>
        <w:jc w:val="both"/>
      </w:pPr>
      <w:r w:rsidRPr="00FD3FB3">
        <w:t>This section develops the formal hierarchy on which the rest of the paper rests. We first define the enrichment ladder as a sequence of structures, each obtained from its predecessor by a single additional commitment, and establish the nesting that lets the higher structures inherit the lower ones (§2.1). We then state the structural-parsimony principle that governs how neural systems are placed on the ladder (§2.2), give the rung assignments with their functional justification (§2.3), and argue that the nesting permits these heterogeneous assignments to coexist over a single shared operating manifold (§2.4). We close with the asymmetry between downward projection and upward lifting that organises the later treatment of binding and sleep (§2.5), and with two corollaries — a phylogenetic ordering and the framework's falsifiability conditions (§2.6).</w:t>
      </w:r>
    </w:p>
    <w:p w14:paraId="33C9B5C5" w14:textId="77777777" w:rsidR="00FD3FB3" w:rsidRPr="00FD3FB3" w:rsidRDefault="00FD3FB3" w:rsidP="00FD3FB3">
      <w:pPr>
        <w:jc w:val="both"/>
        <w:rPr>
          <w:b/>
          <w:bCs/>
        </w:rPr>
      </w:pPr>
      <w:r w:rsidRPr="00FD3FB3">
        <w:rPr>
          <w:b/>
          <w:bCs/>
        </w:rPr>
        <w:t>2.1 The ladder as a hierarchy of enrichment</w:t>
      </w:r>
    </w:p>
    <w:p w14:paraId="5C4F1876" w14:textId="77777777" w:rsidR="00FD3FB3" w:rsidRPr="00FD3FB3" w:rsidRDefault="00FD3FB3" w:rsidP="00FD3FB3">
      <w:pPr>
        <w:jc w:val="both"/>
      </w:pPr>
      <w:r w:rsidRPr="00FD3FB3">
        <w:t xml:space="preserve">By the </w:t>
      </w:r>
      <w:r w:rsidRPr="00FD3FB3">
        <w:rPr>
          <w:i/>
          <w:iCs/>
        </w:rPr>
        <w:t>enrichment ladder</w:t>
      </w:r>
      <w:r w:rsidRPr="00FD3FB3">
        <w:t xml:space="preserve"> we mean the standard sequence of structured spaces studied in analysis, arranged so that each level adds exactly one structural commitment to the level beneath it. We take the rungs to be, in increasing order of structure:</w:t>
      </w:r>
    </w:p>
    <w:p w14:paraId="616A5529" w14:textId="77777777" w:rsidR="00FD3FB3" w:rsidRPr="00FD3FB3" w:rsidRDefault="00FD3FB3" w:rsidP="00FD3FB3">
      <w:pPr>
        <w:numPr>
          <w:ilvl w:val="0"/>
          <w:numId w:val="1"/>
        </w:numPr>
        <w:jc w:val="both"/>
      </w:pPr>
      <w:r w:rsidRPr="00FD3FB3">
        <w:t xml:space="preserve">a </w:t>
      </w:r>
      <w:r w:rsidRPr="00FD3FB3">
        <w:rPr>
          <w:b/>
          <w:bCs/>
        </w:rPr>
        <w:t>topological space</w:t>
      </w:r>
      <w:r w:rsidRPr="00FD3FB3">
        <w:t xml:space="preserve">, carrying only a notion of </w:t>
      </w:r>
      <w:r w:rsidRPr="00FD3FB3">
        <w:rPr>
          <w:i/>
          <w:iCs/>
        </w:rPr>
        <w:t>nearness</w:t>
      </w:r>
      <w:r w:rsidRPr="00FD3FB3">
        <w:t xml:space="preserve"> — open sets, neighbourhoods, connectedness, and continuity — and in particular no notion of </w:t>
      </w:r>
      <w:r w:rsidRPr="00FD3FB3">
        <w:rPr>
          <w:i/>
          <w:iCs/>
        </w:rPr>
        <w:t>quantity</w:t>
      </w:r>
      <w:r w:rsidRPr="00FD3FB3">
        <w:t>;</w:t>
      </w:r>
    </w:p>
    <w:p w14:paraId="4751EE1F" w14:textId="77777777" w:rsidR="00FD3FB3" w:rsidRPr="00FD3FB3" w:rsidRDefault="00FD3FB3" w:rsidP="00FD3FB3">
      <w:pPr>
        <w:numPr>
          <w:ilvl w:val="0"/>
          <w:numId w:val="1"/>
        </w:numPr>
        <w:jc w:val="both"/>
      </w:pPr>
      <w:r w:rsidRPr="00FD3FB3">
        <w:t xml:space="preserve">a </w:t>
      </w:r>
      <w:r w:rsidRPr="00FD3FB3">
        <w:rPr>
          <w:b/>
          <w:bCs/>
        </w:rPr>
        <w:t>uniform space</w:t>
      </w:r>
      <w:r w:rsidRPr="00FD3FB3">
        <w:t xml:space="preserve">, which adds a notion of </w:t>
      </w:r>
      <w:r w:rsidRPr="00FD3FB3">
        <w:rPr>
          <w:i/>
          <w:iCs/>
        </w:rPr>
        <w:t>closeness comparable across the space</w:t>
      </w:r>
      <w:r w:rsidRPr="00FD3FB3">
        <w:t>, formalised by a system of entourages, but still no numerical distance; uniform continuity, completeness, and total boundedness become definable here;</w:t>
      </w:r>
    </w:p>
    <w:p w14:paraId="2D28E824" w14:textId="77777777" w:rsidR="00FD3FB3" w:rsidRPr="00FD3FB3" w:rsidRDefault="00FD3FB3" w:rsidP="00FD3FB3">
      <w:pPr>
        <w:numPr>
          <w:ilvl w:val="0"/>
          <w:numId w:val="1"/>
        </w:numPr>
        <w:jc w:val="both"/>
      </w:pPr>
      <w:r w:rsidRPr="00FD3FB3">
        <w:t xml:space="preserve">a </w:t>
      </w:r>
      <w:r w:rsidRPr="00FD3FB3">
        <w:rPr>
          <w:b/>
          <w:bCs/>
        </w:rPr>
        <w:t>metric space</w:t>
      </w:r>
      <w:r w:rsidRPr="00FD3FB3">
        <w:t xml:space="preserve">, which adds an actual </w:t>
      </w:r>
      <w:r w:rsidRPr="00FD3FB3">
        <w:rPr>
          <w:i/>
          <w:iCs/>
        </w:rPr>
        <w:t>number</w:t>
      </w:r>
      <w:r w:rsidRPr="00FD3FB3">
        <w:t>, a distance function, and with it Cauchy sequences, contraction, and quantitative rates;</w:t>
      </w:r>
    </w:p>
    <w:p w14:paraId="155E6E7E" w14:textId="77777777" w:rsidR="00FD3FB3" w:rsidRPr="00FD3FB3" w:rsidRDefault="00FD3FB3" w:rsidP="00FD3FB3">
      <w:pPr>
        <w:numPr>
          <w:ilvl w:val="0"/>
          <w:numId w:val="1"/>
        </w:numPr>
        <w:jc w:val="both"/>
      </w:pPr>
      <w:r w:rsidRPr="00FD3FB3">
        <w:t xml:space="preserve">a </w:t>
      </w:r>
      <w:r w:rsidRPr="00FD3FB3">
        <w:rPr>
          <w:b/>
          <w:bCs/>
        </w:rPr>
        <w:t>normed space</w:t>
      </w:r>
      <w:r w:rsidRPr="00FD3FB3">
        <w:t xml:space="preserve">, which adds a privileged </w:t>
      </w:r>
      <w:r w:rsidRPr="00FD3FB3">
        <w:rPr>
          <w:i/>
          <w:iCs/>
        </w:rPr>
        <w:t>origin</w:t>
      </w:r>
      <w:r w:rsidRPr="00FD3FB3">
        <w:t xml:space="preserve"> and a compatible linear (vector) structure, so that points become displacements that may be scaled and composed, and distance becomes magnitude relative to zero;</w:t>
      </w:r>
    </w:p>
    <w:p w14:paraId="62C1A134" w14:textId="77777777" w:rsidR="00FD3FB3" w:rsidRPr="00FD3FB3" w:rsidRDefault="00FD3FB3" w:rsidP="00FD3FB3">
      <w:pPr>
        <w:numPr>
          <w:ilvl w:val="0"/>
          <w:numId w:val="1"/>
        </w:numPr>
        <w:jc w:val="both"/>
      </w:pPr>
      <w:r w:rsidRPr="00FD3FB3">
        <w:t xml:space="preserve">an </w:t>
      </w:r>
      <w:r w:rsidRPr="00FD3FB3">
        <w:rPr>
          <w:b/>
          <w:bCs/>
        </w:rPr>
        <w:t>inner-product space</w:t>
      </w:r>
      <w:r w:rsidRPr="00FD3FB3">
        <w:t xml:space="preserve">, which adds an </w:t>
      </w:r>
      <w:r w:rsidRPr="00FD3FB3">
        <w:rPr>
          <w:i/>
          <w:iCs/>
        </w:rPr>
        <w:t>angle</w:t>
      </w:r>
      <w:r w:rsidRPr="00FD3FB3">
        <w:t xml:space="preserve">, and with it the notion of </w:t>
      </w:r>
      <w:r w:rsidRPr="00FD3FB3">
        <w:rPr>
          <w:i/>
          <w:iCs/>
        </w:rPr>
        <w:t>orthogonality</w:t>
      </w:r>
      <w:r w:rsidRPr="00FD3FB3">
        <w:t xml:space="preserve"> — the ability to certify that two elements are independent, sharing no common component.</w:t>
      </w:r>
    </w:p>
    <w:p w14:paraId="39522208" w14:textId="77777777" w:rsidR="00FD3FB3" w:rsidRPr="00FD3FB3" w:rsidRDefault="00FD3FB3" w:rsidP="00FD3FB3">
      <w:pPr>
        <w:jc w:val="both"/>
      </w:pPr>
      <w:r w:rsidRPr="00FD3FB3">
        <w:t xml:space="preserve">The defining property of the ladder is that the structures are </w:t>
      </w:r>
      <w:r w:rsidRPr="00FD3FB3">
        <w:rPr>
          <w:i/>
          <w:iCs/>
        </w:rPr>
        <w:t>nested by induction</w:t>
      </w:r>
      <w:r w:rsidRPr="00FD3FB3">
        <w:t xml:space="preserve">: an inner product induces a norm, a norm induces a metric, a metric induces a uniformity, and a uniformity induces a topology. Equivalently, the class of spaces carrying a richer structure is contained in the class carrying each poorer one. Two consequences follow that we use repeatedly. First, </w:t>
      </w:r>
      <w:r w:rsidRPr="00FD3FB3">
        <w:rPr>
          <w:i/>
          <w:iCs/>
        </w:rPr>
        <w:t>a system operating at a higher rung automatically possesses all lower structures</w:t>
      </w:r>
      <w:r w:rsidRPr="00FD3FB3">
        <w:t xml:space="preserve">: a region that computes with angles also has distances, comparable closeness, and nearness available to it. Second, </w:t>
      </w:r>
      <w:r w:rsidRPr="00FD3FB3">
        <w:rPr>
          <w:i/>
          <w:iCs/>
        </w:rPr>
        <w:t>each rung answers a question that no lower rung can phrase</w:t>
      </w:r>
      <w:r w:rsidRPr="00FD3FB3">
        <w:t>. Topology can ask whether two things are connected but not how far apart they are; a metric can ask how far but not how far from a fixed reference, nor what results from composing two displacements; a norm can ask the latter but cannot ask whether two elements are independent; only the inner product can ask about independence, because independence is the vanishing of an angle, and angle is the final structure added. We will assign each neural system to the rung whose characteristic question its function poses.</w:t>
      </w:r>
    </w:p>
    <w:p w14:paraId="1EF05417" w14:textId="77777777" w:rsidR="00FD3FB3" w:rsidRPr="00FD3FB3" w:rsidRDefault="00FD3FB3" w:rsidP="00FD3FB3">
      <w:pPr>
        <w:jc w:val="both"/>
      </w:pPr>
      <w:r w:rsidRPr="00FD3FB3">
        <w:t xml:space="preserve">Two technical facts about the lower rungs are load-bearing for later sections and we record them here. </w:t>
      </w:r>
      <w:r w:rsidRPr="00FD3FB3">
        <w:rPr>
          <w:i/>
          <w:iCs/>
        </w:rPr>
        <w:t>Completeness and total boundedness are uniform, not topological, properties.</w:t>
      </w:r>
      <w:r w:rsidRPr="00FD3FB3">
        <w:t xml:space="preserve"> Neither is invariant </w:t>
      </w:r>
      <w:r w:rsidRPr="00FD3FB3">
        <w:lastRenderedPageBreak/>
        <w:t xml:space="preserve">under homeomorphism: the open interval and the real line are homeomorphic, yet the interval is totally bounded and incomplete in the usual metric while the line is complete and not totally bounded. Both properties are, however, definable in any uniform space — completeness through Cauchy filters and total boundedness through finite covers by entourage-small sets — which is why the uniform rung, and not the topological rung, is the natural home of the certification machinery of Section 4. </w:t>
      </w:r>
      <w:r w:rsidRPr="00FD3FB3">
        <w:rPr>
          <w:i/>
          <w:iCs/>
        </w:rPr>
        <w:t>Over-enrichment can be hostile to the goal.</w:t>
      </w:r>
      <w:r w:rsidRPr="00FD3FB3">
        <w:t xml:space="preserve"> By Riesz's theorem the closed unit ball of an infinite-dimensional normed space is never compact; thus the normed rung, far from being a safe default, structurally obstructs the compactness on which certifiability depends. The metric and uniform rungs, by contrast, admit compactness in arbitrary dimension. This asymmetry — that the richest rung is the most hostile to certification — is the formal reason the shared operating manifold of §2.4 must sit low on the ladder even though individual regions climb high.</w:t>
      </w:r>
    </w:p>
    <w:p w14:paraId="04D6BF44" w14:textId="77777777" w:rsidR="00FD3FB3" w:rsidRPr="00FD3FB3" w:rsidRDefault="00FD3FB3" w:rsidP="00FD3FB3">
      <w:pPr>
        <w:jc w:val="both"/>
      </w:pPr>
      <w:r w:rsidRPr="00FD3FB3">
        <w:t xml:space="preserve">For completeness we note a refinement of the floor. Between the bare topological rung and the uniform rung sits the </w:t>
      </w:r>
      <w:r w:rsidRPr="00FD3FB3">
        <w:rPr>
          <w:b/>
          <w:bCs/>
        </w:rPr>
        <w:t>proximity space</w:t>
      </w:r>
      <w:r w:rsidRPr="00FD3FB3">
        <w:t xml:space="preserve">, which adds a primitive relation of nearness </w:t>
      </w:r>
      <w:r w:rsidRPr="00FD3FB3">
        <w:rPr>
          <w:i/>
          <w:iCs/>
        </w:rPr>
        <w:t>between sets</w:t>
      </w:r>
      <w:r w:rsidRPr="00FD3FB3">
        <w:t xml:space="preserve"> without a numerical distance. We will invoke it only once, to locate the fear system's generalisation behaviour precisely, and otherwise treat the five principal rungs above.</w:t>
      </w:r>
    </w:p>
    <w:p w14:paraId="3D743D10" w14:textId="77777777" w:rsidR="00FD3FB3" w:rsidRPr="00FD3FB3" w:rsidRDefault="00FD3FB3" w:rsidP="00FD3FB3">
      <w:pPr>
        <w:jc w:val="both"/>
        <w:rPr>
          <w:b/>
          <w:bCs/>
        </w:rPr>
      </w:pPr>
      <w:r w:rsidRPr="00FD3FB3">
        <w:rPr>
          <w:b/>
          <w:bCs/>
        </w:rPr>
        <w:t>2.2 The structural-parsimony principle</w:t>
      </w:r>
    </w:p>
    <w:p w14:paraId="2F5772D8" w14:textId="77777777" w:rsidR="00FD3FB3" w:rsidRPr="00FD3FB3" w:rsidRDefault="00FD3FB3" w:rsidP="00FD3FB3">
      <w:pPr>
        <w:jc w:val="both"/>
      </w:pPr>
      <w:r w:rsidRPr="00FD3FB3">
        <w:t>We can now state the principle that places neural systems on the ladder.</w:t>
      </w:r>
    </w:p>
    <w:p w14:paraId="48DD8EC0" w14:textId="77777777" w:rsidR="00FD3FB3" w:rsidRPr="00FD3FB3" w:rsidRDefault="00FD3FB3" w:rsidP="00FD3FB3">
      <w:pPr>
        <w:jc w:val="both"/>
      </w:pPr>
      <w:r w:rsidRPr="00FD3FB3">
        <w:rPr>
          <w:b/>
          <w:bCs/>
        </w:rPr>
        <w:t>Structural-Parsimony Principle.</w:t>
      </w:r>
      <w:r w:rsidRPr="00FD3FB3">
        <w:t xml:space="preserve"> Each major neural system operates at the lowest rung of the enrichment ladder sufficient for its characteristic function, and uses no structure above that rung in performing it.</w:t>
      </w:r>
    </w:p>
    <w:p w14:paraId="76BA441F" w14:textId="77777777" w:rsidR="00FD3FB3" w:rsidRPr="00FD3FB3" w:rsidRDefault="00FD3FB3" w:rsidP="00FD3FB3">
      <w:pPr>
        <w:jc w:val="both"/>
      </w:pPr>
      <w:r w:rsidRPr="00FD3FB3">
        <w:t xml:space="preserve">The principle is to be read at the level of a system's </w:t>
      </w:r>
      <w:r w:rsidRPr="00FD3FB3">
        <w:rPr>
          <w:i/>
          <w:iCs/>
        </w:rPr>
        <w:t>defining, irreducible</w:t>
      </w:r>
      <w:r w:rsidRPr="00FD3FB3">
        <w:t xml:space="preserve"> operation, not as a ceiling on everything the system participates in; a region may borrow higher structure through its loops with other regions while its core computation remains at its assigned rung. So construed, the principle is substantive and falsifiable: it forbids a region from requiring, for its core function, structure strictly above its assigned rung. A demonstration that the cerebellum's intrinsic computation performs genuine orthogonalisation, or that the acute-fear circuit computes true metric distances rather than set membership, would refute it. The principle also predicts the </w:t>
      </w:r>
      <w:r w:rsidRPr="00FD3FB3">
        <w:rPr>
          <w:i/>
          <w:iCs/>
        </w:rPr>
        <w:t>form</w:t>
      </w:r>
      <w:r w:rsidRPr="00FD3FB3">
        <w:t xml:space="preserve"> of each region's characteristic failures, since a computation confined to a given rung cannot natively represent what only higher rungs can express — a theme we develop for fear (a topological verdict that cannot, by itself, contextualise) in Sections 5 and 6.</w:t>
      </w:r>
    </w:p>
    <w:p w14:paraId="62D45A70" w14:textId="77777777" w:rsidR="00FD3FB3" w:rsidRPr="00FD3FB3" w:rsidRDefault="00FD3FB3" w:rsidP="00FD3FB3">
      <w:pPr>
        <w:jc w:val="both"/>
        <w:rPr>
          <w:b/>
          <w:bCs/>
        </w:rPr>
      </w:pPr>
      <w:r w:rsidRPr="00FD3FB3">
        <w:rPr>
          <w:b/>
          <w:bCs/>
        </w:rPr>
        <w:t>2.3 Rung assignments</w:t>
      </w:r>
    </w:p>
    <w:p w14:paraId="079E5A3A" w14:textId="77777777" w:rsidR="00FD3FB3" w:rsidRPr="00FD3FB3" w:rsidRDefault="00FD3FB3" w:rsidP="00FD3FB3">
      <w:pPr>
        <w:jc w:val="both"/>
      </w:pPr>
      <w:r w:rsidRPr="00FD3FB3">
        <w:t>We assign the five principal systems as follows, in each case identifying the characteristic question the system's function poses and the lowest rung that can phrase it.</w:t>
      </w:r>
    </w:p>
    <w:p w14:paraId="60F806E2" w14:textId="77777777" w:rsidR="00FD3FB3" w:rsidRPr="00FD3FB3" w:rsidRDefault="00FD3FB3" w:rsidP="00FD3FB3">
      <w:pPr>
        <w:jc w:val="both"/>
      </w:pPr>
      <w:r w:rsidRPr="00FD3FB3">
        <w:rPr>
          <w:b/>
          <w:bCs/>
        </w:rPr>
        <w:t>Amygdala — topological.</w:t>
      </w:r>
      <w:r w:rsidRPr="00FD3FB3">
        <w:t xml:space="preserve"> The defining operation of the acute-fear circuit is a categorical membership verdict: whether the current situation lies inside the danger set. This is the topological question of membership and boundary, posed before any measurement and, through the fast subcortical route, before cortical processing. No number is required, no comparable closeness, no origin, no angle. The system's known behaviour follows: a danger region with a boundary across which approach–avoidance is organised, and </w:t>
      </w:r>
      <w:r w:rsidRPr="00FD3FB3">
        <w:rPr>
          <w:i/>
          <w:iCs/>
        </w:rPr>
        <w:t>generalisation</w:t>
      </w:r>
      <w:r w:rsidRPr="00FD3FB3">
        <w:t xml:space="preserve"> of fear along connectedness — spread to whatever is associatively linked to the original threat irrespective of distance, which is a topological, not a metric, relation. The generalisation gradient is more precisely captured by the proximity refinement of §2.1 (nearness between the new stimulus and the danger set, still without a numerical distance), placing the amygdala at, or just above, the floor of the ladder.</w:t>
      </w:r>
    </w:p>
    <w:p w14:paraId="262D0590" w14:textId="77777777" w:rsidR="00FD3FB3" w:rsidRPr="00FD3FB3" w:rsidRDefault="00FD3FB3" w:rsidP="00FD3FB3">
      <w:pPr>
        <w:jc w:val="both"/>
      </w:pPr>
      <w:r w:rsidRPr="00FD3FB3">
        <w:rPr>
          <w:b/>
          <w:bCs/>
        </w:rPr>
        <w:lastRenderedPageBreak/>
        <w:t>Cerebellum — uniform.</w:t>
      </w:r>
      <w:r w:rsidRPr="00FD3FB3">
        <w:t xml:space="preserve"> The cerebellum's function is to cover the operating envelope with a finite, uniformly calibrated set of local models and to enforce the </w:t>
      </w:r>
      <w:r w:rsidRPr="00FD3FB3">
        <w:rPr>
          <w:i/>
          <w:iCs/>
        </w:rPr>
        <w:t>same</w:t>
      </w:r>
      <w:r w:rsidRPr="00FD3FB3">
        <w:t xml:space="preserve"> precision everywhere. This requires comparable closeness across the whole space — a uniform structure — but not a numerical distance: the computation is one of even coverage, not of measured magnitude. The granular expansion is naturally read as a finite entourage-small cover, and the repeated, near-crystalline microcircuit instantiates a single uniform standard applied identically across the domain. We note that the cerebellar function is the prerequisite, on the uniform rung, for the uniform continuity that Heine–Cantor guarantees on a compact space, and which Section 4 identifies as the equicontinuity hypothesis of the certification theorem.</w:t>
      </w:r>
    </w:p>
    <w:p w14:paraId="283B29A6" w14:textId="77777777" w:rsidR="00FD3FB3" w:rsidRPr="00FD3FB3" w:rsidRDefault="00FD3FB3" w:rsidP="00FD3FB3">
      <w:pPr>
        <w:jc w:val="both"/>
      </w:pPr>
      <w:r w:rsidRPr="00FD3FB3">
        <w:rPr>
          <w:b/>
          <w:bCs/>
        </w:rPr>
        <w:t>Basal ganglia — metric.</w:t>
      </w:r>
      <w:r w:rsidRPr="00FD3FB3">
        <w:t xml:space="preserve"> Reinforcement-based selection operates over graded values, action contingencies, and rates of convergence. It requires the </w:t>
      </w:r>
      <w:r w:rsidRPr="00FD3FB3">
        <w:rPr>
          <w:i/>
          <w:iCs/>
        </w:rPr>
        <w:t>number</w:t>
      </w:r>
      <w:r w:rsidRPr="00FD3FB3">
        <w:t xml:space="preserve"> that the cerebellum's uniformity lacks: the ratio by which a correction reduces the gap to an optimum (a contraction modulus), the quantitative comparison of one action's value with another's, and the Cauchy-sense convergence of an iterative estimate. It does not require an origin or vector composition. The basal ganglia thus add quantity to the cerebellum's comparable closeness, occupying the metric rung.</w:t>
      </w:r>
    </w:p>
    <w:p w14:paraId="00B991F6" w14:textId="77777777" w:rsidR="00FD3FB3" w:rsidRPr="00FD3FB3" w:rsidRDefault="00FD3FB3" w:rsidP="00FD3FB3">
      <w:pPr>
        <w:jc w:val="both"/>
      </w:pPr>
      <w:r w:rsidRPr="00FD3FB3">
        <w:rPr>
          <w:b/>
          <w:bCs/>
        </w:rPr>
        <w:t>Hippocampus — normed.</w:t>
      </w:r>
      <w:r w:rsidRPr="00FD3FB3">
        <w:t xml:space="preserve"> Spatial and episodic representation is anchored to a reference point — a "you are here" — and supports vector composition: path integration sums displacements, and a cognitive map situates positions relative to an origin. These are the operations a norm adds to a metric, namely a privileged origin and a compatible linear structure. The hippocampal–entorhinal place and grid codes are the biological realisation of this origin-anchored, composable structure, placing the system at the normed rung above the merely metric basal ganglia.</w:t>
      </w:r>
    </w:p>
    <w:p w14:paraId="6A2136DF" w14:textId="77777777" w:rsidR="00FD3FB3" w:rsidRPr="00FD3FB3" w:rsidRDefault="00FD3FB3" w:rsidP="00FD3FB3">
      <w:pPr>
        <w:jc w:val="both"/>
      </w:pPr>
      <w:r w:rsidRPr="00FD3FB3">
        <w:rPr>
          <w:b/>
          <w:bCs/>
        </w:rPr>
        <w:t>Neocortex — inner-product.</w:t>
      </w:r>
      <w:r w:rsidRPr="00FD3FB3">
        <w:t xml:space="preserve"> Cortical representation must hold vast numbers of overlapping contents without mutual interference, which requires representing distinct contents as </w:t>
      </w:r>
      <w:r w:rsidRPr="00FD3FB3">
        <w:rPr>
          <w:i/>
          <w:iCs/>
        </w:rPr>
        <w:t>independent</w:t>
      </w:r>
      <w:r w:rsidRPr="00FD3FB3">
        <w:t xml:space="preserve"> directions — sparse, decorrelated codes in which unrelated concepts share no component. Independence is orthogonality, and orthogonality is the vanishing of an inner product; only the inner-product rung can phrase it. The neocortex therefore occupies the top of the ladder. Where the cortical representation must additionally support stable, convergent decompositions onto a fixed basis, the relevant object is a complete inner-product (Hilbert) space, with the completeness supplied through the cortico-basal-ganglia loop rather than intrinsically — a point we return to in Section 4.</w:t>
      </w:r>
    </w:p>
    <w:p w14:paraId="1743052C" w14:textId="77777777" w:rsidR="00FD3FB3" w:rsidRPr="00FD3FB3" w:rsidRDefault="00FD3FB3" w:rsidP="00FD3FB3">
      <w:pPr>
        <w:jc w:val="both"/>
        <w:rPr>
          <w:b/>
          <w:bCs/>
        </w:rPr>
      </w:pPr>
      <w:r w:rsidRPr="00FD3FB3">
        <w:rPr>
          <w:b/>
          <w:bCs/>
        </w:rPr>
        <w:t>2.4 Nesting and the shared operating manifold</w:t>
      </w:r>
    </w:p>
    <w:p w14:paraId="012A271B" w14:textId="77777777" w:rsidR="00FD3FB3" w:rsidRPr="00FD3FB3" w:rsidRDefault="00FD3FB3" w:rsidP="00FD3FB3">
      <w:pPr>
        <w:jc w:val="both"/>
      </w:pPr>
      <w:r w:rsidRPr="00FD3FB3">
        <w:t xml:space="preserve">A natural objection to assigning regions to different rungs is that it appears to place them in incompatible spaces. The nesting of §2.1 dissolves the objection. Because each higher structure induces all lower ones, the regions do not inhabit disjoint spaces; they inhabit a </w:t>
      </w:r>
      <w:r w:rsidRPr="00FD3FB3">
        <w:rPr>
          <w:i/>
          <w:iCs/>
        </w:rPr>
        <w:t>single</w:t>
      </w:r>
      <w:r w:rsidRPr="00FD3FB3">
        <w:t xml:space="preserve"> space at different levels of structural commitment. The cortex's inner product already contains a metric and a topology; the hippocampus's norm already contains a metric. Specialisation is therefore </w:t>
      </w:r>
      <w:r w:rsidRPr="00FD3FB3">
        <w:rPr>
          <w:i/>
          <w:iCs/>
        </w:rPr>
        <w:t>upward enrichment over a common base</w:t>
      </w:r>
      <w:r w:rsidRPr="00FD3FB3">
        <w:t>, not partition into separate worlds.</w:t>
      </w:r>
    </w:p>
    <w:p w14:paraId="492ADA2D" w14:textId="77777777" w:rsidR="00FD3FB3" w:rsidRPr="00FD3FB3" w:rsidRDefault="00FD3FB3" w:rsidP="00FD3FB3">
      <w:pPr>
        <w:jc w:val="both"/>
      </w:pPr>
      <w:r w:rsidRPr="00FD3FB3">
        <w:t xml:space="preserve">We identify the common base as the shared </w:t>
      </w:r>
      <w:r w:rsidRPr="00FD3FB3">
        <w:rPr>
          <w:i/>
          <w:iCs/>
        </w:rPr>
        <w:t>operating manifold</w:t>
      </w:r>
      <w:r w:rsidRPr="00FD3FB3">
        <w:t xml:space="preserve"> — the closure of the situations the organism actually occupies — and locate it, by the argument of §2.1, at the metric–uniform level rather than higher. This is the level at which completeness and total boundedness, and hence compactness and certifiability, are definable; it is below the normed rung whose infinite-dimensional unit ball Riesz's theorem renders non-compact, so the base is not over-enriched into hostility to its own certification; and it is above the bare topological rung, which cannot express the quantitative guarantees certification requires. The regions then attach their characteristic structures over this common base — the cerebellar uniformity, the basal-ganglia metric, the hippocampal norm, the cortical inner product </w:t>
      </w:r>
      <w:r w:rsidRPr="00FD3FB3">
        <w:lastRenderedPageBreak/>
        <w:t>— as enrichments of one manifold rather than as competing geometries. The mechanism by which these attached structures are referred back to the common base, and the consequences of its failure, are the subject of Section 5; the certification of action on the base itself is the subject of Section 4.</w:t>
      </w:r>
    </w:p>
    <w:p w14:paraId="0C00C000" w14:textId="77777777" w:rsidR="00FD3FB3" w:rsidRPr="00FD3FB3" w:rsidRDefault="00FD3FB3" w:rsidP="00FD3FB3">
      <w:pPr>
        <w:jc w:val="both"/>
        <w:rPr>
          <w:b/>
          <w:bCs/>
        </w:rPr>
      </w:pPr>
      <w:r w:rsidRPr="00FD3FB3">
        <w:rPr>
          <w:b/>
          <w:bCs/>
        </w:rPr>
        <w:t>2.5 The asymmetry of projection and lifting</w:t>
      </w:r>
    </w:p>
    <w:p w14:paraId="13D2822A" w14:textId="77777777" w:rsidR="00FD3FB3" w:rsidRPr="00FD3FB3" w:rsidRDefault="00FD3FB3" w:rsidP="00FD3FB3">
      <w:pPr>
        <w:jc w:val="both"/>
      </w:pPr>
      <w:r w:rsidRPr="00FD3FB3">
        <w:t xml:space="preserve">The nesting induces a directional asymmetry that organises the dynamical claims of the later sections. </w:t>
      </w:r>
      <w:r w:rsidRPr="00FD3FB3">
        <w:rPr>
          <w:i/>
          <w:iCs/>
        </w:rPr>
        <w:t>Projection downward</w:t>
      </w:r>
      <w:r w:rsidRPr="00FD3FB3">
        <w:t xml:space="preserve"> — recovering a lower-rung structure from a higher one — is canonical and effectively free: it forgets structure, discarding the angle to leave a distance, the distance to leave comparable closeness, the closeness to leave bare nearness. The forgetful maps are always available and require no computation beyond discarding information. </w:t>
      </w:r>
      <w:r w:rsidRPr="00FD3FB3">
        <w:rPr>
          <w:i/>
          <w:iCs/>
        </w:rPr>
        <w:t>Lifting upward</w:t>
      </w:r>
      <w:r w:rsidRPr="00FD3FB3">
        <w:t xml:space="preserve"> — producing a higher-rung representation from a lower one — is not canonical and is not free: there is in general no unique way to supply an origin to a metric, or an angle to a norm, so the missing structure must be </w:t>
      </w:r>
      <w:r w:rsidRPr="00FD3FB3">
        <w:rPr>
          <w:i/>
          <w:iCs/>
        </w:rPr>
        <w:t>constructed</w:t>
      </w:r>
      <w:r w:rsidRPr="00FD3FB3">
        <w:t>, at a cost in computation and time.</w:t>
      </w:r>
    </w:p>
    <w:p w14:paraId="0DD847A6" w14:textId="77777777" w:rsidR="00FD3FB3" w:rsidRPr="00FD3FB3" w:rsidRDefault="00FD3FB3" w:rsidP="00FD3FB3">
      <w:pPr>
        <w:jc w:val="both"/>
      </w:pPr>
      <w:r w:rsidRPr="00FD3FB3">
        <w:t>This asymmetry has two corollaries we develop later. In Section 5, it implies that commensuration across regions is cheap in the downward direction and structured in the upward direction, so that a low-rung verdict (a topological fear alarm) can reach the whole system instantly while its integration into high-rung representation is slow and conditional. In Section 6, it implies that the work of lifting raw, low-rung experience into stored, high-rung knowledge cannot run concurrently with the fast downward projection that waking behaviour demands, and must therefore be deferred to an offline regime — the basis of our account of sleep.</w:t>
      </w:r>
    </w:p>
    <w:p w14:paraId="3D415C3C" w14:textId="77777777" w:rsidR="00FD3FB3" w:rsidRPr="00FD3FB3" w:rsidRDefault="00FD3FB3" w:rsidP="00FD3FB3">
      <w:pPr>
        <w:jc w:val="both"/>
        <w:rPr>
          <w:b/>
          <w:bCs/>
        </w:rPr>
      </w:pPr>
      <w:r w:rsidRPr="00FD3FB3">
        <w:rPr>
          <w:b/>
          <w:bCs/>
        </w:rPr>
        <w:t>2.6 Corollaries: phylogeny and falsifiability</w:t>
      </w:r>
    </w:p>
    <w:p w14:paraId="0F7C34BA" w14:textId="77777777" w:rsidR="00FD3FB3" w:rsidRPr="00FD3FB3" w:rsidRDefault="00FD3FB3" w:rsidP="00FD3FB3">
      <w:pPr>
        <w:jc w:val="both"/>
      </w:pPr>
      <w:r w:rsidRPr="00FD3FB3">
        <w:t>Two corollaries close the section.</w:t>
      </w:r>
    </w:p>
    <w:p w14:paraId="2AFF8FA0" w14:textId="77777777" w:rsidR="00FD3FB3" w:rsidRPr="00FD3FB3" w:rsidRDefault="00FD3FB3" w:rsidP="00FD3FB3">
      <w:pPr>
        <w:jc w:val="both"/>
      </w:pPr>
      <w:r w:rsidRPr="00FD3FB3">
        <w:t xml:space="preserve">First, a </w:t>
      </w:r>
      <w:r w:rsidRPr="00FD3FB3">
        <w:rPr>
          <w:b/>
          <w:bCs/>
        </w:rPr>
        <w:t>phylogenetic ordering</w:t>
      </w:r>
      <w:r w:rsidRPr="00FD3FB3">
        <w:t>. The rung assignments descend in structural richness in the same order in which the corresponding systems are conserved across evolution: the ancient amygdala at the topological floor, the cerebellum and basal ganglia at the intermediate uniform and metric rungs, and the comparatively recent hippocampal and neocortical systems at the normed and inner-product rungs. The framework offers a rationale: older systems were selected when only the cheapest question — danger or not — needed answering, and richer structure accreted upward as later demands (calibrated coverage, graded value, vector navigation, content independence) required higher rungs. This yields the falsifiable claim that structural minimality and phylogenetic age are the same sequence read from the bottom up.</w:t>
      </w:r>
    </w:p>
    <w:p w14:paraId="2935AE9D" w14:textId="77777777" w:rsidR="00FD3FB3" w:rsidRPr="00FD3FB3" w:rsidRDefault="00FD3FB3" w:rsidP="00FD3FB3">
      <w:pPr>
        <w:jc w:val="both"/>
      </w:pPr>
      <w:r w:rsidRPr="00FD3FB3">
        <w:t xml:space="preserve">Second, the </w:t>
      </w:r>
      <w:r w:rsidRPr="00FD3FB3">
        <w:rPr>
          <w:b/>
          <w:bCs/>
        </w:rPr>
        <w:t>falsifiability conditions</w:t>
      </w:r>
      <w:r w:rsidRPr="00FD3FB3">
        <w:t xml:space="preserve"> of the assignment itself. The structural-parsimony principle is refuted by any demonstration that a system's </w:t>
      </w:r>
      <w:r w:rsidRPr="00FD3FB3">
        <w:rPr>
          <w:i/>
          <w:iCs/>
        </w:rPr>
        <w:t>core</w:t>
      </w:r>
      <w:r w:rsidRPr="00FD3FB3">
        <w:t xml:space="preserve"> function requires structure strictly above its assigned rung: genuine intrinsic orthogonalisation in the cerebellum, true intrinsic metric distance in the acute-fear circuit, or origin-anchored vector composition intrinsic to the basal ganglia rather than inherited through the hippocampal loop. Conversely, the principle predicts that each system's characteristic deficits take the form of an inability to represent what only higher rungs express — a prediction we make precise for the fear system in the later treatment of binding and sleep. We take these conditions as the standard against which the framework is to be judged.</w:t>
      </w:r>
    </w:p>
    <w:p w14:paraId="2B90290E" w14:textId="77777777" w:rsidR="0022746D" w:rsidRPr="0022746D" w:rsidRDefault="0022746D" w:rsidP="00725D1A">
      <w:pPr>
        <w:pStyle w:val="Heading1"/>
      </w:pPr>
      <w:r w:rsidRPr="0022746D">
        <w:lastRenderedPageBreak/>
        <w:t>3. Sign-Constrained Hardware, Disinhibition, and the Gating Motif</w:t>
      </w:r>
    </w:p>
    <w:p w14:paraId="5483D347" w14:textId="77777777" w:rsidR="0022746D" w:rsidRPr="0022746D" w:rsidRDefault="0022746D" w:rsidP="0022746D">
      <w:pPr>
        <w:jc w:val="both"/>
      </w:pPr>
      <w:r w:rsidRPr="0022746D">
        <w:t xml:space="preserve">The enrichment ladder of Section 2 specifies </w:t>
      </w:r>
      <w:r w:rsidRPr="0022746D">
        <w:rPr>
          <w:i/>
          <w:iCs/>
        </w:rPr>
        <w:t>what</w:t>
      </w:r>
      <w:r w:rsidRPr="0022746D">
        <w:t xml:space="preserve"> each neural system computes; this section addresses </w:t>
      </w:r>
      <w:r w:rsidRPr="0022746D">
        <w:rPr>
          <w:i/>
          <w:iCs/>
        </w:rPr>
        <w:t>how</w:t>
      </w:r>
      <w:r w:rsidRPr="0022746D">
        <w:t xml:space="preserve"> such computation is possible on the substrate the brain actually has. That substrate is sign-constrained: neural output is non-negative, and excitatory and inhibitory populations are largely segregated. We show that this constraint forces a particular control architecture. Signed representation must be manufactured from non-negative parts (§3.1); positive control of a tonically suppressed target is achievable only by disinhibition (§3.2); the multiplicative gain control that higher-rung computation requires cannot be obtained additively and must be reached either by a logarithmic change of coordinates or by a two-pathway sum-and-square construction (§3.3); and the basal-ganglia direct/indirect architecture is precisely the disinhibitory, gain-controlling apparatus these requirements predict (§3.4). We close by stating the gating motif in its general form — selective release of standing suppression, computing a product of drive and gain — and relating it to the rung structure (§3.5).</w:t>
      </w:r>
    </w:p>
    <w:p w14:paraId="604D38C9" w14:textId="77777777" w:rsidR="0022746D" w:rsidRPr="0022746D" w:rsidRDefault="0022746D" w:rsidP="0022746D">
      <w:pPr>
        <w:jc w:val="both"/>
        <w:rPr>
          <w:b/>
          <w:bCs/>
        </w:rPr>
      </w:pPr>
      <w:r w:rsidRPr="0022746D">
        <w:rPr>
          <w:b/>
          <w:bCs/>
        </w:rPr>
        <w:t>3.1 The non-negativity constraint and signed representation</w:t>
      </w:r>
    </w:p>
    <w:p w14:paraId="0D8869BD" w14:textId="77777777" w:rsidR="0022746D" w:rsidRPr="0022746D" w:rsidRDefault="0022746D" w:rsidP="0022746D">
      <w:pPr>
        <w:jc w:val="both"/>
      </w:pPr>
      <w:r w:rsidRPr="0022746D">
        <w:t>Let each unit's output be a non-negative quantity, as firing rates are. The set of states reachable by additive combination of non-negative outputs is then a convex cone: one may add activity but cannot directly represent a decrease, a contrast, or any quantity below the resting level. Yet computation at every rung above the topological requires signed quantities — a metric comparison must register whether one value exceeds another, a prediction error must carry its direction, and selection must suppress alternatives as well as promote a choice. The constraint and the requirement are therefore in tension, and the tension has a single generic resolution: a signed quantity is represented as the difference of two non-negative quantities held against a common reference, with a standing baseline supplying the reference level that a purely additive cone lacks.</w:t>
      </w:r>
    </w:p>
    <w:p w14:paraId="454D2EA8" w14:textId="77777777" w:rsidR="0022746D" w:rsidRPr="0022746D" w:rsidRDefault="0022746D" w:rsidP="0022746D">
      <w:pPr>
        <w:jc w:val="both"/>
      </w:pPr>
      <w:r w:rsidRPr="0022746D">
        <w:t>This is the same device by which a sign-free variable is handled in a non-negativity-constrained optimisation — written as the difference of two non-negative parts — and it is realised biologically as opponent or ON/OFF populations, one encoding the positive excursion and one the negative. Two features of the device matter downstream. First, the reference level is not free: in the optimisation analogue it is fixed by the structure of the feasible region, and in the neural case it is fixed by a tonic inhibitory baseline, which is the biological manufacture of the zero-crossing a non-negative coordinate system cannot otherwise express. Second, the opponent pair is complementary: at any operating point at most one member is active, so the representation commits to a single polarity per axis rather than expending both populations against one another — the same complementarity that, in the optimisation analogue, prevents a basis from containing both halves of an opponent pair.</w:t>
      </w:r>
    </w:p>
    <w:p w14:paraId="3D03C94F" w14:textId="77777777" w:rsidR="0022746D" w:rsidRPr="0022746D" w:rsidRDefault="0022746D" w:rsidP="0022746D">
      <w:pPr>
        <w:jc w:val="both"/>
        <w:rPr>
          <w:b/>
          <w:bCs/>
        </w:rPr>
      </w:pPr>
      <w:r w:rsidRPr="0022746D">
        <w:rPr>
          <w:b/>
          <w:bCs/>
        </w:rPr>
        <w:t>3.2 Disinhibition as the primitive of positive control</w:t>
      </w:r>
    </w:p>
    <w:p w14:paraId="554EB337" w14:textId="77777777" w:rsidR="0022746D" w:rsidRPr="0022746D" w:rsidRDefault="0022746D" w:rsidP="0022746D">
      <w:pPr>
        <w:jc w:val="both"/>
      </w:pPr>
      <w:r w:rsidRPr="0022746D">
        <w:t xml:space="preserve">Consider now not the representation of a signed quantity but the </w:t>
      </w:r>
      <w:r w:rsidRPr="0022746D">
        <w:rPr>
          <w:i/>
          <w:iCs/>
        </w:rPr>
        <w:t>control</w:t>
      </w:r>
      <w:r w:rsidRPr="0022746D">
        <w:t xml:space="preserve"> of a target. If a target is held silent by a standing inhibition, there are two ways to make it active: drive it directly with excitation, or remove the inhibition that suppresses it. On sign-constrained hardware with a tonically inhibited output stage, the second is the only route that combines selectivity with stability. Direct excitation of a densely interconnected network risks runaway positive feedback and saturation, the loss of the very degrees of freedom that distinguish states; removal of a standing inhibition, by contrast, lifts the suppression on exactly the targeted axis while the surrounding network remains clamped, and the magnitude of the released activity is bounded by the inhibition removed rather than free to </w:t>
      </w:r>
      <w:r w:rsidRPr="0022746D">
        <w:lastRenderedPageBreak/>
        <w:t xml:space="preserve">compound. Positive control is thus achieved by </w:t>
      </w:r>
      <w:r w:rsidRPr="0022746D">
        <w:rPr>
          <w:i/>
          <w:iCs/>
        </w:rPr>
        <w:t>disinhibition</w:t>
      </w:r>
      <w:r w:rsidRPr="0022746D">
        <w:t xml:space="preserve"> — inhibiting an inhibitor — and this is the generic primitive by which a one-sided actuator produces a controllable positive effect.</w:t>
      </w:r>
    </w:p>
    <w:p w14:paraId="473E24D0" w14:textId="77777777" w:rsidR="0022746D" w:rsidRPr="0022746D" w:rsidRDefault="0022746D" w:rsidP="0022746D">
      <w:pPr>
        <w:jc w:val="both"/>
      </w:pPr>
      <w:r w:rsidRPr="0022746D">
        <w:t xml:space="preserve">We distinguish disinhibition from lateral inhibition, with which it is easily conflated. Selection among competing targets — winner-take-all dynamics — is implemented by lateral </w:t>
      </w:r>
      <w:r w:rsidRPr="0022746D">
        <w:rPr>
          <w:i/>
          <w:iCs/>
        </w:rPr>
        <w:t>inhibition</w:t>
      </w:r>
      <w:r w:rsidRPr="0022746D">
        <w:t xml:space="preserve"> of the competitors, not by disinhibition; the two are complementary halves of selection, the brake lifted on the chosen channel while it is pressed harder on the rivals. Conflating them obscures that disinhibition releases while lateral inhibition suppresses, and that a complete selection circuit requires both.</w:t>
      </w:r>
    </w:p>
    <w:p w14:paraId="3617259E" w14:textId="77777777" w:rsidR="0022746D" w:rsidRPr="0022746D" w:rsidRDefault="0022746D" w:rsidP="0022746D">
      <w:pPr>
        <w:jc w:val="both"/>
        <w:rPr>
          <w:b/>
          <w:bCs/>
        </w:rPr>
      </w:pPr>
      <w:r w:rsidRPr="0022746D">
        <w:rPr>
          <w:b/>
          <w:bCs/>
        </w:rPr>
        <w:t>3.3 The multiplication problem and its two solutions</w:t>
      </w:r>
    </w:p>
    <w:p w14:paraId="310AE103" w14:textId="77777777" w:rsidR="0022746D" w:rsidRPr="0022746D" w:rsidRDefault="0022746D" w:rsidP="0022746D">
      <w:pPr>
        <w:jc w:val="both"/>
      </w:pPr>
      <w:r w:rsidRPr="0022746D">
        <w:t xml:space="preserve">Representation on the metric rung and above requires not only signed quantities but </w:t>
      </w:r>
      <w:r w:rsidRPr="0022746D">
        <w:rPr>
          <w:i/>
          <w:iCs/>
        </w:rPr>
        <w:t>gain control</w:t>
      </w:r>
      <w:r w:rsidRPr="0022746D">
        <w:t>: the scaling of one signal by another, a genuinely multiplicative operation, as in the precision weighting of a prediction error or the normalisation of a response. Multiplication cannot be obtained from additive combination of the variables, since a product is not a linear function of its factors. The constraint therefore forces a change of coordinates or an auxiliary nonlinearity, and two routes are available, each with a characteristic cost.</w:t>
      </w:r>
    </w:p>
    <w:p w14:paraId="0966F5ED" w14:textId="77777777" w:rsidR="0022746D" w:rsidRPr="0022746D" w:rsidRDefault="0022746D" w:rsidP="0022746D">
      <w:pPr>
        <w:jc w:val="both"/>
      </w:pPr>
      <w:r w:rsidRPr="0022746D">
        <w:t>The first route is logarithmic. Under the logarithm a product becomes a sum, and — this is the point specific to sign-constrained hardware — the domain of the logarithm is exactly the positive reals, so the non-negative cone is mapped onto the whole real line and the constraint is dissolved. Additive hardware operating in logarithmic coordinates is therefore multiplicative hardware. The translinear principle shows this is physically realisable from elements that are individually sign-constrained and exponential: a closed loop of such elements sums logarithms around the loop, yielding an exact product of the corresponding quantities. A neuron's compressive input transduction and expansive output nonlinearity supply the same two ingredients, so the logarithmic route is available to neural circuits. Its cost is the requirement of a genuine exponential element; its benefit is exactness without component matching.</w:t>
      </w:r>
    </w:p>
    <w:p w14:paraId="4DF543AA" w14:textId="77777777" w:rsidR="0022746D" w:rsidRPr="0022746D" w:rsidRDefault="0022746D" w:rsidP="0022746D">
      <w:pPr>
        <w:jc w:val="both"/>
      </w:pPr>
      <w:r w:rsidRPr="0022746D">
        <w:t>The second route is the quarter-square construction, which expresses a product as one quarter of the difference between the square of the sum of two quantities and the square of their difference. It requires no logarithm, only a squaring nonlinearity, summation, and subtraction — and the threshold-power-law transfer function of cortical neurons, expansive and approximately quadratic near threshold, supplies the squaring. The construction is naturally two-pathway: a sum channel and a difference (opponent) channel, each squared, then differenced, with the common-mode terms cancelling. The energy models of binocular disparity and motion are instances of exactly this construction — a binocular cell sums two inputs, squares, and pools so that the cross term, the desired product, survives — demonstrating that the nervous system computes products of two streams by squaring without taking logarithms. The cost of this route is the matching it demands: the cancellation of the common-mode terms is exact only if the two squaring nonlinearities are matched, so the route trades the need for a true exponential element against the need for matched, balanced populations.</w:t>
      </w:r>
    </w:p>
    <w:p w14:paraId="55319DEF" w14:textId="77777777" w:rsidR="0022746D" w:rsidRPr="0022746D" w:rsidRDefault="0022746D" w:rsidP="0022746D">
      <w:pPr>
        <w:jc w:val="both"/>
      </w:pPr>
      <w:r w:rsidRPr="0022746D">
        <w:t>A third realisation, divisive normalisation, computes a multiplicative gain directly: a response divided by a pooled sum of activity scales the gain of each unit, and the biophysical substrate is inhibition acting on conductance — shunting inhibition, which changes the slope of the input–output relation rather than its offset, where subtractive inhibition would merely shift it. We note the established qualification that a single shunting conductance is nearly subtractive for a spiking neuron under steady input, and that genuine multiplicative gain emerges in the balanced, noisy regime; since gain is here a proxy for precision, an inverse variance, it is fitting that the mechanism realising gain control should depend on the statistics of the background input it is meant to weight.</w:t>
      </w:r>
    </w:p>
    <w:p w14:paraId="6B84B71C" w14:textId="77777777" w:rsidR="0022746D" w:rsidRPr="0022746D" w:rsidRDefault="0022746D" w:rsidP="0022746D">
      <w:pPr>
        <w:jc w:val="both"/>
        <w:rPr>
          <w:b/>
          <w:bCs/>
        </w:rPr>
      </w:pPr>
      <w:r w:rsidRPr="0022746D">
        <w:rPr>
          <w:b/>
          <w:bCs/>
        </w:rPr>
        <w:lastRenderedPageBreak/>
        <w:t>3.4 The direct/indirect architecture as disinhibitory gain control</w:t>
      </w:r>
    </w:p>
    <w:p w14:paraId="5D718C7B" w14:textId="77777777" w:rsidR="0022746D" w:rsidRPr="0022746D" w:rsidRDefault="0022746D" w:rsidP="0022746D">
      <w:pPr>
        <w:jc w:val="both"/>
      </w:pPr>
      <w:r w:rsidRPr="0022746D">
        <w:t>The basal ganglia instantiate the foregoing logic in a specific and informative form. Their input layer is almost entirely inhibitory, so the input stage is a one-sided actuator in the strict sense: it can act on its targets only by subtracting. The only primitive available to such a stage for producing a net positive effect on a downstream node is therefore the disinhibition of §3.2, and both principal pathways open with it. The direct pathway inhibits the tonically active output nucleus, which itself inhibits the thalamus; the double inhibition disinhibits the thalamus and releases action. The indirect pathway opens with the same dual-inhibition primitive but terminates on the subthalamic nucleus — the single glutamatergic, and thus the one positively-acting, hub embedded in the otherwise inhibitory circuit — which excites the output nucleus and so reinforces the suppression of the thalamus. The system's only excitatory element is wired to strengthen the brake, which is what one expects when a strong, broadcastable positive "hold" signal must be manufactured from an inhibitory network; the fast cortico-subthalamic route serves the same global-stop function.</w:t>
      </w:r>
    </w:p>
    <w:p w14:paraId="68272652" w14:textId="77777777" w:rsidR="0022746D" w:rsidRPr="0022746D" w:rsidRDefault="0022746D" w:rsidP="0022746D">
      <w:pPr>
        <w:jc w:val="both"/>
      </w:pPr>
      <w:r w:rsidRPr="0022746D">
        <w:t xml:space="preserve">This arrangement realises a multiplicative gate of the kind §3.3 requires, but of a particular type: not a product of two symmetric operands but a product of </w:t>
      </w:r>
      <w:r w:rsidRPr="0022746D">
        <w:rPr>
          <w:i/>
          <w:iCs/>
        </w:rPr>
        <w:t>drive</w:t>
      </w:r>
      <w:r w:rsidRPr="0022746D">
        <w:t xml:space="preserve"> and </w:t>
      </w:r>
      <w:r w:rsidRPr="0022746D">
        <w:rPr>
          <w:i/>
          <w:iCs/>
        </w:rPr>
        <w:t>gain</w:t>
      </w:r>
      <w:r w:rsidRPr="0022746D">
        <w:t>. The thalamus carries its own cortical drive; the output nucleus gates how much of that drive is transmitted; and releasing the gate scales what the thalamus already carries rather than adding to it. The output is thus, to a first approximation, the cortical drive multiplied by a gate openness set by the basal ganglia — a product of two quantities arriving from two pathways, the multiplication the single pathway could not perform achieved by a division of labour between a pathway supplying drive and a pathway supplying gain. The recurrent reciprocal connection between the subthalamic nucleus and the external pallidum supplies the pooled, self-stabilising quantity a divisive denominator requires, so that the direct pathway functions as the numerator of a normalisation and the recurrent indirect loop as its denominator, with the output nucleus as the site of the quotient. We retain the established qualification that convergence at the output nucleus is, in the classical account, closer to subtraction than to division, and that clean division depends on the recurrent loop together with the noisy regime; the multiplicative reading has its firmest biophysical purchase at the thalamic relay, whose burst-versus-tonic transmission mode is a genuine change of transfer gain rather than a subtracted offset — a point we develop in Section 6.</w:t>
      </w:r>
    </w:p>
    <w:p w14:paraId="40F5F73F" w14:textId="77777777" w:rsidR="0022746D" w:rsidRPr="0022746D" w:rsidRDefault="0022746D" w:rsidP="0022746D">
      <w:pPr>
        <w:jc w:val="both"/>
      </w:pPr>
      <w:r w:rsidRPr="0022746D">
        <w:t>Dopamine supplies the global scalar that retunes this normalisation. Because striatal projection neurons divide into D1- and D2-bearing classes, a single neuromodulatory signal acts reciprocally on numerator and denominator: facilitating the gate-opening direct pathway and suppressing the braking indirect pathway together, so that a dopamine transient raises the quotient — lowering the threshold for action and, in effect, setting a global precision or temperature on selection — while a dopamine dip does the reverse. We treat the strict D1-excites/D2-inhibits dichotomy as a useful first-order description that sits on more graded machinery, with effects depending on receptor affinity, tonic versus phasic firing, and local cholinergic interaction.</w:t>
      </w:r>
    </w:p>
    <w:p w14:paraId="371B1576" w14:textId="77777777" w:rsidR="0022746D" w:rsidRPr="0022746D" w:rsidRDefault="0022746D" w:rsidP="0022746D">
      <w:pPr>
        <w:jc w:val="both"/>
        <w:rPr>
          <w:b/>
          <w:bCs/>
        </w:rPr>
      </w:pPr>
      <w:r w:rsidRPr="0022746D">
        <w:rPr>
          <w:b/>
          <w:bCs/>
        </w:rPr>
        <w:t>3.5 The gating motif and its relation to the ladder</w:t>
      </w:r>
    </w:p>
    <w:p w14:paraId="25132716" w14:textId="77777777" w:rsidR="0022746D" w:rsidRPr="0022746D" w:rsidRDefault="0022746D" w:rsidP="0022746D">
      <w:pPr>
        <w:jc w:val="both"/>
      </w:pPr>
      <w:r w:rsidRPr="0022746D">
        <w:t xml:space="preserve">The constructions of this section converge on a single motif. On sign-constrained hardware, intelligent control is dominated not by raw drive but by </w:t>
      </w:r>
      <w:r w:rsidRPr="0022746D">
        <w:rPr>
          <w:i/>
          <w:iCs/>
        </w:rPr>
        <w:t>gating</w:t>
      </w:r>
      <w:r w:rsidRPr="0022746D">
        <w:t>: the selective release of standing suppression, computing a product of drive and gain, with signed representation supplied by opponent pairs against a tonic baseline and multiplicative gain supplied by a change of coordinates or a two-pathway squaring or a divisive shunt. This motif is what allows a substrate whose only native operation is the addition of non-negative quantities to realise the signed, multiplicative computation the metric rung and above require.</w:t>
      </w:r>
    </w:p>
    <w:p w14:paraId="6ACF3AF3" w14:textId="77777777" w:rsidR="0022746D" w:rsidRPr="0022746D" w:rsidRDefault="0022746D" w:rsidP="0022746D">
      <w:pPr>
        <w:jc w:val="both"/>
      </w:pPr>
      <w:r w:rsidRPr="0022746D">
        <w:lastRenderedPageBreak/>
        <w:t xml:space="preserve">The relation to Section 2 is then as follows. The opponent-pair device supplies the </w:t>
      </w:r>
      <w:r w:rsidRPr="0022746D">
        <w:rPr>
          <w:i/>
          <w:iCs/>
        </w:rPr>
        <w:t>sign</w:t>
      </w:r>
      <w:r w:rsidRPr="0022746D">
        <w:t xml:space="preserve"> that a metric comparison or a prediction error needs; the gating motif supplies the </w:t>
      </w:r>
      <w:r w:rsidRPr="0022746D">
        <w:rPr>
          <w:i/>
          <w:iCs/>
        </w:rPr>
        <w:t>gain</w:t>
      </w:r>
      <w:r w:rsidRPr="0022746D">
        <w:t xml:space="preserve"> that precision weighting needs; and the direct/indirect architecture is the apparatus that converts a sign-constrained selection command into a multiplicative gain on a separately driven target. In the language of the ladder, drive populates the representational substrate, the opponent pair lends it sign at the metric rung, and the divisive gate weights it — the gain control that Section 5 will identify with the thalamic referral of fibres to the common base, and Section 6 with the relay-mode switching that gates the offline lift. The certification result of Section 4 may then be read against this background: the completeness the basal ganglia supply is the convergence of exactly the disinhibitory selection dynamics described here, driven to the fixed point whose existence the metric structure guarantees.</w:t>
      </w:r>
    </w:p>
    <w:p w14:paraId="4833CF02" w14:textId="77777777" w:rsidR="00A10F98" w:rsidRPr="00A10F98" w:rsidRDefault="00A10F98" w:rsidP="00725D1A">
      <w:pPr>
        <w:pStyle w:val="Heading1"/>
      </w:pPr>
      <w:r w:rsidRPr="00A10F98">
        <w:t>4. Compactness as Certifiability</w:t>
      </w:r>
    </w:p>
    <w:p w14:paraId="069969AE" w14:textId="77777777" w:rsidR="00A10F98" w:rsidRPr="00A10F98" w:rsidRDefault="00A10F98" w:rsidP="00A10F98">
      <w:pPr>
        <w:jc w:val="both"/>
      </w:pPr>
      <w:r w:rsidRPr="00A10F98">
        <w:t xml:space="preserve">This section presents the framework's central formal result. We argue that defensible action requires a compact operating manifold (§4.1); that compactness, as the conjunction of completeness and total boundedness, is supplied by two distinct neural systems whose contributions are jointly necessary (§4.2) and logically independent (§4.3); that the Arzelà–Ascoli theorem certifies a learned controller with its hypotheses partitioned across these systems (§4.4); that this yields a concrete certification budget with a coupling between its terms (§4.5); and that out-of-distribution failure is, on this account, the graded loss of compactness we term </w:t>
      </w:r>
      <w:r w:rsidRPr="00A10F98">
        <w:rPr>
          <w:i/>
          <w:iCs/>
        </w:rPr>
        <w:t>decompactification</w:t>
      </w:r>
      <w:r w:rsidRPr="00A10F98">
        <w:t xml:space="preserve"> (§4.6). We close with a capacity ceiling that the same machinery implies (§4.7).</w:t>
      </w:r>
    </w:p>
    <w:p w14:paraId="4677E58B" w14:textId="77777777" w:rsidR="00A10F98" w:rsidRPr="00A10F98" w:rsidRDefault="00A10F98" w:rsidP="00A10F98">
      <w:pPr>
        <w:jc w:val="both"/>
      </w:pPr>
      <w:r w:rsidRPr="00A10F98">
        <w:t xml:space="preserve">Throughout, by a </w:t>
      </w:r>
      <w:r w:rsidRPr="00A10F98">
        <w:rPr>
          <w:i/>
          <w:iCs/>
        </w:rPr>
        <w:t>certifiable</w:t>
      </w:r>
      <w:r w:rsidRPr="00A10F98">
        <w:t xml:space="preserve"> or </w:t>
      </w:r>
      <w:r w:rsidRPr="00A10F98">
        <w:rPr>
          <w:i/>
          <w:iCs/>
        </w:rPr>
        <w:t>defensible</w:t>
      </w:r>
      <w:r w:rsidRPr="00A10F98">
        <w:t xml:space="preserve"> action we mean one for which a finite, worst-case guarantee over the entire operating envelope can be derived from finitely many checks: a bound that exists, is finite, can be written down, and holds uniformly across the domain of operation. This is the engineering content of a professional signature, and it is the property the section characterises topologically.</w:t>
      </w:r>
    </w:p>
    <w:p w14:paraId="00ADDB38" w14:textId="77777777" w:rsidR="00A10F98" w:rsidRPr="00A10F98" w:rsidRDefault="00A10F98" w:rsidP="00A10F98">
      <w:pPr>
        <w:jc w:val="both"/>
        <w:rPr>
          <w:b/>
          <w:bCs/>
        </w:rPr>
      </w:pPr>
      <w:r w:rsidRPr="00A10F98">
        <w:rPr>
          <w:b/>
          <w:bCs/>
        </w:rPr>
        <w:t>4.1 Certifiability requires a compact manifold</w:t>
      </w:r>
    </w:p>
    <w:p w14:paraId="28BF9F07" w14:textId="77777777" w:rsidR="00A10F98" w:rsidRPr="00A10F98" w:rsidRDefault="00A10F98" w:rsidP="00A10F98">
      <w:pPr>
        <w:jc w:val="both"/>
      </w:pPr>
      <w:r w:rsidRPr="00A10F98">
        <w:t xml:space="preserve">Let the </w:t>
      </w:r>
      <w:r w:rsidRPr="00A10F98">
        <w:rPr>
          <w:i/>
          <w:iCs/>
        </w:rPr>
        <w:t>operating manifold</w:t>
      </w:r>
      <w:r w:rsidRPr="00A10F98">
        <w:t xml:space="preserve"> be the space introduced in §2.4 — the closure of the situations the organism actually occupies — and let a continuous loss function on it quantify the deviation of an action from its certified specification. We claim that the manifold must be compact for the action to be certifiable, and we give three independent grounds, each a classical consequence of compactness.</w:t>
      </w:r>
    </w:p>
    <w:p w14:paraId="5A44A569" w14:textId="77777777" w:rsidR="00A10F98" w:rsidRPr="00A10F98" w:rsidRDefault="00A10F98" w:rsidP="00A10F98">
      <w:pPr>
        <w:jc w:val="both"/>
      </w:pPr>
      <w:r w:rsidRPr="00A10F98">
        <w:t xml:space="preserve">First, by the extreme value theorem a continuous loss on a compact domain </w:t>
      </w:r>
      <w:r w:rsidRPr="00A10F98">
        <w:rPr>
          <w:i/>
          <w:iCs/>
        </w:rPr>
        <w:t>attains</w:t>
      </w:r>
      <w:r w:rsidRPr="00A10F98">
        <w:t xml:space="preserve"> its supremum, and that supremum is finite. The worst case therefore exists and is a definite, writable quantity; one can assert that the loss never exceeds a stated bound and mean it. On a non-compact domain the supremum may be unattained or infinite, and the worst-case bound cannot even be stated.</w:t>
      </w:r>
    </w:p>
    <w:p w14:paraId="168A98A2" w14:textId="77777777" w:rsidR="00A10F98" w:rsidRPr="00A10F98" w:rsidRDefault="00A10F98" w:rsidP="00A10F98">
      <w:pPr>
        <w:jc w:val="both"/>
      </w:pPr>
      <w:r w:rsidRPr="00A10F98">
        <w:t xml:space="preserve">Second, compactness is the property that </w:t>
      </w:r>
      <w:r w:rsidRPr="00A10F98">
        <w:rPr>
          <w:i/>
          <w:iCs/>
        </w:rPr>
        <w:t>finitely many checks certify an infinite domain</w:t>
      </w:r>
      <w:r w:rsidRPr="00A10F98">
        <w:t>: every open cover admits a finite subcover, so a finite set of locally verified guarantees suffices to cover the whole envelope. On a non-compact domain there is always unexamined territory beyond any finite collection of checks.</w:t>
      </w:r>
    </w:p>
    <w:p w14:paraId="5E0E34CC" w14:textId="77777777" w:rsidR="00A10F98" w:rsidRPr="00A10F98" w:rsidRDefault="00A10F98" w:rsidP="00A10F98">
      <w:pPr>
        <w:jc w:val="both"/>
      </w:pPr>
      <w:r w:rsidRPr="00A10F98">
        <w:t>Third, by the Heine–Cantor theorem a continuous function on a compact space is uniformly continuous, so a guarantee established locally extends globally under a single modulus. Without compactness a local bound need not propagate, and certification would require a separate guarantee at every point.</w:t>
      </w:r>
    </w:p>
    <w:p w14:paraId="620C6DEB" w14:textId="77777777" w:rsidR="00A10F98" w:rsidRPr="00A10F98" w:rsidRDefault="00A10F98" w:rsidP="00A10F98">
      <w:pPr>
        <w:jc w:val="both"/>
      </w:pPr>
      <w:r w:rsidRPr="00A10F98">
        <w:lastRenderedPageBreak/>
        <w:t xml:space="preserve">The near-converse holds and sharpens the claim. If total boundedness fails, the worst case may escape to infinity or go unattained, and the bound is unwritable; if completeness fails, some limiting regime is never represented in the manifold, and a gap survives every finite check. Compactness is therefore, to a first approximation, the necessary and sufficient topological condition for finite-certificate worst-case guarantees, and we take this as the precise sense in which defensibility </w:t>
      </w:r>
      <w:r w:rsidRPr="00A10F98">
        <w:rPr>
          <w:i/>
          <w:iCs/>
        </w:rPr>
        <w:t>is</w:t>
      </w:r>
      <w:r w:rsidRPr="00A10F98">
        <w:t xml:space="preserve"> compactness of the operating envelope. We note that all three grounds, and the underlying equivalence, hold in the uniform setting as well as the metric one; since completeness and total boundedness are uniform rather than topological properties (§2.1), the natural home of the result is a complete, totally bounded uniform space, with the compact metric space as its convenient realisation.</w:t>
      </w:r>
    </w:p>
    <w:p w14:paraId="11E1BB39" w14:textId="77777777" w:rsidR="00A10F98" w:rsidRPr="00A10F98" w:rsidRDefault="00A10F98" w:rsidP="00A10F98">
      <w:pPr>
        <w:jc w:val="both"/>
        <w:rPr>
          <w:b/>
          <w:bCs/>
        </w:rPr>
      </w:pPr>
      <w:r w:rsidRPr="00A10F98">
        <w:rPr>
          <w:b/>
          <w:bCs/>
        </w:rPr>
        <w:t>4.2 The two conjuncts and their neural sources</w:t>
      </w:r>
    </w:p>
    <w:p w14:paraId="1BD82DEF" w14:textId="77777777" w:rsidR="00A10F98" w:rsidRPr="00A10F98" w:rsidRDefault="00A10F98" w:rsidP="00A10F98">
      <w:pPr>
        <w:jc w:val="both"/>
      </w:pPr>
      <w:r w:rsidRPr="00A10F98">
        <w:t xml:space="preserve">In a metric space — and in a uniform space — a set is compact if and only if it is </w:t>
      </w:r>
      <w:r w:rsidRPr="00A10F98">
        <w:rPr>
          <w:i/>
          <w:iCs/>
        </w:rPr>
        <w:t>complete</w:t>
      </w:r>
      <w:r w:rsidRPr="00A10F98">
        <w:t xml:space="preserve"> and </w:t>
      </w:r>
      <w:r w:rsidRPr="00A10F98">
        <w:rPr>
          <w:i/>
          <w:iCs/>
        </w:rPr>
        <w:t>totally bounded</w:t>
      </w:r>
      <w:r w:rsidRPr="00A10F98">
        <w:t>. The framework assigns the two conjuncts to two neural systems.</w:t>
      </w:r>
    </w:p>
    <w:p w14:paraId="4F66F474" w14:textId="77777777" w:rsidR="00A10F98" w:rsidRPr="00A10F98" w:rsidRDefault="00A10F98" w:rsidP="00A10F98">
      <w:pPr>
        <w:jc w:val="both"/>
      </w:pPr>
      <w:r w:rsidRPr="00A10F98">
        <w:rPr>
          <w:b/>
          <w:bCs/>
        </w:rPr>
        <w:t>Total boundedness — the cerebellum.</w:t>
      </w:r>
      <w:r w:rsidRPr="00A10F98">
        <w:t xml:space="preserve"> Total boundedness is the property that the manifold can be covered by finitely many sets each small in the sense of the uniform structure: a finite ε-net. This is precisely the cerebellar operation of §2.3 — the tiling of the operating envelope by a finite, uniformly calibrated basis of local models. The granular expansion supplies the finite cover, and the uniform microarchitecture guarantees that "small" means the same thing across the manifold. The cerebellum thus supplies total boundedness directly, on the uniform rung where the property natively lives.</w:t>
      </w:r>
    </w:p>
    <w:p w14:paraId="3BBCDCAF" w14:textId="77777777" w:rsidR="00A10F98" w:rsidRPr="00A10F98" w:rsidRDefault="00A10F98" w:rsidP="00A10F98">
      <w:pPr>
        <w:jc w:val="both"/>
      </w:pPr>
      <w:r w:rsidRPr="00A10F98">
        <w:rPr>
          <w:b/>
          <w:bCs/>
        </w:rPr>
        <w:t>Completeness — the basal ganglia.</w:t>
      </w:r>
      <w:r w:rsidRPr="00A10F98">
        <w:t xml:space="preserve"> Completeness enters at two levels, which we distinguish to locate the framework's load-bearing assumption. At the level of </w:t>
      </w:r>
      <w:r w:rsidRPr="00A10F98">
        <w:rPr>
          <w:i/>
          <w:iCs/>
        </w:rPr>
        <w:t>value</w:t>
      </w:r>
      <w:r w:rsidRPr="00A10F98">
        <w:t xml:space="preserve">, the optimality operator of reinforcement learning is a contraction with modulus equal to the discount factor; by the Banach fixed-point theorem its iteration converges to a unique optimum, and the theorem requires the space of value functions to be complete — a property that space possesses automatically as a Banach space. This level is unproblematic. At the level of the </w:t>
      </w:r>
      <w:r w:rsidRPr="00A10F98">
        <w:rPr>
          <w:i/>
          <w:iCs/>
        </w:rPr>
        <w:t>operating manifold</w:t>
      </w:r>
      <w:r w:rsidRPr="00A10F98">
        <w:t xml:space="preserve">, the substantive claim is that the policy driven to this fixed point induces a closed, gap-free reachable set. The basal-ganglia contraction yields not merely a fixed point but an </w:t>
      </w:r>
      <w:r w:rsidRPr="00A10F98">
        <w:rPr>
          <w:i/>
          <w:iCs/>
        </w:rPr>
        <w:t>attracting</w:t>
      </w:r>
      <w:r w:rsidRPr="00A10F98">
        <w:t xml:space="preserve"> one; the closure of the on-policy reachable set under a stabilising policy is then a closed, invariant set, and a closed subset of the ambient space is complete. The word </w:t>
      </w:r>
      <w:r w:rsidRPr="00A10F98">
        <w:rPr>
          <w:i/>
          <w:iCs/>
        </w:rPr>
        <w:t>attracting</w:t>
      </w:r>
      <w:r w:rsidRPr="00A10F98">
        <w:t xml:space="preserve"> carries the inference: it is the attraction, not the mere existence of a fixed point, that closes the manifold. We flag this as the framework's principal load-bearing assumption and as a falsifiable joint — if learning has not converged or the policy has not stabilised, the reachable set is not closed, the manifold is not complete, and the system is, at that moment, formally uncertifiable.</w:t>
      </w:r>
    </w:p>
    <w:p w14:paraId="576AF78B" w14:textId="77777777" w:rsidR="00A10F98" w:rsidRPr="00A10F98" w:rsidRDefault="00A10F98" w:rsidP="00A10F98">
      <w:pPr>
        <w:jc w:val="both"/>
      </w:pPr>
      <w:r w:rsidRPr="00A10F98">
        <w:t xml:space="preserve">Both conjuncts thus live on the </w:t>
      </w:r>
      <w:r w:rsidRPr="00A10F98">
        <w:rPr>
          <w:i/>
          <w:iCs/>
        </w:rPr>
        <w:t>same</w:t>
      </w:r>
      <w:r w:rsidRPr="00A10F98">
        <w:t xml:space="preserve"> manifold: the cerebellum tiles it and the basal ganglia close it. Neither alone yields compactness, and the clinical dissociation of §4.3 confirms that the two contributions are separable. This is the precise sense in which certifiable action requires the joint, non-redundant operation of the two systems.</w:t>
      </w:r>
    </w:p>
    <w:p w14:paraId="3DA784C2" w14:textId="77777777" w:rsidR="00A10F98" w:rsidRPr="00A10F98" w:rsidRDefault="00A10F98" w:rsidP="00A10F98">
      <w:pPr>
        <w:jc w:val="both"/>
        <w:rPr>
          <w:b/>
          <w:bCs/>
        </w:rPr>
      </w:pPr>
      <w:r w:rsidRPr="00A10F98">
        <w:rPr>
          <w:b/>
          <w:bCs/>
        </w:rPr>
        <w:t>4.3 Logical independence of the conjuncts</w:t>
      </w:r>
    </w:p>
    <w:p w14:paraId="5E9CEA94" w14:textId="77777777" w:rsidR="00A10F98" w:rsidRPr="00A10F98" w:rsidRDefault="00A10F98" w:rsidP="00A10F98">
      <w:pPr>
        <w:jc w:val="both"/>
      </w:pPr>
      <w:r w:rsidRPr="00A10F98">
        <w:t xml:space="preserve">That the two contributions are non-redundant is not an empirical observation but a theorem: completeness and total boundedness are </w:t>
      </w:r>
      <w:r w:rsidRPr="00A10F98">
        <w:rPr>
          <w:i/>
          <w:iCs/>
        </w:rPr>
        <w:t>logically independent</w:t>
      </w:r>
      <w:r w:rsidRPr="00A10F98">
        <w:t>, neither implying the other, and each independence is witnessed by a standard example. The real line is complete but not totally bounded — no gaps, but unbounded and uncoverable by a finite net. The rationals in the unit interval are totally bounded but not complete — neatly bounded, yet riddled with the gaps where irrational limits should lie. The closed unit interval has both and is compact. The framework's claim that the basal ganglia and cerebellum are non-redundant is therefore the literal logical independence of the two properties they respectively supply, each established by a counterexample rather than asserted.</w:t>
      </w:r>
    </w:p>
    <w:p w14:paraId="44E02361" w14:textId="77777777" w:rsidR="00A10F98" w:rsidRPr="00A10F98" w:rsidRDefault="00A10F98" w:rsidP="00A10F98">
      <w:pPr>
        <w:jc w:val="both"/>
      </w:pPr>
      <w:r w:rsidRPr="00A10F98">
        <w:lastRenderedPageBreak/>
        <w:t>Each witness has a computational and clinical image, and the images match the framework's predicted pathologies. The complete-but-unbounded case is a stable, convergent policy operating over an un-tiled domain: the value iteration settles, but the worst case escapes the finite net — confident, well-selected action in uncertified territory, the signature of an undefensible output and, clinically, of cerebellar deficit, in which actions are selected and initiated but executed without certifiable precision (dysmetria). The totally-bounded-but-incomplete case is a fine basis over the whole domain with no convergent commitment: local structure is well-formed but the dynamics never settle, an intact substrate that is never gated into a stable action, the signature of a selection failure. The logical independence of the conjuncts and the clinical separability of the two deficits are, on this reading, the same fact.</w:t>
      </w:r>
    </w:p>
    <w:p w14:paraId="65BA247E" w14:textId="77777777" w:rsidR="00A10F98" w:rsidRPr="00A10F98" w:rsidRDefault="00A10F98" w:rsidP="00A10F98">
      <w:pPr>
        <w:jc w:val="both"/>
        <w:rPr>
          <w:b/>
          <w:bCs/>
        </w:rPr>
      </w:pPr>
      <w:r w:rsidRPr="00A10F98">
        <w:rPr>
          <w:b/>
          <w:bCs/>
        </w:rPr>
        <w:t>4.4 Arzelà–Ascoli certification of the learned controller</w:t>
      </w:r>
    </w:p>
    <w:p w14:paraId="3116D0F6" w14:textId="77777777" w:rsidR="00A10F98" w:rsidRPr="00A10F98" w:rsidRDefault="00A10F98" w:rsidP="00A10F98">
      <w:pPr>
        <w:jc w:val="both"/>
      </w:pPr>
      <w:r w:rsidRPr="00A10F98">
        <w:t xml:space="preserve">Compactness of the manifold certifies the </w:t>
      </w:r>
      <w:r w:rsidRPr="00A10F98">
        <w:rPr>
          <w:i/>
          <w:iCs/>
        </w:rPr>
        <w:t>domain</w:t>
      </w:r>
      <w:r w:rsidRPr="00A10F98">
        <w:t xml:space="preserve">; certifying the </w:t>
      </w:r>
      <w:r w:rsidRPr="00A10F98">
        <w:rPr>
          <w:i/>
          <w:iCs/>
        </w:rPr>
        <w:t>controller</w:t>
      </w:r>
      <w:r w:rsidRPr="00A10F98">
        <w:t xml:space="preserve"> — the function the system computes on that domain — requires the Arzelà–Ascoli theorem, which states that a family of continuous functions on a compact space is relatively compact if and only if it is uniformly bounded and equicontinuous. Its three hypotheses partition cleanly across the systems already in play.</w:t>
      </w:r>
    </w:p>
    <w:p w14:paraId="535B4961" w14:textId="77777777" w:rsidR="00A10F98" w:rsidRPr="00A10F98" w:rsidRDefault="00A10F98" w:rsidP="00A10F98">
      <w:pPr>
        <w:jc w:val="both"/>
      </w:pPr>
      <w:r w:rsidRPr="00A10F98">
        <w:t xml:space="preserve">The </w:t>
      </w:r>
      <w:r w:rsidRPr="00A10F98">
        <w:rPr>
          <w:i/>
          <w:iCs/>
        </w:rPr>
        <w:t>compact domain</w:t>
      </w:r>
      <w:r w:rsidRPr="00A10F98">
        <w:t xml:space="preserve"> is supplied jointly by the cerebellum (total boundedness) and basal ganglia (completeness), as in §4.2. </w:t>
      </w:r>
      <w:r w:rsidRPr="00A10F98">
        <w:rPr>
          <w:i/>
          <w:iCs/>
        </w:rPr>
        <w:t>Uniform boundedness</w:t>
      </w:r>
      <w:r w:rsidRPr="00A10F98">
        <w:t xml:space="preserve"> follows from the bounded value functions of the reinforcement system — a discount factor below unity and bounded reward bound the values — and is thus a basal-ganglia contribution. </w:t>
      </w:r>
      <w:r w:rsidRPr="00A10F98">
        <w:rPr>
          <w:i/>
          <w:iCs/>
        </w:rPr>
        <w:t>Equicontinuity</w:t>
      </w:r>
      <w:r w:rsidRPr="00A10F98">
        <w:t xml:space="preserve"> is supplied by the cerebellar forward model, and here a clarification is essential. Equicontinuity is a property of a </w:t>
      </w:r>
      <w:r w:rsidRPr="00A10F98">
        <w:rPr>
          <w:i/>
          <w:iCs/>
        </w:rPr>
        <w:t>family</w:t>
      </w:r>
      <w:r w:rsidRPr="00A10F98">
        <w:t>, not of a single function; a single continuous function on a compact domain is already uniformly continuous by Heine–Cantor, so for the theorem to do non-trivial work the relevant family must be specified. We take it to be the family of controllers indexed by the progress of learning and by the resolution of the cerebellar net — the trajectory of controllers the system actually realises. Equicontinuity of this family is the requirement that the realised controllers do not develop unboundedly steep dependence as learning proceeds or resolution refines, and it is exactly this that the cerebellar forward model supplies: a smoothing, regularising influence that raw value iteration — which admits discontinuous, bang-bang optima — lacks. Arzelà–Ascoli thus not merely permits the neural decomposition but predicts a cerebellar role, the provision of equicontinuity, that the basal ganglia structurally cannot fill. Where the equicontinuity must carry a quantitative modulus rather than mere existence — a Lipschitz rate — the appropriate refinement of the manifold is a compact length metric space, in which distance is path-length and a Lipschitz forward model is well defined.</w:t>
      </w:r>
    </w:p>
    <w:p w14:paraId="701AEA2C" w14:textId="77777777" w:rsidR="00A10F98" w:rsidRPr="00A10F98" w:rsidRDefault="00A10F98" w:rsidP="00A10F98">
      <w:pPr>
        <w:jc w:val="both"/>
        <w:rPr>
          <w:b/>
          <w:bCs/>
        </w:rPr>
      </w:pPr>
      <w:r w:rsidRPr="00A10F98">
        <w:rPr>
          <w:b/>
          <w:bCs/>
        </w:rPr>
        <w:t>4.5 The certification budget</w:t>
      </w:r>
    </w:p>
    <w:p w14:paraId="53969551" w14:textId="77777777" w:rsidR="00A10F98" w:rsidRPr="00A10F98" w:rsidRDefault="00A10F98" w:rsidP="00A10F98">
      <w:pPr>
        <w:jc w:val="both"/>
      </w:pPr>
      <w:r w:rsidRPr="00A10F98">
        <w:t>The two conjuncts carry computable certificates, and the certificates compose into a standard error decomposition, exhibiting the framework's quantitative content.</w:t>
      </w:r>
    </w:p>
    <w:p w14:paraId="52EB1DAA" w14:textId="77777777" w:rsidR="00A10F98" w:rsidRPr="00A10F98" w:rsidRDefault="00A10F98" w:rsidP="00A10F98">
      <w:pPr>
        <w:jc w:val="both"/>
      </w:pPr>
      <w:r w:rsidRPr="00A10F98">
        <w:t>The completeness certificate is the contraction modulus, the discount factor: convergence to the fixed point is geometric at this rate, so the optimisation error after a given number of iterations is controlled by the modulus and the iteration count. Tonic dopamine, read as the discount or temperature of the system (§3.4), sets this certificate. The total-boundedness certificate is the covering number — the count of ε-balls required to tile the manifold to resolution ε, which is the realised size of the cerebellar basis. By the classical relation between covering number and generalisation, the number of samples required to certify performance to resolution ε scales with the logarithm of the covering number, so the cerebellar basis size and the number of test cases required to sign off on the behaviour are bound to the same quantity.</w:t>
      </w:r>
    </w:p>
    <w:p w14:paraId="20DDE969" w14:textId="77777777" w:rsidR="00A10F98" w:rsidRPr="00A10F98" w:rsidRDefault="00A10F98" w:rsidP="00A10F98">
      <w:pPr>
        <w:jc w:val="both"/>
      </w:pPr>
      <w:r w:rsidRPr="00A10F98">
        <w:lastRenderedPageBreak/>
        <w:t>These compose into the optimisation–approximation–estimation triad familiar from statistical learning: the certified error is bounded by an optimisation term governed by the contraction modulus and iteration count, an approximation term governed by the covering number, and an estimation term governed by the covering number and the sample count. The basal ganglia own the optimisation term through the discount factor; the cerebellum owns the approximation term through the covering number; and the estimation term is bound to the cerebellar term through the same covering number. The decomposition turns "professional signability" into an explicit budget of contraction modulus, covering number, and sample count.</w:t>
      </w:r>
    </w:p>
    <w:p w14:paraId="7C503523" w14:textId="77777777" w:rsidR="00A10F98" w:rsidRPr="00A10F98" w:rsidRDefault="00A10F98" w:rsidP="00A10F98">
      <w:pPr>
        <w:jc w:val="both"/>
      </w:pPr>
      <w:r w:rsidRPr="00A10F98">
        <w:t xml:space="preserve">The terms are coupled, which is the framework's strongest quantitative claim and resolves the apparent tension between the orthogonality of §4.3 and the joint operation of §4.2. As the discount factor approaches unity — as the behavioural horizon lengthens — the Lipschitz constant of the value function grows in proportion to the inverse of the distance of the modulus from unity, and certifying a fixed resolution on a function of given Lipschitz constant requires a covering number that grows as a power of that constant. The basal-ganglia modulus therefore </w:t>
      </w:r>
      <w:r w:rsidRPr="00A10F98">
        <w:rPr>
          <w:i/>
          <w:iCs/>
        </w:rPr>
        <w:t>sets</w:t>
      </w:r>
      <w:r w:rsidRPr="00A10F98">
        <w:t xml:space="preserve"> the cerebellar basis demand: longer-horizon planning requires a finer cerebellar net to maintain a fixed certified resolution. The two systems are thus orthogonal in the </w:t>
      </w:r>
      <w:r w:rsidRPr="00A10F98">
        <w:rPr>
          <w:i/>
          <w:iCs/>
        </w:rPr>
        <w:t>property</w:t>
      </w:r>
      <w:r w:rsidRPr="00A10F98">
        <w:t xml:space="preserve"> each supplies — completeness and total boundedness are logically independent — yet coupled in the </w:t>
      </w:r>
      <w:r w:rsidRPr="00A10F98">
        <w:rPr>
          <w:i/>
          <w:iCs/>
        </w:rPr>
        <w:t>budget</w:t>
      </w:r>
      <w:r w:rsidRPr="00A10F98">
        <w:t>, the horizon set by one determining the basis size required of the other.</w:t>
      </w:r>
    </w:p>
    <w:p w14:paraId="2C13714F" w14:textId="77777777" w:rsidR="00A10F98" w:rsidRPr="00A10F98" w:rsidRDefault="00A10F98" w:rsidP="00A10F98">
      <w:pPr>
        <w:jc w:val="both"/>
        <w:rPr>
          <w:b/>
          <w:bCs/>
        </w:rPr>
      </w:pPr>
      <w:r w:rsidRPr="00A10F98">
        <w:rPr>
          <w:b/>
          <w:bCs/>
        </w:rPr>
        <w:t>4.6 Decompactification and out-of-distribution failure</w:t>
      </w:r>
    </w:p>
    <w:p w14:paraId="00EEA544" w14:textId="77777777" w:rsidR="00A10F98" w:rsidRPr="00A10F98" w:rsidRDefault="00A10F98" w:rsidP="00A10F98">
      <w:pPr>
        <w:jc w:val="both"/>
      </w:pPr>
      <w:r w:rsidRPr="00A10F98">
        <w:t xml:space="preserve">The account reinterprets the most consequential failure mode of learned controllers. An out-of-distribution input — one unlike the trained envelope — is, on this framework, a point at which the cerebellar cover lapses: the finite ε-net no longer covers the region the system has entered, the manifold ceases to be totally bounded there, compactness is lost, and the certificate that held inside the trained envelope no longer applies. Out-of-distribution failure is therefore not an anomaly external to the theory but its predicted signature; we term it </w:t>
      </w:r>
      <w:r w:rsidRPr="00A10F98">
        <w:rPr>
          <w:i/>
          <w:iCs/>
        </w:rPr>
        <w:t>decompactification</w:t>
      </w:r>
      <w:r w:rsidRPr="00A10F98">
        <w:t>. The framework's central claim and its central failure mode are the same statement read in two directions: certifiability is compactness of the operating envelope, and every uncertifiable output is a local decompactification of it.</w:t>
      </w:r>
    </w:p>
    <w:p w14:paraId="5E46D2B4" w14:textId="77777777" w:rsidR="00A10F98" w:rsidRPr="00A10F98" w:rsidRDefault="00A10F98" w:rsidP="00A10F98">
      <w:pPr>
        <w:jc w:val="both"/>
      </w:pPr>
      <w:r w:rsidRPr="00A10F98">
        <w:t xml:space="preserve">This reinterpretation makes a prediction that distinguishes it from a naive in-distribution/out-of-distribution binary. Because total boundedness is lost </w:t>
      </w:r>
      <w:r w:rsidRPr="00A10F98">
        <w:rPr>
          <w:i/>
          <w:iCs/>
        </w:rPr>
        <w:t>gradually</w:t>
      </w:r>
      <w:r w:rsidRPr="00A10F98">
        <w:t xml:space="preserve"> as the cover thins, the certificate should degrade </w:t>
      </w:r>
      <w:r w:rsidRPr="00A10F98">
        <w:rPr>
          <w:i/>
          <w:iCs/>
        </w:rPr>
        <w:t>gradually and measurably</w:t>
      </w:r>
      <w:r w:rsidRPr="00A10F98">
        <w:t xml:space="preserve"> rather than collapsing at a hard boundary: the certified worst-case bound should inflate in proportion to the local covering deficit, and should do so </w:t>
      </w:r>
      <w:r w:rsidRPr="00A10F98">
        <w:rPr>
          <w:i/>
          <w:iCs/>
        </w:rPr>
        <w:t>before</w:t>
      </w:r>
      <w:r w:rsidRPr="00A10F98">
        <w:t xml:space="preserve"> behaviour visibly fails. A graded, predictable erosion of the certificate, trackable in advance of overt failure, is what the topology predicts; an all-or-nothing collapse at a sharp boundary would indicate that the compactness account is wrong. The prediction is therefore falsifiable, and it converts the qualitative notion of "leaving the training distribution" into the quantitative notion of a measurable loss of total boundedness.</w:t>
      </w:r>
    </w:p>
    <w:p w14:paraId="5E0E3BA6" w14:textId="77777777" w:rsidR="00A10F98" w:rsidRPr="00A10F98" w:rsidRDefault="00A10F98" w:rsidP="00A10F98">
      <w:pPr>
        <w:jc w:val="both"/>
        <w:rPr>
          <w:b/>
          <w:bCs/>
        </w:rPr>
      </w:pPr>
      <w:r w:rsidRPr="00A10F98">
        <w:rPr>
          <w:b/>
          <w:bCs/>
        </w:rPr>
        <w:t>4.7 A capacity ceiling</w:t>
      </w:r>
    </w:p>
    <w:p w14:paraId="63134910" w14:textId="77777777" w:rsidR="00A10F98" w:rsidRPr="00A10F98" w:rsidRDefault="00A10F98" w:rsidP="00A10F98">
      <w:pPr>
        <w:jc w:val="both"/>
      </w:pPr>
      <w:r w:rsidRPr="00A10F98">
        <w:t xml:space="preserve">Finally, the same machinery implies a ceiling on what a fixed system can certify, independent of training time or data. The covering number that governs the approximation and estimation terms is tied to the metric entropy and the fat-shattering dimension of the controller class, which bound the behavioural complexity representable at a given certified resolution. For a fixed cerebellar basis — a fixed covering capacity — there is therefore a maximum behavioural complexity that can be certified to a given resolution, a ceiling that no amount of further learning can raise. This is the strongest assurance a certification framework can offer, and the one most pertinent to a liability setting: not the claim that a </w:t>
      </w:r>
      <w:r w:rsidRPr="00A10F98">
        <w:lastRenderedPageBreak/>
        <w:t>system works, but the bound on the most that can be signed for given the substrate. The architecture thus yields not only a budget for certified action but a hard ceiling on certifiable complexity, set by the size of the cerebellar net and reachable only when the basal-ganglia contraction has closed the manifold on which the net is laid.</w:t>
      </w:r>
    </w:p>
    <w:p w14:paraId="75E6CB04" w14:textId="77777777" w:rsidR="00A10F98" w:rsidRPr="00A10F98" w:rsidRDefault="00A10F98" w:rsidP="00A10F98">
      <w:pPr>
        <w:jc w:val="both"/>
      </w:pPr>
      <w:r w:rsidRPr="00A10F98">
        <w:t xml:space="preserve">We note in closing the bearing of this result on the rung structure of Section 2. The neocortical inner-product representation, where it must support stable convergent decompositions onto a fixed basis, requires a </w:t>
      </w:r>
      <w:r w:rsidRPr="00A10F98">
        <w:rPr>
          <w:i/>
          <w:iCs/>
        </w:rPr>
        <w:t>complete</w:t>
      </w:r>
      <w:r w:rsidRPr="00A10F98">
        <w:t xml:space="preserve"> inner-product space — a Hilbert space — and the completeness it requires is supplied not intrinsically but through its loop with the basal ganglia, the same completeness that closes the operating manifold here. The cortex supplies the orthogonal structure and the basal ganglia the completeness; only together do they constitute the complete inner-product space in which certifiable high-rung representation lives. The certification result and the ladder thus meet at this point: the top rung attains its full structure only by borrowing the completeness that the metric rung supplies.</w:t>
      </w:r>
    </w:p>
    <w:p w14:paraId="36559703" w14:textId="77777777" w:rsidR="0086144F" w:rsidRPr="0086144F" w:rsidRDefault="0086144F" w:rsidP="00725D1A">
      <w:pPr>
        <w:pStyle w:val="Heading1"/>
      </w:pPr>
      <w:r w:rsidRPr="0086144F">
        <w:t>5. The Sheaf of Binding and the Cohomology of Coherence</w:t>
      </w:r>
    </w:p>
    <w:p w14:paraId="0C8F277C" w14:textId="77777777" w:rsidR="0086144F" w:rsidRPr="0086144F" w:rsidRDefault="0086144F" w:rsidP="0086144F">
      <w:pPr>
        <w:jc w:val="both"/>
      </w:pPr>
      <w:r w:rsidRPr="0086144F">
        <w:t>Sections 2 through 4 established that distinct neural systems compute at distinct rungs of the enrichment ladder and that two of them jointly certify action on a shared manifold. This section addresses the question those results leave open: if the regions compute in heterogeneous structures, what makes their computations cohere into a single mind acting on a single world? We argue that the appropriate formal object is a sheaf over a projection, that the thalamus is that projection, that the obstruction to assembling local computations into a global one is a cohomological gluing obstruction, and that the global object which exists when the obstruction vanishes furnishes a structural account of unified awareness. We develop the formal object (§5.1–5.2), the asymmetry of commensuration it induces (§5.3), the cohomology of binding (§5.4), its identification with cognitive fragmentation (§5.5) and with the witness (§5.6), and the engineering rule and architectural critique that follow (§5.7).</w:t>
      </w:r>
    </w:p>
    <w:p w14:paraId="6AEA67E8" w14:textId="77777777" w:rsidR="0086144F" w:rsidRPr="0086144F" w:rsidRDefault="0086144F" w:rsidP="0086144F">
      <w:pPr>
        <w:jc w:val="both"/>
        <w:rPr>
          <w:b/>
          <w:bCs/>
        </w:rPr>
      </w:pPr>
      <w:r w:rsidRPr="0086144F">
        <w:rPr>
          <w:b/>
          <w:bCs/>
        </w:rPr>
        <w:t>5.1 The binding problem as a problem of gluing</w:t>
      </w:r>
    </w:p>
    <w:p w14:paraId="3DA12166" w14:textId="77777777" w:rsidR="0086144F" w:rsidRPr="0086144F" w:rsidRDefault="0086144F" w:rsidP="0086144F">
      <w:pPr>
        <w:jc w:val="both"/>
      </w:pPr>
      <w:r w:rsidRPr="0086144F">
        <w:t xml:space="preserve">Each region produces a </w:t>
      </w:r>
      <w:r w:rsidRPr="0086144F">
        <w:rPr>
          <w:i/>
          <w:iCs/>
        </w:rPr>
        <w:t>local</w:t>
      </w:r>
      <w:r w:rsidRPr="0086144F">
        <w:t xml:space="preserve"> computation, valid on its own domain and expressed in its own rung's structure: the amygdala a topological verdict, the cerebellum a uniform bound, the basal ganglia a metric value, the hippocampus a normed vector, the cortex an inner-product judgment. For these to constitute one experience of one situation, the local computations must agree where their domains overlap — the topological alarm and the inner-product judgment, where both bear on the same circumstance, must be relatable rather than contradictory. The classical binding problem is precisely the question of how locally computed features become a single coherent percept, and we recast it as the mathematical question of whether local data on overlapping domains can be assembled into a consistent global datum. That question is the defining concern of sheaf theory, and the obstruction to a positive answer is measured by cohomology.</w:t>
      </w:r>
    </w:p>
    <w:p w14:paraId="698B121B" w14:textId="77777777" w:rsidR="0086144F" w:rsidRPr="0086144F" w:rsidRDefault="0086144F" w:rsidP="0086144F">
      <w:pPr>
        <w:jc w:val="both"/>
        <w:rPr>
          <w:b/>
          <w:bCs/>
        </w:rPr>
      </w:pPr>
      <w:r w:rsidRPr="0086144F">
        <w:rPr>
          <w:b/>
          <w:bCs/>
        </w:rPr>
        <w:t>5.2 From fibre bundle to sheaf: the thalamus as projection</w:t>
      </w:r>
    </w:p>
    <w:p w14:paraId="17427DA9" w14:textId="77777777" w:rsidR="0086144F" w:rsidRPr="0086144F" w:rsidRDefault="0086144F" w:rsidP="0086144F">
      <w:pPr>
        <w:jc w:val="both"/>
      </w:pPr>
      <w:r w:rsidRPr="0086144F">
        <w:t xml:space="preserve">The natural first model is a fibre bundle: a base space carrying additional structure attached over each of its points. We correct the obvious but mistaken identification of the base with the thalamus </w:t>
      </w:r>
      <w:r w:rsidRPr="0086144F">
        <w:rPr>
          <w:i/>
          <w:iCs/>
        </w:rPr>
        <w:t>as an organ</w:t>
      </w:r>
      <w:r w:rsidRPr="0086144F">
        <w:t xml:space="preserve">. The base is the shared operating manifold of §2.4 — the common situation to which all regions must refer — and what must remain invariant for coherence is not an anatomical structure but this manifold. The region-specific structures are </w:t>
      </w:r>
      <w:r w:rsidRPr="0086144F">
        <w:rPr>
          <w:i/>
          <w:iCs/>
        </w:rPr>
        <w:t>attached over</w:t>
      </w:r>
      <w:r w:rsidRPr="0086144F">
        <w:t xml:space="preserve"> the manifold: a uniform structure from the </w:t>
      </w:r>
      <w:r w:rsidRPr="0086144F">
        <w:lastRenderedPageBreak/>
        <w:t xml:space="preserve">cerebellum, a metric from the basal ganglia, a norm from the hippocampus, an inner product from the cortex, a topological verdict from the amygdala. The thalamus is then not the base but the </w:t>
      </w:r>
      <w:r w:rsidRPr="0086144F">
        <w:rPr>
          <w:i/>
          <w:iCs/>
        </w:rPr>
        <w:t>projection</w:t>
      </w:r>
      <w:r w:rsidRPr="0086144F">
        <w:t xml:space="preserve"> — the structured relay that refers each attached structure back to the common base point, so that the heterogeneous local computations are guaranteed to concern the same situation. This identification accords with the thalamus's physiology as an active relay and gate rather than a storage substrate, and it gives the thalamus an operation — the maintenance of a well-defined projection — rather than a passive role.</w:t>
      </w:r>
    </w:p>
    <w:p w14:paraId="6CDB8CCA" w14:textId="77777777" w:rsidR="0086144F" w:rsidRPr="0086144F" w:rsidRDefault="0086144F" w:rsidP="0086144F">
      <w:pPr>
        <w:jc w:val="both"/>
      </w:pPr>
      <w:r w:rsidRPr="0086144F">
        <w:t xml:space="preserve">A genuine fibre bundle, however, requires the fibre to be the same space over every base point. Here the attached structures </w:t>
      </w:r>
      <w:r w:rsidRPr="0086144F">
        <w:rPr>
          <w:i/>
          <w:iCs/>
        </w:rPr>
        <w:t>differ</w:t>
      </w:r>
      <w:r w:rsidRPr="0086144F">
        <w:t xml:space="preserve"> across regions — an inner-product fibre over cortical domains, a uniform fibre over cerebellar ones — so the object is not a fibre bundle in the strict sense. The correct object is a </w:t>
      </w:r>
      <w:r w:rsidRPr="0086144F">
        <w:rPr>
          <w:i/>
          <w:iCs/>
        </w:rPr>
        <w:t>sheaf</w:t>
      </w:r>
      <w:r w:rsidRPr="0086144F">
        <w:t>: an assignment of local structure to the open sets of the base, equipped with restriction maps that relate the structure on a larger set to that on a smaller one, subject to the gluing axiom that local sections agreeing on overlaps determine a unique global section. The thalamic projection, on this reading, is the apparatus that enforces the sheaf's gluing condition — that ensures the local computations are related by valid restriction maps on their overlaps and can therefore be assembled. We will speak throughout of the sheaf of binding over the thalamic projection, with the strict fibre-bundle picture as the special, locally trivial case it is not in general.</w:t>
      </w:r>
    </w:p>
    <w:p w14:paraId="3DB51DC4" w14:textId="77777777" w:rsidR="0086144F" w:rsidRPr="0086144F" w:rsidRDefault="0086144F" w:rsidP="0086144F">
      <w:pPr>
        <w:jc w:val="both"/>
        <w:rPr>
          <w:b/>
          <w:bCs/>
        </w:rPr>
      </w:pPr>
      <w:r w:rsidRPr="0086144F">
        <w:rPr>
          <w:b/>
          <w:bCs/>
        </w:rPr>
        <w:t>5.3 The asymmetry of commensuration</w:t>
      </w:r>
    </w:p>
    <w:p w14:paraId="6843AFC2" w14:textId="77777777" w:rsidR="0086144F" w:rsidRPr="0086144F" w:rsidRDefault="0086144F" w:rsidP="0086144F">
      <w:pPr>
        <w:jc w:val="both"/>
      </w:pPr>
      <w:r w:rsidRPr="0086144F">
        <w:t xml:space="preserve">The nesting of the ladder (§2.1) and the projection/lift asymmetry (§2.5) give the sheaf a directional character that is biologically consequential. Projecting a higher-rung section down to a lower-rung one is canonical and free: the restriction and forgetful maps that carry an inner-product judgment to the distance it entails, or a distance to the bare nearness it entails, always exist and require only the discarding of structure. Lifting a lower-rung section up to a higher-rung one is neither canonical nor free: supplying the missing structure — an origin to a metric, an angle to a norm — must be computed, at a cost in time. The thalamic projection therefore commensurates </w:t>
      </w:r>
      <w:r w:rsidRPr="0086144F">
        <w:rPr>
          <w:i/>
          <w:iCs/>
        </w:rPr>
        <w:t>downward</w:t>
      </w:r>
      <w:r w:rsidRPr="0086144F">
        <w:t xml:space="preserve"> instantly and </w:t>
      </w:r>
      <w:r w:rsidRPr="0086144F">
        <w:rPr>
          <w:i/>
          <w:iCs/>
        </w:rPr>
        <w:t>upward</w:t>
      </w:r>
      <w:r w:rsidRPr="0086144F">
        <w:t xml:space="preserve"> only with work.</w:t>
      </w:r>
    </w:p>
    <w:p w14:paraId="07BA913A" w14:textId="77777777" w:rsidR="0086144F" w:rsidRPr="0086144F" w:rsidRDefault="0086144F" w:rsidP="0086144F">
      <w:pPr>
        <w:jc w:val="both"/>
      </w:pPr>
      <w:r w:rsidRPr="0086144F">
        <w:t>This asymmetry predicts a familiar asymmetry of mind. A low-rung verdict — a topological fear alarm — can be referred downward to every system at once and drive behaviour immediately, because downward commensuration is free; but integrating that alarm upward into measured assessment and abstract concept is slow and conditional, because upward commensuration must construct the structure the alarm lacks. Fear can thus capture cognition faster than cognition can regulate fear, not as a contingent fact of wiring but as a consequence of the direction in which commensuration is cheap. The same asymmetry underwrites the dependency ordering of the lifts in Section 6.</w:t>
      </w:r>
    </w:p>
    <w:p w14:paraId="1B621931" w14:textId="77777777" w:rsidR="0086144F" w:rsidRPr="0086144F" w:rsidRDefault="0086144F" w:rsidP="0086144F">
      <w:pPr>
        <w:jc w:val="both"/>
        <w:rPr>
          <w:b/>
          <w:bCs/>
        </w:rPr>
      </w:pPr>
      <w:r w:rsidRPr="0086144F">
        <w:rPr>
          <w:b/>
          <w:bCs/>
        </w:rPr>
        <w:t>5.4 The cohomology of binding</w:t>
      </w:r>
    </w:p>
    <w:p w14:paraId="1D6D2C58" w14:textId="77777777" w:rsidR="0086144F" w:rsidRPr="0086144F" w:rsidRDefault="0086144F" w:rsidP="0086144F">
      <w:pPr>
        <w:jc w:val="both"/>
      </w:pPr>
      <w:r w:rsidRPr="0086144F">
        <w:t xml:space="preserve">We now make the obstruction precise. Cover the base manifold by open sets, and let each carry the local computation of the region dominant on it; these are the local sections of the sheaf. On each pairwise overlap, the two local sections must be related by a comparison map — the commensuration that refers one region's structure to the other's. These comparison maps constitute a one-dimensional cochain. Coherence requires that the comparison maps be mutually consistent on triple overlaps — that commensurating from the first region to the second and thence to the third agree with commensurating from the first to the third directly. This is the cocycle condition. When the consistent comparison maps can be </w:t>
      </w:r>
      <w:r w:rsidRPr="0086144F">
        <w:rPr>
          <w:i/>
          <w:iCs/>
        </w:rPr>
        <w:t>trivialised</w:t>
      </w:r>
      <w:r w:rsidRPr="0086144F">
        <w:t xml:space="preserve"> — when they arise from a single global assignment of structure to the whole base — the local sections glue into a global section, and the binding succeeds. The </w:t>
      </w:r>
      <w:r w:rsidRPr="0086144F">
        <w:lastRenderedPageBreak/>
        <w:t>obstruction to this trivialisation is a class in the first cohomology of the sheaf; binding succeeds exactly when this class vanishes, and the space of global sections that then exists is the zeroth cohomology.</w:t>
      </w:r>
    </w:p>
    <w:p w14:paraId="004AE0A6" w14:textId="77777777" w:rsidR="0086144F" w:rsidRPr="0086144F" w:rsidRDefault="0086144F" w:rsidP="0086144F">
      <w:pPr>
        <w:jc w:val="both"/>
      </w:pPr>
      <w:r w:rsidRPr="0086144F">
        <w:t xml:space="preserve">One precision is essential and corrects a tempting but erroneous formulation. The obstruction is </w:t>
      </w:r>
      <w:r w:rsidRPr="0086144F">
        <w:rPr>
          <w:i/>
          <w:iCs/>
        </w:rPr>
        <w:t>not</w:t>
      </w:r>
      <w:r w:rsidRPr="0086144F">
        <w:t xml:space="preserve"> a numerical difference of local sections. Writing it as the subtraction of one section from another would presuppose that the sections inhabit a common additive structure — that a topological alarm and an inner-product judgment can be subtracted — which is exactly the category error the thalamic projection exists to prevent. The obstruction is rather the failure of the comparison maps on overlaps to satisfy the cocycle condition, the non-existence of a consistent global commensuration. In the special case where the sections are commensurable into a common abelian structure, the obstruction reduces to the familiar abelian Čech class; in the general, heterogeneous case the appropriate object is the nonabelian first cohomology — the descent obstruction classifying whether local objects related by transition maps on overlaps assemble into one global object. The binding problem is, in this language, the problem of descent: whether the regions' local computations are gluing data for a single global computation, or describe genuinely incompatible global objects.</w:t>
      </w:r>
    </w:p>
    <w:p w14:paraId="5398E804" w14:textId="77777777" w:rsidR="0086144F" w:rsidRPr="0086144F" w:rsidRDefault="0086144F" w:rsidP="0086144F">
      <w:pPr>
        <w:jc w:val="both"/>
        <w:rPr>
          <w:b/>
          <w:bCs/>
        </w:rPr>
      </w:pPr>
      <w:r w:rsidRPr="0086144F">
        <w:rPr>
          <w:b/>
          <w:bCs/>
        </w:rPr>
        <w:t>5.5 Non-vanishing obstruction as cognitive fragmentation</w:t>
      </w:r>
    </w:p>
    <w:p w14:paraId="2C09C5A3" w14:textId="77777777" w:rsidR="0086144F" w:rsidRPr="0086144F" w:rsidRDefault="0086144F" w:rsidP="0086144F">
      <w:pPr>
        <w:jc w:val="both"/>
      </w:pPr>
      <w:r w:rsidRPr="0086144F">
        <w:t>When the first cohomology does not vanish, no global section exists: the local computations cannot be assembled into one coherent picture, however internally valid each remains. This is the formal content of the binding problem left unsolved, and its phenomenology is fragmentation — the metric system selects an action, the uniform system declines to bound it, the topological system signals danger, and the projection cannot reconcile them into a single experienced situation. Clinically, a non-vanishing obstruction corresponds to dissonance, dissociation, and hallucination: states in which the constituent computations proceed but their integration fails, so that experience is vivid in its parts yet incoherent as a whole.</w:t>
      </w:r>
    </w:p>
    <w:p w14:paraId="0DEFBA76" w14:textId="77777777" w:rsidR="0086144F" w:rsidRPr="0086144F" w:rsidRDefault="0086144F" w:rsidP="0086144F">
      <w:pPr>
        <w:jc w:val="both"/>
      </w:pPr>
      <w:r w:rsidRPr="0086144F">
        <w:t xml:space="preserve">We distinguish, as the thalamic anatomy requires, the </w:t>
      </w:r>
      <w:r w:rsidRPr="0086144F">
        <w:rPr>
          <w:i/>
          <w:iCs/>
        </w:rPr>
        <w:t>level</w:t>
      </w:r>
      <w:r w:rsidRPr="0086144F">
        <w:t xml:space="preserve"> of integration from its </w:t>
      </w:r>
      <w:r w:rsidRPr="0086144F">
        <w:rPr>
          <w:i/>
          <w:iCs/>
        </w:rPr>
        <w:t>content</w:t>
      </w:r>
      <w:r w:rsidRPr="0086144F">
        <w:t>. The intralaminar and midline thalamic nuclei gate the overall level at which the projection operates — the global availability of the base — while the relay and reticular machinery gate the content-specific commensuration that constitutes the gluing. A reduction of level dims the global section without necessarily fragmenting it; a failure of content-commensuration fractures the global section while level is retained. This distinction will organise the treatment of sleep in Section 6, where reduced level and reorganised binding characterise distinct stages, and it sharpens the present account: pathological fragmentation in waking is a content failure — a non-vanishing obstruction at retained level — rather than a mere dimming.</w:t>
      </w:r>
    </w:p>
    <w:p w14:paraId="40D0F5D7" w14:textId="77777777" w:rsidR="0086144F" w:rsidRPr="0086144F" w:rsidRDefault="0086144F" w:rsidP="0086144F">
      <w:pPr>
        <w:jc w:val="both"/>
        <w:rPr>
          <w:b/>
          <w:bCs/>
        </w:rPr>
      </w:pPr>
      <w:r w:rsidRPr="0086144F">
        <w:rPr>
          <w:b/>
          <w:bCs/>
        </w:rPr>
        <w:t>5.6 The global section and the witness</w:t>
      </w:r>
    </w:p>
    <w:p w14:paraId="2B74230E" w14:textId="77777777" w:rsidR="0086144F" w:rsidRPr="0086144F" w:rsidRDefault="0086144F" w:rsidP="0086144F">
      <w:pPr>
        <w:jc w:val="both"/>
      </w:pPr>
      <w:r w:rsidRPr="0086144F">
        <w:t xml:space="preserve">When the obstruction vanishes, a global section exists: a single consistent assignment of structure across the whole base, of which every local computation is a restriction. This global section computes nothing itself and is no region's fibre; it is the emergent fact that the local computations are mutually commensurable — the integration, not any of the integrated parts. We relate this object, by structural isomorphism and not by identity, to a distinction drawn in Advaita Vedānta between the </w:t>
      </w:r>
      <w:r w:rsidRPr="0086144F">
        <w:rPr>
          <w:i/>
          <w:iCs/>
        </w:rPr>
        <w:t>Antaḥkaraṇa</w:t>
      </w:r>
      <w:r w:rsidRPr="0086144F">
        <w:t xml:space="preserve">, the inner instrument of active mentation, and the </w:t>
      </w:r>
      <w:r w:rsidRPr="0086144F">
        <w:rPr>
          <w:i/>
          <w:iCs/>
        </w:rPr>
        <w:t>Sākṣin</w:t>
      </w:r>
      <w:r w:rsidRPr="0086144F">
        <w:t xml:space="preserve">, the witnessing consciousness. The collection of local processing instruments — the sensing, deciding, and adapting machinery generating local sections — has the structure of the sheaf, the </w:t>
      </w:r>
      <w:r w:rsidRPr="0086144F">
        <w:rPr>
          <w:i/>
          <w:iCs/>
        </w:rPr>
        <w:t>Antaḥkaraṇa</w:t>
      </w:r>
      <w:r w:rsidRPr="0086144F">
        <w:t xml:space="preserve">. The global section that exists only when the local sections glue — which does not act but is the standing fact of total commensurability — has the structure of the </w:t>
      </w:r>
      <w:r w:rsidRPr="0086144F">
        <w:rPr>
          <w:i/>
          <w:iCs/>
        </w:rPr>
        <w:t>Sākṣin</w:t>
      </w:r>
      <w:r w:rsidRPr="0086144F">
        <w:t xml:space="preserve">, the witness that is not a further instrument but the integrity of the whole. </w:t>
      </w:r>
      <w:r w:rsidRPr="0086144F">
        <w:lastRenderedPageBreak/>
        <w:t>The thalamic projection, which refers every local modification back to the common base, has the structure of the witnessing that returns the instruments' activity to a single observed substrate.</w:t>
      </w:r>
    </w:p>
    <w:p w14:paraId="2171A3C8" w14:textId="77777777" w:rsidR="0086144F" w:rsidRPr="0086144F" w:rsidRDefault="0086144F" w:rsidP="0086144F">
      <w:pPr>
        <w:jc w:val="both"/>
      </w:pPr>
      <w:r w:rsidRPr="0086144F">
        <w:t>We are explicit that this is a correspondence of structure, not a claim of identity, and that it is offered as the framework's interpretive horizon rather than as a load-bearing premise. The claim that earns its place is the weaker and precise one: the integration that unified awareness names has the formal structure of the existence of a global section, and the failure of that integration has the formal structure of a non-vanishing gluing obstruction. On this reading unified awareness is not a computation but a property of the system's integration — the existence of the whole, distinct from the activity of the parts — and the binding problem is the computation of whether that whole exists. The metaphysical question of whether the correspondence is identity we leave aside; the structural correspondence is what the framework supplies, and §8 returns to its status.</w:t>
      </w:r>
    </w:p>
    <w:p w14:paraId="1FA50560" w14:textId="77777777" w:rsidR="0086144F" w:rsidRPr="0086144F" w:rsidRDefault="0086144F" w:rsidP="0086144F">
      <w:pPr>
        <w:jc w:val="both"/>
        <w:rPr>
          <w:b/>
          <w:bCs/>
        </w:rPr>
      </w:pPr>
      <w:r w:rsidRPr="0086144F">
        <w:rPr>
          <w:b/>
          <w:bCs/>
        </w:rPr>
        <w:t>5.7 The safety rule and the architectural critique</w:t>
      </w:r>
    </w:p>
    <w:p w14:paraId="18CC05ED" w14:textId="77777777" w:rsidR="0086144F" w:rsidRPr="0086144F" w:rsidRDefault="0086144F" w:rsidP="0086144F">
      <w:pPr>
        <w:jc w:val="both"/>
      </w:pPr>
      <w:r w:rsidRPr="0086144F">
        <w:t xml:space="preserve">The same criterion yields an engineering rule and a critique, and these are load-bearing where the witness correspondence is not. The rule is direct: a system whose internal computations have not glued — whose binding obstruction does not vanish — has no coherent global situation to act upon, and acting in that state is acting on an incoherent world. A system capable of certifying its own coherence must therefore verify that the obstruction vanishes </w:t>
      </w:r>
      <w:r w:rsidRPr="0086144F">
        <w:rPr>
          <w:i/>
          <w:iCs/>
        </w:rPr>
        <w:t>before</w:t>
      </w:r>
      <w:r w:rsidRPr="0086144F">
        <w:t xml:space="preserve"> it acts, and must </w:t>
      </w:r>
      <w:r w:rsidRPr="0086144F">
        <w:rPr>
          <w:i/>
          <w:iCs/>
        </w:rPr>
        <w:t>withhold action while the obstruction is non-zero</w:t>
      </w:r>
      <w:r w:rsidRPr="0086144F">
        <w:t>, routing the conflicting local computations to a slower, serial discrepancy-resolution stage until coherence is restored. A non-vanishing obstruction is the formal signature of an undefensible output, and the correct response is suspension, not forcing. This is the binding-level counterpart of the compactness gate of Section 4: there, action is certifiable only on a compact manifold; here, only when the local computations on that manifold glue.</w:t>
      </w:r>
    </w:p>
    <w:p w14:paraId="660C049A" w14:textId="77777777" w:rsidR="0086144F" w:rsidRPr="0086144F" w:rsidRDefault="0086144F" w:rsidP="0086144F">
      <w:pPr>
        <w:jc w:val="both"/>
      </w:pPr>
      <w:r w:rsidRPr="0086144F">
        <w:t>The critique follows. Coherent, certifiable intelligence cannot be achieved by stacking a metric objective on an inner-product substrate and relying on their agreement. A reinforcement objective bolted onto a high-dimensional representational engine is not glued to it through a projection that enforces commensuration; the two are run in parallel without a structure that guarantees they refer to a common base. Under ordinary conditions they may appear to cooperate, but they are structurally un-glued, so their binding obstruction is not constructed to vanish. Under distributional stress — precisely the regime in which defensibility matters, and precisely where the manifold decompactifies (§4.6) — the local computations diverge, the obstruction becomes non-zero, no global section exists, and the system produces an output that is incoherent rather than merely inaccurate: a hallucination or an undefensible action. The remedy the framework prescribes is architectural: a synthetic analogue of the thalamic projection whose objective is not to minimise a loss but to drive the binding obstruction toward zero — to verify that the bounded uniformity of the cerebellar analogue, the convergent metric of the basal-ganglia analogue, and the generative inner-product space of the cortical analogue glue into a single global section — and to gate action on that verification. Alignment, on this account, is not a reward stacked atop a representation; it is the construction of a projection under which representation, value, and bound are commensurable, and the maintenance of the vanishing obstruction that makes a single coherent agent of them.</w:t>
      </w:r>
    </w:p>
    <w:p w14:paraId="728EF88C" w14:textId="77777777" w:rsidR="00C541BC" w:rsidRPr="00C541BC" w:rsidRDefault="00C541BC" w:rsidP="00725D1A">
      <w:pPr>
        <w:pStyle w:val="Heading1"/>
      </w:pPr>
      <w:r w:rsidRPr="00C541BC">
        <w:t>6. Sleep as the Offline Lift</w:t>
      </w:r>
    </w:p>
    <w:p w14:paraId="71E215E8" w14:textId="77777777" w:rsidR="00C541BC" w:rsidRPr="00C541BC" w:rsidRDefault="00C541BC" w:rsidP="00C541BC">
      <w:pPr>
        <w:jc w:val="both"/>
      </w:pPr>
      <w:r w:rsidRPr="00C541BC">
        <w:t xml:space="preserve">The asymmetry of commensuration established in §2.5 and §5.3 — that projection down the enrichment ladder is cheap and instantaneous while lifting up is costly and slow — has a consequence the framework cannot avoid and which, we argue, accounts for the architecture of sleep. This section </w:t>
      </w:r>
      <w:r w:rsidRPr="00C541BC">
        <w:lastRenderedPageBreak/>
        <w:t>derives sleep as the offline regime in which the upward lifting deferred from waking is performed (§6.1), identifies the lifts and their common destination (§6.2), shows that the order of sleep stages is forced by the dependency among the lifts (§6.3), commits the framework to a falsifiable claim about thalamic firing mode (§6.4), develops the two-chart architecture that the thalamic bypass of fear and olfaction requires and the account of dreaming it yields (§6.5), derives motor atonia as an obligatory consequence (§6.6), and states the two double dissociations — of binding routes and of failure modes — that constitute the section's principal predictions (§6.7). We close with the evolutionary constraint the framework must satisfy and the convergence reframe it requires (§6.8).</w:t>
      </w:r>
    </w:p>
    <w:p w14:paraId="096F59A6" w14:textId="77777777" w:rsidR="00C541BC" w:rsidRPr="00C541BC" w:rsidRDefault="00C541BC" w:rsidP="00C541BC">
      <w:pPr>
        <w:jc w:val="both"/>
        <w:rPr>
          <w:b/>
          <w:bCs/>
        </w:rPr>
      </w:pPr>
      <w:r w:rsidRPr="00C541BC">
        <w:rPr>
          <w:b/>
          <w:bCs/>
        </w:rPr>
        <w:t>6.1 The deferral of the lift</w:t>
      </w:r>
    </w:p>
    <w:p w14:paraId="0FCEEC3B" w14:textId="77777777" w:rsidR="00C541BC" w:rsidRPr="00C541BC" w:rsidRDefault="00C541BC" w:rsidP="00C541BC">
      <w:pPr>
        <w:jc w:val="both"/>
      </w:pPr>
      <w:r w:rsidRPr="00C541BC">
        <w:t>Waking behaviour runs in the cheap downward direction. Survival requires fast categorical verdicts, and a fast verdict is a downward projection — a rich situation collapsed onto an immediate action — which the asymmetry of §5.3 makes free and instantaneous. The expensive upward direction, in which raw low-rung experience is lifted into stored high-rung knowledge by the construction of the structure it lacks, cannot run concurrently with this downward traffic: the two compete for the same substrate, and downward projection, being time-critical for survival, prevails. The upward lifting is therefore deferred to a regime in which behaviour is suspended and the substrate is free. That regime is sleep. On this account sleep is not the cessation of computation but the reversal of its direction — from the downward projection that drives waking action to the upward lifting that integrates the day's deposits — performed offline precisely so that the lift may proceed without the interruption that the demand to act would impose.</w:t>
      </w:r>
    </w:p>
    <w:p w14:paraId="10494C62" w14:textId="77777777" w:rsidR="00C541BC" w:rsidRPr="00C541BC" w:rsidRDefault="00C541BC" w:rsidP="00C541BC">
      <w:pPr>
        <w:jc w:val="both"/>
        <w:rPr>
          <w:b/>
          <w:bCs/>
        </w:rPr>
      </w:pPr>
      <w:r w:rsidRPr="00C541BC">
        <w:rPr>
          <w:b/>
          <w:bCs/>
        </w:rPr>
        <w:t>6.2 The lifts and their common destination</w:t>
      </w:r>
    </w:p>
    <w:p w14:paraId="670400E0" w14:textId="77777777" w:rsidR="00C541BC" w:rsidRPr="00C541BC" w:rsidRDefault="00C541BC" w:rsidP="00C541BC">
      <w:pPr>
        <w:jc w:val="both"/>
      </w:pPr>
      <w:r w:rsidRPr="00C541BC">
        <w:t>Memory processing in sleep is, on this framework, a family of lifts sharing a destination. Every lift terminates at the cortical inner-product rung, because that is the only level at which a representation can be stored without interference among overlapping contents and reasoned about freely; what distinguishes the lifts is the rung at which each begins.</w:t>
      </w:r>
    </w:p>
    <w:p w14:paraId="1FA270D6" w14:textId="77777777" w:rsidR="00C541BC" w:rsidRPr="00C541BC" w:rsidRDefault="00C541BC" w:rsidP="00C541BC">
      <w:pPr>
        <w:jc w:val="both"/>
      </w:pPr>
      <w:r w:rsidRPr="00C541BC">
        <w:t>The lift beginning at the hippocampal normed rung takes a concrete episode — anchored to a place-and-time reference frame — and raises it to a semantic representation stripped of its origin, free to function as general knowledge: the consolidation of episodic experience into lasting memory. The lifts beginning at the cerebellar uniform and basal-ganglia metric rungs take calibrated routines and graded reinforcement values and raise them into automatic skills and transferable strategies: procedural and policy consolidation. The lift beginning at the amygdalar topological rung takes a raw affective alarm — numberless, present-tense danger — and raises it to a contextualised, de-charged concept: a memory of having been afraid rather than a live alarm. This last is the operation behind the framework's organising phrase, that fear becomes the memory of fear; the information is retained while the affective charge is removed.</w:t>
      </w:r>
    </w:p>
    <w:p w14:paraId="35CF84F4" w14:textId="77777777" w:rsidR="00C541BC" w:rsidRPr="00C541BC" w:rsidRDefault="00C541BC" w:rsidP="00C541BC">
      <w:pPr>
        <w:jc w:val="both"/>
        <w:rPr>
          <w:b/>
          <w:bCs/>
        </w:rPr>
      </w:pPr>
      <w:r w:rsidRPr="00C541BC">
        <w:rPr>
          <w:b/>
          <w:bCs/>
        </w:rPr>
        <w:t>6.3 The dependency ordering of stages</w:t>
      </w:r>
    </w:p>
    <w:p w14:paraId="752C5BDB" w14:textId="77777777" w:rsidR="00C541BC" w:rsidRPr="00C541BC" w:rsidRDefault="00C541BC" w:rsidP="00C541BC">
      <w:pPr>
        <w:jc w:val="both"/>
      </w:pPr>
      <w:r w:rsidRPr="00C541BC">
        <w:t xml:space="preserve">A static assignment of lifts to stages would be a weak claim; the framework makes the stronger claim that the </w:t>
      </w:r>
      <w:r w:rsidRPr="00C541BC">
        <w:rPr>
          <w:i/>
          <w:iCs/>
        </w:rPr>
        <w:t>order</w:t>
      </w:r>
      <w:r w:rsidRPr="00C541BC">
        <w:t xml:space="preserve"> of stages across the night is forced. The order is not, however, set by raw lift-distance, and the correct principle is more informative. It is set by </w:t>
      </w:r>
      <w:r w:rsidRPr="00C541BC">
        <w:rPr>
          <w:i/>
          <w:iCs/>
        </w:rPr>
        <w:t>dependency</w:t>
      </w:r>
      <w:r w:rsidRPr="00C541BC">
        <w:t xml:space="preserve">: a lift can only deposit its result into a coordinate system that already exists, so the lift that </w:t>
      </w:r>
      <w:r w:rsidRPr="00C541BC">
        <w:rPr>
          <w:i/>
          <w:iCs/>
        </w:rPr>
        <w:t>builds</w:t>
      </w:r>
      <w:r w:rsidRPr="00C541BC">
        <w:t xml:space="preserve"> the destination frame must precede the lifts that populate it.</w:t>
      </w:r>
    </w:p>
    <w:p w14:paraId="41CCCAE2" w14:textId="77777777" w:rsidR="00C541BC" w:rsidRPr="00C541BC" w:rsidRDefault="00C541BC" w:rsidP="00C541BC">
      <w:pPr>
        <w:jc w:val="both"/>
      </w:pPr>
      <w:r w:rsidRPr="00C541BC">
        <w:t xml:space="preserve">Deep slow-wave sleep predominates early in the night because the normed-to-semantic lift it performs constructs the cortical coordinate frame — the "what and where" — into which every later lift must </w:t>
      </w:r>
      <w:r w:rsidRPr="00C541BC">
        <w:lastRenderedPageBreak/>
        <w:t>be filed. Until that semantic frame exists, the other lifts have nowhere to land. The spindle-rich stages that dominate the middle of the night then perform the uniform- and metric-to-inner-product lifts, wrapping procedural skill and strategic rule onto the established factual scaffold; a general rule must attach to facts, so this furnishing of the frame must follow its construction. The most active dreaming stage predominates late, toward waking, because the topological-to-inner-product lift it performs — the de-charging of the fear alarm — is the most context-dependent of all: contextualising a fear means situating it within the structure of facts and rules, and that structure does not exist until the earlier stages have built it. Performed first, with no factual or strategic scaffold, this lift would process raw affective topology with nothing to anchor it, yielding not integration but fragmentation. The most context-hungry lift therefore waits until the foundation is laid.</w:t>
      </w:r>
    </w:p>
    <w:p w14:paraId="68901059" w14:textId="77777777" w:rsidR="00C541BC" w:rsidRPr="00C541BC" w:rsidRDefault="00C541BC" w:rsidP="00C541BC">
      <w:pPr>
        <w:jc w:val="both"/>
      </w:pPr>
      <w:r w:rsidRPr="00C541BC">
        <w:t xml:space="preserve">We state the ordering claim in terms of </w:t>
      </w:r>
      <w:r w:rsidRPr="00C541BC">
        <w:rPr>
          <w:i/>
          <w:iCs/>
        </w:rPr>
        <w:t>peak timing</w:t>
      </w:r>
      <w:r w:rsidRPr="00C541BC">
        <w:t xml:space="preserve"> rather than entry order, since the descent through light into deep sleep means the stages are not entered in the order of their dominance: the claim is that slow-wave processing </w:t>
      </w:r>
      <w:r w:rsidRPr="00C541BC">
        <w:rPr>
          <w:i/>
          <w:iCs/>
        </w:rPr>
        <w:t>peaks</w:t>
      </w:r>
      <w:r w:rsidRPr="00C541BC">
        <w:t xml:space="preserve"> early and dreaming-stage processing </w:t>
      </w:r>
      <w:r w:rsidRPr="00C541BC">
        <w:rPr>
          <w:i/>
          <w:iCs/>
        </w:rPr>
        <w:t>peaks</w:t>
      </w:r>
      <w:r w:rsidRPr="00C541BC">
        <w:t xml:space="preserve"> late, tracking the dependency among the lifts. The framework predicts the empirically observed early-slow-wave/late-dreaming gradient as a consequence. It further predicts a familiar phenomenon: each lift, while in progress, transiently unsettles coherence, lifting material off its old rung before fixing it at the new one, so the night is structured to </w:t>
      </w:r>
      <w:r w:rsidRPr="00C541BC">
        <w:rPr>
          <w:i/>
          <w:iCs/>
        </w:rPr>
        <w:t>end</w:t>
      </w:r>
      <w:r w:rsidRPr="00C541BC">
        <w:t xml:space="preserve"> when coherence is restored — from a lighter or dreaming stage at which the global section has been re-glued — and waking abruptly from deep slow-wave sleep, mid-lift and still partly unsettled, is experienced as the disorientation of sleep inertia. In the language of Section 5, this is waking before the binding obstruction has been driven back to zero.</w:t>
      </w:r>
    </w:p>
    <w:p w14:paraId="79D014C6" w14:textId="77777777" w:rsidR="00C541BC" w:rsidRPr="00C541BC" w:rsidRDefault="00C541BC" w:rsidP="00C541BC">
      <w:pPr>
        <w:jc w:val="both"/>
        <w:rPr>
          <w:b/>
          <w:bCs/>
        </w:rPr>
      </w:pPr>
      <w:r w:rsidRPr="00C541BC">
        <w:rPr>
          <w:b/>
          <w:bCs/>
        </w:rPr>
        <w:t>6.4 The thalamic firing-mode commitment</w:t>
      </w:r>
    </w:p>
    <w:p w14:paraId="3EB9E618" w14:textId="77777777" w:rsidR="00C541BC" w:rsidRPr="00C541BC" w:rsidRDefault="00C541BC" w:rsidP="00C541BC">
      <w:pPr>
        <w:jc w:val="both"/>
      </w:pPr>
      <w:r w:rsidRPr="00C541BC">
        <w:t>The framework's sharpest predictions follow from anchoring sleep not to anatomy but to thalamic firing mode. Thalamic relay neurons operate in a tonic mode of faithful, near-linear relay during waking, and a burst mode of intrinsic, non-relay firing during sleep, with the switch gated by the hyperpolarising shell of the thalamic reticular nucleus. We make the falsifiable commitment that the thalamus occupies the burst, non-relay mode throughout sleep — the physical suspension of the downward projection that waking action requires — and that it does not enter faithful-relay tonic mode in either principal sleep state. Were the thalamus to relay faithfully during sleep, the downward action projection would be live and the offline lift impossible; the framework would then be refuted. That burst mode dominates sleep is therefore not incidental to the account but its load-bearing physiological commitment.</w:t>
      </w:r>
    </w:p>
    <w:p w14:paraId="7CBCEB6D" w14:textId="77777777" w:rsidR="00C541BC" w:rsidRPr="00C541BC" w:rsidRDefault="00C541BC" w:rsidP="00C541BC">
      <w:pPr>
        <w:jc w:val="both"/>
      </w:pPr>
      <w:r w:rsidRPr="00C541BC">
        <w:t xml:space="preserve">Within this commitment the two principal states differ in the thalamus's internal role. In non-REM sleep the thalamus is not silent but actively co-authors the relay-bound lifts: the reticular nucleus bolts the external sensory gate while the thalamus generates the spindles that time the procedural and metric lifts, and cortical slow oscillations nest these spindles with hippocampal sharp-wave ripples into the coupled rhythm that coordinates the normed-to-semantic transfer. The system the framework identifies as the binding projection thus generates the very rhythms that time the lifts it coordinates — a non-trivial confirmation, since the prediction was thalamic </w:t>
      </w:r>
      <w:r w:rsidRPr="00C541BC">
        <w:rPr>
          <w:i/>
          <w:iCs/>
        </w:rPr>
        <w:t>engagement</w:t>
      </w:r>
      <w:r w:rsidRPr="00C541BC">
        <w:t xml:space="preserve"> in the non-REM lifts, and thalamic spindle generation and slow-oscillation nesting are exactly that. In REM sleep the thalamus is activated but non-relaying: it carries internally generated ponto-geniculo-occipital traffic as a closed-circuit screen rather than relaying external input, so that its relay </w:t>
      </w:r>
      <w:r w:rsidRPr="00C541BC">
        <w:rPr>
          <w:i/>
          <w:iCs/>
        </w:rPr>
        <w:t>function</w:t>
      </w:r>
      <w:r w:rsidRPr="00C541BC">
        <w:t>, not the thalamus itself, is what the bypass content circumvents. The binding of that content proceeds, as §6.5 argues, by a route other than thalamic relay.</w:t>
      </w:r>
    </w:p>
    <w:p w14:paraId="76A0A417" w14:textId="77777777" w:rsidR="00C541BC" w:rsidRPr="00C541BC" w:rsidRDefault="00C541BC" w:rsidP="00C541BC">
      <w:pPr>
        <w:jc w:val="both"/>
      </w:pPr>
      <w:r w:rsidRPr="00C541BC">
        <w:t xml:space="preserve">This maps onto the level/content distinction of §5.5. Non-REM sleep is the global section </w:t>
      </w:r>
      <w:r w:rsidRPr="00C541BC">
        <w:rPr>
          <w:i/>
          <w:iCs/>
        </w:rPr>
        <w:t>dimmed</w:t>
      </w:r>
      <w:r w:rsidRPr="00C541BC">
        <w:t xml:space="preserve"> — the intralaminar gating of level reduced, binding attenuated — while REM is the global section </w:t>
      </w:r>
      <w:r w:rsidRPr="00C541BC">
        <w:rPr>
          <w:i/>
          <w:iCs/>
        </w:rPr>
        <w:t xml:space="preserve">locally </w:t>
      </w:r>
      <w:r w:rsidRPr="00C541BC">
        <w:rPr>
          <w:i/>
          <w:iCs/>
        </w:rPr>
        <w:lastRenderedPageBreak/>
        <w:t>active but incompletely glued</w:t>
      </w:r>
      <w:r w:rsidRPr="00C541BC">
        <w:t>, level partially restored yet binding routed through a path that, for the bypass content, leaves it un-glued. Dreaming, on this reading, is the state in which the obstruction is non-zero and in transit, the subject of §6.5.</w:t>
      </w:r>
    </w:p>
    <w:p w14:paraId="0BC3EAFD" w14:textId="77777777" w:rsidR="00C541BC" w:rsidRPr="00C541BC" w:rsidRDefault="00C541BC" w:rsidP="00C541BC">
      <w:pPr>
        <w:jc w:val="both"/>
        <w:rPr>
          <w:b/>
          <w:bCs/>
        </w:rPr>
      </w:pPr>
      <w:r w:rsidRPr="00C541BC">
        <w:rPr>
          <w:b/>
          <w:bCs/>
        </w:rPr>
        <w:t>6.5 The two-chart architecture and dreaming</w:t>
      </w:r>
    </w:p>
    <w:p w14:paraId="761A9D49" w14:textId="77777777" w:rsidR="00C541BC" w:rsidRPr="00C541BC" w:rsidRDefault="00C541BC" w:rsidP="00C541BC">
      <w:pPr>
        <w:jc w:val="both"/>
      </w:pPr>
      <w:r w:rsidRPr="00C541BC">
        <w:t xml:space="preserve">The hardest lift is hard for a reason rooted in how its content enters the brain. Most senses relay through the thalamus and so arrive already referred to the common base of §5.2, ready to glue. Two channels do not: the affective component of olfaction and the fast fear route bypass the thalamic relay, arriving raw and un-referred to the common base — un-glued by construction. The framework infers that the brain maintains not one coordinate chart but two: a thalamic chart carrying the relay-bound metric, normed, and inner-product senses, and a limbic chart, in entorhinal and hippocampal circuitry, carrying the bypass content. Unified experience requires these two charts to be stitched where they overlap, and the lift of fear into memory </w:t>
      </w:r>
      <w:r w:rsidRPr="00C541BC">
        <w:rPr>
          <w:i/>
          <w:iCs/>
        </w:rPr>
        <w:t>is</w:t>
      </w:r>
      <w:r w:rsidRPr="00C541BC">
        <w:t xml:space="preserve"> that stitching — the computation of the transition map between the limbic chart and the thalamic base, performed in REM.</w:t>
      </w:r>
    </w:p>
    <w:p w14:paraId="7610EE41" w14:textId="77777777" w:rsidR="00C541BC" w:rsidRPr="00C541BC" w:rsidRDefault="00C541BC" w:rsidP="00C541BC">
      <w:pPr>
        <w:jc w:val="both"/>
      </w:pPr>
      <w:r w:rsidRPr="00C541BC">
        <w:t xml:space="preserve">For relay-bound content the transition is well-behaved; for bypass content it is </w:t>
      </w:r>
      <w:r w:rsidRPr="00C541BC">
        <w:rPr>
          <w:i/>
          <w:iCs/>
        </w:rPr>
        <w:t>ill-conditioned</w:t>
      </w:r>
      <w:r w:rsidRPr="00C541BC">
        <w:t xml:space="preserve">. A single raw alarm corresponds not to a definite point but to a broad, unstabilised region of the thalamic frame — a dread that could belong to many situations — and the work of REM is to </w:t>
      </w:r>
      <w:r w:rsidRPr="00C541BC">
        <w:rPr>
          <w:i/>
          <w:iCs/>
        </w:rPr>
        <w:t>sharpen</w:t>
      </w:r>
      <w:r w:rsidRPr="00C541BC">
        <w:t xml:space="preserve"> this ill-conditioned correspondence into a definite one: this fear, that context, now safely past. We state the obstruction as ill-conditioning rather than absence of correspondence, because a transition map that did not exist could never be computed; the danger is not that the charts fail to overlap but that the overlap, for bypass content, is under-determined and amplifies noise until sharpened. While the correspondence is being sharpened it is transiently open, and that open, between-charts state is dreaming. Dreams are vivid yet incoherent, charged yet contextless, with warped distances and broken causality, because they are the in-transit state of two charts not yet stitched — the limbic, associative, affective content lifted and active while the thalamic metric relay that would supply order is offline and a non-metric route does the provisional gluing. The framework predicts a quiet confirmation in the phenomenology: olfaction, one of the two bypass channels, should be markedly under-represented in dream content, since it never had a thalamic binding to replay — a prediction consistent with the reported paucity of olfactory dream imagery.</w:t>
      </w:r>
    </w:p>
    <w:p w14:paraId="029133D2" w14:textId="77777777" w:rsidR="00C541BC" w:rsidRPr="00C541BC" w:rsidRDefault="00C541BC" w:rsidP="00C541BC">
      <w:pPr>
        <w:jc w:val="both"/>
        <w:rPr>
          <w:b/>
          <w:bCs/>
        </w:rPr>
      </w:pPr>
      <w:r w:rsidRPr="00C541BC">
        <w:rPr>
          <w:b/>
          <w:bCs/>
        </w:rPr>
        <w:t>6.6 Atonia as an obligatory downstream clamp</w:t>
      </w:r>
    </w:p>
    <w:p w14:paraId="177DAAAD" w14:textId="77777777" w:rsidR="00C541BC" w:rsidRPr="00C541BC" w:rsidRDefault="00C541BC" w:rsidP="00C541BC">
      <w:pPr>
        <w:jc w:val="both"/>
      </w:pPr>
      <w:r w:rsidRPr="00C541BC">
        <w:t xml:space="preserve">The most volatile lift carries a specific hazard from which the framework </w:t>
      </w:r>
      <w:r w:rsidRPr="00C541BC">
        <w:rPr>
          <w:i/>
          <w:iCs/>
        </w:rPr>
        <w:t>derives</w:t>
      </w:r>
      <w:r w:rsidRPr="00C541BC">
        <w:t>, rather than merely describes, motor atonia. To lift a fear into memory the cortex must simulate the fear — replay its affective charge — and a simulated alarm, within the brain, resembles a real one and would cascade toward the action machinery exactly as a waking threat does. The lift is therefore safe only if motor output is severed for its duration. Atonia is that severance, and its architecture is predicted by the geometry of the threat. The dangerous command can arrive by more than one route: the ordinary route through the thalamic relay and the motor pathways, and the fast fear route that reaches action while bypassing the thalamus. No gate placed upstream can intercept both, since the bypass route circumvents the upstream stations. The only locus through which every command, by every route, must pass is the final motor neuron itself — and that is exactly where the clamp is placed. At REM onset a glutamatergic pontine trigger in the sublaterodorsal region drives a medullary relay that releases glycine and γ-aminobutyric acid onto spinal motor neurons, hyperpolarising them below firing threshold. The clamp is thus a second inhibitory stage in series below the basal-ganglia selection gate of Section 3, and its downstream placement is forced: a clamp at the gate alone would not catch the bypass.</w:t>
      </w:r>
    </w:p>
    <w:p w14:paraId="4B0968D8" w14:textId="77777777" w:rsidR="00C541BC" w:rsidRPr="00C541BC" w:rsidRDefault="00C541BC" w:rsidP="00C541BC">
      <w:pPr>
        <w:jc w:val="both"/>
      </w:pPr>
      <w:r w:rsidRPr="00C541BC">
        <w:lastRenderedPageBreak/>
        <w:t>The principle this realises generalises beyond sleep and is the dynamical counterpart of the safety rule of §5.7: the system can compute an action in full while emitting none of it. The cortex generates the terror, the selection gate may open, the motor cortex may issue the command — and the final neuron remains at the floor. Computation runs at maximum; output is zero. Atonia is this principle made physical during the one regime in which the brain deliberately runs its most volatile simulations, and it is the hardware enforcement of the rule that an agent must not act while its internal world is un-glued.</w:t>
      </w:r>
    </w:p>
    <w:p w14:paraId="43080793" w14:textId="77777777" w:rsidR="00C541BC" w:rsidRPr="00C541BC" w:rsidRDefault="00C541BC" w:rsidP="00C541BC">
      <w:pPr>
        <w:jc w:val="both"/>
        <w:rPr>
          <w:b/>
          <w:bCs/>
        </w:rPr>
      </w:pPr>
      <w:r w:rsidRPr="00C541BC">
        <w:rPr>
          <w:b/>
          <w:bCs/>
        </w:rPr>
        <w:t>6.7 Two double dissociations</w:t>
      </w:r>
    </w:p>
    <w:p w14:paraId="26177BD4" w14:textId="77777777" w:rsidR="00C541BC" w:rsidRPr="00C541BC" w:rsidRDefault="00C541BC" w:rsidP="00C541BC">
      <w:pPr>
        <w:jc w:val="both"/>
      </w:pPr>
      <w:r w:rsidRPr="00C541BC">
        <w:t>The architecture predicts that the volatile lift depends on two separable conditions — the clamp that quarantines the body and the stitching that integrates the fear — which can fail independently, at different loci, yielding two distinct disorders; and that the two binding routes leave separable physiological signatures.</w:t>
      </w:r>
    </w:p>
    <w:p w14:paraId="6DF63D4B" w14:textId="77777777" w:rsidR="00C541BC" w:rsidRPr="00C541BC" w:rsidRDefault="00C541BC" w:rsidP="00C541BC">
      <w:pPr>
        <w:jc w:val="both"/>
      </w:pPr>
      <w:r w:rsidRPr="00C541BC">
        <w:t xml:space="preserve">The </w:t>
      </w:r>
      <w:r w:rsidRPr="00C541BC">
        <w:rPr>
          <w:i/>
          <w:iCs/>
        </w:rPr>
        <w:t>double dissociation of failure modes</w:t>
      </w:r>
      <w:r w:rsidRPr="00C541BC">
        <w:t xml:space="preserve"> is as follows. If the clamp fails while the stitching proceeds normally, the simulated commands escape to the muscles and the integration is enacted: the sleeper acts out the dream. This is a quarantine failure, localised to the brainstem clamp circuitry, and it corresponds to REM sleep behaviour disorder — notably prodromal for synucleinopathy, as if the clamp circuitry erodes first. If instead the stitching fails while the clamp holds, the raw fear is never lifted into a contextualised memory; it persists as an un-glued alarm in its primitive chart, never filed as past. This is an integration failure, and it corresponds to the trauma intrusion: the alarm forced into waking experience in the present tense, re-lived rather than recalled, cued most violently by smell and by sudden threat — the two bypass channels whose transition was never closed — and bearing the fragmentary, non-narrative, timeless quality of content that never passed through the integration the relay-bound senses receive automatically. That the two disorders sit at different loci in the same architecture predicts that they are distinct conditions, separately localised, rather than two expressions of one fault.</w:t>
      </w:r>
    </w:p>
    <w:p w14:paraId="1A9A58D0" w14:textId="77777777" w:rsidR="00C541BC" w:rsidRPr="00C541BC" w:rsidRDefault="00C541BC" w:rsidP="00C541BC">
      <w:pPr>
        <w:jc w:val="both"/>
      </w:pPr>
      <w:r w:rsidRPr="00C541BC">
        <w:t xml:space="preserve">The </w:t>
      </w:r>
      <w:r w:rsidRPr="00C541BC">
        <w:rPr>
          <w:i/>
          <w:iCs/>
        </w:rPr>
        <w:t>double dissociation of binding routes</w:t>
      </w:r>
      <w:r w:rsidRPr="00C541BC">
        <w:t xml:space="preserve"> is the framework's principal testable prediction at the level of neural coupling. Factual and procedural consolidation, the non-REM lifts, should track the integrity of thalamo-cortical coupling — the nesting of spindles, ripples, and slow oscillations. Affective de-charging, the REM lift, should track the integrity of hippocampal–amygdalar coupling, independently of thalamic relay fidelity. The two consolidations should therefore be dissociable by which coupling they depend upon, mirroring at the level of mechanism the dissociation of failure modes at the level of pathology, and providing a direct test of the two-chart architecture.</w:t>
      </w:r>
    </w:p>
    <w:p w14:paraId="2E4DF310" w14:textId="77777777" w:rsidR="00C541BC" w:rsidRPr="00C541BC" w:rsidRDefault="00C541BC" w:rsidP="00C541BC">
      <w:pPr>
        <w:jc w:val="both"/>
        <w:rPr>
          <w:b/>
          <w:bCs/>
        </w:rPr>
      </w:pPr>
      <w:r w:rsidRPr="00C541BC">
        <w:rPr>
          <w:b/>
          <w:bCs/>
        </w:rPr>
        <w:t>6.8 Evolutionary considerations: convergence, not accretion</w:t>
      </w:r>
    </w:p>
    <w:p w14:paraId="7F727BEF" w14:textId="77777777" w:rsidR="00C541BC" w:rsidRPr="00C541BC" w:rsidRDefault="00C541BC" w:rsidP="00C541BC">
      <w:pPr>
        <w:jc w:val="both"/>
      </w:pPr>
      <w:r w:rsidRPr="00C541BC">
        <w:t>A framework that derives sleep from the lift must satisfy a stringent constraint: the evolution of sleep must agree with the evolution of the brain. If sleep is the offline lift, then where there is no high-rung destination to lift into, there should be no elaborated lift; and where high-rung integration evolves, an offline lift should accompany it. A natural but, we will argue, mistaken reading of this constraint is a single-lineage accretion story in which two-state sleep is a late innovation appearing once, with the dreaming state added in early amniotes and slow-wave sleep later in mammals. The comparative evidence does not support this reading. Sleep states resembling slow-wave and dreaming sleep have been reported in animals lacking a mammalian neocortex — in reptiles, and in lineages as distant as cephalopods — and birds possess both states evolved convergently, without a layered cortex. The single-origin accretion story is, on current evidence, the version the data rule out.</w:t>
      </w:r>
    </w:p>
    <w:p w14:paraId="660978D5" w14:textId="77777777" w:rsidR="00C541BC" w:rsidRPr="00C541BC" w:rsidRDefault="00C541BC" w:rsidP="00C541BC">
      <w:pPr>
        <w:jc w:val="both"/>
      </w:pPr>
      <w:r w:rsidRPr="00C541BC">
        <w:lastRenderedPageBreak/>
        <w:t xml:space="preserve">The lift framework does not require single-origin accretion and is strengthened by abandoning it. Its actual prediction is </w:t>
      </w:r>
      <w:r w:rsidRPr="00C541BC">
        <w:rPr>
          <w:i/>
          <w:iCs/>
        </w:rPr>
        <w:t>functional</w:t>
      </w:r>
      <w:r w:rsidRPr="00C541BC">
        <w:t xml:space="preserve">, not phylogenetic in the narrow sense: an offline lift mechanism should arise wherever a low-rung source coexists with a high-rung destination that must integrate it — a claim about the presence of a structural gap, not about a unique evolutionary event. Read so, the recurrence of two-state sleep across distantly related lineages that independently evolved sophisticated integrative structures is not a refutation but a </w:t>
      </w:r>
      <w:r w:rsidRPr="00C541BC">
        <w:rPr>
          <w:i/>
          <w:iCs/>
        </w:rPr>
        <w:t>confirmation</w:t>
      </w:r>
      <w:r w:rsidRPr="00C541BC">
        <w:t>: convergent evolution of the lift is the signature of functional necessity, the strongest evidence that the lift performs indispensable computational work rather than persisting as the relic of one lineage. The framework retains the defensible cores of the evolutionary intuition — the ontogenetic dominance of the dreaming state in early development, when low-rung integration must be established first, and the scaling of slow-wave activity with the size of the high-rung destination it serves — while reframing them as correlations and convergences rather than as a single accretional timeline. We present the convergence prediction as the framework's commitment, consistent with but not proven by a comparative literature that remains actively contested, and we note that the specific comparative findings invoked here require verification against primary sources before they are relied upon.</w:t>
      </w:r>
    </w:p>
    <w:p w14:paraId="146D6AB5" w14:textId="77777777" w:rsidR="00C541BC" w:rsidRPr="00C541BC" w:rsidRDefault="00C541BC" w:rsidP="00C541BC">
      <w:pPr>
        <w:jc w:val="both"/>
      </w:pPr>
      <w:r w:rsidRPr="00C541BC">
        <w:t>A scope note closes the section. The solid ground is the established neuroscience: the offline reprocessing of memory in sleep, the early-slow-wave/late-dreaming gradient, the brainstem atonia circuit and its inhibition of spinal motor neurons, the thalamic firing-mode switch and spindle generation, the bypass routing of olfaction and fast fear, and the clinical reality of dream-enactment disorder and trauma intrusion as distinct conditions. The interpretive layer — that sleep is an upward climb through the rungs, that its stages are ordered by the dependency among lifts, that the brain maintains two charts stitched in REM, and that atonia enforces a general rule against acting on an un-glued world — is the framework's contribution, offered as hypothesis. The two-chart and chart-transition formalism in particular is a modelling choice laid over the bypass anatomy rather than an established mechanism. Section 8 returns to the status of these claims; their value, as throughout, is that they derive a heterogeneous set of sleep phenomena — the limp body, the late timing of emotional dreams, the clinging of trauma to smell — as consequences of the single principle that the day is for projecting downward and the night for lifting up.</w:t>
      </w:r>
    </w:p>
    <w:p w14:paraId="269AA2F8" w14:textId="77777777" w:rsidR="00F226A5" w:rsidRPr="00F226A5" w:rsidRDefault="00F226A5" w:rsidP="00725D1A">
      <w:pPr>
        <w:pStyle w:val="Heading1"/>
      </w:pPr>
      <w:r w:rsidRPr="00F226A5">
        <w:t>7. Falsifiable Predictions and Proposed Tests</w:t>
      </w:r>
    </w:p>
    <w:p w14:paraId="156ACA15" w14:textId="77777777" w:rsidR="00F226A5" w:rsidRPr="00F226A5" w:rsidRDefault="00F226A5" w:rsidP="00F226A5">
      <w:pPr>
        <w:jc w:val="both"/>
      </w:pPr>
      <w:r w:rsidRPr="00F226A5">
        <w:t>The framework's claim to be a scientific theory rather than an interpretive overlay rests on the falsifiable consequences it generates. This section consolidates those consequences. Each is stated as a prediction, a proposed test, and an explicit condition under which the prediction — and, where applicable, the framework or a stated component of it — would be refuted. We group the predictions by the result that generates them (§7.1–7.4) and close by identifying the most decisive tests and distinguishing what would refute the whole framework from what would refute only a part (§7.5). Tests are of four kinds: in-silico tests on artificial controllers, neural-coupling tests, clinical dissociation tests, and comparative-anatomy tests; we mark each accordingly, and we flag where a test depends on a literature that is presently contested.</w:t>
      </w:r>
    </w:p>
    <w:p w14:paraId="3CD73945" w14:textId="77777777" w:rsidR="00F226A5" w:rsidRPr="00F226A5" w:rsidRDefault="00F226A5" w:rsidP="00F226A5">
      <w:pPr>
        <w:jc w:val="both"/>
        <w:rPr>
          <w:b/>
          <w:bCs/>
        </w:rPr>
      </w:pPr>
      <w:r w:rsidRPr="00F226A5">
        <w:rPr>
          <w:b/>
          <w:bCs/>
        </w:rPr>
        <w:t>7.1 Predictions of the rung assignment</w:t>
      </w:r>
    </w:p>
    <w:p w14:paraId="27BCDFA7" w14:textId="77777777" w:rsidR="00F226A5" w:rsidRPr="00F226A5" w:rsidRDefault="00F226A5" w:rsidP="00F226A5">
      <w:pPr>
        <w:jc w:val="both"/>
      </w:pPr>
      <w:r w:rsidRPr="00F226A5">
        <w:rPr>
          <w:b/>
          <w:bCs/>
        </w:rPr>
        <w:t>P1 — Structural parsimony.</w:t>
      </w:r>
      <w:r w:rsidRPr="00F226A5">
        <w:t xml:space="preserve"> </w:t>
      </w:r>
      <w:r w:rsidRPr="00F226A5">
        <w:rPr>
          <w:i/>
          <w:iCs/>
        </w:rPr>
        <w:t>Prediction:</w:t>
      </w:r>
      <w:r w:rsidRPr="00F226A5">
        <w:t xml:space="preserve"> the core, intrinsic computation of each region uses only the structure of its assigned rung and none above it. </w:t>
      </w:r>
      <w:r w:rsidRPr="00F226A5">
        <w:rPr>
          <w:i/>
          <w:iCs/>
        </w:rPr>
        <w:t>Test (neural):</w:t>
      </w:r>
      <w:r w:rsidRPr="00F226A5">
        <w:t xml:space="preserve"> characterise the intrinsic computation of each region and determine the weakest mathematical structure it requires. </w:t>
      </w:r>
      <w:r w:rsidRPr="00F226A5">
        <w:rPr>
          <w:i/>
          <w:iCs/>
        </w:rPr>
        <w:t>Refutation:</w:t>
      </w:r>
      <w:r w:rsidRPr="00F226A5">
        <w:t xml:space="preserve"> a demonstration that a region's core function requires structure strictly above its assigned rung — genuine intrinsic orthogonalisation in the cerebellum, true intrinsic metric distance in the acute-fear </w:t>
      </w:r>
      <w:r w:rsidRPr="00F226A5">
        <w:lastRenderedPageBreak/>
        <w:t>circuit, or origin-anchored vector composition intrinsic to the basal ganglia rather than inherited through the hippocampal loop — refutes the assignment for that region.</w:t>
      </w:r>
    </w:p>
    <w:p w14:paraId="13DCC1B8" w14:textId="77777777" w:rsidR="00F226A5" w:rsidRPr="00F226A5" w:rsidRDefault="00F226A5" w:rsidP="00F226A5">
      <w:pPr>
        <w:jc w:val="both"/>
      </w:pPr>
      <w:r w:rsidRPr="00F226A5">
        <w:rPr>
          <w:b/>
          <w:bCs/>
        </w:rPr>
        <w:t>P2 — Phylogeny–minimality coincidence.</w:t>
      </w:r>
      <w:r w:rsidRPr="00F226A5">
        <w:t xml:space="preserve"> </w:t>
      </w:r>
      <w:r w:rsidRPr="00F226A5">
        <w:rPr>
          <w:i/>
          <w:iCs/>
        </w:rPr>
        <w:t>Prediction:</w:t>
      </w:r>
      <w:r w:rsidRPr="00F226A5">
        <w:t xml:space="preserve"> structural minimality and phylogenetic age are the same ordering, the older systems occupying the lower rungs. </w:t>
      </w:r>
      <w:r w:rsidRPr="00F226A5">
        <w:rPr>
          <w:i/>
          <w:iCs/>
        </w:rPr>
        <w:t>Test (comparative):</w:t>
      </w:r>
      <w:r w:rsidRPr="00F226A5">
        <w:t xml:space="preserve"> across taxa, relate the conservation age of each homologous system to the rung its function occupies. </w:t>
      </w:r>
      <w:r w:rsidRPr="00F226A5">
        <w:rPr>
          <w:i/>
          <w:iCs/>
        </w:rPr>
        <w:t>Refutation:</w:t>
      </w:r>
      <w:r w:rsidRPr="00F226A5">
        <w:t xml:space="preserve"> a phylogenetically ancient structure whose core function demands a high rung, or a recent structure confined by its function to a low rung, against the predicted ordering.</w:t>
      </w:r>
    </w:p>
    <w:p w14:paraId="17005E3A" w14:textId="77777777" w:rsidR="00F226A5" w:rsidRPr="00F226A5" w:rsidRDefault="00F226A5" w:rsidP="00F226A5">
      <w:pPr>
        <w:jc w:val="both"/>
      </w:pPr>
      <w:r w:rsidRPr="00F226A5">
        <w:rPr>
          <w:b/>
          <w:bCs/>
        </w:rPr>
        <w:t>P3 — Fear–anxiety rung dissociation.</w:t>
      </w:r>
      <w:r w:rsidRPr="00F226A5">
        <w:t xml:space="preserve"> </w:t>
      </w:r>
      <w:r w:rsidRPr="00F226A5">
        <w:rPr>
          <w:i/>
          <w:iCs/>
        </w:rPr>
        <w:t>Prediction:</w:t>
      </w:r>
      <w:r w:rsidRPr="00F226A5">
        <w:t xml:space="preserve"> acute fear is a topological membership computation (amygdala) while sustained threat assessment is a metric distance computation (bed nucleus of the stria terminalis), so the two are structurally distinct operations. </w:t>
      </w:r>
      <w:r w:rsidRPr="00F226A5">
        <w:rPr>
          <w:i/>
          <w:iCs/>
        </w:rPr>
        <w:t>Test (neural/clinical):</w:t>
      </w:r>
      <w:r w:rsidRPr="00F226A5">
        <w:t xml:space="preserve"> dissociate categorical threat-presence responses from graded threat-imminence responses by circuit and by manipulation. </w:t>
      </w:r>
      <w:r w:rsidRPr="00F226A5">
        <w:rPr>
          <w:i/>
          <w:iCs/>
        </w:rPr>
        <w:t>Refutation:</w:t>
      </w:r>
      <w:r w:rsidRPr="00F226A5">
        <w:t xml:space="preserve"> evidence that acute fear intrinsically computes graded threat distance, collapsing the rung distinction.</w:t>
      </w:r>
    </w:p>
    <w:p w14:paraId="042B9B42" w14:textId="77777777" w:rsidR="00F226A5" w:rsidRPr="00F226A5" w:rsidRDefault="00F226A5" w:rsidP="00F226A5">
      <w:pPr>
        <w:jc w:val="both"/>
        <w:rPr>
          <w:b/>
          <w:bCs/>
        </w:rPr>
      </w:pPr>
      <w:r w:rsidRPr="00F226A5">
        <w:rPr>
          <w:b/>
          <w:bCs/>
        </w:rPr>
        <w:t>7.2 Predictions of the certification result</w:t>
      </w:r>
    </w:p>
    <w:p w14:paraId="17EFF1B2" w14:textId="77777777" w:rsidR="00F226A5" w:rsidRPr="00F226A5" w:rsidRDefault="00F226A5" w:rsidP="00F226A5">
      <w:pPr>
        <w:jc w:val="both"/>
      </w:pPr>
      <w:r w:rsidRPr="00F226A5">
        <w:rPr>
          <w:b/>
          <w:bCs/>
        </w:rPr>
        <w:t>P4 — Decompactification gradient.</w:t>
      </w:r>
      <w:r w:rsidRPr="00F226A5">
        <w:t xml:space="preserve"> </w:t>
      </w:r>
      <w:r w:rsidRPr="00F226A5">
        <w:rPr>
          <w:i/>
          <w:iCs/>
        </w:rPr>
        <w:t>Prediction:</w:t>
      </w:r>
      <w:r w:rsidRPr="00F226A5">
        <w:t xml:space="preserve"> out-of-distribution failure is a graded loss of total boundedness, so the certified worst-case bound should inflate continuously and measurably in proportion to the local covering deficit, and should do so </w:t>
      </w:r>
      <w:r w:rsidRPr="00F226A5">
        <w:rPr>
          <w:i/>
          <w:iCs/>
        </w:rPr>
        <w:t>before</w:t>
      </w:r>
      <w:r w:rsidRPr="00F226A5">
        <w:t xml:space="preserve"> overt behavioural failure. </w:t>
      </w:r>
      <w:r w:rsidRPr="00F226A5">
        <w:rPr>
          <w:i/>
          <w:iCs/>
        </w:rPr>
        <w:t>Test (in-silico):</w:t>
      </w:r>
      <w:r w:rsidRPr="00F226A5">
        <w:t xml:space="preserve"> drive a learned controller progressively off-distribution and measure the certified bound against a measure of local cover thinning. </w:t>
      </w:r>
      <w:r w:rsidRPr="00F226A5">
        <w:rPr>
          <w:i/>
          <w:iCs/>
        </w:rPr>
        <w:t>Refutation:</w:t>
      </w:r>
      <w:r w:rsidRPr="00F226A5">
        <w:t xml:space="preserve"> an all-or-nothing collapse of the certificate at a sharp boundary, with no graded pre-failure inflation, refutes the decompactification account.</w:t>
      </w:r>
    </w:p>
    <w:p w14:paraId="6B17EE69" w14:textId="77777777" w:rsidR="00F226A5" w:rsidRPr="00F226A5" w:rsidRDefault="00F226A5" w:rsidP="00F226A5">
      <w:pPr>
        <w:jc w:val="both"/>
      </w:pPr>
      <w:r w:rsidRPr="00F226A5">
        <w:rPr>
          <w:b/>
          <w:bCs/>
        </w:rPr>
        <w:t>P5 — Horizon–basis coupling.</w:t>
      </w:r>
      <w:r w:rsidRPr="00F226A5">
        <w:t xml:space="preserve"> </w:t>
      </w:r>
      <w:r w:rsidRPr="00F226A5">
        <w:rPr>
          <w:i/>
          <w:iCs/>
        </w:rPr>
        <w:t>Prediction:</w:t>
      </w:r>
      <w:r w:rsidRPr="00F226A5">
        <w:t xml:space="preserve"> lengthening the behavioural horizon (a discount factor approaching unity) raises the Lipschitz constant of the value function and therefore the covering number required to certify a fixed resolution, so basis demand scales with horizon. </w:t>
      </w:r>
      <w:r w:rsidRPr="00F226A5">
        <w:rPr>
          <w:i/>
          <w:iCs/>
        </w:rPr>
        <w:t>Test (in-silico and neural):</w:t>
      </w:r>
      <w:r w:rsidRPr="00F226A5">
        <w:t xml:space="preserve"> in models, measure the basis size needed to maintain a fixed certified resolution as the horizon lengthens; biologically, relate cerebellar basis demand to the behavioural time-horizon a task imposes. </w:t>
      </w:r>
      <w:r w:rsidRPr="00F226A5">
        <w:rPr>
          <w:i/>
          <w:iCs/>
        </w:rPr>
        <w:t>Refutation:</w:t>
      </w:r>
      <w:r w:rsidRPr="00F226A5">
        <w:t xml:space="preserve"> certified-resolution maintenance that is independent of horizon, or basis demand that does not scale with horizon.</w:t>
      </w:r>
    </w:p>
    <w:p w14:paraId="10222D8E" w14:textId="77777777" w:rsidR="00F226A5" w:rsidRPr="00F226A5" w:rsidRDefault="00F226A5" w:rsidP="00F226A5">
      <w:pPr>
        <w:jc w:val="both"/>
      </w:pPr>
      <w:r w:rsidRPr="00F226A5">
        <w:rPr>
          <w:b/>
          <w:bCs/>
        </w:rPr>
        <w:t>P6 — Dissociation of the compactness conjuncts.</w:t>
      </w:r>
      <w:r w:rsidRPr="00F226A5">
        <w:t xml:space="preserve"> </w:t>
      </w:r>
      <w:r w:rsidRPr="00F226A5">
        <w:rPr>
          <w:i/>
          <w:iCs/>
        </w:rPr>
        <w:t>Prediction:</w:t>
      </w:r>
      <w:r w:rsidRPr="00F226A5">
        <w:t xml:space="preserve"> completeness (basal ganglia) and total boundedness (cerebellum) are logically independent, so their deficits dissociate: cerebellar-type deficit yields selected and initiated but uncertified, imprecise execution (the complete-but-unbounded image, clinically dysmetria), while basal-ganglia-type deficit yields a fine intact substrate that is never gated into stable action (the totally-bounded-but-incomplete image). </w:t>
      </w:r>
      <w:r w:rsidRPr="00F226A5">
        <w:rPr>
          <w:i/>
          <w:iCs/>
        </w:rPr>
        <w:t>Test (clinical):</w:t>
      </w:r>
      <w:r w:rsidRPr="00F226A5">
        <w:t xml:space="preserve"> confirm the double dissociation between precision-of-execution deficits and selection-and-initiation deficits. </w:t>
      </w:r>
      <w:r w:rsidRPr="00F226A5">
        <w:rPr>
          <w:i/>
          <w:iCs/>
        </w:rPr>
        <w:t>Refutation:</w:t>
      </w:r>
      <w:r w:rsidRPr="00F226A5">
        <w:t xml:space="preserve"> an obligatory co-occurrence of the two deficits, indicating the contributions are not separable.</w:t>
      </w:r>
    </w:p>
    <w:p w14:paraId="0A3A5A5C" w14:textId="77777777" w:rsidR="00F226A5" w:rsidRPr="00F226A5" w:rsidRDefault="00F226A5" w:rsidP="00F226A5">
      <w:pPr>
        <w:jc w:val="both"/>
      </w:pPr>
      <w:r w:rsidRPr="00F226A5">
        <w:rPr>
          <w:b/>
          <w:bCs/>
        </w:rPr>
        <w:t>P7 — Uncertifiability before convergence.</w:t>
      </w:r>
      <w:r w:rsidRPr="00F226A5">
        <w:t xml:space="preserve"> </w:t>
      </w:r>
      <w:r w:rsidRPr="00F226A5">
        <w:rPr>
          <w:i/>
          <w:iCs/>
        </w:rPr>
        <w:t>Prediction:</w:t>
      </w:r>
      <w:r w:rsidRPr="00F226A5">
        <w:t xml:space="preserve"> the operating manifold is closed, and the system certifiable, only once the policy has converged to its attracting fixed point; during learning, before convergence, the manifold is not closed and no valid certificate exists. </w:t>
      </w:r>
      <w:r w:rsidRPr="00F226A5">
        <w:rPr>
          <w:i/>
          <w:iCs/>
        </w:rPr>
        <w:t>Test (in-silico):</w:t>
      </w:r>
      <w:r w:rsidRPr="00F226A5">
        <w:t xml:space="preserve"> show that worst-case certificates derived mid-learning fail to hold, and become valid only after convergence closes the reachable set. </w:t>
      </w:r>
      <w:r w:rsidRPr="00F226A5">
        <w:rPr>
          <w:i/>
          <w:iCs/>
        </w:rPr>
        <w:t>Refutation:</w:t>
      </w:r>
      <w:r w:rsidRPr="00F226A5">
        <w:t xml:space="preserve"> valid, holding worst-case certificates obtainable from an unconverged, non-stationary policy would undercut the framework's load-bearing completeness assumption.</w:t>
      </w:r>
    </w:p>
    <w:p w14:paraId="7BA9309E" w14:textId="77777777" w:rsidR="00F226A5" w:rsidRPr="00F226A5" w:rsidRDefault="00F226A5" w:rsidP="00F226A5">
      <w:pPr>
        <w:jc w:val="both"/>
      </w:pPr>
      <w:r w:rsidRPr="00F226A5">
        <w:rPr>
          <w:b/>
          <w:bCs/>
        </w:rPr>
        <w:t>P8 — Capacity ceiling.</w:t>
      </w:r>
      <w:r w:rsidRPr="00F226A5">
        <w:t xml:space="preserve"> </w:t>
      </w:r>
      <w:r w:rsidRPr="00F226A5">
        <w:rPr>
          <w:i/>
          <w:iCs/>
        </w:rPr>
        <w:t>Prediction:</w:t>
      </w:r>
      <w:r w:rsidRPr="00F226A5">
        <w:t xml:space="preserve"> a fixed basis (fixed covering capacity) imposes a maximum certifiable behavioural complexity at a given resolution, unraisable by further training. </w:t>
      </w:r>
      <w:r w:rsidRPr="00F226A5">
        <w:rPr>
          <w:i/>
          <w:iCs/>
        </w:rPr>
        <w:t>Test (in-silico):</w:t>
      </w:r>
      <w:r w:rsidRPr="00F226A5">
        <w:t xml:space="preserve"> hold the basis fixed and show that certifiable complexity saturates at a ceiling set by covering capacity, </w:t>
      </w:r>
      <w:r w:rsidRPr="00F226A5">
        <w:lastRenderedPageBreak/>
        <w:t xml:space="preserve">independent of training time or data volume. </w:t>
      </w:r>
      <w:r w:rsidRPr="00F226A5">
        <w:rPr>
          <w:i/>
          <w:iCs/>
        </w:rPr>
        <w:t>Refutation:</w:t>
      </w:r>
      <w:r w:rsidRPr="00F226A5">
        <w:t xml:space="preserve"> certifiable complexity that grows without bound under continued training at fixed basis capacity.</w:t>
      </w:r>
    </w:p>
    <w:p w14:paraId="24BB1C41" w14:textId="77777777" w:rsidR="00F226A5" w:rsidRPr="00F226A5" w:rsidRDefault="00F226A5" w:rsidP="00F226A5">
      <w:pPr>
        <w:jc w:val="both"/>
        <w:rPr>
          <w:b/>
          <w:bCs/>
        </w:rPr>
      </w:pPr>
      <w:r w:rsidRPr="00F226A5">
        <w:rPr>
          <w:b/>
          <w:bCs/>
        </w:rPr>
        <w:t>7.3 Predictions of the binding model</w:t>
      </w:r>
    </w:p>
    <w:p w14:paraId="3937B105" w14:textId="77777777" w:rsidR="00F226A5" w:rsidRPr="00F226A5" w:rsidRDefault="00F226A5" w:rsidP="00F226A5">
      <w:pPr>
        <w:jc w:val="both"/>
      </w:pPr>
      <w:r w:rsidRPr="00F226A5">
        <w:rPr>
          <w:b/>
          <w:bCs/>
        </w:rPr>
        <w:t>P9 — Fragmentation as content failure at retained level.</w:t>
      </w:r>
      <w:r w:rsidRPr="00F226A5">
        <w:t xml:space="preserve"> </w:t>
      </w:r>
      <w:r w:rsidRPr="00F226A5">
        <w:rPr>
          <w:i/>
          <w:iCs/>
        </w:rPr>
        <w:t>Prediction:</w:t>
      </w:r>
      <w:r w:rsidRPr="00F226A5">
        <w:t xml:space="preserve"> pathological fragmentation (dissociation, hallucination) is a non-vanishing binding obstruction — a failure of cross-region commensuration — at retained level of integration, distinct from a mere dimming of level. </w:t>
      </w:r>
      <w:r w:rsidRPr="00F226A5">
        <w:rPr>
          <w:i/>
          <w:iCs/>
        </w:rPr>
        <w:t>Test (neural/clinical):</w:t>
      </w:r>
      <w:r w:rsidRPr="00F226A5">
        <w:t xml:space="preserve"> in fragmentation states, demonstrate failure of inter-region commensuration with level of arousal preserved, dissociable from level-reduction states. </w:t>
      </w:r>
      <w:r w:rsidRPr="00F226A5">
        <w:rPr>
          <w:i/>
          <w:iCs/>
        </w:rPr>
        <w:t>Refutation:</w:t>
      </w:r>
      <w:r w:rsidRPr="00F226A5">
        <w:t xml:space="preserve"> fragmentation that is always accompanied by, and reducible to, a reduction of integrative level, with no distinct content-commensuration failure.</w:t>
      </w:r>
    </w:p>
    <w:p w14:paraId="288EEAA1" w14:textId="77777777" w:rsidR="00F226A5" w:rsidRPr="00F226A5" w:rsidRDefault="00F226A5" w:rsidP="00F226A5">
      <w:pPr>
        <w:jc w:val="both"/>
      </w:pPr>
      <w:r w:rsidRPr="00F226A5">
        <w:rPr>
          <w:b/>
          <w:bCs/>
        </w:rPr>
        <w:t>P10 — Level/content dissociation.</w:t>
      </w:r>
      <w:r w:rsidRPr="00F226A5">
        <w:t xml:space="preserve"> </w:t>
      </w:r>
      <w:r w:rsidRPr="00F226A5">
        <w:rPr>
          <w:i/>
          <w:iCs/>
        </w:rPr>
        <w:t>Prediction:</w:t>
      </w:r>
      <w:r w:rsidRPr="00F226A5">
        <w:t xml:space="preserve"> the level of integration (intralaminar/midline thalamic gating) and the content-specific commensuration (relay/reticular gating) are separable. </w:t>
      </w:r>
      <w:r w:rsidRPr="00F226A5">
        <w:rPr>
          <w:i/>
          <w:iCs/>
        </w:rPr>
        <w:t>Test (neural):</w:t>
      </w:r>
      <w:r w:rsidRPr="00F226A5">
        <w:t xml:space="preserve"> dissociate manipulations that reduce integrative level from those that disrupt content-binding. </w:t>
      </w:r>
      <w:r w:rsidRPr="00F226A5">
        <w:rPr>
          <w:i/>
          <w:iCs/>
        </w:rPr>
        <w:t>Refutation:</w:t>
      </w:r>
      <w:r w:rsidRPr="00F226A5">
        <w:t xml:space="preserve"> an inability to dissociate the two, indicating a single mechanism.</w:t>
      </w:r>
    </w:p>
    <w:p w14:paraId="0DCBE5DA" w14:textId="77777777" w:rsidR="00F226A5" w:rsidRPr="00F226A5" w:rsidRDefault="00F226A5" w:rsidP="00F226A5">
      <w:pPr>
        <w:jc w:val="both"/>
      </w:pPr>
      <w:r w:rsidRPr="00F226A5">
        <w:rPr>
          <w:b/>
          <w:bCs/>
        </w:rPr>
        <w:t>P11 — Asymmetry of commensuration.</w:t>
      </w:r>
      <w:r w:rsidRPr="00F226A5">
        <w:t xml:space="preserve"> </w:t>
      </w:r>
      <w:r w:rsidRPr="00F226A5">
        <w:rPr>
          <w:i/>
          <w:iCs/>
        </w:rPr>
        <w:t>Prediction:</w:t>
      </w:r>
      <w:r w:rsidRPr="00F226A5">
        <w:t xml:space="preserve"> because downward commensuration is free and upward commensuration is costly, a low-rung verdict captures behaviour faster than high-rung computation can regulate it. </w:t>
      </w:r>
      <w:r w:rsidRPr="00F226A5">
        <w:rPr>
          <w:i/>
          <w:iCs/>
        </w:rPr>
        <w:t>Test (neural/behavioural):</w:t>
      </w:r>
      <w:r w:rsidRPr="00F226A5">
        <w:t xml:space="preserve"> compare the latency of threat-driven behavioural capture against the latency of cognitive regulation of the same threat. </w:t>
      </w:r>
      <w:r w:rsidRPr="00F226A5">
        <w:rPr>
          <w:i/>
          <w:iCs/>
        </w:rPr>
        <w:t>Refutation:</w:t>
      </w:r>
      <w:r w:rsidRPr="00F226A5">
        <w:t xml:space="preserve"> symmetric latencies, or faster top-down regulation than bottom-up capture, would contradict the predicted directionality.</w:t>
      </w:r>
    </w:p>
    <w:p w14:paraId="623D9AFC" w14:textId="77777777" w:rsidR="00F226A5" w:rsidRPr="00F226A5" w:rsidRDefault="00F226A5" w:rsidP="00F226A5">
      <w:pPr>
        <w:jc w:val="both"/>
      </w:pPr>
      <w:r w:rsidRPr="00F226A5">
        <w:rPr>
          <w:b/>
          <w:bCs/>
        </w:rPr>
        <w:t>P12 — Fragility of structurally un-glued architectures.</w:t>
      </w:r>
      <w:r w:rsidRPr="00F226A5">
        <w:t xml:space="preserve"> </w:t>
      </w:r>
      <w:r w:rsidRPr="00F226A5">
        <w:rPr>
          <w:i/>
          <w:iCs/>
        </w:rPr>
        <w:t>Prediction:</w:t>
      </w:r>
      <w:r w:rsidRPr="00F226A5">
        <w:t xml:space="preserve"> artificial architectures that stack a metric objective on an inner-product substrate without a projection enforcing commensuration carry a non-vanishing binding obstruction and should fragment — produce incoherent rather than merely inaccurate outputs — precisely under distributional stress, where the manifold decompactifies; an architecture that explicitly drives the obstruction toward zero and gates action on its vanishing should be more robust under the same stress. </w:t>
      </w:r>
      <w:r w:rsidRPr="00F226A5">
        <w:rPr>
          <w:i/>
          <w:iCs/>
        </w:rPr>
        <w:t>Test (in-silico):</w:t>
      </w:r>
      <w:r w:rsidRPr="00F226A5">
        <w:t xml:space="preserve"> compare coherence under matched out-of-distribution stress between a stacked architecture and one with an explicit commensuration projection and an obstruction-gated action rule. </w:t>
      </w:r>
      <w:r w:rsidRPr="00F226A5">
        <w:rPr>
          <w:i/>
          <w:iCs/>
        </w:rPr>
        <w:t>Refutation:</w:t>
      </w:r>
      <w:r w:rsidRPr="00F226A5">
        <w:t xml:space="preserve"> equal or worse coherence from the commensuration-projection architecture, or coherence failure in stacked architectures that is unrelated to distributional stress.</w:t>
      </w:r>
    </w:p>
    <w:p w14:paraId="706F97A0" w14:textId="77777777" w:rsidR="00F226A5" w:rsidRPr="00F226A5" w:rsidRDefault="00F226A5" w:rsidP="00F226A5">
      <w:pPr>
        <w:jc w:val="both"/>
        <w:rPr>
          <w:b/>
          <w:bCs/>
        </w:rPr>
      </w:pPr>
      <w:r w:rsidRPr="00F226A5">
        <w:rPr>
          <w:b/>
          <w:bCs/>
        </w:rPr>
        <w:t>7.4 Predictions of the sleep account</w:t>
      </w:r>
    </w:p>
    <w:p w14:paraId="0418CC6A" w14:textId="77777777" w:rsidR="00F226A5" w:rsidRPr="00F226A5" w:rsidRDefault="00F226A5" w:rsidP="00F226A5">
      <w:pPr>
        <w:jc w:val="both"/>
      </w:pPr>
      <w:r w:rsidRPr="00F226A5">
        <w:rPr>
          <w:b/>
          <w:bCs/>
        </w:rPr>
        <w:t>P13 — Thalamic firing-mode commitment.</w:t>
      </w:r>
      <w:r w:rsidRPr="00F226A5">
        <w:t xml:space="preserve"> </w:t>
      </w:r>
      <w:r w:rsidRPr="00F226A5">
        <w:rPr>
          <w:i/>
          <w:iCs/>
        </w:rPr>
        <w:t>Prediction:</w:t>
      </w:r>
      <w:r w:rsidRPr="00F226A5">
        <w:t xml:space="preserve"> the thalamus occupies the burst, non-relay mode throughout both principal sleep states and does not enter faithful-relay tonic mode. </w:t>
      </w:r>
      <w:r w:rsidRPr="00F226A5">
        <w:rPr>
          <w:i/>
          <w:iCs/>
        </w:rPr>
        <w:t>Test (neural):</w:t>
      </w:r>
      <w:r w:rsidRPr="00F226A5">
        <w:t xml:space="preserve"> characterise thalamic firing mode across the sleep cycle. </w:t>
      </w:r>
      <w:r w:rsidRPr="00F226A5">
        <w:rPr>
          <w:i/>
          <w:iCs/>
        </w:rPr>
        <w:t>Refutation:</w:t>
      </w:r>
      <w:r w:rsidRPr="00F226A5">
        <w:t xml:space="preserve"> faithful-relay tonic-mode thalamic transmission during sleep would refute the framework's core claim that downward projection is suspended offline — this is the framework's single most decisive kill condition.</w:t>
      </w:r>
    </w:p>
    <w:p w14:paraId="4666B894" w14:textId="77777777" w:rsidR="00F226A5" w:rsidRPr="00F226A5" w:rsidRDefault="00F226A5" w:rsidP="00F226A5">
      <w:pPr>
        <w:jc w:val="both"/>
      </w:pPr>
      <w:r w:rsidRPr="00F226A5">
        <w:rPr>
          <w:b/>
          <w:bCs/>
        </w:rPr>
        <w:t>P14 — Dependency ordering of stages.</w:t>
      </w:r>
      <w:r w:rsidRPr="00F226A5">
        <w:t xml:space="preserve"> </w:t>
      </w:r>
      <w:r w:rsidRPr="00F226A5">
        <w:rPr>
          <w:i/>
          <w:iCs/>
        </w:rPr>
        <w:t>Prediction:</w:t>
      </w:r>
      <w:r w:rsidRPr="00F226A5">
        <w:t xml:space="preserve"> the lift that builds the semantic coordinate frame peaks early (slow-wave sleep), the lifts that furnish it peak in the middle (spindle-rich sleep), and the most context-dependent lift peaks late (REM); disrupting the early frame-building stage should degrade the later lifts that depend on it, and waking mid-frame-building should produce disorientation (sleep inertia). </w:t>
      </w:r>
      <w:r w:rsidRPr="00F226A5">
        <w:rPr>
          <w:i/>
          <w:iCs/>
        </w:rPr>
        <w:t>Test (neural/behavioural):</w:t>
      </w:r>
      <w:r w:rsidRPr="00F226A5">
        <w:t xml:space="preserve"> confirm the peak-timing gradient; selectively disrupt early slow-wave sleep and test for downstream impairment of procedural and affective consolidation; relate </w:t>
      </w:r>
      <w:r w:rsidRPr="00F226A5">
        <w:lastRenderedPageBreak/>
        <w:t xml:space="preserve">sleep inertia to interruption of slow-wave lifting. </w:t>
      </w:r>
      <w:r w:rsidRPr="00F226A5">
        <w:rPr>
          <w:i/>
          <w:iCs/>
        </w:rPr>
        <w:t>Refutation:</w:t>
      </w:r>
      <w:r w:rsidRPr="00F226A5">
        <w:t xml:space="preserve"> a stage order independent of the dependency among lifts, or early-stage disruption that does not impair later-stage consolidation.</w:t>
      </w:r>
    </w:p>
    <w:p w14:paraId="6DC3D6D6" w14:textId="77777777" w:rsidR="00F226A5" w:rsidRPr="00F226A5" w:rsidRDefault="00F226A5" w:rsidP="00F226A5">
      <w:pPr>
        <w:jc w:val="both"/>
      </w:pPr>
      <w:r w:rsidRPr="00F226A5">
        <w:rPr>
          <w:b/>
          <w:bCs/>
        </w:rPr>
        <w:t>P15 — Double dissociation of binding routes.</w:t>
      </w:r>
      <w:r w:rsidRPr="00F226A5">
        <w:t xml:space="preserve"> </w:t>
      </w:r>
      <w:r w:rsidRPr="00F226A5">
        <w:rPr>
          <w:i/>
          <w:iCs/>
        </w:rPr>
        <w:t>Prediction:</w:t>
      </w:r>
      <w:r w:rsidRPr="00F226A5">
        <w:t xml:space="preserve"> factual and procedural consolidation track thalamo-cortical coupling (spindle–ripple–slow-oscillation nesting), whereas affective de-charging tracks hippocampal–amygdalar coupling independently of thalamic relay fidelity. </w:t>
      </w:r>
      <w:r w:rsidRPr="00F226A5">
        <w:rPr>
          <w:i/>
          <w:iCs/>
        </w:rPr>
        <w:t>Test (neural):</w:t>
      </w:r>
      <w:r w:rsidRPr="00F226A5">
        <w:t xml:space="preserve"> dissociate the two consolidations by the coupling each depends upon. </w:t>
      </w:r>
      <w:r w:rsidRPr="00F226A5">
        <w:rPr>
          <w:i/>
          <w:iCs/>
        </w:rPr>
        <w:t>Refutation:</w:t>
      </w:r>
      <w:r w:rsidRPr="00F226A5">
        <w:t xml:space="preserve"> affective de-charging that depends on thalamo-cortical coupling, or factual consolidation that depends on hippocampal–amygdalar coupling independent of thalamo-cortical nesting, would collapse the two-chart distinction. This is the framework's principal positive prediction at the level of mechanism.</w:t>
      </w:r>
    </w:p>
    <w:p w14:paraId="0D15BE1D" w14:textId="77777777" w:rsidR="00F226A5" w:rsidRPr="00F226A5" w:rsidRDefault="00F226A5" w:rsidP="00F226A5">
      <w:pPr>
        <w:jc w:val="both"/>
      </w:pPr>
      <w:r w:rsidRPr="00F226A5">
        <w:rPr>
          <w:b/>
          <w:bCs/>
        </w:rPr>
        <w:t>P16 — Olfactory under-representation in dreams.</w:t>
      </w:r>
      <w:r w:rsidRPr="00F226A5">
        <w:t xml:space="preserve"> </w:t>
      </w:r>
      <w:r w:rsidRPr="00F226A5">
        <w:rPr>
          <w:i/>
          <w:iCs/>
        </w:rPr>
        <w:t>Prediction:</w:t>
      </w:r>
      <w:r w:rsidRPr="00F226A5">
        <w:t xml:space="preserve"> because olfaction bypasses the thalamic relay and so has no thalamic binding to replay, olfactory content should be markedly under-represented in dream experience relative to relay-bound modalities. </w:t>
      </w:r>
      <w:r w:rsidRPr="00F226A5">
        <w:rPr>
          <w:i/>
          <w:iCs/>
        </w:rPr>
        <w:t>Test (behavioural):</w:t>
      </w:r>
      <w:r w:rsidRPr="00F226A5">
        <w:t xml:space="preserve"> quantify modality content in dream reports. </w:t>
      </w:r>
      <w:r w:rsidRPr="00F226A5">
        <w:rPr>
          <w:i/>
          <w:iCs/>
        </w:rPr>
        <w:t>Refutation:</w:t>
      </w:r>
      <w:r w:rsidRPr="00F226A5">
        <w:t xml:space="preserve"> olfactory dream content at parity with vision and audition.</w:t>
      </w:r>
    </w:p>
    <w:p w14:paraId="162B2771" w14:textId="77777777" w:rsidR="00F226A5" w:rsidRPr="00F226A5" w:rsidRDefault="00F226A5" w:rsidP="00F226A5">
      <w:pPr>
        <w:jc w:val="both"/>
      </w:pPr>
      <w:r w:rsidRPr="00F226A5">
        <w:rPr>
          <w:b/>
          <w:bCs/>
        </w:rPr>
        <w:t>P17 — Double dissociation of failure modes.</w:t>
      </w:r>
      <w:r w:rsidRPr="00F226A5">
        <w:t xml:space="preserve"> </w:t>
      </w:r>
      <w:r w:rsidRPr="00F226A5">
        <w:rPr>
          <w:i/>
          <w:iCs/>
        </w:rPr>
        <w:t>Prediction:</w:t>
      </w:r>
      <w:r w:rsidRPr="00F226A5">
        <w:t xml:space="preserve"> the volatile lift depends on two separable conditions — the motor clamp and the chart stitching — whose independent failures yield distinct disorders: clamp failure with intact stitching produces enacted dreams (a brainstem quarantine failure, prodromal for synucleinopathy), while stitching failure with intact clamp produces trauma intrusion (an integration failure: an un-glued alarm replayed in the present tense, cued by the bypass channels of smell and sudden threat). </w:t>
      </w:r>
      <w:r w:rsidRPr="00F226A5">
        <w:rPr>
          <w:i/>
          <w:iCs/>
        </w:rPr>
        <w:t>Test (clinical):</w:t>
      </w:r>
      <w:r w:rsidRPr="00F226A5">
        <w:t xml:space="preserve"> confirm that the two disorders are separately localised and not obligately comorbid, and that trauma intrusion is preferentially cued by the bypass modalities. </w:t>
      </w:r>
      <w:r w:rsidRPr="00F226A5">
        <w:rPr>
          <w:i/>
          <w:iCs/>
        </w:rPr>
        <w:t>Refutation:</w:t>
      </w:r>
      <w:r w:rsidRPr="00F226A5">
        <w:t xml:space="preserve"> an obligatory comorbidity or shared locus of the two disorders, or trauma cueing with no preference for the bypass channels.</w:t>
      </w:r>
    </w:p>
    <w:p w14:paraId="1094E9C7" w14:textId="77777777" w:rsidR="00F226A5" w:rsidRPr="00F226A5" w:rsidRDefault="00F226A5" w:rsidP="00F226A5">
      <w:pPr>
        <w:jc w:val="both"/>
      </w:pPr>
      <w:r w:rsidRPr="00F226A5">
        <w:rPr>
          <w:b/>
          <w:bCs/>
        </w:rPr>
        <w:t>P18 — Downstream locus of the motor clamp.</w:t>
      </w:r>
      <w:r w:rsidRPr="00F226A5">
        <w:t xml:space="preserve"> </w:t>
      </w:r>
      <w:r w:rsidRPr="00F226A5">
        <w:rPr>
          <w:i/>
          <w:iCs/>
        </w:rPr>
        <w:t>Prediction:</w:t>
      </w:r>
      <w:r w:rsidRPr="00F226A5">
        <w:t xml:space="preserve"> because the fast-fear route can reach motor output while bypassing the thalamus, the atonia clamp must lie downstream of the selection gate, at the final common path. </w:t>
      </w:r>
      <w:r w:rsidRPr="00F226A5">
        <w:rPr>
          <w:i/>
          <w:iCs/>
        </w:rPr>
        <w:t>Test (neural):</w:t>
      </w:r>
      <w:r w:rsidRPr="00F226A5">
        <w:t xml:space="preserve"> localise the clamp and confirm it acts at the spinal motor neuron, downstream of and additional to the basal-ganglia gate. </w:t>
      </w:r>
      <w:r w:rsidRPr="00F226A5">
        <w:rPr>
          <w:i/>
          <w:iCs/>
        </w:rPr>
        <w:t>Refutation:</w:t>
      </w:r>
      <w:r w:rsidRPr="00F226A5">
        <w:t xml:space="preserve"> an atonia mechanism that operates solely at or above the selection gate, which would fail to intercept the bypass route.</w:t>
      </w:r>
    </w:p>
    <w:p w14:paraId="3BD934F6" w14:textId="77777777" w:rsidR="00F226A5" w:rsidRPr="00F226A5" w:rsidRDefault="00F226A5" w:rsidP="00F226A5">
      <w:pPr>
        <w:jc w:val="both"/>
      </w:pPr>
      <w:r w:rsidRPr="00F226A5">
        <w:rPr>
          <w:b/>
          <w:bCs/>
        </w:rPr>
        <w:t>P19 — Evolutionary convergence of the lift.</w:t>
      </w:r>
      <w:r w:rsidRPr="00F226A5">
        <w:t xml:space="preserve"> </w:t>
      </w:r>
      <w:r w:rsidRPr="00F226A5">
        <w:rPr>
          <w:i/>
          <w:iCs/>
        </w:rPr>
        <w:t>Prediction:</w:t>
      </w:r>
      <w:r w:rsidRPr="00F226A5">
        <w:t xml:space="preserve"> an offline two-state lift should arise — and recur convergently — in any lineage that evolves a high-rung integrative destination requiring offline integration of low-rung content; the older, lower lift (active/REM-like) should dominate early in development; and slow-wave activity should scale with the size of the high-rung destination. </w:t>
      </w:r>
      <w:r w:rsidRPr="00F226A5">
        <w:rPr>
          <w:i/>
          <w:iCs/>
        </w:rPr>
        <w:t>Test (comparative/developmental):</w:t>
      </w:r>
      <w:r w:rsidRPr="00F226A5">
        <w:t xml:space="preserve"> relate the presence and elaboration of two-state sleep to the independent evolution of integrative structures across taxa, and confirm the ontogenetic dominance and scaling claims. </w:t>
      </w:r>
      <w:r w:rsidRPr="00F226A5">
        <w:rPr>
          <w:i/>
          <w:iCs/>
        </w:rPr>
        <w:t>Refutation:</w:t>
      </w:r>
      <w:r w:rsidRPr="00F226A5">
        <w:t xml:space="preserve"> a lineage with sophisticated high-rung integration but no offline two-state lift, or scaling of sleep states opposite to that predicted, would refute the functional account. We note that this prediction concerns a contested comparative literature and that the framework here commits to convergence rather than to the single-origin accretion that current evidence appears to rule out; the specific comparative findings require verification against primary sources.</w:t>
      </w:r>
    </w:p>
    <w:p w14:paraId="16D187A7" w14:textId="77777777" w:rsidR="00F226A5" w:rsidRPr="00F226A5" w:rsidRDefault="00F226A5" w:rsidP="00F226A5">
      <w:pPr>
        <w:jc w:val="both"/>
        <w:rPr>
          <w:b/>
          <w:bCs/>
        </w:rPr>
      </w:pPr>
      <w:r w:rsidRPr="00F226A5">
        <w:rPr>
          <w:b/>
          <w:bCs/>
        </w:rPr>
        <w:t>7.5 The decisive tests and the scope of refutation</w:t>
      </w:r>
    </w:p>
    <w:p w14:paraId="7F4DD3AD" w14:textId="77777777" w:rsidR="00F226A5" w:rsidRPr="00F226A5" w:rsidRDefault="00F226A5" w:rsidP="00F226A5">
      <w:pPr>
        <w:jc w:val="both"/>
      </w:pPr>
      <w:r w:rsidRPr="00F226A5">
        <w:t>The predictions differ in what their failure would cost the framework, and it is worth stating this explicitly.</w:t>
      </w:r>
    </w:p>
    <w:p w14:paraId="67BE9506" w14:textId="77777777" w:rsidR="00F226A5" w:rsidRPr="00F226A5" w:rsidRDefault="00F226A5" w:rsidP="00F226A5">
      <w:pPr>
        <w:jc w:val="both"/>
      </w:pPr>
      <w:r w:rsidRPr="00F226A5">
        <w:lastRenderedPageBreak/>
        <w:t xml:space="preserve">Three tests are </w:t>
      </w:r>
      <w:r w:rsidRPr="00F226A5">
        <w:rPr>
          <w:i/>
          <w:iCs/>
        </w:rPr>
        <w:t>decisive for the whole framework</w:t>
      </w:r>
      <w:r w:rsidRPr="00F226A5">
        <w:t>. The thalamic firing-mode commitment (P13) is the clearest single kill condition: faithful-relay transmission during sleep would falsify the central claim that offline operation suspends downward projection. The decompactification gradient (P4) tests the identity of certifiability with compactness on which Section 4 rests; a sharp, ungraded failure boundary would indicate that the topological account misdescribes how certification degrades. The double dissociation of binding routes (P15) tests the two-chart architecture that links the binding model of Section 5 to the sleep account of Section 6; its failure would collapse the distinction between the thalamic and limbic charts on which much of the later framework depends.</w:t>
      </w:r>
    </w:p>
    <w:p w14:paraId="1567E6B7" w14:textId="77777777" w:rsidR="00F226A5" w:rsidRPr="00F226A5" w:rsidRDefault="00F226A5" w:rsidP="00F226A5">
      <w:pPr>
        <w:jc w:val="both"/>
      </w:pPr>
      <w:r w:rsidRPr="00F226A5">
        <w:t xml:space="preserve">Other tests are </w:t>
      </w:r>
      <w:r w:rsidRPr="00F226A5">
        <w:rPr>
          <w:i/>
          <w:iCs/>
        </w:rPr>
        <w:t>decisive only for a component</w:t>
      </w:r>
      <w:r w:rsidRPr="00F226A5">
        <w:t>. The parsimony refutations (P1) bear on individual rung assignments and could be failed for one region while the ladder stands for the others. The capacity ceiling (P8) and horizon–basis coupling (P5) refine the certification budget without threatening the compactness result itself. The evolutionary convergence prediction (P19) bears on the sleep account's consistency with comparative biology; its failure would force revision of the evolutionary claim but not of the lift mechanism within an individual organism. The clinical dissociations (P6, P17) bear on specific organ-to-property and failure-to-locus mappings rather than on the formal architecture.</w:t>
      </w:r>
    </w:p>
    <w:p w14:paraId="4E0AC4A9" w14:textId="77777777" w:rsidR="00F226A5" w:rsidRPr="00F226A5" w:rsidRDefault="00F226A5" w:rsidP="00F226A5">
      <w:pPr>
        <w:jc w:val="both"/>
      </w:pPr>
      <w:r w:rsidRPr="00F226A5">
        <w:t>Finally, the framework's load-bearing assumption — that an attracting fixed point closes the operating manifold (P7) — is the joint at which the certification result is most exposed, and we have framed it deliberately as a falsifiable commitment rather than a hidden premise: a valid worst-case certificate obtained from an unconverged policy would require the framework to be rebuilt. We regard the willingness to name these conditions, and to distinguish whole-framework from component refutations, as the appropriate standard against which a unifying conceptual proposal of this kind should be judged.</w:t>
      </w:r>
    </w:p>
    <w:p w14:paraId="37EDF8E7" w14:textId="77777777" w:rsidR="008B40F0" w:rsidRPr="008B40F0" w:rsidRDefault="008B40F0" w:rsidP="00725D1A">
      <w:pPr>
        <w:pStyle w:val="Heading1"/>
      </w:pPr>
      <w:r w:rsidRPr="008B40F0">
        <w:t>8. Scope, Limits, and Conclusion</w:t>
      </w:r>
    </w:p>
    <w:p w14:paraId="3F727BC0" w14:textId="77777777" w:rsidR="008B40F0" w:rsidRPr="008B40F0" w:rsidRDefault="008B40F0" w:rsidP="008B40F0">
      <w:pPr>
        <w:jc w:val="both"/>
      </w:pPr>
      <w:r w:rsidRPr="008B40F0">
        <w:t>A unifying framework that reaches from the geometry of action to the architecture of sleep and the structure of unified awareness owes an account of its own status: what kind of claim it makes, how confident each part is entitled to be, and what would show it to be wrong. This section provides that account. We state the framework's status as a specification-level isomorphism (§8.1), distinguish the tiers of confidence its claims occupy (§8.2), set out the load-bearing assumptions and the contested territory honestly (§8.3), consider the principal objections (§8.4), and conclude with the framework's actual contribution (§8.5).</w:t>
      </w:r>
    </w:p>
    <w:p w14:paraId="260259AE" w14:textId="77777777" w:rsidR="008B40F0" w:rsidRPr="008B40F0" w:rsidRDefault="008B40F0" w:rsidP="008B40F0">
      <w:pPr>
        <w:jc w:val="both"/>
        <w:rPr>
          <w:b/>
          <w:bCs/>
        </w:rPr>
      </w:pPr>
      <w:r w:rsidRPr="008B40F0">
        <w:rPr>
          <w:b/>
          <w:bCs/>
        </w:rPr>
        <w:t>8.1 The status of the claims</w:t>
      </w:r>
    </w:p>
    <w:p w14:paraId="43373563" w14:textId="77777777" w:rsidR="008B40F0" w:rsidRPr="008B40F0" w:rsidRDefault="008B40F0" w:rsidP="008B40F0">
      <w:pPr>
        <w:jc w:val="both"/>
      </w:pPr>
      <w:r w:rsidRPr="008B40F0">
        <w:t xml:space="preserve">The framework is a </w:t>
      </w:r>
      <w:r w:rsidRPr="008B40F0">
        <w:rPr>
          <w:i/>
          <w:iCs/>
        </w:rPr>
        <w:t>specification-level isomorphism</w:t>
      </w:r>
      <w:r w:rsidRPr="008B40F0">
        <w:t xml:space="preserve"> between neural function and mathematical structure, not a claim of literal implementation. We do not assert that cerebellar circuits enumerate open covers, that the striatum computes in a supremum norm, or that the thalamus evaluates a cohomology class. We assert that the </w:t>
      </w:r>
      <w:r w:rsidRPr="008B40F0">
        <w:rPr>
          <w:i/>
          <w:iCs/>
        </w:rPr>
        <w:t>functions</w:t>
      </w:r>
      <w:r w:rsidRPr="008B40F0">
        <w:t xml:space="preserve"> these systems perform have the formal structure of the rungs, conjuncts, projections, and lifts to which we assign them, and that the relations among those functions have the formal structure of the theorems we invoke. The mapping is between what each system must accomplish and the mathematical object that characterises accomplishing it, not between neural mechanism and mathematical procedure.</w:t>
      </w:r>
    </w:p>
    <w:p w14:paraId="3807F440" w14:textId="77777777" w:rsidR="008B40F0" w:rsidRPr="008B40F0" w:rsidRDefault="008B40F0" w:rsidP="008B40F0">
      <w:pPr>
        <w:jc w:val="both"/>
      </w:pPr>
      <w:r w:rsidRPr="008B40F0">
        <w:t xml:space="preserve">So construed, the framework has two kinds of value, and it is fair to judge it only by these. The first is as a </w:t>
      </w:r>
      <w:r w:rsidRPr="008B40F0">
        <w:rPr>
          <w:i/>
          <w:iCs/>
        </w:rPr>
        <w:t>design contract</w:t>
      </w:r>
      <w:r w:rsidRPr="008B40F0">
        <w:t xml:space="preserve">: it specifies what an artificial system must establish — completeness and total boundedness of its operating manifold, a projection enforcing commensuration among its representations, a vanishing binding obstruction before it acts — in order that its actions be defensible, </w:t>
      </w:r>
      <w:r w:rsidRPr="008B40F0">
        <w:lastRenderedPageBreak/>
        <w:t xml:space="preserve">with the brain serving as existence proof that such an architecture is realisable in a physical substrate. The second is </w:t>
      </w:r>
      <w:r w:rsidRPr="008B40F0">
        <w:rPr>
          <w:i/>
          <w:iCs/>
        </w:rPr>
        <w:t>unification</w:t>
      </w:r>
      <w:r w:rsidRPr="008B40F0">
        <w:t>: it derives a heterogeneous set of phenomena, which are ordinarily treated separately, as consequences of a single principle. Neither value requires that the mathematics describe the mechanism; both require only that it describe the specification correctly. We take the framework's worth to lie in the breadth of what it derives from one principle and in the falsifiable predictions each derivation carries, and we accept that it stands or falls on those grounds rather than on any claim to mechanistic literalness.</w:t>
      </w:r>
    </w:p>
    <w:p w14:paraId="24321A90" w14:textId="77777777" w:rsidR="008B40F0" w:rsidRPr="008B40F0" w:rsidRDefault="008B40F0" w:rsidP="008B40F0">
      <w:pPr>
        <w:jc w:val="both"/>
        <w:rPr>
          <w:b/>
          <w:bCs/>
        </w:rPr>
      </w:pPr>
      <w:r w:rsidRPr="008B40F0">
        <w:rPr>
          <w:b/>
          <w:bCs/>
        </w:rPr>
        <w:t>8.2 Tiers of confidence</w:t>
      </w:r>
    </w:p>
    <w:p w14:paraId="3131BB96" w14:textId="77777777" w:rsidR="008B40F0" w:rsidRPr="008B40F0" w:rsidRDefault="008B40F0" w:rsidP="008B40F0">
      <w:pPr>
        <w:jc w:val="both"/>
      </w:pPr>
      <w:r w:rsidRPr="008B40F0">
        <w:t>The claims do not all merit equal confidence, and conflating them would misrepresent the framework. We distinguish three tiers.</w:t>
      </w:r>
    </w:p>
    <w:p w14:paraId="5BF648F3" w14:textId="77777777" w:rsidR="008B40F0" w:rsidRPr="008B40F0" w:rsidRDefault="008B40F0" w:rsidP="008B40F0">
      <w:pPr>
        <w:jc w:val="both"/>
      </w:pPr>
      <w:r w:rsidRPr="008B40F0">
        <w:t xml:space="preserve">The </w:t>
      </w:r>
      <w:r w:rsidRPr="008B40F0">
        <w:rPr>
          <w:i/>
          <w:iCs/>
        </w:rPr>
        <w:t>load-bearing core</w:t>
      </w:r>
      <w:r w:rsidRPr="008B40F0">
        <w:t>, in which the mathematics does genuine work and the conclusions are entailed rather than suggested, is the certification result of Section 4: that defensible action requires a compact operating manifold, that compactness is the conjunction of two logically independent properties, that the Arzelà–Ascoli theorem certifies a controller on a compact domain, and that out-of-distribution failure is the graded loss of that compactness. These are theorems of analysis applied to a stated specification; given the specification, they hold. The associated engineering rule — withhold action while the binding obstruction is non-zero — belongs to this tier, since it follows from the certification logic independently of any interpretive commitment.</w:t>
      </w:r>
    </w:p>
    <w:p w14:paraId="12597BDB" w14:textId="77777777" w:rsidR="008B40F0" w:rsidRPr="008B40F0" w:rsidRDefault="008B40F0" w:rsidP="008B40F0">
      <w:pPr>
        <w:jc w:val="both"/>
      </w:pPr>
      <w:r w:rsidRPr="008B40F0">
        <w:t xml:space="preserve">The </w:t>
      </w:r>
      <w:r w:rsidRPr="008B40F0">
        <w:rPr>
          <w:i/>
          <w:iCs/>
        </w:rPr>
        <w:t>strong hypotheses</w:t>
      </w:r>
      <w:r w:rsidRPr="008B40F0">
        <w:t>, which are substantive, falsifiable, and supported by the convergence of mathematics with known neurobiology, but which are empirical conjectures rather than entailments, comprise the rung assignments and the structural-parsimony principle (Section 2), the gating account (Section 3), and the sleep account with its thalamic firing-mode commitment and two double dissociations (Section 6). These make risky predictions and could be refuted by the tests of Section 7; their current support is the agreement of the framework's derivations with established findings, not proof.</w:t>
      </w:r>
    </w:p>
    <w:p w14:paraId="0DF1316A" w14:textId="77777777" w:rsidR="008B40F0" w:rsidRPr="008B40F0" w:rsidRDefault="008B40F0" w:rsidP="008B40F0">
      <w:pPr>
        <w:jc w:val="both"/>
      </w:pPr>
      <w:r w:rsidRPr="008B40F0">
        <w:t xml:space="preserve">The </w:t>
      </w:r>
      <w:r w:rsidRPr="008B40F0">
        <w:rPr>
          <w:i/>
          <w:iCs/>
        </w:rPr>
        <w:t>interpretive horizon</w:t>
      </w:r>
      <w:r w:rsidRPr="008B40F0">
        <w:t>, which the framework gestures toward and which gives it conceptual reach but which is not load-bearing for any of its operational claims, is the identification of unified awareness with the existence of a global section and its correspondence to the witness of Advaita Vedānta (Section 5). We hold this as a structural isomorphism and not an identity, and we have been careful to ensure that nothing in the certification result, the safety rule, or the sleep account depends upon it. A reader who rejects the consciousness correspondence entirely loses the framework's horizon but none of its operational content.</w:t>
      </w:r>
    </w:p>
    <w:p w14:paraId="79017377" w14:textId="77777777" w:rsidR="008B40F0" w:rsidRPr="008B40F0" w:rsidRDefault="008B40F0" w:rsidP="008B40F0">
      <w:pPr>
        <w:jc w:val="both"/>
      </w:pPr>
      <w:r w:rsidRPr="008B40F0">
        <w:t>Honesty about these tiers is itself part of the framework's claim to be a scientific proposal: it specifies not only what it predicts but how much weight each prediction can bear.</w:t>
      </w:r>
    </w:p>
    <w:p w14:paraId="47B792C4" w14:textId="77777777" w:rsidR="008B40F0" w:rsidRPr="008B40F0" w:rsidRDefault="008B40F0" w:rsidP="008B40F0">
      <w:pPr>
        <w:jc w:val="both"/>
        <w:rPr>
          <w:b/>
          <w:bCs/>
        </w:rPr>
      </w:pPr>
      <w:r w:rsidRPr="008B40F0">
        <w:rPr>
          <w:b/>
          <w:bCs/>
        </w:rPr>
        <w:t>8.3 Limits and load-bearing assumptions</w:t>
      </w:r>
    </w:p>
    <w:p w14:paraId="688650D4" w14:textId="77777777" w:rsidR="008B40F0" w:rsidRPr="008B40F0" w:rsidRDefault="008B40F0" w:rsidP="008B40F0">
      <w:pPr>
        <w:jc w:val="both"/>
      </w:pPr>
      <w:r w:rsidRPr="008B40F0">
        <w:t>Several specific limits warrant explicit statement, beyond the general tiering above.</w:t>
      </w:r>
    </w:p>
    <w:p w14:paraId="03D7B6E0" w14:textId="77777777" w:rsidR="008B40F0" w:rsidRPr="008B40F0" w:rsidRDefault="008B40F0" w:rsidP="008B40F0">
      <w:pPr>
        <w:jc w:val="both"/>
      </w:pPr>
      <w:r w:rsidRPr="008B40F0">
        <w:t>The framework's single most exposed assumption is mathematical: that an attracting fixed point of the value dynamics closes the operating manifold and thereby supplies its completeness (§4.2). This is the joint on which the certification result rests, and it is an assumption about the closure of reachable sets under stabilising policies rather than a theorem we prove here. We have framed it as a falsifiable commitment (P7) precisely because it is load-bearing; a valid worst-case certificate obtained from an unconverged policy would require the result to be rebuilt.</w:t>
      </w:r>
    </w:p>
    <w:p w14:paraId="058F6B65" w14:textId="77777777" w:rsidR="008B40F0" w:rsidRPr="008B40F0" w:rsidRDefault="008B40F0" w:rsidP="008B40F0">
      <w:pPr>
        <w:jc w:val="both"/>
      </w:pPr>
      <w:r w:rsidRPr="008B40F0">
        <w:lastRenderedPageBreak/>
        <w:t>Several biophysical mappings are first-order idealisations. Convergence of the direct and indirect pathways at the basal-ganglia output is, in the classical account, closer to subtraction than to the division our normalisation reading requires; clean divisive gain depends on the recurrent subthalamo-pallidal loop together with a balanced, noisy regime, and has its firmest purchase at the thalamic relay rather than at the output nucleus. The reciprocal D1/D2 action of dopamine is a useful first-order description over more graded machinery. The shunting realisation of divisive normalisation is nearly subtractive for a single conductance and recovers multiplicative gain only in the balanced regime. None of these undercuts the gating motif, but each marks a place where the clean mathematical statement sits on messier mechanism.</w:t>
      </w:r>
    </w:p>
    <w:p w14:paraId="6A17C81F" w14:textId="77777777" w:rsidR="008B40F0" w:rsidRPr="008B40F0" w:rsidRDefault="008B40F0" w:rsidP="008B40F0">
      <w:pPr>
        <w:jc w:val="both"/>
      </w:pPr>
      <w:r w:rsidRPr="008B40F0">
        <w:t>The two-chart architecture and the chart-transition account of REM (§6.5) are a modelling choice laid over the established bypass anatomy of olfaction and the fast-fear route, not an established mechanism; their value is the predictions they generate (P15, P16, P17), and those predictions, not the formalism, are what should be tested. The evolutionary account (§6.8) rests on a comparative literature that is actively contested; we have committed to convergence rather than to single-origin accretion, named the accretion story as the version current evidence appears to rule out, and flagged that the specific comparative findings require verification against primary sources. The clinical correspondences throughout — dysmetria and akinesia to the compactness conjuncts, dissociation and hallucination to the binding obstruction, REM behaviour disorder and trauma intrusion to the two failure modes — are dissociation predictions the architecture makes, not established etiologies, and should be read as such.</w:t>
      </w:r>
    </w:p>
    <w:p w14:paraId="2D654393" w14:textId="77777777" w:rsidR="008B40F0" w:rsidRPr="008B40F0" w:rsidRDefault="008B40F0" w:rsidP="008B40F0">
      <w:pPr>
        <w:jc w:val="both"/>
      </w:pPr>
      <w:r w:rsidRPr="008B40F0">
        <w:t>Finally, the framework inherits the standard limits of any account pitched at the level of specification. It does not derive the specific neural codes, the learning rules, or the developmental program by which the brain realises the structures it assigns; it characterises what those mechanisms must achieve, not how they achieve it. The gap between specification and mechanism is the principal direction in which the framework is incomplete.</w:t>
      </w:r>
    </w:p>
    <w:p w14:paraId="20DE30FA" w14:textId="77777777" w:rsidR="008B40F0" w:rsidRPr="008B40F0" w:rsidRDefault="008B40F0" w:rsidP="008B40F0">
      <w:pPr>
        <w:jc w:val="both"/>
        <w:rPr>
          <w:b/>
          <w:bCs/>
        </w:rPr>
      </w:pPr>
      <w:r w:rsidRPr="008B40F0">
        <w:rPr>
          <w:b/>
          <w:bCs/>
        </w:rPr>
        <w:t>8.4 Objections considered</w:t>
      </w:r>
    </w:p>
    <w:p w14:paraId="0709A0BE" w14:textId="77777777" w:rsidR="008B40F0" w:rsidRPr="008B40F0" w:rsidRDefault="008B40F0" w:rsidP="008B40F0">
      <w:pPr>
        <w:jc w:val="both"/>
      </w:pPr>
      <w:r w:rsidRPr="008B40F0">
        <w:t>We address the objections most likely to be raised.</w:t>
      </w:r>
    </w:p>
    <w:p w14:paraId="17685C29" w14:textId="77777777" w:rsidR="008B40F0" w:rsidRPr="008B40F0" w:rsidRDefault="008B40F0" w:rsidP="008B40F0">
      <w:pPr>
        <w:jc w:val="both"/>
      </w:pPr>
      <w:r w:rsidRPr="008B40F0">
        <w:rPr>
          <w:i/>
          <w:iCs/>
        </w:rPr>
        <w:t>That the framework is post-hoc pattern-matching.</w:t>
      </w:r>
      <w:r w:rsidRPr="008B40F0">
        <w:t xml:space="preserve"> The reply is that it makes risky forward predictions with named kill conditions (Section 7), not only retrodictions; the thalamic firing-mode commitment, the decompactification gradient, and the double dissociation of binding routes could each falsify the framework, and a theory that specifies how it could fail is not merely matching patterns after the fact. The coincidence of structural minimality with phylogenetic age is, moreover, a prediction the framework did not need to make and could have failed.</w:t>
      </w:r>
    </w:p>
    <w:p w14:paraId="19A46125" w14:textId="77777777" w:rsidR="008B40F0" w:rsidRPr="008B40F0" w:rsidRDefault="008B40F0" w:rsidP="008B40F0">
      <w:pPr>
        <w:jc w:val="both"/>
      </w:pPr>
      <w:r w:rsidRPr="008B40F0">
        <w:rPr>
          <w:i/>
          <w:iCs/>
        </w:rPr>
        <w:t>That the mathematics is metaphor rather than mechanism.</w:t>
      </w:r>
      <w:r w:rsidRPr="008B40F0">
        <w:t xml:space="preserve"> We concede the framework is not mechanistic and have placed this at the centre of §8.1; its claim is to specify correctly and to unify, and these are assessable independently of mechanistic literalness. A metaphor does not generate falsifiable dissociations; a specification does.</w:t>
      </w:r>
    </w:p>
    <w:p w14:paraId="522F9086" w14:textId="77777777" w:rsidR="008B40F0" w:rsidRPr="008B40F0" w:rsidRDefault="008B40F0" w:rsidP="008B40F0">
      <w:pPr>
        <w:jc w:val="both"/>
      </w:pPr>
      <w:r w:rsidRPr="008B40F0">
        <w:rPr>
          <w:i/>
          <w:iCs/>
        </w:rPr>
        <w:t>That the rung assignments are loose, since each region does many things.</w:t>
      </w:r>
      <w:r w:rsidRPr="008B40F0">
        <w:t xml:space="preserve"> The assignment concerns the </w:t>
      </w:r>
      <w:r w:rsidRPr="008B40F0">
        <w:rPr>
          <w:i/>
          <w:iCs/>
        </w:rPr>
        <w:t>floor</w:t>
      </w:r>
      <w:r w:rsidRPr="008B40F0">
        <w:t xml:space="preserve"> a region's core function requires, not a ceiling on everything the region participates in, and the nesting of the ladder means a region may borrow higher structure through its loops while its intrinsic computation remains at its rung. The parsimony principle is stated with explicit refutation conditions (P1) so that the assignment is testable rather than merely plausible.</w:t>
      </w:r>
    </w:p>
    <w:p w14:paraId="05C8347B" w14:textId="77777777" w:rsidR="008B40F0" w:rsidRPr="008B40F0" w:rsidRDefault="008B40F0" w:rsidP="008B40F0">
      <w:pPr>
        <w:jc w:val="both"/>
      </w:pPr>
      <w:r w:rsidRPr="008B40F0">
        <w:rPr>
          <w:i/>
          <w:iCs/>
        </w:rPr>
        <w:lastRenderedPageBreak/>
        <w:t>That the consciousness claim is unfalsifiable metaphysics.</w:t>
      </w:r>
      <w:r w:rsidRPr="008B40F0">
        <w:t xml:space="preserve"> We have quarantined it as an interpretive horizon, held it as isomorphism rather than identity, and ensured that no operational claim depends on it (§8.2). The falsifiable content in its vicinity — the binding obstruction as cognitive fragmentation, and the safety rule — does not require the metaphysical identification and is retained whether or not the correspondence is accepted.</w:t>
      </w:r>
    </w:p>
    <w:p w14:paraId="6C921751" w14:textId="77777777" w:rsidR="008B40F0" w:rsidRPr="008B40F0" w:rsidRDefault="008B40F0" w:rsidP="008B40F0">
      <w:pPr>
        <w:jc w:val="both"/>
      </w:pPr>
      <w:r w:rsidRPr="008B40F0">
        <w:rPr>
          <w:i/>
          <w:iCs/>
        </w:rPr>
        <w:t>That the choice of this particular ladder is arbitrary.</w:t>
      </w:r>
      <w:r w:rsidRPr="008B40F0">
        <w:t xml:space="preserve"> The enrichment ladder is the canonical hierarchy of analysis, in which each level adds exactly one structural commitment and answers a question no lower level can phrase; the assignment of a region to a rung follows from which such question its function poses. The ladder is not constructed to fit the brain; it is the standard hierarchy, and the empirical claim is that neural functions populate it parsimoniously.</w:t>
      </w:r>
    </w:p>
    <w:p w14:paraId="3B9566F4" w14:textId="77777777" w:rsidR="008B40F0" w:rsidRPr="008B40F0" w:rsidRDefault="008B40F0" w:rsidP="008B40F0">
      <w:pPr>
        <w:jc w:val="both"/>
      </w:pPr>
      <w:r w:rsidRPr="008B40F0">
        <w:rPr>
          <w:i/>
          <w:iCs/>
        </w:rPr>
        <w:t>That importing a Vedāntic distinction into neuroscience is illegitimate.</w:t>
      </w:r>
      <w:r w:rsidRPr="008B40F0">
        <w:t xml:space="preserve"> The correspondence is offered as conceptual vocabulary and structural isomorphism, explicitly not as identity and explicitly not load-bearing. It is included because the </w:t>
      </w:r>
      <w:r w:rsidRPr="008B40F0">
        <w:rPr>
          <w:i/>
          <w:iCs/>
        </w:rPr>
        <w:t>Antaḥkaraṇa</w:t>
      </w:r>
      <w:r w:rsidRPr="008B40F0">
        <w:t>/</w:t>
      </w:r>
      <w:r w:rsidRPr="008B40F0">
        <w:rPr>
          <w:i/>
          <w:iCs/>
        </w:rPr>
        <w:t>Sākṣin</w:t>
      </w:r>
      <w:r w:rsidRPr="008B40F0">
        <w:t xml:space="preserve"> distinction happens to track the sheaf/global-section distinction with unusual precision, and noting a structural parallel commits one to nothing about the metaphysics of either tradition.</w:t>
      </w:r>
    </w:p>
    <w:p w14:paraId="6D9B6119" w14:textId="77777777" w:rsidR="008B40F0" w:rsidRPr="008B40F0" w:rsidRDefault="008B40F0" w:rsidP="008B40F0">
      <w:pPr>
        <w:jc w:val="both"/>
        <w:rPr>
          <w:b/>
          <w:bCs/>
        </w:rPr>
      </w:pPr>
      <w:r w:rsidRPr="008B40F0">
        <w:rPr>
          <w:b/>
          <w:bCs/>
        </w:rPr>
        <w:t>8.5 Conclusion</w:t>
      </w:r>
    </w:p>
    <w:p w14:paraId="7CE900B4" w14:textId="77777777" w:rsidR="008B40F0" w:rsidRPr="008B40F0" w:rsidRDefault="008B40F0" w:rsidP="008B40F0">
      <w:pPr>
        <w:jc w:val="both"/>
      </w:pPr>
      <w:r w:rsidRPr="008B40F0">
        <w:t>We have proposed that the functional architecture of intelligence is organised along the enrichment ladder of analysis, that each major neural system operates at the lowest rung its function requires, and that this single principle, together with the asymmetry between cheap downward projection and costly upward lifting that the ladder induces, accounts for a remarkable range of otherwise disconnected phenomena. Defensible action requires a compact operating manifold, supplied jointly and non-redundantly by the basal ganglia and the cerebellum and certified by the Arzelà–Ascoli theorem, with out-of-distribution failure recast as the graded loss of that compactness. Unified experience requires that the heterogeneous local computations of the regions glue into a global section over a thalamic projection, with the binding problem formalised as a cohomological gluing obstruction and the failure to bind as its non-vanishing. And sleep is the offline upward lift that waking cannot afford, its stages ordered by dependency, its thalamus in non-relay mode, its most volatile lift quarantined by an atonia clamp derived from the geometry of the threat, and its pathologies dissociating exactly as the two-chart architecture predicts.</w:t>
      </w:r>
    </w:p>
    <w:p w14:paraId="11CCE6B7" w14:textId="77777777" w:rsidR="008B40F0" w:rsidRPr="008B40F0" w:rsidRDefault="008B40F0" w:rsidP="008B40F0">
      <w:pPr>
        <w:jc w:val="both"/>
      </w:pPr>
      <w:r w:rsidRPr="008B40F0">
        <w:t>The framework's contribution is not any single one of these results but the derivation of all of them from one principle, each accompanied by a prediction that could falsify it. If the proposal is correct, the distinction between an output that is merely wrong and one that is indefensible — the distinction with which the framework began — is at bottom topological: a defensible action is one taken on a compact, gap-free, finitely coverable manifold whose heterogeneous representations have been glued into a single coherent whole, and an indefensible one is taken where that structure has lapsed. Intelligence, on this view, is the construction and maintenance of such a manifold; certifiability is its compactness; coherence is the vanishing of its binding obstruction; and sleep is the nightly labour of lifting the day's raw deposits into the structure where they can be held without contradiction. The brain, which solved these problems under the constraint of sign-limited hardware long before they were posed mathematically, stands as the existence proof that they can be solved — and, we have argued, as a specification for how a defensible artificial intelligence might be built to solve them in turn.</w:t>
      </w:r>
    </w:p>
    <w:p w14:paraId="2518169B" w14:textId="31F8AE83" w:rsidR="00CB7DD4" w:rsidRPr="00CB7DD4" w:rsidRDefault="00CB7DD4" w:rsidP="00725D1A">
      <w:pPr>
        <w:pStyle w:val="Heading1"/>
      </w:pPr>
      <w:r w:rsidRPr="00CB7DD4">
        <w:lastRenderedPageBreak/>
        <w:t>Reference</w:t>
      </w:r>
      <w:r w:rsidR="00725D1A">
        <w:t>s:</w:t>
      </w:r>
    </w:p>
    <w:p w14:paraId="484F50D5" w14:textId="1EB917CC" w:rsidR="00CB7DD4" w:rsidRPr="00CB7DD4" w:rsidRDefault="00CB7DD4" w:rsidP="00264D4C">
      <w:pPr>
        <w:pStyle w:val="Heading2"/>
      </w:pPr>
      <w:r w:rsidRPr="00CB7DD4">
        <w:t xml:space="preserve">Tier A — </w:t>
      </w:r>
      <w:r w:rsidR="00264D4C">
        <w:t>Most Relevant</w:t>
      </w:r>
    </w:p>
    <w:p w14:paraId="25DCC675" w14:textId="77777777" w:rsidR="00CB7DD4" w:rsidRPr="00CB7DD4" w:rsidRDefault="00CB7DD4" w:rsidP="00CB7DD4">
      <w:pPr>
        <w:jc w:val="both"/>
      </w:pPr>
      <w:r w:rsidRPr="00CB7DD4">
        <w:rPr>
          <w:b/>
          <w:bCs/>
        </w:rPr>
        <w:t>Basal ganglia and action selection</w:t>
      </w:r>
    </w:p>
    <w:p w14:paraId="21B6507F" w14:textId="77777777" w:rsidR="00CB7DD4" w:rsidRPr="00CB7DD4" w:rsidRDefault="00CB7DD4" w:rsidP="00CB7DD4">
      <w:pPr>
        <w:numPr>
          <w:ilvl w:val="0"/>
          <w:numId w:val="2"/>
        </w:numPr>
        <w:jc w:val="both"/>
      </w:pPr>
      <w:r w:rsidRPr="00CB7DD4">
        <w:t xml:space="preserve">Albin, R. L., Young, A. B., &amp; Penney, J. B. (1989). The functional anatomy of basal ganglia disorders. </w:t>
      </w:r>
      <w:r w:rsidRPr="00CB7DD4">
        <w:rPr>
          <w:i/>
          <w:iCs/>
        </w:rPr>
        <w:t>Trends in Neurosciences</w:t>
      </w:r>
      <w:r w:rsidRPr="00CB7DD4">
        <w:t>, 12(10), 366–375. [PMID 2479133]</w:t>
      </w:r>
    </w:p>
    <w:p w14:paraId="6A3AD161" w14:textId="47318E5F" w:rsidR="00CB7DD4" w:rsidRPr="00CB7DD4" w:rsidRDefault="00CB7DD4" w:rsidP="00CB7DD4">
      <w:pPr>
        <w:numPr>
          <w:ilvl w:val="0"/>
          <w:numId w:val="2"/>
        </w:numPr>
        <w:jc w:val="both"/>
      </w:pPr>
      <w:r w:rsidRPr="00CB7DD4">
        <w:t xml:space="preserve">Alexander, G. E., DeLong, M. R., &amp; Strick, P. L. (1986). Parallel organization of functionally segregated circuits linking basal ganglia and cortex. </w:t>
      </w:r>
      <w:r w:rsidRPr="00CB7DD4">
        <w:rPr>
          <w:i/>
          <w:iCs/>
        </w:rPr>
        <w:t>Annual Review of Neuroscience</w:t>
      </w:r>
      <w:r w:rsidRPr="00CB7DD4">
        <w:t>, 9, 357–381.</w:t>
      </w:r>
    </w:p>
    <w:p w14:paraId="6D7F6DBF" w14:textId="77777777" w:rsidR="00CB7DD4" w:rsidRPr="00CB7DD4" w:rsidRDefault="00CB7DD4" w:rsidP="00CB7DD4">
      <w:pPr>
        <w:jc w:val="both"/>
      </w:pPr>
      <w:r w:rsidRPr="00CB7DD4">
        <w:rPr>
          <w:b/>
          <w:bCs/>
        </w:rPr>
        <w:t>Cerebellum</w:t>
      </w:r>
    </w:p>
    <w:p w14:paraId="4CA22DB9" w14:textId="77777777" w:rsidR="00CB7DD4" w:rsidRPr="00CB7DD4" w:rsidRDefault="00CB7DD4" w:rsidP="00CB7DD4">
      <w:pPr>
        <w:numPr>
          <w:ilvl w:val="0"/>
          <w:numId w:val="3"/>
        </w:numPr>
        <w:jc w:val="both"/>
      </w:pPr>
      <w:r w:rsidRPr="00CB7DD4">
        <w:t xml:space="preserve">Marr, D. (1969). A theory of cerebellar cortex. </w:t>
      </w:r>
      <w:r w:rsidRPr="00CB7DD4">
        <w:rPr>
          <w:i/>
          <w:iCs/>
        </w:rPr>
        <w:t>The Journal of Physiology</w:t>
      </w:r>
      <w:r w:rsidRPr="00CB7DD4">
        <w:t>, 202(2), 437–470.</w:t>
      </w:r>
    </w:p>
    <w:p w14:paraId="04C0FD6F" w14:textId="77777777" w:rsidR="00CB7DD4" w:rsidRPr="00CB7DD4" w:rsidRDefault="00CB7DD4" w:rsidP="00CB7DD4">
      <w:pPr>
        <w:numPr>
          <w:ilvl w:val="0"/>
          <w:numId w:val="3"/>
        </w:numPr>
        <w:jc w:val="both"/>
      </w:pPr>
      <w:r w:rsidRPr="00CB7DD4">
        <w:t xml:space="preserve">Albus, J. S. (1971). A theory of cerebellar function. </w:t>
      </w:r>
      <w:r w:rsidRPr="00CB7DD4">
        <w:rPr>
          <w:i/>
          <w:iCs/>
        </w:rPr>
        <w:t>Mathematical Biosciences</w:t>
      </w:r>
      <w:r w:rsidRPr="00CB7DD4">
        <w:t>, 10(1–2), 25–61.</w:t>
      </w:r>
    </w:p>
    <w:p w14:paraId="7AC73C06" w14:textId="5F10CB31" w:rsidR="00CB7DD4" w:rsidRPr="00CB7DD4" w:rsidRDefault="00CB7DD4" w:rsidP="00CB7DD4">
      <w:pPr>
        <w:numPr>
          <w:ilvl w:val="0"/>
          <w:numId w:val="3"/>
        </w:numPr>
        <w:jc w:val="both"/>
      </w:pPr>
      <w:r w:rsidRPr="00CB7DD4">
        <w:t xml:space="preserve">Ito, M. (1984). </w:t>
      </w:r>
      <w:r w:rsidRPr="00CB7DD4">
        <w:rPr>
          <w:i/>
          <w:iCs/>
        </w:rPr>
        <w:t>The Cerebellum and Neural Control</w:t>
      </w:r>
      <w:r w:rsidRPr="00CB7DD4">
        <w:t>. New York: Raven Press.</w:t>
      </w:r>
    </w:p>
    <w:p w14:paraId="4856B4EE" w14:textId="77777777" w:rsidR="00CB7DD4" w:rsidRPr="00CB7DD4" w:rsidRDefault="00CB7DD4" w:rsidP="00CB7DD4">
      <w:pPr>
        <w:jc w:val="both"/>
      </w:pPr>
      <w:r w:rsidRPr="00CB7DD4">
        <w:rPr>
          <w:b/>
          <w:bCs/>
        </w:rPr>
        <w:t>Dopamine and reinforcement</w:t>
      </w:r>
    </w:p>
    <w:p w14:paraId="4167E6F4" w14:textId="77777777" w:rsidR="00CB7DD4" w:rsidRPr="00CB7DD4" w:rsidRDefault="00CB7DD4" w:rsidP="00CB7DD4">
      <w:pPr>
        <w:numPr>
          <w:ilvl w:val="0"/>
          <w:numId w:val="4"/>
        </w:numPr>
        <w:jc w:val="both"/>
      </w:pPr>
      <w:r w:rsidRPr="00CB7DD4">
        <w:t xml:space="preserve">Schultz, W., Dayan, P., &amp; Montague, P. R. (1997). A neural substrate of prediction and reward. </w:t>
      </w:r>
      <w:r w:rsidRPr="00CB7DD4">
        <w:rPr>
          <w:i/>
          <w:iCs/>
        </w:rPr>
        <w:t>Science</w:t>
      </w:r>
      <w:r w:rsidRPr="00CB7DD4">
        <w:t>, 275(5306), 1593–1599.</w:t>
      </w:r>
    </w:p>
    <w:p w14:paraId="4A13E5F9" w14:textId="77777777" w:rsidR="00CB7DD4" w:rsidRPr="00CB7DD4" w:rsidRDefault="00CB7DD4" w:rsidP="00CB7DD4">
      <w:pPr>
        <w:jc w:val="both"/>
      </w:pPr>
      <w:r w:rsidRPr="00CB7DD4">
        <w:rPr>
          <w:b/>
          <w:bCs/>
        </w:rPr>
        <w:t>Hippocampal / spatial coding</w:t>
      </w:r>
    </w:p>
    <w:p w14:paraId="786A584C" w14:textId="77777777" w:rsidR="00CB7DD4" w:rsidRPr="00CB7DD4" w:rsidRDefault="00CB7DD4" w:rsidP="00CB7DD4">
      <w:pPr>
        <w:numPr>
          <w:ilvl w:val="0"/>
          <w:numId w:val="5"/>
        </w:numPr>
        <w:jc w:val="both"/>
      </w:pPr>
      <w:r w:rsidRPr="00CB7DD4">
        <w:t xml:space="preserve">O'Keefe, J., &amp; Dostrovsky, J. (1971). The hippocampus as a spatial map: preliminary evidence from unit activity in the freely-moving rat. </w:t>
      </w:r>
      <w:r w:rsidRPr="00CB7DD4">
        <w:rPr>
          <w:i/>
          <w:iCs/>
        </w:rPr>
        <w:t>Brain Research</w:t>
      </w:r>
      <w:r w:rsidRPr="00CB7DD4">
        <w:t>, 34(1), 171–175.</w:t>
      </w:r>
    </w:p>
    <w:p w14:paraId="22CA4975" w14:textId="3C453C92" w:rsidR="00CB7DD4" w:rsidRPr="00CB7DD4" w:rsidRDefault="00CB7DD4" w:rsidP="00CB7DD4">
      <w:pPr>
        <w:numPr>
          <w:ilvl w:val="0"/>
          <w:numId w:val="5"/>
        </w:numPr>
        <w:jc w:val="both"/>
      </w:pPr>
      <w:r w:rsidRPr="00CB7DD4">
        <w:t xml:space="preserve">O'Keefe, J., &amp; Nadel, L. (1978). </w:t>
      </w:r>
      <w:r w:rsidRPr="00CB7DD4">
        <w:rPr>
          <w:i/>
          <w:iCs/>
        </w:rPr>
        <w:t>The Hippocampus as a Cognitive Map</w:t>
      </w:r>
      <w:r w:rsidRPr="00CB7DD4">
        <w:t>. Oxford: Oxford University Press.</w:t>
      </w:r>
    </w:p>
    <w:p w14:paraId="4570CC12" w14:textId="77777777" w:rsidR="00CB7DD4" w:rsidRPr="00CB7DD4" w:rsidRDefault="00CB7DD4" w:rsidP="00CB7DD4">
      <w:pPr>
        <w:numPr>
          <w:ilvl w:val="0"/>
          <w:numId w:val="5"/>
        </w:numPr>
        <w:jc w:val="both"/>
      </w:pPr>
      <w:r w:rsidRPr="00CB7DD4">
        <w:t xml:space="preserve">Hafting, T., Fyhn, M., Molden, S., Moser, M.-B., &amp; Moser, E. I. (2005). Microstructure of a spatial map in the entorhinal cortex. </w:t>
      </w:r>
      <w:r w:rsidRPr="00CB7DD4">
        <w:rPr>
          <w:i/>
          <w:iCs/>
        </w:rPr>
        <w:t>Nature</w:t>
      </w:r>
      <w:r w:rsidRPr="00CB7DD4">
        <w:t>, 436(7052), 801–806.</w:t>
      </w:r>
    </w:p>
    <w:p w14:paraId="13519BB8" w14:textId="77777777" w:rsidR="00CB7DD4" w:rsidRPr="00CB7DD4" w:rsidRDefault="00CB7DD4" w:rsidP="00CB7DD4">
      <w:pPr>
        <w:jc w:val="both"/>
      </w:pPr>
      <w:r w:rsidRPr="00CB7DD4">
        <w:rPr>
          <w:b/>
          <w:bCs/>
        </w:rPr>
        <w:t>Fear</w:t>
      </w:r>
    </w:p>
    <w:p w14:paraId="3CCF98C4" w14:textId="77777777" w:rsidR="00CB7DD4" w:rsidRPr="00CB7DD4" w:rsidRDefault="00CB7DD4" w:rsidP="00CB7DD4">
      <w:pPr>
        <w:numPr>
          <w:ilvl w:val="0"/>
          <w:numId w:val="6"/>
        </w:numPr>
        <w:jc w:val="both"/>
      </w:pPr>
      <w:r w:rsidRPr="00CB7DD4">
        <w:t xml:space="preserve">LeDoux, J. E. (2000). Emotion circuits in the brain. </w:t>
      </w:r>
      <w:r w:rsidRPr="00CB7DD4">
        <w:rPr>
          <w:i/>
          <w:iCs/>
        </w:rPr>
        <w:t>Annual Review of Neuroscience</w:t>
      </w:r>
      <w:r w:rsidRPr="00CB7DD4">
        <w:t>, 23, 155–184.</w:t>
      </w:r>
    </w:p>
    <w:p w14:paraId="03247684" w14:textId="77777777" w:rsidR="00CB7DD4" w:rsidRPr="00CB7DD4" w:rsidRDefault="00CB7DD4" w:rsidP="00CB7DD4">
      <w:pPr>
        <w:jc w:val="both"/>
      </w:pPr>
      <w:r w:rsidRPr="00CB7DD4">
        <w:rPr>
          <w:b/>
          <w:bCs/>
        </w:rPr>
        <w:t>Normalization / gain control</w:t>
      </w:r>
    </w:p>
    <w:p w14:paraId="28E35B3B" w14:textId="77777777" w:rsidR="00CB7DD4" w:rsidRPr="00CB7DD4" w:rsidRDefault="00CB7DD4" w:rsidP="00CB7DD4">
      <w:pPr>
        <w:numPr>
          <w:ilvl w:val="0"/>
          <w:numId w:val="7"/>
        </w:numPr>
        <w:jc w:val="both"/>
      </w:pPr>
      <w:r w:rsidRPr="00CB7DD4">
        <w:t xml:space="preserve">Heeger, D. J. (1992). Normalization of cell responses in cat striate cortex. </w:t>
      </w:r>
      <w:r w:rsidRPr="00CB7DD4">
        <w:rPr>
          <w:i/>
          <w:iCs/>
        </w:rPr>
        <w:t>Visual Neuroscience</w:t>
      </w:r>
      <w:r w:rsidRPr="00CB7DD4">
        <w:t>, 9(2), 181–197.</w:t>
      </w:r>
    </w:p>
    <w:p w14:paraId="352F9F88" w14:textId="77777777" w:rsidR="00CB7DD4" w:rsidRPr="00CB7DD4" w:rsidRDefault="00CB7DD4" w:rsidP="00CB7DD4">
      <w:pPr>
        <w:numPr>
          <w:ilvl w:val="0"/>
          <w:numId w:val="7"/>
        </w:numPr>
        <w:jc w:val="both"/>
      </w:pPr>
      <w:r w:rsidRPr="00CB7DD4">
        <w:t xml:space="preserve">Carandini, M., &amp; Heeger, D. J. (2012). Normalization as a canonical neural computation. </w:t>
      </w:r>
      <w:r w:rsidRPr="00CB7DD4">
        <w:rPr>
          <w:i/>
          <w:iCs/>
        </w:rPr>
        <w:t>Nature Reviews Neuroscience</w:t>
      </w:r>
      <w:r w:rsidRPr="00CB7DD4">
        <w:t>, 13(1), 51–62.</w:t>
      </w:r>
    </w:p>
    <w:p w14:paraId="7F07FE9E" w14:textId="77777777" w:rsidR="00CB7DD4" w:rsidRPr="00CB7DD4" w:rsidRDefault="00CB7DD4" w:rsidP="00CB7DD4">
      <w:pPr>
        <w:jc w:val="both"/>
      </w:pPr>
      <w:r w:rsidRPr="00CB7DD4">
        <w:rPr>
          <w:b/>
          <w:bCs/>
        </w:rPr>
        <w:t>Predictive coding / free energy</w:t>
      </w:r>
    </w:p>
    <w:p w14:paraId="70BFE7E9" w14:textId="77777777" w:rsidR="00CB7DD4" w:rsidRPr="00CB7DD4" w:rsidRDefault="00CB7DD4" w:rsidP="00CB7DD4">
      <w:pPr>
        <w:numPr>
          <w:ilvl w:val="0"/>
          <w:numId w:val="8"/>
        </w:numPr>
        <w:jc w:val="both"/>
      </w:pPr>
      <w:r w:rsidRPr="00CB7DD4">
        <w:t xml:space="preserve">Friston, K. (2010). The free-energy principle: a unified brain theory? </w:t>
      </w:r>
      <w:r w:rsidRPr="00CB7DD4">
        <w:rPr>
          <w:i/>
          <w:iCs/>
        </w:rPr>
        <w:t>Nature Reviews Neuroscience</w:t>
      </w:r>
      <w:r w:rsidRPr="00CB7DD4">
        <w:t>, 11(2), 127–138.</w:t>
      </w:r>
    </w:p>
    <w:p w14:paraId="0D30C0DF" w14:textId="77777777" w:rsidR="00CB7DD4" w:rsidRPr="00CB7DD4" w:rsidRDefault="00CB7DD4" w:rsidP="00CB7DD4">
      <w:pPr>
        <w:jc w:val="both"/>
      </w:pPr>
      <w:r w:rsidRPr="00CB7DD4">
        <w:rPr>
          <w:b/>
          <w:bCs/>
        </w:rPr>
        <w:t>Sleep — atonia, consolidation circuitry, and state switching</w:t>
      </w:r>
    </w:p>
    <w:p w14:paraId="2263DBCB" w14:textId="77777777" w:rsidR="00CB7DD4" w:rsidRPr="00CB7DD4" w:rsidRDefault="00CB7DD4" w:rsidP="00CB7DD4">
      <w:pPr>
        <w:numPr>
          <w:ilvl w:val="0"/>
          <w:numId w:val="9"/>
        </w:numPr>
        <w:jc w:val="both"/>
      </w:pPr>
      <w:r w:rsidRPr="00CB7DD4">
        <w:lastRenderedPageBreak/>
        <w:t xml:space="preserve">Lu, J., Sherman, D., Devor, M., &amp; Saper, C. B. (2006). A putative flip-flop switch for control of REM sleep. </w:t>
      </w:r>
      <w:r w:rsidRPr="00CB7DD4">
        <w:rPr>
          <w:i/>
          <w:iCs/>
        </w:rPr>
        <w:t>Nature</w:t>
      </w:r>
      <w:r w:rsidRPr="00CB7DD4">
        <w:t xml:space="preserve">, 441(7093), 589–594. </w:t>
      </w:r>
      <w:r w:rsidRPr="00CB7DD4">
        <w:rPr>
          <w:i/>
          <w:iCs/>
        </w:rPr>
        <w:t>(REM-on/REM-off switch; SLD/subcoeruleus and ventral-medulla atonia circuitry)</w:t>
      </w:r>
    </w:p>
    <w:p w14:paraId="6BF3B7BC" w14:textId="14CA9F12" w:rsidR="00CB7DD4" w:rsidRPr="00CB7DD4" w:rsidRDefault="00CB7DD4" w:rsidP="00CB7DD4">
      <w:pPr>
        <w:numPr>
          <w:ilvl w:val="0"/>
          <w:numId w:val="9"/>
        </w:numPr>
        <w:jc w:val="both"/>
      </w:pPr>
      <w:r w:rsidRPr="00CB7DD4">
        <w:t xml:space="preserve">Saper, C. B., Fuller, P. M., Pedersen, N. P., Lu, J., &amp; Scammell, T. E. (2010). Sleep state switching. </w:t>
      </w:r>
      <w:r w:rsidRPr="00CB7DD4">
        <w:rPr>
          <w:i/>
          <w:iCs/>
        </w:rPr>
        <w:t>Neuron</w:t>
      </w:r>
      <w:r w:rsidRPr="00CB7DD4">
        <w:t>, 68(6), 1023–1042.</w:t>
      </w:r>
    </w:p>
    <w:p w14:paraId="7FDCA1F3" w14:textId="77777777" w:rsidR="00CB7DD4" w:rsidRPr="00CB7DD4" w:rsidRDefault="00CB7DD4" w:rsidP="00CB7DD4">
      <w:pPr>
        <w:jc w:val="both"/>
      </w:pPr>
      <w:r w:rsidRPr="00CB7DD4">
        <w:rPr>
          <w:b/>
          <w:bCs/>
        </w:rPr>
        <w:t>Comparative sleep (contested literature — see note above)</w:t>
      </w:r>
    </w:p>
    <w:p w14:paraId="4E3DF4D1" w14:textId="77777777" w:rsidR="00CB7DD4" w:rsidRPr="00CB7DD4" w:rsidRDefault="00CB7DD4" w:rsidP="00CB7DD4">
      <w:pPr>
        <w:numPr>
          <w:ilvl w:val="0"/>
          <w:numId w:val="10"/>
        </w:numPr>
        <w:jc w:val="both"/>
      </w:pPr>
      <w:r w:rsidRPr="00CB7DD4">
        <w:t xml:space="preserve">Shein-Idelson, M., Ondracek, J. M., Liaw, H.-P., Reiter, S., &amp; Laurent, G. (2016). Slow waves, sharp waves, ripples, and REM in sleeping dragons. </w:t>
      </w:r>
      <w:r w:rsidRPr="00CB7DD4">
        <w:rPr>
          <w:i/>
          <w:iCs/>
        </w:rPr>
        <w:t>Science</w:t>
      </w:r>
      <w:r w:rsidRPr="00CB7DD4">
        <w:t>, 352(6285), 590–595.</w:t>
      </w:r>
    </w:p>
    <w:p w14:paraId="39E5D469" w14:textId="77777777" w:rsidR="00CB7DD4" w:rsidRPr="00CB7DD4" w:rsidRDefault="00CB7DD4" w:rsidP="00CB7DD4">
      <w:pPr>
        <w:numPr>
          <w:ilvl w:val="0"/>
          <w:numId w:val="10"/>
        </w:numPr>
        <w:jc w:val="both"/>
      </w:pPr>
      <w:r w:rsidRPr="00CB7DD4">
        <w:t xml:space="preserve">Leung, L. C., Wang, G. X., Madelaine, R., Skariah, G., Kawakami, K., Deisseroth, K., Urban, A. E., &amp; Mourrain, P. (2019). Neural signatures of sleep in zebrafish. </w:t>
      </w:r>
      <w:r w:rsidRPr="00CB7DD4">
        <w:rPr>
          <w:i/>
          <w:iCs/>
        </w:rPr>
        <w:t>Nature</w:t>
      </w:r>
      <w:r w:rsidRPr="00CB7DD4">
        <w:t>, 571(7764), 198–204.</w:t>
      </w:r>
    </w:p>
    <w:p w14:paraId="41129BDB" w14:textId="4E790BE8" w:rsidR="00CB7DD4" w:rsidRPr="00CB7DD4" w:rsidRDefault="00CB7DD4" w:rsidP="00CB7DD4">
      <w:pPr>
        <w:numPr>
          <w:ilvl w:val="0"/>
          <w:numId w:val="10"/>
        </w:numPr>
        <w:jc w:val="both"/>
      </w:pPr>
      <w:r w:rsidRPr="00CB7DD4">
        <w:t xml:space="preserve">Shaw, P. J., Cirelli, C., Greenspan, R. J., &amp; Tononi, G. (2000). Correlates of sleep and waking in </w:t>
      </w:r>
      <w:r w:rsidRPr="00CB7DD4">
        <w:rPr>
          <w:i/>
          <w:iCs/>
        </w:rPr>
        <w:t>Drosophila melanogaster</w:t>
      </w:r>
      <w:r w:rsidRPr="00CB7DD4">
        <w:t xml:space="preserve">. </w:t>
      </w:r>
      <w:r w:rsidRPr="00CB7DD4">
        <w:rPr>
          <w:i/>
          <w:iCs/>
        </w:rPr>
        <w:t>Science</w:t>
      </w:r>
      <w:r w:rsidRPr="00CB7DD4">
        <w:t>, 287(5459), 1834–1837.</w:t>
      </w:r>
    </w:p>
    <w:p w14:paraId="3D02D700" w14:textId="20F754BE" w:rsidR="00CB7DD4" w:rsidRPr="00CB7DD4" w:rsidRDefault="00CB7DD4" w:rsidP="00264D4C">
      <w:pPr>
        <w:pStyle w:val="Heading2"/>
      </w:pPr>
      <w:r w:rsidRPr="00CB7DD4">
        <w:t xml:space="preserve">Tier B — </w:t>
      </w:r>
      <w:r w:rsidR="00264D4C">
        <w:t>Medium Relevant</w:t>
      </w:r>
    </w:p>
    <w:p w14:paraId="30FEF298" w14:textId="77777777" w:rsidR="00CB7DD4" w:rsidRPr="00CB7DD4" w:rsidRDefault="00CB7DD4" w:rsidP="00CB7DD4">
      <w:pPr>
        <w:jc w:val="both"/>
      </w:pPr>
      <w:r w:rsidRPr="00CB7DD4">
        <w:rPr>
          <w:b/>
          <w:bCs/>
        </w:rPr>
        <w:t>Basal ganglia / selection / dopamine</w:t>
      </w:r>
    </w:p>
    <w:p w14:paraId="3FAD88A9" w14:textId="77777777" w:rsidR="00CB7DD4" w:rsidRPr="00CB7DD4" w:rsidRDefault="00CB7DD4" w:rsidP="00CB7DD4">
      <w:pPr>
        <w:numPr>
          <w:ilvl w:val="0"/>
          <w:numId w:val="11"/>
        </w:numPr>
        <w:jc w:val="both"/>
      </w:pPr>
      <w:r w:rsidRPr="00CB7DD4">
        <w:t xml:space="preserve">DeLong, M. R. (1990). Primate models of movement disorders of basal ganglia origin. </w:t>
      </w:r>
      <w:r w:rsidRPr="00CB7DD4">
        <w:rPr>
          <w:i/>
          <w:iCs/>
        </w:rPr>
        <w:t>Trends in Neurosciences</w:t>
      </w:r>
      <w:r w:rsidRPr="00CB7DD4">
        <w:t>, 13(7), 281–285.</w:t>
      </w:r>
    </w:p>
    <w:p w14:paraId="7F609442" w14:textId="77777777" w:rsidR="00CB7DD4" w:rsidRPr="00CB7DD4" w:rsidRDefault="00CB7DD4" w:rsidP="00CB7DD4">
      <w:pPr>
        <w:numPr>
          <w:ilvl w:val="0"/>
          <w:numId w:val="11"/>
        </w:numPr>
        <w:jc w:val="both"/>
      </w:pPr>
      <w:r w:rsidRPr="00CB7DD4">
        <w:t xml:space="preserve">Mink, J. W. (1996). The basal ganglia: focused selection and inhibition of competing motor programs. </w:t>
      </w:r>
      <w:r w:rsidRPr="00CB7DD4">
        <w:rPr>
          <w:i/>
          <w:iCs/>
        </w:rPr>
        <w:t>Progress in Neurobiology</w:t>
      </w:r>
      <w:r w:rsidRPr="00CB7DD4">
        <w:t>, 50(4), 381–425.</w:t>
      </w:r>
    </w:p>
    <w:p w14:paraId="37249227" w14:textId="2DEC8949" w:rsidR="00CB7DD4" w:rsidRPr="00CB7DD4" w:rsidRDefault="00CB7DD4" w:rsidP="00CB7DD4">
      <w:pPr>
        <w:numPr>
          <w:ilvl w:val="0"/>
          <w:numId w:val="11"/>
        </w:numPr>
        <w:jc w:val="both"/>
      </w:pPr>
      <w:r w:rsidRPr="00CB7DD4">
        <w:t xml:space="preserve">Gurney, K., Prescott, T. J., &amp; Redgrave, P. (2001). A computational model of action selection in the basal ganglia (Parts I &amp; II). </w:t>
      </w:r>
      <w:r w:rsidRPr="00CB7DD4">
        <w:rPr>
          <w:i/>
          <w:iCs/>
        </w:rPr>
        <w:t>Biological Cybernetics</w:t>
      </w:r>
      <w:r w:rsidRPr="00CB7DD4">
        <w:t xml:space="preserve">, 84(6), 401–423. </w:t>
      </w:r>
      <w:r w:rsidRPr="00CB7DD4">
        <w:rPr>
          <w:i/>
          <w:iCs/>
        </w:rPr>
        <w:t>(two-part paper)</w:t>
      </w:r>
    </w:p>
    <w:p w14:paraId="1107A47C" w14:textId="77777777" w:rsidR="00CB7DD4" w:rsidRPr="00CB7DD4" w:rsidRDefault="00CB7DD4" w:rsidP="00CB7DD4">
      <w:pPr>
        <w:numPr>
          <w:ilvl w:val="0"/>
          <w:numId w:val="11"/>
        </w:numPr>
        <w:jc w:val="both"/>
      </w:pPr>
      <w:r w:rsidRPr="00CB7DD4">
        <w:t xml:space="preserve">Frank, M. J. (2005). Dynamic dopamine modulation in the basal ganglia: a neurocomputational account of cognitive deficits in medicated and nonmedicated Parkinsonism. </w:t>
      </w:r>
      <w:r w:rsidRPr="00CB7DD4">
        <w:rPr>
          <w:i/>
          <w:iCs/>
        </w:rPr>
        <w:t>Journal of Cognitive Neuroscience</w:t>
      </w:r>
      <w:r w:rsidRPr="00CB7DD4">
        <w:t>, 17(1), 51–72.</w:t>
      </w:r>
    </w:p>
    <w:p w14:paraId="6D3DD301" w14:textId="77777777" w:rsidR="00CB7DD4" w:rsidRPr="00CB7DD4" w:rsidRDefault="00CB7DD4" w:rsidP="00CB7DD4">
      <w:pPr>
        <w:jc w:val="both"/>
      </w:pPr>
      <w:r w:rsidRPr="00CB7DD4">
        <w:rPr>
          <w:b/>
          <w:bCs/>
        </w:rPr>
        <w:t>Computational specialisation / loops</w:t>
      </w:r>
    </w:p>
    <w:p w14:paraId="77D4C2C6" w14:textId="77777777" w:rsidR="00CB7DD4" w:rsidRPr="00CB7DD4" w:rsidRDefault="00CB7DD4" w:rsidP="00CB7DD4">
      <w:pPr>
        <w:numPr>
          <w:ilvl w:val="0"/>
          <w:numId w:val="12"/>
        </w:numPr>
        <w:jc w:val="both"/>
      </w:pPr>
      <w:r w:rsidRPr="00CB7DD4">
        <w:t xml:space="preserve">Doya, K. (1999). What are the computations of the cerebellum, the basal ganglia and the cerebral cortex? </w:t>
      </w:r>
      <w:r w:rsidRPr="00CB7DD4">
        <w:rPr>
          <w:i/>
          <w:iCs/>
        </w:rPr>
        <w:t>Neural Networks</w:t>
      </w:r>
      <w:r w:rsidRPr="00CB7DD4">
        <w:t>, 12(7–8), 961–974.</w:t>
      </w:r>
    </w:p>
    <w:p w14:paraId="3841180C" w14:textId="77777777" w:rsidR="00CB7DD4" w:rsidRPr="00CB7DD4" w:rsidRDefault="00CB7DD4" w:rsidP="00CB7DD4">
      <w:pPr>
        <w:numPr>
          <w:ilvl w:val="0"/>
          <w:numId w:val="12"/>
        </w:numPr>
        <w:jc w:val="both"/>
      </w:pPr>
      <w:r w:rsidRPr="00CB7DD4">
        <w:t xml:space="preserve">Doya, K. (2000). Complementary roles of basal ganglia and cerebellum in learning and motor control. </w:t>
      </w:r>
      <w:r w:rsidRPr="00CB7DD4">
        <w:rPr>
          <w:i/>
          <w:iCs/>
        </w:rPr>
        <w:t>Current Opinion in Neurobiology</w:t>
      </w:r>
      <w:r w:rsidRPr="00CB7DD4">
        <w:t>, 10(6), 732–739.</w:t>
      </w:r>
    </w:p>
    <w:p w14:paraId="3444506A" w14:textId="77777777" w:rsidR="00CB7DD4" w:rsidRPr="00CB7DD4" w:rsidRDefault="00CB7DD4" w:rsidP="00CB7DD4">
      <w:pPr>
        <w:numPr>
          <w:ilvl w:val="0"/>
          <w:numId w:val="12"/>
        </w:numPr>
        <w:jc w:val="both"/>
      </w:pPr>
      <w:r w:rsidRPr="00CB7DD4">
        <w:t xml:space="preserve">Wolpert, D. M., Miall, R. C., &amp; Kawato, M. (1998). Internal models in the cerebellum. </w:t>
      </w:r>
      <w:r w:rsidRPr="00CB7DD4">
        <w:rPr>
          <w:i/>
          <w:iCs/>
        </w:rPr>
        <w:t>Trends in Cognitive Sciences</w:t>
      </w:r>
      <w:r w:rsidRPr="00CB7DD4">
        <w:t>, 2(9), 338–347.</w:t>
      </w:r>
    </w:p>
    <w:p w14:paraId="3BCDB3FF" w14:textId="77777777" w:rsidR="00CB7DD4" w:rsidRPr="00CB7DD4" w:rsidRDefault="00CB7DD4" w:rsidP="00CB7DD4">
      <w:pPr>
        <w:numPr>
          <w:ilvl w:val="0"/>
          <w:numId w:val="12"/>
        </w:numPr>
        <w:jc w:val="both"/>
      </w:pPr>
      <w:r w:rsidRPr="00CB7DD4">
        <w:t xml:space="preserve">Bostan, A. C., Dum, R. P., &amp; Strick, P. L. (2013). Cerebellar networks with the cerebral cortex and basal ganglia. </w:t>
      </w:r>
      <w:r w:rsidRPr="00CB7DD4">
        <w:rPr>
          <w:i/>
          <w:iCs/>
        </w:rPr>
        <w:t>Trends in Cognitive Sciences</w:t>
      </w:r>
      <w:r w:rsidRPr="00CB7DD4">
        <w:t>, 17(5), 241–254.</w:t>
      </w:r>
    </w:p>
    <w:p w14:paraId="5D7F0E09" w14:textId="77777777" w:rsidR="00CB7DD4" w:rsidRPr="00CB7DD4" w:rsidRDefault="00CB7DD4" w:rsidP="00CB7DD4">
      <w:pPr>
        <w:numPr>
          <w:ilvl w:val="0"/>
          <w:numId w:val="12"/>
        </w:numPr>
        <w:jc w:val="both"/>
      </w:pPr>
      <w:r w:rsidRPr="00CB7DD4">
        <w:t xml:space="preserve">Bostan, A. C., &amp; Strick, P. L. (2018). The basal ganglia and the cerebellum: nodes in an integrated network. </w:t>
      </w:r>
      <w:r w:rsidRPr="00CB7DD4">
        <w:rPr>
          <w:i/>
          <w:iCs/>
        </w:rPr>
        <w:t>Nature Reviews Neuroscience</w:t>
      </w:r>
      <w:r w:rsidRPr="00CB7DD4">
        <w:t>, 19(6), 338–350.</w:t>
      </w:r>
    </w:p>
    <w:p w14:paraId="6E4A4549" w14:textId="77777777" w:rsidR="00CB7DD4" w:rsidRPr="00CB7DD4" w:rsidRDefault="00CB7DD4" w:rsidP="00CB7DD4">
      <w:pPr>
        <w:jc w:val="both"/>
      </w:pPr>
      <w:r w:rsidRPr="00CB7DD4">
        <w:rPr>
          <w:b/>
          <w:bCs/>
        </w:rPr>
        <w:t>Predictive coding / precision</w:t>
      </w:r>
    </w:p>
    <w:p w14:paraId="3250EF71" w14:textId="25AF706A" w:rsidR="00CB7DD4" w:rsidRPr="00CB7DD4" w:rsidRDefault="00CB7DD4" w:rsidP="00CB7DD4">
      <w:pPr>
        <w:numPr>
          <w:ilvl w:val="0"/>
          <w:numId w:val="13"/>
        </w:numPr>
        <w:jc w:val="both"/>
      </w:pPr>
      <w:r w:rsidRPr="00CB7DD4">
        <w:lastRenderedPageBreak/>
        <w:t xml:space="preserve">Rao, R. P. N., &amp; Ballard, D. H. (1999). Predictive coding in the visual cortex: a functional interpretation of some extra-classical receptive-field effects. </w:t>
      </w:r>
      <w:r w:rsidRPr="00CB7DD4">
        <w:rPr>
          <w:i/>
          <w:iCs/>
        </w:rPr>
        <w:t>Nature Neuroscience</w:t>
      </w:r>
      <w:r w:rsidRPr="00CB7DD4">
        <w:t xml:space="preserve">, 2(1), 79–87. </w:t>
      </w:r>
      <w:r w:rsidRPr="00CB7DD4">
        <w:rPr>
          <w:i/>
          <w:iCs/>
        </w:rPr>
        <w:t>(some indexes list 1998 online; canonical year 1999)</w:t>
      </w:r>
    </w:p>
    <w:p w14:paraId="65FE8782" w14:textId="77777777" w:rsidR="00CB7DD4" w:rsidRPr="00CB7DD4" w:rsidRDefault="00CB7DD4" w:rsidP="00CB7DD4">
      <w:pPr>
        <w:numPr>
          <w:ilvl w:val="0"/>
          <w:numId w:val="13"/>
        </w:numPr>
        <w:jc w:val="both"/>
      </w:pPr>
      <w:r w:rsidRPr="00CB7DD4">
        <w:t xml:space="preserve">Friston, K. (2005). A theory of cortical responses. </w:t>
      </w:r>
      <w:r w:rsidRPr="00CB7DD4">
        <w:rPr>
          <w:i/>
          <w:iCs/>
        </w:rPr>
        <w:t>Philosophical Transactions of the Royal Society B</w:t>
      </w:r>
      <w:r w:rsidRPr="00CB7DD4">
        <w:t>, 360(1456), 815–836.</w:t>
      </w:r>
    </w:p>
    <w:p w14:paraId="70A16EAD" w14:textId="77777777" w:rsidR="00CB7DD4" w:rsidRPr="00CB7DD4" w:rsidRDefault="00CB7DD4" w:rsidP="00CB7DD4">
      <w:pPr>
        <w:numPr>
          <w:ilvl w:val="0"/>
          <w:numId w:val="13"/>
        </w:numPr>
        <w:jc w:val="both"/>
      </w:pPr>
      <w:r w:rsidRPr="00CB7DD4">
        <w:t xml:space="preserve">Feldman, H., &amp; Friston, K. J. (2010). Attention, uncertainty, and free-energy. </w:t>
      </w:r>
      <w:r w:rsidRPr="00CB7DD4">
        <w:rPr>
          <w:i/>
          <w:iCs/>
        </w:rPr>
        <w:t>Frontiers in Human Neuroscience</w:t>
      </w:r>
      <w:r w:rsidRPr="00CB7DD4">
        <w:t>, 4, 215.</w:t>
      </w:r>
    </w:p>
    <w:p w14:paraId="7C1FC4A0" w14:textId="77777777" w:rsidR="00CB7DD4" w:rsidRPr="00CB7DD4" w:rsidRDefault="00CB7DD4" w:rsidP="00CB7DD4">
      <w:pPr>
        <w:jc w:val="both"/>
      </w:pPr>
      <w:r w:rsidRPr="00CB7DD4">
        <w:rPr>
          <w:b/>
          <w:bCs/>
        </w:rPr>
        <w:t>Spatial / hippocampal (further)</w:t>
      </w:r>
    </w:p>
    <w:p w14:paraId="69C72FF9" w14:textId="77777777" w:rsidR="00CB7DD4" w:rsidRPr="00CB7DD4" w:rsidRDefault="00CB7DD4" w:rsidP="00CB7DD4">
      <w:pPr>
        <w:numPr>
          <w:ilvl w:val="0"/>
          <w:numId w:val="14"/>
        </w:numPr>
        <w:jc w:val="both"/>
      </w:pPr>
      <w:r w:rsidRPr="00CB7DD4">
        <w:t xml:space="preserve">Moser, E. I., Kropff, E., &amp; Moser, M.-B. (2008). Place cells, grid cells, and the brain's spatial representation system. </w:t>
      </w:r>
      <w:r w:rsidRPr="00CB7DD4">
        <w:rPr>
          <w:i/>
          <w:iCs/>
        </w:rPr>
        <w:t>Annual Review of Neuroscience</w:t>
      </w:r>
      <w:r w:rsidRPr="00CB7DD4">
        <w:t>, 31, 69–89.</w:t>
      </w:r>
    </w:p>
    <w:p w14:paraId="19885B6B" w14:textId="77777777" w:rsidR="00CB7DD4" w:rsidRPr="00CB7DD4" w:rsidRDefault="00CB7DD4" w:rsidP="00CB7DD4">
      <w:pPr>
        <w:jc w:val="both"/>
      </w:pPr>
      <w:r w:rsidRPr="00CB7DD4">
        <w:rPr>
          <w:b/>
          <w:bCs/>
        </w:rPr>
        <w:t>Fear / anxiety (BNST dissociation)</w:t>
      </w:r>
    </w:p>
    <w:p w14:paraId="1F27EA4B" w14:textId="77777777" w:rsidR="00CB7DD4" w:rsidRPr="00CB7DD4" w:rsidRDefault="00CB7DD4" w:rsidP="00CB7DD4">
      <w:pPr>
        <w:numPr>
          <w:ilvl w:val="0"/>
          <w:numId w:val="15"/>
        </w:numPr>
        <w:jc w:val="both"/>
      </w:pPr>
      <w:r w:rsidRPr="00CB7DD4">
        <w:t xml:space="preserve">Walker, D. L., Toufexis, D. J., &amp; Davis, M. (2003). Role of the bed nucleus of the stria terminalis versus the amygdala in fear, stress, and anxiety. </w:t>
      </w:r>
      <w:r w:rsidRPr="00CB7DD4">
        <w:rPr>
          <w:i/>
          <w:iCs/>
        </w:rPr>
        <w:t>European Journal of Pharmacology</w:t>
      </w:r>
      <w:r w:rsidRPr="00CB7DD4">
        <w:t>, 463(1–3), 199–216.</w:t>
      </w:r>
    </w:p>
    <w:p w14:paraId="59541197" w14:textId="77777777" w:rsidR="00CB7DD4" w:rsidRPr="00CB7DD4" w:rsidRDefault="00CB7DD4" w:rsidP="00CB7DD4">
      <w:pPr>
        <w:numPr>
          <w:ilvl w:val="0"/>
          <w:numId w:val="15"/>
        </w:numPr>
        <w:jc w:val="both"/>
      </w:pPr>
      <w:r w:rsidRPr="00CB7DD4">
        <w:t xml:space="preserve">Davis, M., Walker, D. L., Miles, L., &amp; Grillon, C. (2010). Phasic vs sustained fear in rats and humans: role of the extended amygdala in fear vs anxiety. </w:t>
      </w:r>
      <w:r w:rsidRPr="00CB7DD4">
        <w:rPr>
          <w:i/>
          <w:iCs/>
        </w:rPr>
        <w:t>Neuropsychopharmacology</w:t>
      </w:r>
      <w:r w:rsidRPr="00CB7DD4">
        <w:t>, 35(1), 105–135.</w:t>
      </w:r>
    </w:p>
    <w:p w14:paraId="0933BF9A" w14:textId="77777777" w:rsidR="00CB7DD4" w:rsidRPr="00CB7DD4" w:rsidRDefault="00CB7DD4" w:rsidP="00CB7DD4">
      <w:pPr>
        <w:jc w:val="both"/>
      </w:pPr>
      <w:r w:rsidRPr="00CB7DD4">
        <w:rPr>
          <w:b/>
          <w:bCs/>
        </w:rPr>
        <w:t>Thalamus — firing mode, oscillations, gating</w:t>
      </w:r>
    </w:p>
    <w:p w14:paraId="214A2015" w14:textId="77777777" w:rsidR="00CB7DD4" w:rsidRPr="00CB7DD4" w:rsidRDefault="00CB7DD4" w:rsidP="00CB7DD4">
      <w:pPr>
        <w:numPr>
          <w:ilvl w:val="0"/>
          <w:numId w:val="16"/>
        </w:numPr>
        <w:jc w:val="both"/>
      </w:pPr>
      <w:r w:rsidRPr="00CB7DD4">
        <w:t xml:space="preserve">Steriade, M., McCormick, D. A., &amp; Sejnowski, T. J. (1993). Thalamocortical oscillations in the sleeping and aroused brain. </w:t>
      </w:r>
      <w:r w:rsidRPr="00CB7DD4">
        <w:rPr>
          <w:i/>
          <w:iCs/>
        </w:rPr>
        <w:t>Science</w:t>
      </w:r>
      <w:r w:rsidRPr="00CB7DD4">
        <w:t>, 262(5134), 679–685.</w:t>
      </w:r>
    </w:p>
    <w:p w14:paraId="33BD94C1" w14:textId="77777777" w:rsidR="00CB7DD4" w:rsidRPr="00CB7DD4" w:rsidRDefault="00CB7DD4" w:rsidP="00CB7DD4">
      <w:pPr>
        <w:numPr>
          <w:ilvl w:val="0"/>
          <w:numId w:val="16"/>
        </w:numPr>
        <w:jc w:val="both"/>
      </w:pPr>
      <w:r w:rsidRPr="00CB7DD4">
        <w:t xml:space="preserve">McCormick, D. A., &amp; Bal, T. (1997). Sleep and arousal: thalamocortical mechanisms. </w:t>
      </w:r>
      <w:r w:rsidRPr="00CB7DD4">
        <w:rPr>
          <w:i/>
          <w:iCs/>
        </w:rPr>
        <w:t>Annual Review of Neuroscience</w:t>
      </w:r>
      <w:r w:rsidRPr="00CB7DD4">
        <w:t>, 20, 185–215.</w:t>
      </w:r>
    </w:p>
    <w:p w14:paraId="0B0082C3" w14:textId="77777777" w:rsidR="00CB7DD4" w:rsidRPr="00CB7DD4" w:rsidRDefault="00CB7DD4" w:rsidP="00CB7DD4">
      <w:pPr>
        <w:numPr>
          <w:ilvl w:val="0"/>
          <w:numId w:val="16"/>
        </w:numPr>
        <w:jc w:val="both"/>
      </w:pPr>
      <w:r w:rsidRPr="00CB7DD4">
        <w:t xml:space="preserve">Sherman, S. M. (2001). Tonic and burst firing: dual modes of thalamocortical relay. </w:t>
      </w:r>
      <w:r w:rsidRPr="00CB7DD4">
        <w:rPr>
          <w:i/>
          <w:iCs/>
        </w:rPr>
        <w:t>Trends in Neurosciences</w:t>
      </w:r>
      <w:r w:rsidRPr="00CB7DD4">
        <w:t>, 24(2), 122–126.</w:t>
      </w:r>
    </w:p>
    <w:p w14:paraId="2DA533BB" w14:textId="77777777" w:rsidR="00CB7DD4" w:rsidRPr="00CB7DD4" w:rsidRDefault="00CB7DD4" w:rsidP="00CB7DD4">
      <w:pPr>
        <w:numPr>
          <w:ilvl w:val="0"/>
          <w:numId w:val="16"/>
        </w:numPr>
        <w:jc w:val="both"/>
      </w:pPr>
      <w:r w:rsidRPr="00CB7DD4">
        <w:t xml:space="preserve">Sherman, S. M., &amp; Guillery, R. W. (2006). </w:t>
      </w:r>
      <w:r w:rsidRPr="00CB7DD4">
        <w:rPr>
          <w:i/>
          <w:iCs/>
        </w:rPr>
        <w:t>Exploring the Thalamus and Its Role in Cortical Function</w:t>
      </w:r>
      <w:r w:rsidRPr="00CB7DD4">
        <w:t xml:space="preserve"> (2nd ed.). Cambridge, MA: MIT Press.</w:t>
      </w:r>
    </w:p>
    <w:p w14:paraId="35BE4BF3" w14:textId="77777777" w:rsidR="00CB7DD4" w:rsidRPr="00CB7DD4" w:rsidRDefault="00CB7DD4" w:rsidP="00CB7DD4">
      <w:pPr>
        <w:numPr>
          <w:ilvl w:val="0"/>
          <w:numId w:val="16"/>
        </w:numPr>
        <w:jc w:val="both"/>
      </w:pPr>
      <w:r w:rsidRPr="00CB7DD4">
        <w:t xml:space="preserve">Crick, F. (1984). Function of the thalamic reticular complex: the searchlight hypothesis. </w:t>
      </w:r>
      <w:r w:rsidRPr="00CB7DD4">
        <w:rPr>
          <w:i/>
          <w:iCs/>
        </w:rPr>
        <w:t>Proceedings of the National Academy of Sciences USA</w:t>
      </w:r>
      <w:r w:rsidRPr="00CB7DD4">
        <w:t>, 81(14), 4586–4590.</w:t>
      </w:r>
    </w:p>
    <w:p w14:paraId="607479E6" w14:textId="77777777" w:rsidR="00CB7DD4" w:rsidRPr="00CB7DD4" w:rsidRDefault="00CB7DD4" w:rsidP="00CB7DD4">
      <w:pPr>
        <w:jc w:val="both"/>
      </w:pPr>
      <w:r w:rsidRPr="00CB7DD4">
        <w:rPr>
          <w:b/>
          <w:bCs/>
        </w:rPr>
        <w:t>Sleep — consolidation, REM emotional processing, homeostasis, ontogeny</w:t>
      </w:r>
    </w:p>
    <w:p w14:paraId="6F75577A" w14:textId="77777777" w:rsidR="00CB7DD4" w:rsidRPr="00CB7DD4" w:rsidRDefault="00CB7DD4" w:rsidP="00CB7DD4">
      <w:pPr>
        <w:numPr>
          <w:ilvl w:val="0"/>
          <w:numId w:val="17"/>
        </w:numPr>
        <w:jc w:val="both"/>
      </w:pPr>
      <w:r w:rsidRPr="00CB7DD4">
        <w:t xml:space="preserve">Diekelmann, S., &amp; Born, J. (2010). The memory function of sleep. </w:t>
      </w:r>
      <w:r w:rsidRPr="00CB7DD4">
        <w:rPr>
          <w:i/>
          <w:iCs/>
        </w:rPr>
        <w:t>Nature Reviews Neuroscience</w:t>
      </w:r>
      <w:r w:rsidRPr="00CB7DD4">
        <w:t>, 11(2), 114–126.</w:t>
      </w:r>
    </w:p>
    <w:p w14:paraId="03A9C4E2" w14:textId="77777777" w:rsidR="00CB7DD4" w:rsidRPr="00CB7DD4" w:rsidRDefault="00CB7DD4" w:rsidP="00CB7DD4">
      <w:pPr>
        <w:numPr>
          <w:ilvl w:val="0"/>
          <w:numId w:val="17"/>
        </w:numPr>
        <w:jc w:val="both"/>
      </w:pPr>
      <w:r w:rsidRPr="00CB7DD4">
        <w:t xml:space="preserve">Rasch, B., &amp; Born, J. (2013). About sleep's role in memory. </w:t>
      </w:r>
      <w:r w:rsidRPr="00CB7DD4">
        <w:rPr>
          <w:i/>
          <w:iCs/>
        </w:rPr>
        <w:t>Physiological Reviews</w:t>
      </w:r>
      <w:r w:rsidRPr="00CB7DD4">
        <w:t>, 93(2), 681–766.</w:t>
      </w:r>
    </w:p>
    <w:p w14:paraId="22F2B266" w14:textId="77777777" w:rsidR="00CB7DD4" w:rsidRPr="00CB7DD4" w:rsidRDefault="00CB7DD4" w:rsidP="00CB7DD4">
      <w:pPr>
        <w:numPr>
          <w:ilvl w:val="0"/>
          <w:numId w:val="17"/>
        </w:numPr>
        <w:jc w:val="both"/>
      </w:pPr>
      <w:r w:rsidRPr="00CB7DD4">
        <w:t xml:space="preserve">Born, J., &amp; Wilhelm, I. (2012). System consolidation of memory during sleep. </w:t>
      </w:r>
      <w:r w:rsidRPr="00CB7DD4">
        <w:rPr>
          <w:i/>
          <w:iCs/>
        </w:rPr>
        <w:t>Psychological Research</w:t>
      </w:r>
      <w:r w:rsidRPr="00CB7DD4">
        <w:t>, 76(2), 192–203.</w:t>
      </w:r>
    </w:p>
    <w:p w14:paraId="53B2B18B" w14:textId="77777777" w:rsidR="00CB7DD4" w:rsidRPr="00CB7DD4" w:rsidRDefault="00CB7DD4" w:rsidP="00CB7DD4">
      <w:pPr>
        <w:numPr>
          <w:ilvl w:val="0"/>
          <w:numId w:val="17"/>
        </w:numPr>
        <w:jc w:val="both"/>
      </w:pPr>
      <w:r w:rsidRPr="00CB7DD4">
        <w:t xml:space="preserve">Wilson, M. A., &amp; McNaughton, B. L. (1994). Reactivation of hippocampal ensemble memories during sleep. </w:t>
      </w:r>
      <w:r w:rsidRPr="00CB7DD4">
        <w:rPr>
          <w:i/>
          <w:iCs/>
        </w:rPr>
        <w:t>Science</w:t>
      </w:r>
      <w:r w:rsidRPr="00CB7DD4">
        <w:t>, 265(5172), 676–679.</w:t>
      </w:r>
    </w:p>
    <w:p w14:paraId="09520E12" w14:textId="77777777" w:rsidR="00CB7DD4" w:rsidRPr="00CB7DD4" w:rsidRDefault="00CB7DD4" w:rsidP="00CB7DD4">
      <w:pPr>
        <w:numPr>
          <w:ilvl w:val="0"/>
          <w:numId w:val="17"/>
        </w:numPr>
        <w:jc w:val="both"/>
      </w:pPr>
      <w:r w:rsidRPr="00CB7DD4">
        <w:lastRenderedPageBreak/>
        <w:t xml:space="preserve">Stickgold, R. (2005). Sleep-dependent memory consolidation. </w:t>
      </w:r>
      <w:r w:rsidRPr="00CB7DD4">
        <w:rPr>
          <w:i/>
          <w:iCs/>
        </w:rPr>
        <w:t>Nature</w:t>
      </w:r>
      <w:r w:rsidRPr="00CB7DD4">
        <w:t>, 437(7063), 1272–1278.</w:t>
      </w:r>
    </w:p>
    <w:p w14:paraId="2BF28396" w14:textId="77777777" w:rsidR="00CB7DD4" w:rsidRPr="00CB7DD4" w:rsidRDefault="00CB7DD4" w:rsidP="00CB7DD4">
      <w:pPr>
        <w:numPr>
          <w:ilvl w:val="0"/>
          <w:numId w:val="17"/>
        </w:numPr>
        <w:jc w:val="both"/>
      </w:pPr>
      <w:r w:rsidRPr="00CB7DD4">
        <w:t xml:space="preserve">Walker, M. P., &amp; van der Helm, E. (2009). Overnight therapy? The role of sleep in emotional brain processing. </w:t>
      </w:r>
      <w:r w:rsidRPr="00CB7DD4">
        <w:rPr>
          <w:i/>
          <w:iCs/>
        </w:rPr>
        <w:t>Psychological Bulletin</w:t>
      </w:r>
      <w:r w:rsidRPr="00CB7DD4">
        <w:t>, 135(5), 731–748.</w:t>
      </w:r>
    </w:p>
    <w:p w14:paraId="11AECA11" w14:textId="77777777" w:rsidR="00CB7DD4" w:rsidRPr="00CB7DD4" w:rsidRDefault="00CB7DD4" w:rsidP="00CB7DD4">
      <w:pPr>
        <w:numPr>
          <w:ilvl w:val="0"/>
          <w:numId w:val="17"/>
        </w:numPr>
        <w:jc w:val="both"/>
      </w:pPr>
      <w:r w:rsidRPr="00CB7DD4">
        <w:t xml:space="preserve">Goldstein, A. N., &amp; Walker, M. P. (2014). The role of sleep in emotional brain function. </w:t>
      </w:r>
      <w:r w:rsidRPr="00CB7DD4">
        <w:rPr>
          <w:i/>
          <w:iCs/>
        </w:rPr>
        <w:t>Annual Review of Clinical Psychology</w:t>
      </w:r>
      <w:r w:rsidRPr="00CB7DD4">
        <w:t>, 10, 679–708.</w:t>
      </w:r>
    </w:p>
    <w:p w14:paraId="798AA6F8" w14:textId="77777777" w:rsidR="00CB7DD4" w:rsidRPr="00CB7DD4" w:rsidRDefault="00CB7DD4" w:rsidP="00CB7DD4">
      <w:pPr>
        <w:numPr>
          <w:ilvl w:val="0"/>
          <w:numId w:val="17"/>
        </w:numPr>
        <w:jc w:val="both"/>
      </w:pPr>
      <w:r w:rsidRPr="00CB7DD4">
        <w:t xml:space="preserve">Tononi, G., &amp; Cirelli, C. (2014). Sleep and the price of plasticity: from synaptic and cellular homeostasis to memory consolidation and integration. </w:t>
      </w:r>
      <w:r w:rsidRPr="00CB7DD4">
        <w:rPr>
          <w:i/>
          <w:iCs/>
        </w:rPr>
        <w:t>Neuron</w:t>
      </w:r>
      <w:r w:rsidRPr="00CB7DD4">
        <w:t>, 81(1), 12–34.</w:t>
      </w:r>
    </w:p>
    <w:p w14:paraId="57346C28" w14:textId="77777777" w:rsidR="00CB7DD4" w:rsidRPr="00CB7DD4" w:rsidRDefault="00CB7DD4" w:rsidP="00CB7DD4">
      <w:pPr>
        <w:numPr>
          <w:ilvl w:val="0"/>
          <w:numId w:val="17"/>
        </w:numPr>
        <w:jc w:val="both"/>
      </w:pPr>
      <w:r w:rsidRPr="00CB7DD4">
        <w:t xml:space="preserve">Roffwarg, H. P., Muzio, J. N., &amp; Dement, W. C. (1966). Ontogenetic development of the human sleep–dream cycle. </w:t>
      </w:r>
      <w:r w:rsidRPr="00CB7DD4">
        <w:rPr>
          <w:i/>
          <w:iCs/>
        </w:rPr>
        <w:t>Science</w:t>
      </w:r>
      <w:r w:rsidRPr="00CB7DD4">
        <w:t>, 152(3722), 604–619.</w:t>
      </w:r>
    </w:p>
    <w:p w14:paraId="1126224F" w14:textId="77777777" w:rsidR="00CB7DD4" w:rsidRPr="00CB7DD4" w:rsidRDefault="00CB7DD4" w:rsidP="00CB7DD4">
      <w:pPr>
        <w:jc w:val="both"/>
      </w:pPr>
      <w:r w:rsidRPr="00CB7DD4">
        <w:rPr>
          <w:b/>
          <w:bCs/>
        </w:rPr>
        <w:t>REM behaviour disorder</w:t>
      </w:r>
    </w:p>
    <w:p w14:paraId="7EFEFA20" w14:textId="77777777" w:rsidR="00CB7DD4" w:rsidRPr="00CB7DD4" w:rsidRDefault="00CB7DD4" w:rsidP="00CB7DD4">
      <w:pPr>
        <w:numPr>
          <w:ilvl w:val="0"/>
          <w:numId w:val="18"/>
        </w:numPr>
        <w:jc w:val="both"/>
      </w:pPr>
      <w:r w:rsidRPr="00CB7DD4">
        <w:t xml:space="preserve">Schenck, C. H., &amp; Mahowald, M. W. (2002). REM sleep behavior disorder: clinical, developmental, and neuroscience perspectives 16 years after its formal identification in </w:t>
      </w:r>
      <w:r w:rsidRPr="00CB7DD4">
        <w:rPr>
          <w:i/>
          <w:iCs/>
        </w:rPr>
        <w:t>Sleep</w:t>
      </w:r>
      <w:r w:rsidRPr="00CB7DD4">
        <w:t xml:space="preserve">. </w:t>
      </w:r>
      <w:r w:rsidRPr="00CB7DD4">
        <w:rPr>
          <w:i/>
          <w:iCs/>
        </w:rPr>
        <w:t>Sleep</w:t>
      </w:r>
      <w:r w:rsidRPr="00CB7DD4">
        <w:t>, 25(2), 120–138.</w:t>
      </w:r>
    </w:p>
    <w:p w14:paraId="16CE9E21" w14:textId="77777777" w:rsidR="00CB7DD4" w:rsidRPr="00CB7DD4" w:rsidRDefault="00CB7DD4" w:rsidP="00CB7DD4">
      <w:pPr>
        <w:numPr>
          <w:ilvl w:val="0"/>
          <w:numId w:val="18"/>
        </w:numPr>
        <w:jc w:val="both"/>
      </w:pPr>
      <w:r w:rsidRPr="00CB7DD4">
        <w:t xml:space="preserve">Boeve, B. F. (2010). REM sleep behavior disorder: updated review of the core features, the RBD-neurodegenerative disease association, evolving concepts, controversies, and future directions. </w:t>
      </w:r>
      <w:r w:rsidRPr="00CB7DD4">
        <w:rPr>
          <w:i/>
          <w:iCs/>
        </w:rPr>
        <w:t>Annals of the New York Academy of Sciences</w:t>
      </w:r>
      <w:r w:rsidRPr="00CB7DD4">
        <w:t>, 1184, 15–54.</w:t>
      </w:r>
    </w:p>
    <w:p w14:paraId="0F951F40" w14:textId="77777777" w:rsidR="00CB7DD4" w:rsidRPr="00CB7DD4" w:rsidRDefault="00CB7DD4" w:rsidP="00CB7DD4">
      <w:pPr>
        <w:jc w:val="both"/>
      </w:pPr>
      <w:r w:rsidRPr="00CB7DD4">
        <w:rPr>
          <w:b/>
          <w:bCs/>
        </w:rPr>
        <w:t>Binding and consciousness</w:t>
      </w:r>
    </w:p>
    <w:p w14:paraId="66DC83C2" w14:textId="77777777" w:rsidR="00CB7DD4" w:rsidRPr="00CB7DD4" w:rsidRDefault="00CB7DD4" w:rsidP="00CB7DD4">
      <w:pPr>
        <w:numPr>
          <w:ilvl w:val="0"/>
          <w:numId w:val="19"/>
        </w:numPr>
        <w:jc w:val="both"/>
      </w:pPr>
      <w:r w:rsidRPr="00CB7DD4">
        <w:t xml:space="preserve">Treisman, A. (1996). The binding problem. </w:t>
      </w:r>
      <w:r w:rsidRPr="00CB7DD4">
        <w:rPr>
          <w:i/>
          <w:iCs/>
        </w:rPr>
        <w:t>Current Opinion in Neurobiology</w:t>
      </w:r>
      <w:r w:rsidRPr="00CB7DD4">
        <w:t>, 6(2), 171–178.</w:t>
      </w:r>
    </w:p>
    <w:p w14:paraId="34B79B72" w14:textId="77777777" w:rsidR="00CB7DD4" w:rsidRPr="00CB7DD4" w:rsidRDefault="00CB7DD4" w:rsidP="00CB7DD4">
      <w:pPr>
        <w:numPr>
          <w:ilvl w:val="0"/>
          <w:numId w:val="19"/>
        </w:numPr>
        <w:jc w:val="both"/>
      </w:pPr>
      <w:r w:rsidRPr="00CB7DD4">
        <w:t xml:space="preserve">Singer, W. (1999). Neuronal synchrony: a versatile code for the definition of relations? </w:t>
      </w:r>
      <w:r w:rsidRPr="00CB7DD4">
        <w:rPr>
          <w:i/>
          <w:iCs/>
        </w:rPr>
        <w:t>Neuron</w:t>
      </w:r>
      <w:r w:rsidRPr="00CB7DD4">
        <w:t>, 24(1), 49–65.</w:t>
      </w:r>
    </w:p>
    <w:p w14:paraId="02D32275" w14:textId="77777777" w:rsidR="00CB7DD4" w:rsidRPr="00CB7DD4" w:rsidRDefault="00CB7DD4" w:rsidP="00CB7DD4">
      <w:pPr>
        <w:numPr>
          <w:ilvl w:val="0"/>
          <w:numId w:val="19"/>
        </w:numPr>
        <w:jc w:val="both"/>
      </w:pPr>
      <w:r w:rsidRPr="00CB7DD4">
        <w:t xml:space="preserve">Baars, B. J. (1988). </w:t>
      </w:r>
      <w:r w:rsidRPr="00CB7DD4">
        <w:rPr>
          <w:i/>
          <w:iCs/>
        </w:rPr>
        <w:t>A Cognitive Theory of Consciousness</w:t>
      </w:r>
      <w:r w:rsidRPr="00CB7DD4">
        <w:t>. Cambridge: Cambridge University Press.</w:t>
      </w:r>
    </w:p>
    <w:p w14:paraId="78DDA543" w14:textId="77777777" w:rsidR="00CB7DD4" w:rsidRPr="00CB7DD4" w:rsidRDefault="00CB7DD4" w:rsidP="00CB7DD4">
      <w:pPr>
        <w:numPr>
          <w:ilvl w:val="0"/>
          <w:numId w:val="19"/>
        </w:numPr>
        <w:jc w:val="both"/>
      </w:pPr>
      <w:r w:rsidRPr="00CB7DD4">
        <w:t xml:space="preserve">Tononi, G. (2004). An information integration theory of consciousness. </w:t>
      </w:r>
      <w:r w:rsidRPr="00CB7DD4">
        <w:rPr>
          <w:i/>
          <w:iCs/>
        </w:rPr>
        <w:t>BMC Neuroscience</w:t>
      </w:r>
      <w:r w:rsidRPr="00CB7DD4">
        <w:t>, 5, 42.</w:t>
      </w:r>
    </w:p>
    <w:p w14:paraId="6A19F579" w14:textId="77777777" w:rsidR="00CB7DD4" w:rsidRPr="00CB7DD4" w:rsidRDefault="00CB7DD4" w:rsidP="00CB7DD4">
      <w:pPr>
        <w:numPr>
          <w:ilvl w:val="0"/>
          <w:numId w:val="19"/>
        </w:numPr>
        <w:jc w:val="both"/>
      </w:pPr>
      <w:r w:rsidRPr="00CB7DD4">
        <w:t xml:space="preserve">Tononi, G. (2008). Consciousness as integrated information: a provisional manifesto. </w:t>
      </w:r>
      <w:r w:rsidRPr="00CB7DD4">
        <w:rPr>
          <w:i/>
          <w:iCs/>
        </w:rPr>
        <w:t>The Biological Bulletin</w:t>
      </w:r>
      <w:r w:rsidRPr="00CB7DD4">
        <w:t>, 215(3), 216–242.</w:t>
      </w:r>
    </w:p>
    <w:p w14:paraId="00EB16BA" w14:textId="77777777" w:rsidR="00CB7DD4" w:rsidRPr="00CB7DD4" w:rsidRDefault="00CB7DD4" w:rsidP="00CB7DD4">
      <w:pPr>
        <w:numPr>
          <w:ilvl w:val="0"/>
          <w:numId w:val="19"/>
        </w:numPr>
        <w:jc w:val="both"/>
      </w:pPr>
      <w:r w:rsidRPr="00CB7DD4">
        <w:t xml:space="preserve">Dehaene, S., &amp; Changeux, J.-P. (2011). Experimental and theoretical approaches to conscious processing. </w:t>
      </w:r>
      <w:r w:rsidRPr="00CB7DD4">
        <w:rPr>
          <w:i/>
          <w:iCs/>
        </w:rPr>
        <w:t>Neuron</w:t>
      </w:r>
      <w:r w:rsidRPr="00CB7DD4">
        <w:t>, 70(2), 200–227.</w:t>
      </w:r>
    </w:p>
    <w:p w14:paraId="55D38309" w14:textId="77777777" w:rsidR="00CB7DD4" w:rsidRPr="00CB7DD4" w:rsidRDefault="00CB7DD4" w:rsidP="00CB7DD4">
      <w:pPr>
        <w:jc w:val="both"/>
      </w:pPr>
      <w:r w:rsidRPr="00CB7DD4">
        <w:rPr>
          <w:b/>
          <w:bCs/>
        </w:rPr>
        <w:t>Topology, sheaves, and applied topology in neuroscience</w:t>
      </w:r>
    </w:p>
    <w:p w14:paraId="2E56C338" w14:textId="77777777" w:rsidR="00CB7DD4" w:rsidRPr="00CB7DD4" w:rsidRDefault="00CB7DD4" w:rsidP="00CB7DD4">
      <w:pPr>
        <w:numPr>
          <w:ilvl w:val="0"/>
          <w:numId w:val="20"/>
        </w:numPr>
        <w:jc w:val="both"/>
      </w:pPr>
      <w:r w:rsidRPr="00CB7DD4">
        <w:t xml:space="preserve">Carlsson, G. (2009). Topology and data. </w:t>
      </w:r>
      <w:r w:rsidRPr="00CB7DD4">
        <w:rPr>
          <w:i/>
          <w:iCs/>
        </w:rPr>
        <w:t>Bulletin of the American Mathematical Society</w:t>
      </w:r>
      <w:r w:rsidRPr="00CB7DD4">
        <w:t>, 46(2), 255–308.</w:t>
      </w:r>
    </w:p>
    <w:p w14:paraId="518BFD34" w14:textId="77777777" w:rsidR="00CB7DD4" w:rsidRPr="00CB7DD4" w:rsidRDefault="00CB7DD4" w:rsidP="00CB7DD4">
      <w:pPr>
        <w:numPr>
          <w:ilvl w:val="0"/>
          <w:numId w:val="20"/>
        </w:numPr>
        <w:jc w:val="both"/>
      </w:pPr>
      <w:r w:rsidRPr="00CB7DD4">
        <w:t xml:space="preserve">Ghrist, R. (2014). </w:t>
      </w:r>
      <w:r w:rsidRPr="00CB7DD4">
        <w:rPr>
          <w:i/>
          <w:iCs/>
        </w:rPr>
        <w:t>Elementary Applied Topology</w:t>
      </w:r>
      <w:r w:rsidRPr="00CB7DD4">
        <w:t>. Createspace.</w:t>
      </w:r>
    </w:p>
    <w:p w14:paraId="027DA722" w14:textId="77777777" w:rsidR="00CB7DD4" w:rsidRPr="00CB7DD4" w:rsidRDefault="00CB7DD4" w:rsidP="00CB7DD4">
      <w:pPr>
        <w:numPr>
          <w:ilvl w:val="0"/>
          <w:numId w:val="20"/>
        </w:numPr>
        <w:jc w:val="both"/>
      </w:pPr>
      <w:r w:rsidRPr="00CB7DD4">
        <w:t xml:space="preserve">Curto, C. (2017). What can topology tell us about the neural code? </w:t>
      </w:r>
      <w:r w:rsidRPr="00CB7DD4">
        <w:rPr>
          <w:i/>
          <w:iCs/>
        </w:rPr>
        <w:t>Bulletin of the American Mathematical Society</w:t>
      </w:r>
      <w:r w:rsidRPr="00CB7DD4">
        <w:t>, 54(1), 63–78.</w:t>
      </w:r>
    </w:p>
    <w:p w14:paraId="298184C4" w14:textId="59B4692E" w:rsidR="00CB7DD4" w:rsidRPr="00CB7DD4" w:rsidRDefault="00CB7DD4" w:rsidP="00CB7DD4">
      <w:pPr>
        <w:jc w:val="both"/>
      </w:pPr>
      <w:r w:rsidRPr="00CB7DD4">
        <w:rPr>
          <w:b/>
          <w:bCs/>
        </w:rPr>
        <w:t>Mathematics — classical</w:t>
      </w:r>
    </w:p>
    <w:p w14:paraId="68CF1CA2" w14:textId="77777777" w:rsidR="00CB7DD4" w:rsidRPr="00CB7DD4" w:rsidRDefault="00CB7DD4" w:rsidP="00CB7DD4">
      <w:pPr>
        <w:numPr>
          <w:ilvl w:val="0"/>
          <w:numId w:val="21"/>
        </w:numPr>
        <w:jc w:val="both"/>
      </w:pPr>
      <w:r w:rsidRPr="00CB7DD4">
        <w:t xml:space="preserve">Banach, S. (1922). Sur les opérations dans les ensembles abstraits et leur application aux équations intégrales. </w:t>
      </w:r>
      <w:r w:rsidRPr="00CB7DD4">
        <w:rPr>
          <w:i/>
          <w:iCs/>
        </w:rPr>
        <w:t>Fundamenta Mathematicae</w:t>
      </w:r>
      <w:r w:rsidRPr="00CB7DD4">
        <w:t xml:space="preserve">, 3, 133–181. </w:t>
      </w:r>
      <w:r w:rsidRPr="00CB7DD4">
        <w:rPr>
          <w:i/>
          <w:iCs/>
        </w:rPr>
        <w:t>(contraction mapping principle)</w:t>
      </w:r>
    </w:p>
    <w:p w14:paraId="6C8A63FE" w14:textId="77777777" w:rsidR="00CB7DD4" w:rsidRPr="00CB7DD4" w:rsidRDefault="00CB7DD4" w:rsidP="00CB7DD4">
      <w:pPr>
        <w:numPr>
          <w:ilvl w:val="0"/>
          <w:numId w:val="21"/>
        </w:numPr>
        <w:jc w:val="both"/>
      </w:pPr>
      <w:r w:rsidRPr="00CB7DD4">
        <w:lastRenderedPageBreak/>
        <w:t xml:space="preserve">Riesz, F. (1918). Über lineare Funktionalgleichungen. </w:t>
      </w:r>
      <w:r w:rsidRPr="00CB7DD4">
        <w:rPr>
          <w:i/>
          <w:iCs/>
        </w:rPr>
        <w:t>Acta Mathematica</w:t>
      </w:r>
      <w:r w:rsidRPr="00CB7DD4">
        <w:t xml:space="preserve">, 41, 71–98. </w:t>
      </w:r>
      <w:r w:rsidRPr="00CB7DD4">
        <w:rPr>
          <w:i/>
          <w:iCs/>
        </w:rPr>
        <w:t>(Riesz's lemma; non-compactness of the unit ball in infinite-dimensional normed spaces)</w:t>
      </w:r>
    </w:p>
    <w:p w14:paraId="142AEBC1" w14:textId="77777777" w:rsidR="00CB7DD4" w:rsidRPr="00CB7DD4" w:rsidRDefault="00CB7DD4" w:rsidP="00CB7DD4">
      <w:pPr>
        <w:numPr>
          <w:ilvl w:val="0"/>
          <w:numId w:val="21"/>
        </w:numPr>
        <w:jc w:val="both"/>
      </w:pPr>
      <w:r w:rsidRPr="00CB7DD4">
        <w:t xml:space="preserve">Arzelà, C. (1895) and Ascoli, G. (1883–1884). </w:t>
      </w:r>
      <w:r w:rsidRPr="00CB7DD4">
        <w:rPr>
          <w:i/>
          <w:iCs/>
        </w:rPr>
        <w:t>(Arzelà–Ascoli theorem; cite via a standard analysis text, e.g., Rudin or Royden, rather than the originals)</w:t>
      </w:r>
    </w:p>
    <w:p w14:paraId="4DA314EB" w14:textId="77777777" w:rsidR="00CB7DD4" w:rsidRPr="00CB7DD4" w:rsidRDefault="00CB7DD4" w:rsidP="00CB7DD4">
      <w:pPr>
        <w:numPr>
          <w:ilvl w:val="0"/>
          <w:numId w:val="21"/>
        </w:numPr>
        <w:jc w:val="both"/>
      </w:pPr>
      <w:r w:rsidRPr="00CB7DD4">
        <w:t xml:space="preserve">Heine, E. (1872) / Cantor. </w:t>
      </w:r>
      <w:r w:rsidRPr="00CB7DD4">
        <w:rPr>
          <w:i/>
          <w:iCs/>
        </w:rPr>
        <w:t>(Heine–Cantor theorem on uniform continuity over compact sets; cite via a standard analysis text)</w:t>
      </w:r>
    </w:p>
    <w:p w14:paraId="046651FE" w14:textId="77777777" w:rsidR="00CB7DD4" w:rsidRPr="00CB7DD4" w:rsidRDefault="00CB7DD4" w:rsidP="00CB7DD4">
      <w:pPr>
        <w:numPr>
          <w:ilvl w:val="0"/>
          <w:numId w:val="21"/>
        </w:numPr>
        <w:jc w:val="both"/>
      </w:pPr>
      <w:r w:rsidRPr="00CB7DD4">
        <w:t xml:space="preserve">Bellman, R. (1957). </w:t>
      </w:r>
      <w:r w:rsidRPr="00CB7DD4">
        <w:rPr>
          <w:i/>
          <w:iCs/>
        </w:rPr>
        <w:t>Dynamic Programming</w:t>
      </w:r>
      <w:r w:rsidRPr="00CB7DD4">
        <w:t>. Princeton, NJ: Princeton University Press.</w:t>
      </w:r>
    </w:p>
    <w:p w14:paraId="64642FD9" w14:textId="77777777" w:rsidR="00CB7DD4" w:rsidRPr="00CB7DD4" w:rsidRDefault="00CB7DD4" w:rsidP="00CB7DD4">
      <w:pPr>
        <w:numPr>
          <w:ilvl w:val="0"/>
          <w:numId w:val="21"/>
        </w:numPr>
        <w:jc w:val="both"/>
      </w:pPr>
      <w:r w:rsidRPr="00CB7DD4">
        <w:t xml:space="preserve">Kolmogorov, A. N., &amp; Tikhomirov, V. M. (1959). ε-entropy and ε-capacity of sets in function spaces. </w:t>
      </w:r>
      <w:r w:rsidRPr="00CB7DD4">
        <w:rPr>
          <w:i/>
          <w:iCs/>
        </w:rPr>
        <w:t>Uspekhi Matematicheskikh Nauk</w:t>
      </w:r>
      <w:r w:rsidRPr="00CB7DD4">
        <w:t xml:space="preserve">, 14(2), 3–86. (English transl.: </w:t>
      </w:r>
      <w:r w:rsidRPr="00CB7DD4">
        <w:rPr>
          <w:i/>
          <w:iCs/>
        </w:rPr>
        <w:t>American Mathematical Society Translations</w:t>
      </w:r>
      <w:r w:rsidRPr="00CB7DD4">
        <w:t>, 1961.)</w:t>
      </w:r>
    </w:p>
    <w:p w14:paraId="728C88F9" w14:textId="77777777" w:rsidR="00CB7DD4" w:rsidRPr="00CB7DD4" w:rsidRDefault="00CB7DD4" w:rsidP="00CB7DD4">
      <w:pPr>
        <w:numPr>
          <w:ilvl w:val="0"/>
          <w:numId w:val="21"/>
        </w:numPr>
        <w:jc w:val="both"/>
      </w:pPr>
      <w:r w:rsidRPr="00CB7DD4">
        <w:t xml:space="preserve">Vapnik, V. N. (1998). </w:t>
      </w:r>
      <w:r w:rsidRPr="00CB7DD4">
        <w:rPr>
          <w:i/>
          <w:iCs/>
        </w:rPr>
        <w:t>Statistical Learning Theory</w:t>
      </w:r>
      <w:r w:rsidRPr="00CB7DD4">
        <w:t>. New York: Wiley.</w:t>
      </w:r>
    </w:p>
    <w:p w14:paraId="146F9CF0" w14:textId="77777777" w:rsidR="00CB7DD4" w:rsidRPr="00CB7DD4" w:rsidRDefault="00CB7DD4" w:rsidP="00CB7DD4">
      <w:pPr>
        <w:numPr>
          <w:ilvl w:val="0"/>
          <w:numId w:val="21"/>
        </w:numPr>
        <w:jc w:val="both"/>
      </w:pPr>
      <w:r w:rsidRPr="00CB7DD4">
        <w:t xml:space="preserve">Sutton, R. S., &amp; Barto, A. G. (2018). </w:t>
      </w:r>
      <w:r w:rsidRPr="00CB7DD4">
        <w:rPr>
          <w:i/>
          <w:iCs/>
        </w:rPr>
        <w:t>Reinforcement Learning: An Introduction</w:t>
      </w:r>
      <w:r w:rsidRPr="00CB7DD4">
        <w:t xml:space="preserve"> (2nd ed.). Cambridge, MA: MIT Press. (1st ed. 1998.)</w:t>
      </w:r>
    </w:p>
    <w:p w14:paraId="18E46CFF" w14:textId="77777777" w:rsidR="00CB7DD4" w:rsidRPr="00CB7DD4" w:rsidRDefault="00CB7DD4" w:rsidP="00CB7DD4">
      <w:pPr>
        <w:jc w:val="both"/>
      </w:pPr>
      <w:r w:rsidRPr="00CB7DD4">
        <w:rPr>
          <w:b/>
          <w:bCs/>
        </w:rPr>
        <w:t>Philosophy of mind (Advaita Vedānta)</w:t>
      </w:r>
    </w:p>
    <w:p w14:paraId="0E3622E5" w14:textId="77777777" w:rsidR="00CB7DD4" w:rsidRPr="00CB7DD4" w:rsidRDefault="00CB7DD4" w:rsidP="00CB7DD4">
      <w:pPr>
        <w:numPr>
          <w:ilvl w:val="0"/>
          <w:numId w:val="22"/>
        </w:numPr>
        <w:jc w:val="both"/>
      </w:pPr>
      <w:r w:rsidRPr="00CB7DD4">
        <w:t xml:space="preserve">Gupta, B. (1998). </w:t>
      </w:r>
      <w:r w:rsidRPr="00CB7DD4">
        <w:rPr>
          <w:i/>
          <w:iCs/>
        </w:rPr>
        <w:t>The Disinterested Witness: A Fragment of Advaita Vedānta Phenomenology</w:t>
      </w:r>
      <w:r w:rsidRPr="00CB7DD4">
        <w:t>. Evanston, IL: Northwestern University Press.</w:t>
      </w:r>
    </w:p>
    <w:p w14:paraId="4DE55DC4" w14:textId="77777777" w:rsidR="00CB7DD4" w:rsidRPr="00CB7DD4" w:rsidRDefault="00CB7DD4" w:rsidP="00CB7DD4">
      <w:pPr>
        <w:numPr>
          <w:ilvl w:val="0"/>
          <w:numId w:val="22"/>
        </w:numPr>
        <w:jc w:val="both"/>
      </w:pPr>
      <w:r w:rsidRPr="00CB7DD4">
        <w:t xml:space="preserve">Deutsch, E. (1969). </w:t>
      </w:r>
      <w:r w:rsidRPr="00CB7DD4">
        <w:rPr>
          <w:i/>
          <w:iCs/>
        </w:rPr>
        <w:t>Advaita Vedānta: A Philosophical Reconstruction</w:t>
      </w:r>
      <w:r w:rsidRPr="00CB7DD4">
        <w:t>. Honolulu: University of Hawaii Press.</w:t>
      </w:r>
    </w:p>
    <w:p w14:paraId="23182973" w14:textId="51C789D8" w:rsidR="00CB7DD4" w:rsidRPr="00CB7DD4" w:rsidRDefault="00CB7DD4" w:rsidP="00264D4C">
      <w:pPr>
        <w:pStyle w:val="Heading2"/>
      </w:pPr>
      <w:r w:rsidRPr="00CB7DD4">
        <w:t>Tier C —</w:t>
      </w:r>
      <w:r w:rsidR="00264D4C">
        <w:t xml:space="preserve"> Relevant</w:t>
      </w:r>
    </w:p>
    <w:p w14:paraId="70FAEA94" w14:textId="6DE512C8" w:rsidR="00CB7DD4" w:rsidRPr="00CB7DD4" w:rsidRDefault="00CB7DD4" w:rsidP="00CB7DD4">
      <w:pPr>
        <w:numPr>
          <w:ilvl w:val="0"/>
          <w:numId w:val="23"/>
        </w:numPr>
        <w:jc w:val="both"/>
      </w:pPr>
      <w:r w:rsidRPr="00CB7DD4">
        <w:t>A specific source for the result that the value function's Lipschitz constant grows as the inverse of (1 − γ) in Lipschitz MDPs (e.g., a Lipschitz-MDP reference such as Rachelson &amp; Lagoudakis, or Asadi, Misra, &amp; Littman 2018)  (§4.5).</w:t>
      </w:r>
    </w:p>
    <w:p w14:paraId="65062CBE" w14:textId="5E0090A7" w:rsidR="00CB7DD4" w:rsidRPr="00CB7DD4" w:rsidRDefault="00CB7DD4" w:rsidP="00CB7DD4">
      <w:pPr>
        <w:numPr>
          <w:ilvl w:val="0"/>
          <w:numId w:val="23"/>
        </w:numPr>
        <w:jc w:val="both"/>
      </w:pPr>
      <w:r w:rsidRPr="00CB7DD4">
        <w:t>A specific source for covering-number / metric-entropy generalisation bounds and fat-shattering dimension beyond Vapnik (e.g., Anthony &amp; Bartlett 1999) — (§4.7).</w:t>
      </w:r>
    </w:p>
    <w:p w14:paraId="38EF7454" w14:textId="080E6F62" w:rsidR="00CB7DD4" w:rsidRPr="00CB7DD4" w:rsidRDefault="00CB7DD4" w:rsidP="00CB7DD4">
      <w:pPr>
        <w:numPr>
          <w:ilvl w:val="0"/>
          <w:numId w:val="23"/>
        </w:numPr>
        <w:jc w:val="both"/>
      </w:pPr>
      <w:r w:rsidRPr="00CB7DD4">
        <w:t>The translinear-principle / Gilbert-cell engineering references (Gilbert, B., classic translinear-circuit papers, 1968 onward) invoked in §3.3.</w:t>
      </w:r>
    </w:p>
    <w:p w14:paraId="554E854B" w14:textId="3A4AADF6" w:rsidR="00CB7DD4" w:rsidRPr="00CB7DD4" w:rsidRDefault="00CB7DD4" w:rsidP="00CB7DD4">
      <w:pPr>
        <w:numPr>
          <w:ilvl w:val="0"/>
          <w:numId w:val="23"/>
        </w:numPr>
        <w:jc w:val="both"/>
      </w:pPr>
      <w:r w:rsidRPr="00CB7DD4">
        <w:t>Energy-model references for binocular disparity and motion (Adelson &amp; Bergen 1985; Ohzawa, DeAngelis, &amp; Freeman 1990) invoked in §3.3.</w:t>
      </w:r>
    </w:p>
    <w:p w14:paraId="405C72BA" w14:textId="0E610006" w:rsidR="00CB7DD4" w:rsidRPr="00CB7DD4" w:rsidRDefault="00CB7DD4" w:rsidP="00CB7DD4">
      <w:pPr>
        <w:numPr>
          <w:ilvl w:val="0"/>
          <w:numId w:val="23"/>
        </w:numPr>
        <w:jc w:val="both"/>
      </w:pPr>
      <w:r w:rsidRPr="00CB7DD4">
        <w:t>The stabilized-supralinear-network reference (Rubin, Van Hooser, &amp; Miller 2015) invoked in §3.3 .</w:t>
      </w:r>
    </w:p>
    <w:p w14:paraId="35AA134D" w14:textId="6F0006BF" w:rsidR="00CB7DD4" w:rsidRPr="00CB7DD4" w:rsidRDefault="00CB7DD4" w:rsidP="00CB7DD4">
      <w:pPr>
        <w:numPr>
          <w:ilvl w:val="0"/>
          <w:numId w:val="23"/>
        </w:numPr>
        <w:jc w:val="both"/>
      </w:pPr>
      <w:r w:rsidRPr="00CB7DD4">
        <w:t>The brainstem GABAergic REM circuitry and reassessment references (Sapin et al. 2009; Fuller, Sherman, Pedersen, Saper, &amp; Lu 2011) noted in §6.6.</w:t>
      </w:r>
    </w:p>
    <w:p w14:paraId="3ED34C3C" w14:textId="39D0676C" w:rsidR="00613B94" w:rsidRPr="00613B94" w:rsidRDefault="00613B94" w:rsidP="00613B94">
      <w:pPr>
        <w:pStyle w:val="Heading1"/>
      </w:pPr>
      <w:r w:rsidRPr="00613B94">
        <w:t>Appendix A. The N3 Lift: Translation, Extension, and the Geometry of Semantic Generalization</w:t>
      </w:r>
    </w:p>
    <w:p w14:paraId="4B205D3B" w14:textId="77777777" w:rsidR="00613B94" w:rsidRPr="00613B94" w:rsidRDefault="00613B94" w:rsidP="00613B94">
      <w:pPr>
        <w:jc w:val="both"/>
      </w:pPr>
      <w:r w:rsidRPr="00613B94">
        <w:t xml:space="preserve">Section 6 identified the deep slow-wave (N3) stage with the normed-to-inner-product lift — the transfer of origin-anchored hippocampal episodes into decorrelated neocortical semantics — and </w:t>
      </w:r>
      <w:r w:rsidRPr="00613B94">
        <w:lastRenderedPageBreak/>
        <w:t xml:space="preserve">stated that this lift builds the coordinate frame the later lifts populate. This appendix supplies the formal mechanism of that single lift, and corrects a tempting under-description of it. The lift is not a passive change of coordinates; it is an </w:t>
      </w:r>
      <w:r w:rsidRPr="00613B94">
        <w:rPr>
          <w:i/>
          <w:iCs/>
        </w:rPr>
        <w:t>enrichment</w:t>
      </w:r>
      <w:r w:rsidRPr="00613B94">
        <w:t xml:space="preserve">. It comprises two distinct operations: a </w:t>
      </w:r>
      <w:r w:rsidRPr="00613B94">
        <w:rPr>
          <w:i/>
          <w:iCs/>
        </w:rPr>
        <w:t>translation</w:t>
      </w:r>
      <w:r w:rsidRPr="00613B94">
        <w:t xml:space="preserve">, which re-expresses an already-Euclidean geometry in inner-product terms, and a </w:t>
      </w:r>
      <w:r w:rsidRPr="00613B94">
        <w:rPr>
          <w:i/>
          <w:iCs/>
        </w:rPr>
        <w:t>generalization</w:t>
      </w:r>
      <w:r w:rsidRPr="00613B94">
        <w:t>, which extends a partial relationship defined on the subspace of lived experience to the whole space of possible concepts. The translation is the polarization identity, and we show it to be the quarter-square multiplier of Section 3 (§A.2–A.3). The generalization is a Hahn–Banach extension, made unique by the inner-product structure, and we show that its norm-preservation is precisely the framework's defensibility condition (§A.4–A.5). We then treat the enrichment of context as a complexification of the representation (§A.6), and close with scope and predictions (§A.7).</w:t>
      </w:r>
    </w:p>
    <w:p w14:paraId="33A58C8E" w14:textId="77777777" w:rsidR="00613B94" w:rsidRPr="00613B94" w:rsidRDefault="00613B94" w:rsidP="00613B94">
      <w:pPr>
        <w:jc w:val="both"/>
        <w:rPr>
          <w:b/>
          <w:bCs/>
        </w:rPr>
      </w:pPr>
      <w:r w:rsidRPr="00613B94">
        <w:rPr>
          <w:b/>
          <w:bCs/>
        </w:rPr>
        <w:t>A.1 The gatekeeper: the parallelogram law</w:t>
      </w:r>
    </w:p>
    <w:p w14:paraId="710E018B" w14:textId="77777777" w:rsidR="00613B94" w:rsidRPr="00613B94" w:rsidRDefault="00613B94" w:rsidP="00613B94">
      <w:pPr>
        <w:jc w:val="both"/>
      </w:pPr>
      <w:r w:rsidRPr="00613B94">
        <w:t xml:space="preserve">Every inner-product space carries a norm; the converse fails. The precise condition under which a norm arises from an inner product is the Jordan–von Neumann theorem: a normed space is an inner-product space if and only if its norm satisfies the </w:t>
      </w:r>
      <w:r w:rsidRPr="00613B94">
        <w:rPr>
          <w:b/>
          <w:bCs/>
        </w:rPr>
        <w:t>parallelogram law</w:t>
      </w:r>
      <w:r w:rsidRPr="00613B94">
        <w:t>,</w:t>
      </w:r>
    </w:p>
    <w:p w14:paraId="415E2928" w14:textId="69F0C2EE" w:rsidR="00613B94" w:rsidRPr="00613B94" w:rsidRDefault="00613B94" w:rsidP="00613B94">
      <w:pPr>
        <w:jc w:val="both"/>
      </w:pPr>
      <m:oMathPara>
        <m:oMath>
          <m:r>
            <w:rPr>
              <w:rFonts w:ascii="Cambria Math" w:hAnsi="Cambria Math"/>
            </w:rPr>
            <m:t>2</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+2</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x+y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x-y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545DC084" w14:textId="77777777" w:rsidR="00613B94" w:rsidRPr="00613B94" w:rsidRDefault="00613B94" w:rsidP="00613B94">
      <w:pPr>
        <w:jc w:val="both"/>
      </w:pPr>
      <w:r w:rsidRPr="00613B94">
        <w:t>Geometrically, the sum of the squares of a parallelogram's two diagonals equals the sum of the squares of its four sides — a rigidity condition that holds in Euclidean geometry and fails otherwise. In the enrichment ladder of Section 2 the parallelogram law is the exact gatekeeper between the normed and inner-product rungs: a normed representation may ascend only insofar as its geometry obeys this law. Everything in this appendix is conditional on it, and §A.5 shows that the law does far more than license the ascent — it makes the resulting generalization unique.</w:t>
      </w:r>
    </w:p>
    <w:p w14:paraId="2BAF71C1" w14:textId="77777777" w:rsidR="00613B94" w:rsidRPr="00613B94" w:rsidRDefault="00613B94" w:rsidP="00613B94">
      <w:pPr>
        <w:jc w:val="both"/>
        <w:rPr>
          <w:b/>
          <w:bCs/>
        </w:rPr>
      </w:pPr>
      <w:r w:rsidRPr="00613B94">
        <w:rPr>
          <w:b/>
          <w:bCs/>
        </w:rPr>
        <w:t>A.2 Translation: the polarization identity</w:t>
      </w:r>
    </w:p>
    <w:p w14:paraId="04ABBEE0" w14:textId="77777777" w:rsidR="00613B94" w:rsidRPr="00613B94" w:rsidRDefault="00613B94" w:rsidP="00613B94">
      <w:pPr>
        <w:jc w:val="both"/>
      </w:pPr>
      <w:r w:rsidRPr="00613B94">
        <w:t xml:space="preserve">When the parallelogram law holds, the inner product is constructible from the norm by the </w:t>
      </w:r>
      <w:r w:rsidRPr="00613B94">
        <w:rPr>
          <w:b/>
          <w:bCs/>
        </w:rPr>
        <w:t>polarization identity</w:t>
      </w:r>
      <w:r w:rsidRPr="00613B94">
        <w:t>, which in a real inner-product space reads</w:t>
      </w:r>
    </w:p>
    <w:p w14:paraId="4BC64EF9" w14:textId="6C95D1ED" w:rsidR="00613B94" w:rsidRPr="00613B94" w:rsidRDefault="00613B94" w:rsidP="00613B94">
      <w:pPr>
        <w:jc w:val="both"/>
      </w:pPr>
      <m:oMathPara>
        <m:oMath>
          <m:r>
            <w:rPr>
              <w:rFonts w:ascii="Cambria Math" w:hAnsi="Cambria Math"/>
            </w:rPr>
            <m:t>⟨x,y⟩=</m:t>
          </m:r>
          <m:f>
            <m:fPr>
              <m:ctrlPr>
                <w:rPr>
                  <w:rFonts w:ascii="Cambria Math" w:hAnsi="Cambria Math"/>
                </w:rPr>
              </m:ctrlPr>
            </m:fPr>
            <m:num>
              <m:r>
                <w:rPr>
                  <w:rFonts w:ascii="Cambria Math" w:hAnsi="Cambria Math"/>
                </w:rPr>
                <m:t>1</m:t>
              </m:r>
            </m:num>
            <m:den>
              <m:r>
                <w:rPr>
                  <w:rFonts w:ascii="Cambria Math" w:hAnsi="Cambria Math"/>
                </w:rPr>
                <m:t>4</m:t>
              </m:r>
            </m:den>
          </m:f>
          <m:d>
            <m:dPr>
              <m:ctrlPr>
                <w:rPr>
                  <w:rFonts w:ascii="Cambria Math" w:hAnsi="Cambria Math"/>
                </w:rPr>
              </m:ctrlPr>
            </m:dPr>
            <m:e>
              <m:r>
                <m:rPr>
                  <m:sty m:val="p"/>
                </m:rPr>
                <w:rPr>
                  <w:rFonts w:ascii="Cambria Math" w:hAnsi="Cambria Math"/>
                </w:rPr>
                <m:t>∥</m:t>
              </m:r>
              <m:r>
                <w:rPr>
                  <w:rFonts w:ascii="Cambria Math" w:hAnsi="Cambria Math"/>
                </w:rPr>
                <m:t>x+y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m:rPr>
                  <m:sty m:val="p"/>
                </m:rPr>
                <w:rPr>
                  <w:rFonts w:ascii="Cambria Math" w:hAnsi="Cambria Math"/>
                </w:rPr>
                <m:t>∥</m:t>
              </m:r>
              <m:r>
                <w:rPr>
                  <w:rFonts w:ascii="Cambria Math" w:hAnsi="Cambria Math"/>
                </w:rPr>
                <m:t>x-y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r>
            <w:br/>
          </m:r>
        </m:oMath>
      </m:oMathPara>
    </w:p>
    <w:p w14:paraId="11D077C2" w14:textId="77777777" w:rsidR="00613B94" w:rsidRPr="00613B94" w:rsidRDefault="00613B94" w:rsidP="00613B94">
      <w:pPr>
        <w:jc w:val="both"/>
      </w:pPr>
      <w:r w:rsidRPr="00613B94">
        <w:t xml:space="preserve">(The complex case carries additional terms; we take the representations to be real, as is appropriate for firing-rate codes.) The identity manufactures an angle from four lengths the normed space already possesses, and orthogonality — the vanishing of the inner product — becomes computable: two vectors are orthogonal exactly when the lengths of their sum and difference agree. This is the </w:t>
      </w:r>
      <w:r w:rsidRPr="00613B94">
        <w:rPr>
          <w:i/>
          <w:iCs/>
        </w:rPr>
        <w:t>translation</w:t>
      </w:r>
      <w:r w:rsidRPr="00613B94">
        <w:t xml:space="preserve"> operation. It is important to be exact about its scope: the polarization identity does not create Euclidean structure where there was none; it re-expresses, in inner-product coordinates, a geometry that already satisfies the parallelogram law. It is a coordinate change, not an enrichment. The enrichment is §A.4.</w:t>
      </w:r>
    </w:p>
    <w:p w14:paraId="058F0407" w14:textId="77777777" w:rsidR="00613B94" w:rsidRPr="00613B94" w:rsidRDefault="00613B94" w:rsidP="00613B94">
      <w:pPr>
        <w:jc w:val="both"/>
        <w:rPr>
          <w:b/>
          <w:bCs/>
        </w:rPr>
      </w:pPr>
      <w:r w:rsidRPr="00613B94">
        <w:rPr>
          <w:b/>
          <w:bCs/>
        </w:rPr>
        <w:t>A.3 The polarization identity is the quarter-square multiplier</w:t>
      </w:r>
    </w:p>
    <w:p w14:paraId="5A9A3D02" w14:textId="77777777" w:rsidR="00613B94" w:rsidRPr="00613B94" w:rsidRDefault="00613B94" w:rsidP="00613B94">
      <w:pPr>
        <w:jc w:val="both"/>
      </w:pPr>
      <w:r w:rsidRPr="00613B94">
        <w:t xml:space="preserve">The form of the identity should be recognised from Section 3. Sign-constrained hardware cannot multiply additively; one of the two available routes to a product is the quarter-square construction, which expresses a product as one quarter of the difference between the square of a sum and the square of a difference, realised by a sum channel and a difference channel each passed through a squaring nonlinearity and then subtracted. The polarization identity is exactly this construction, with </w:t>
      </w:r>
      <w:r w:rsidRPr="00613B94">
        <w:lastRenderedPageBreak/>
        <w:t>the squaring supplied by the norm-squared. Where the scalar quarter-square multiplier returns the product of two numbers, the polarization identity returns the inner product of two vectors; since the inner product is a sum over components of scalar products and the norm-squared a sum over components of squares, the vector identity is the component-wise scalar quarter-square multiplier summed across the representation. The opponent sum-and-difference channels of Section 3 — sum by excitatory summation, difference by an opponent pair against a tonic baseline — are the two channels the identity requires; the evenness of the cortical squaring that made the difference channel's polarity irrelevant is the evenness that lets the squared norm of the difference appear regardless of sign; and the supralinear, approximately quadratic cortical transfer function is the substrate of the norm-squared. The multiplier the cortex was shown to possess is, when its operands are vectors, an inner-product evaluator — precisely the instrument the translation requires.</w:t>
      </w:r>
    </w:p>
    <w:p w14:paraId="6A2365F8" w14:textId="77777777" w:rsidR="00613B94" w:rsidRPr="00613B94" w:rsidRDefault="00613B94" w:rsidP="00613B94">
      <w:pPr>
        <w:jc w:val="both"/>
        <w:rPr>
          <w:b/>
          <w:bCs/>
        </w:rPr>
      </w:pPr>
      <w:r w:rsidRPr="00613B94">
        <w:rPr>
          <w:b/>
          <w:bCs/>
        </w:rPr>
        <w:t>A.4 Generalization: the Hahn–Banach extension as semantic abstraction</w:t>
      </w:r>
    </w:p>
    <w:p w14:paraId="6B0BB8AD" w14:textId="77777777" w:rsidR="00613B94" w:rsidRPr="00613B94" w:rsidRDefault="00613B94" w:rsidP="00613B94">
      <w:pPr>
        <w:jc w:val="both"/>
      </w:pPr>
      <w:r w:rsidRPr="00613B94">
        <w:t>The translation alone would make the lift a passive coordinate swap, and that is not what consolidation does. The hippocampus holds data only on the subspace of episodes actually experienced; the neocortex must take that partial relationship and extend it across the whole space of related concepts, including those never directly encountered. This is the extension of a function from a subspace to the entire space — a Hahn–Banach extension problem.</w:t>
      </w:r>
    </w:p>
    <w:p w14:paraId="3BB8C008" w14:textId="77777777" w:rsidR="00613B94" w:rsidRPr="00613B94" w:rsidRDefault="00613B94" w:rsidP="00613B94">
      <w:pPr>
        <w:jc w:val="both"/>
      </w:pPr>
      <w:r w:rsidRPr="00613B94">
        <w:t xml:space="preserve">The </w:t>
      </w:r>
      <w:r w:rsidRPr="00613B94">
        <w:rPr>
          <w:b/>
          <w:bCs/>
        </w:rPr>
        <w:t>Hahn–Banach theorem</w:t>
      </w:r>
      <w:r w:rsidRPr="00613B94">
        <w:t xml:space="preserve"> guarantees that a bounded linear functional defined on a subspace extends to the whole space without increasing its norm. The correspondence to consolidation is exact. The </w:t>
      </w:r>
      <w:r w:rsidRPr="00613B94">
        <w:rPr>
          <w:i/>
          <w:iCs/>
        </w:rPr>
        <w:t>subspace</w:t>
      </w:r>
      <w:r w:rsidRPr="00613B94">
        <w:t xml:space="preserve"> is the set of episodic memories the hippocampus stores. The </w:t>
      </w:r>
      <w:r w:rsidRPr="00613B94">
        <w:rPr>
          <w:i/>
          <w:iCs/>
        </w:rPr>
        <w:t>functional</w:t>
      </w:r>
      <w:r w:rsidRPr="00613B94">
        <w:t xml:space="preserve"> is the behavioural relationship or value assigned to those episodes. The </w:t>
      </w:r>
      <w:r w:rsidRPr="00613B94">
        <w:rPr>
          <w:i/>
          <w:iCs/>
        </w:rPr>
        <w:t>extension</w:t>
      </w:r>
      <w:r w:rsidRPr="00613B94">
        <w:t xml:space="preserve"> is the neocortex abstracting that relationship into a semantic rule applying across all related concepts. And the </w:t>
      </w:r>
      <w:r w:rsidRPr="00613B94">
        <w:rPr>
          <w:i/>
          <w:iCs/>
        </w:rPr>
        <w:t>norm-preservation</w:t>
      </w:r>
      <w:r w:rsidRPr="00613B94">
        <w:t xml:space="preserve"> — that the extended functional has the same norm as the original — is the framework's defensibility condition appearing in a new place: the generalized semantic rule carries no more confidence than the episodic evidence that grounded it. A norm-preserving extension is a generalization that does not amplify. This is precisely the prohibition on hallucination. An over-generalization — a semantic rule more confident than its evidence — would be a </w:t>
      </w:r>
      <w:r w:rsidRPr="00613B94">
        <w:rPr>
          <w:i/>
          <w:iCs/>
        </w:rPr>
        <w:t>norm-increasing</w:t>
      </w:r>
      <w:r w:rsidRPr="00613B94">
        <w:t xml:space="preserve"> extension, which the Hahn–Banach construction forbids. The N3 lift, on this reading, does not merely transfer data; it performs the norm-bounded extension of a partial truth, and the norm bound is what makes the resulting abstraction defensible by construction.</w:t>
      </w:r>
    </w:p>
    <w:p w14:paraId="39ABBE0F" w14:textId="77777777" w:rsidR="00613B94" w:rsidRPr="00613B94" w:rsidRDefault="00613B94" w:rsidP="00613B94">
      <w:pPr>
        <w:jc w:val="both"/>
        <w:rPr>
          <w:b/>
          <w:bCs/>
        </w:rPr>
      </w:pPr>
      <w:r w:rsidRPr="00613B94">
        <w:rPr>
          <w:b/>
          <w:bCs/>
        </w:rPr>
        <w:t>A.5 Uniqueness: why the lift must reach the inner-product rung</w:t>
      </w:r>
    </w:p>
    <w:p w14:paraId="0CA72669" w14:textId="77777777" w:rsidR="00613B94" w:rsidRPr="00613B94" w:rsidRDefault="00613B94" w:rsidP="00613B94">
      <w:pPr>
        <w:jc w:val="both"/>
      </w:pPr>
      <w:r w:rsidRPr="00613B94">
        <w:t xml:space="preserve">Existence of the extension is not enough, and here the parallelogram law does its decisive work. In a generic normed (Banach) space the norm-preserving Hahn–Banach extension </w:t>
      </w:r>
      <w:r w:rsidRPr="00613B94">
        <w:rPr>
          <w:i/>
          <w:iCs/>
        </w:rPr>
        <w:t>exists but is not unique</w:t>
      </w:r>
      <w:r w:rsidRPr="00613B94">
        <w:t>: there are in general infinitely many norm-bounded ways to extend a subspace functional to the whole space. A cortex that were merely a normed space would therefore admit infinitely many equally valid generalizations of a single episode — a recipe for catastrophic interference, in which each new memory's generalization collides ambiguously with the others.</w:t>
      </w:r>
    </w:p>
    <w:p w14:paraId="03793F46" w14:textId="77777777" w:rsidR="00613B94" w:rsidRPr="00613B94" w:rsidRDefault="00613B94" w:rsidP="00613B94">
      <w:pPr>
        <w:jc w:val="both"/>
      </w:pPr>
      <w:r w:rsidRPr="00613B94">
        <w:t xml:space="preserve">The inner-product structure removes the ambiguity. The parallelogram law makes the space, and its dual, strictly convex (indeed uniformly convex), and strict convexity of the dual forces the norm-preserving extension to be </w:t>
      </w:r>
      <w:r w:rsidRPr="00613B94">
        <w:rPr>
          <w:i/>
          <w:iCs/>
        </w:rPr>
        <w:t>unique</w:t>
      </w:r>
      <w:r w:rsidRPr="00613B94">
        <w:t>. In a Hilbert space this unique extension has an explicit geometric form: it is the one whose representer is the orthogonal projection of the functional's representer onto the subspace — the content of the Riesz representation theorem applied to the extension problem. The unique norm-preserving generalization is the orthogonal one.</w:t>
      </w:r>
    </w:p>
    <w:p w14:paraId="5D7D0B96" w14:textId="77777777" w:rsidR="00613B94" w:rsidRPr="00613B94" w:rsidRDefault="00613B94" w:rsidP="00613B94">
      <w:pPr>
        <w:jc w:val="both"/>
      </w:pPr>
      <w:r w:rsidRPr="00613B94">
        <w:lastRenderedPageBreak/>
        <w:t xml:space="preserve">This is why the framework insists the lift must reach the </w:t>
      </w:r>
      <w:r w:rsidRPr="00613B94">
        <w:rPr>
          <w:i/>
          <w:iCs/>
        </w:rPr>
        <w:t>top</w:t>
      </w:r>
      <w:r w:rsidRPr="00613B94">
        <w:t xml:space="preserve"> rung rather than stopping at the normed rung below it. Only at the inner-product rung is the generalization of an episode unique and orthogonal to existing memories; only there is semantic abstraction protected from the non-uniqueness that would otherwise produce interference and collapse. The two operations of the lift now combine into one statement. The hippocampus supplies a norm-bounded functional on the episodic subspace. The neocortex, possessing the inner-product structure that the polarization identity makes available, performs the unique norm-preserving extension of that functional to the whole semantic manifold — an extension that is, by the Riesz characterization, the orthogonal projection. The N3 lift is the computation of the unique orthogonal extension of a partial truth: it generalizes (Hahn–Banach), it does so without amplifying confidence (norm-preservation, hence defensibility), and it does so uniquely and without interference (orthogonal projection, hence decorrelation). Translation and generalization are the same lift seen from two sides, and both rest on the parallelogram law.</w:t>
      </w:r>
    </w:p>
    <w:p w14:paraId="21326B4F" w14:textId="77777777" w:rsidR="00613B94" w:rsidRPr="00613B94" w:rsidRDefault="00613B94" w:rsidP="00613B94">
      <w:pPr>
        <w:jc w:val="both"/>
        <w:rPr>
          <w:b/>
          <w:bCs/>
        </w:rPr>
      </w:pPr>
      <w:r w:rsidRPr="00613B94">
        <w:rPr>
          <w:b/>
          <w:bCs/>
        </w:rPr>
        <w:t>A.6 Enrichment of context: the extension to phase</w:t>
      </w:r>
    </w:p>
    <w:p w14:paraId="264B8C2B" w14:textId="77777777" w:rsidR="00613B94" w:rsidRPr="00613B94" w:rsidRDefault="00613B94" w:rsidP="00613B94">
      <w:pPr>
        <w:jc w:val="both"/>
      </w:pPr>
      <w:r w:rsidRPr="00613B94">
        <w:t xml:space="preserve">The account so far concerns the spatial extension of a relationship across the semantic manifold. It does not yet address the </w:t>
      </w:r>
      <w:r w:rsidRPr="00613B94">
        <w:rPr>
          <w:i/>
          <w:iCs/>
        </w:rPr>
        <w:t>qualitative</w:t>
      </w:r>
      <w:r w:rsidRPr="00613B94">
        <w:t xml:space="preserve"> enrichment that consolidation also performs — the binding of contextual attributes such as temporal phase, oscillatory tagging, and neuromodulatory state to the lifted representation. We treat this enrichment as a </w:t>
      </w:r>
      <w:r w:rsidRPr="00613B94">
        <w:rPr>
          <w:i/>
          <w:iCs/>
        </w:rPr>
        <w:t>field extension</w:t>
      </w:r>
      <w:r w:rsidRPr="00613B94">
        <w:t xml:space="preserve"> of the representation, and flag it as the most speculative element of the appendix.</w:t>
      </w:r>
    </w:p>
    <w:p w14:paraId="3B4D18A0" w14:textId="77777777" w:rsidR="00613B94" w:rsidRPr="00613B94" w:rsidRDefault="00613B94" w:rsidP="00613B94">
      <w:pPr>
        <w:jc w:val="both"/>
      </w:pPr>
      <w:r w:rsidRPr="00613B94">
        <w:t>Moving from a real to a complex scalar field — complexification — adjoins to each real quantity a second, orthogonal degree of freedom carrying rotation and phase. The relevant content of the extension here is not the algebraic closure for which the complex numbers are usually invoked, but this added phase degree of freedom: a complexified representation carries, alongside each amplitude, a phase. This matches a documented feature of cortical and hippocampal coding, which is not confined to scalar firing rates but is organised by coupled oscillations (theta and gamma), so that a unit's contribution is naturally described by an amplitude together with a phase — exactly a complex quantity, as in the analytic-signal representation. On this reading, lifting a representation into the cortical space attaches to each lifted magnitude its oscillatory phase, and the neural state space is treated as a complex rather than a real inner-product space. The functional advantage is multiplexing: phase-coding allows representations that would collide in amplitude alone to be separated by their phase relationships, so that concepts sharing a magnitude code remain distinguishable by oscillatory coherence. We state this as a structural analogy — the lift enriches a real inner-product representation to a complex one, with phase the adjoined degree of freedom — and not as a claim that the cortex performs complex arithmetic; the supporting evidence is the established role of phase coding, and the analogy's value is the predictions of §A.7.</w:t>
      </w:r>
    </w:p>
    <w:p w14:paraId="17B68526" w14:textId="77777777" w:rsidR="00613B94" w:rsidRPr="00613B94" w:rsidRDefault="00613B94" w:rsidP="00613B94">
      <w:pPr>
        <w:jc w:val="both"/>
        <w:rPr>
          <w:b/>
          <w:bCs/>
        </w:rPr>
      </w:pPr>
      <w:r w:rsidRPr="00613B94">
        <w:rPr>
          <w:b/>
          <w:bCs/>
        </w:rPr>
        <w:t>A.7 Scope, approximate realisation, and predictions</w:t>
      </w:r>
    </w:p>
    <w:p w14:paraId="501EC02C" w14:textId="77777777" w:rsidR="00613B94" w:rsidRPr="00613B94" w:rsidRDefault="00613B94" w:rsidP="00613B94">
      <w:pPr>
        <w:jc w:val="both"/>
      </w:pPr>
      <w:r w:rsidRPr="00613B94">
        <w:t>Four qualifications fix the status of the claims and yield their tests, in keeping with the framework's discipline.</w:t>
      </w:r>
    </w:p>
    <w:p w14:paraId="46BF28C2" w14:textId="77777777" w:rsidR="00613B94" w:rsidRPr="00613B94" w:rsidRDefault="00613B94" w:rsidP="00613B94">
      <w:pPr>
        <w:jc w:val="both"/>
      </w:pPr>
      <w:r w:rsidRPr="00613B94">
        <w:t xml:space="preserve">First, the identifications are </w:t>
      </w:r>
      <w:r w:rsidRPr="00613B94">
        <w:rPr>
          <w:i/>
          <w:iCs/>
        </w:rPr>
        <w:t>structural isomorphisms</w:t>
      </w:r>
      <w:r w:rsidRPr="00613B94">
        <w:t>, not claims of literal symbolic computation: the assertion is that the N3 lift has the formal structure of a norm-preserving, orthogonal Hahn–Banach extension realised through the polarization (quarter-square) circuitry, not that cortical neurons evaluate these expressions in closed form.</w:t>
      </w:r>
    </w:p>
    <w:p w14:paraId="2E8B6CF9" w14:textId="77777777" w:rsidR="00613B94" w:rsidRPr="00613B94" w:rsidRDefault="00613B94" w:rsidP="00613B94">
      <w:pPr>
        <w:jc w:val="both"/>
      </w:pPr>
      <w:r w:rsidRPr="00613B94">
        <w:t xml:space="preserve">Second, the realisation is </w:t>
      </w:r>
      <w:r w:rsidRPr="00613B94">
        <w:rPr>
          <w:i/>
          <w:iCs/>
        </w:rPr>
        <w:t>approximate</w:t>
      </w:r>
      <w:r w:rsidRPr="00613B94">
        <w:t xml:space="preserve">, and the approximation is informative. The polarization identity requires an exact square; the cortical transfer function is only approximately quadratic, so the inner product the cortex computes is approximate and the orthogonality it certifies is graded — consistent </w:t>
      </w:r>
      <w:r w:rsidRPr="00613B94">
        <w:lastRenderedPageBreak/>
        <w:t>with the residual overlap observed among real semantic representations. The framework predicts that the fidelity of decorrelation should track the closeness of the cortical transfer exponent to two, with deviations producing graded residual correlation among nominally independent contents.</w:t>
      </w:r>
    </w:p>
    <w:p w14:paraId="35E065C6" w14:textId="77777777" w:rsidR="00613B94" w:rsidRPr="00613B94" w:rsidRDefault="00613B94" w:rsidP="00613B94">
      <w:pPr>
        <w:jc w:val="both"/>
      </w:pPr>
      <w:r w:rsidRPr="00613B94">
        <w:t xml:space="preserve">Third, the </w:t>
      </w:r>
      <w:r w:rsidRPr="00613B94">
        <w:rPr>
          <w:i/>
          <w:iCs/>
        </w:rPr>
        <w:t>norm-preservation</w:t>
      </w:r>
      <w:r w:rsidRPr="00613B94">
        <w:t xml:space="preserve"> claim is directly testable and is the appendix's strongest connection to the certification result of Section 4. If semantic generalization is a norm-preserving extension, then the confidence of a generalized rule should be bounded by the strength of its episodic evidence, and the characteristic failure — over-confident generalization, false memory, confabulation — should be identifiable as a norm-</w:t>
      </w:r>
      <w:r w:rsidRPr="00613B94">
        <w:rPr>
          <w:i/>
          <w:iCs/>
        </w:rPr>
        <w:t>increasing</w:t>
      </w:r>
      <w:r w:rsidRPr="00613B94">
        <w:t xml:space="preserve"> extension, a generalization that has exceeded its evidence. This casts hallucination as the violation of the very norm bound that defensible consolidation enforces, and predicts that conditions promoting such over-generalization should do so by relaxing the norm constraint on the extension rather than by corrupting the underlying episodes.</w:t>
      </w:r>
    </w:p>
    <w:p w14:paraId="7CAD242F" w14:textId="77777777" w:rsidR="00613B94" w:rsidRPr="00613B94" w:rsidRDefault="00613B94" w:rsidP="00613B94">
      <w:pPr>
        <w:jc w:val="both"/>
      </w:pPr>
      <w:r w:rsidRPr="00613B94">
        <w:t xml:space="preserve">Fourth, the </w:t>
      </w:r>
      <w:r w:rsidRPr="00613B94">
        <w:rPr>
          <w:i/>
          <w:iCs/>
        </w:rPr>
        <w:t>uniqueness</w:t>
      </w:r>
      <w:r w:rsidRPr="00613B94">
        <w:t xml:space="preserve"> claim predicts that clean, non-interfering generalization is available only at the inner-product rung: representations prevented from reaching that rung, or whose geometry violates the parallelogram law, should generalize non-uniquely and exhibit interference, and disrupting the orthogonalising (sum-and-difference, supralinear-readout) circuitry should produce catastrophic interference in semantic consolidation specifically, while sparing mere magnitude transfer. The complexification claim of §A.6 predicts, more tentatively, that the contextual enrichment is carried by oscillatory phase, so that disrupting theta–gamma coherence should collapse the phase separation and cause semantic collisions among concepts that share an amplitude code.</w:t>
      </w:r>
    </w:p>
    <w:p w14:paraId="19521550" w14:textId="77777777" w:rsidR="00613B94" w:rsidRPr="00613B94" w:rsidRDefault="00613B94" w:rsidP="00613B94">
      <w:pPr>
        <w:jc w:val="both"/>
      </w:pPr>
      <w:r w:rsidRPr="00613B94">
        <w:t>These predictions connect Appendix A to the main text in both directions. They refine the binding-route prediction of Section 6 (P15): the normed-to-semantic lift, mediated by thalamo-cortical coupling, should engage the sum-and-difference, supralinear-readout circuitry of the polarization mechanism and the orthogonal-projection structure of the extension, so that disrupting that circuitry impairs semantic generalization while sparing transfer. And they sharpen the certification result of Section 4: the cortical inner-product space is approximate and is completed jointly with the basal-ganglia contribution (Section 4.7), and the norm-preservation of the extension is the same defensibility condition — generalization that does not exceed its evidence — that the compactness account imposes on action. The N3 lift, formalised here, is therefore the concrete mechanism by which the hippocampal norm and the cortical angle are joined into an inner-product structure, and by which a partial, lived truth is extended — uniquely, orthogonally, and without amplification — into the defensible semantic frame on which high-rung representation depends.</w:t>
      </w:r>
    </w:p>
    <w:p w14:paraId="290BD527" w14:textId="77777777" w:rsidR="00613B94" w:rsidRPr="00725D1A" w:rsidRDefault="00613B94" w:rsidP="00725D1A">
      <w:pPr>
        <w:jc w:val="both"/>
      </w:pPr>
    </w:p>
    <w:p w14:paraId="533CA3C2" w14:textId="77777777" w:rsidR="00725D1A" w:rsidRPr="00CB7DD4" w:rsidRDefault="00725D1A" w:rsidP="00CB7DD4">
      <w:pPr>
        <w:jc w:val="both"/>
      </w:pPr>
    </w:p>
    <w:p w14:paraId="1CFA386F" w14:textId="77777777" w:rsidR="00CB7DD4" w:rsidRDefault="00CB7DD4" w:rsidP="00854B88">
      <w:pPr>
        <w:jc w:val="both"/>
      </w:pPr>
    </w:p>
    <w:sectPr w:rsidR="00CB7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4744"/>
    <w:multiLevelType w:val="multilevel"/>
    <w:tmpl w:val="58A0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E21BF"/>
    <w:multiLevelType w:val="multilevel"/>
    <w:tmpl w:val="9CD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85AF1"/>
    <w:multiLevelType w:val="multilevel"/>
    <w:tmpl w:val="13FAB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141D5"/>
    <w:multiLevelType w:val="multilevel"/>
    <w:tmpl w:val="90CA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424E4"/>
    <w:multiLevelType w:val="multilevel"/>
    <w:tmpl w:val="D1F6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56C55"/>
    <w:multiLevelType w:val="multilevel"/>
    <w:tmpl w:val="AA8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303B36"/>
    <w:multiLevelType w:val="multilevel"/>
    <w:tmpl w:val="685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331AA"/>
    <w:multiLevelType w:val="multilevel"/>
    <w:tmpl w:val="FE66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32A39"/>
    <w:multiLevelType w:val="multilevel"/>
    <w:tmpl w:val="0E12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A831F2"/>
    <w:multiLevelType w:val="multilevel"/>
    <w:tmpl w:val="8728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380ED9"/>
    <w:multiLevelType w:val="multilevel"/>
    <w:tmpl w:val="8F5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3114B0"/>
    <w:multiLevelType w:val="multilevel"/>
    <w:tmpl w:val="A8F0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6E2FFB"/>
    <w:multiLevelType w:val="multilevel"/>
    <w:tmpl w:val="B34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920C6"/>
    <w:multiLevelType w:val="multilevel"/>
    <w:tmpl w:val="27E2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454F9"/>
    <w:multiLevelType w:val="multilevel"/>
    <w:tmpl w:val="41C2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47748"/>
    <w:multiLevelType w:val="multilevel"/>
    <w:tmpl w:val="D3E6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E53EA4"/>
    <w:multiLevelType w:val="multilevel"/>
    <w:tmpl w:val="ABC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E13835"/>
    <w:multiLevelType w:val="multilevel"/>
    <w:tmpl w:val="EAA4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B6B14"/>
    <w:multiLevelType w:val="multilevel"/>
    <w:tmpl w:val="3DE4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EB152F"/>
    <w:multiLevelType w:val="multilevel"/>
    <w:tmpl w:val="D6C0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E821C6"/>
    <w:multiLevelType w:val="multilevel"/>
    <w:tmpl w:val="C8F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00392E"/>
    <w:multiLevelType w:val="multilevel"/>
    <w:tmpl w:val="9C90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13DE5"/>
    <w:multiLevelType w:val="multilevel"/>
    <w:tmpl w:val="9170D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931679">
    <w:abstractNumId w:val="11"/>
  </w:num>
  <w:num w:numId="2" w16cid:durableId="1766802651">
    <w:abstractNumId w:val="14"/>
  </w:num>
  <w:num w:numId="3" w16cid:durableId="940527454">
    <w:abstractNumId w:val="15"/>
  </w:num>
  <w:num w:numId="4" w16cid:durableId="425229038">
    <w:abstractNumId w:val="4"/>
  </w:num>
  <w:num w:numId="5" w16cid:durableId="81605543">
    <w:abstractNumId w:val="12"/>
  </w:num>
  <w:num w:numId="6" w16cid:durableId="2008055032">
    <w:abstractNumId w:val="10"/>
  </w:num>
  <w:num w:numId="7" w16cid:durableId="1483156613">
    <w:abstractNumId w:val="0"/>
  </w:num>
  <w:num w:numId="8" w16cid:durableId="389230787">
    <w:abstractNumId w:val="9"/>
  </w:num>
  <w:num w:numId="9" w16cid:durableId="440958412">
    <w:abstractNumId w:val="20"/>
  </w:num>
  <w:num w:numId="10" w16cid:durableId="1667172301">
    <w:abstractNumId w:val="17"/>
  </w:num>
  <w:num w:numId="11" w16cid:durableId="1266422152">
    <w:abstractNumId w:val="22"/>
  </w:num>
  <w:num w:numId="12" w16cid:durableId="1255362507">
    <w:abstractNumId w:val="13"/>
  </w:num>
  <w:num w:numId="13" w16cid:durableId="658847646">
    <w:abstractNumId w:val="18"/>
  </w:num>
  <w:num w:numId="14" w16cid:durableId="375588597">
    <w:abstractNumId w:val="21"/>
  </w:num>
  <w:num w:numId="15" w16cid:durableId="1947811866">
    <w:abstractNumId w:val="1"/>
  </w:num>
  <w:num w:numId="16" w16cid:durableId="1667587912">
    <w:abstractNumId w:val="16"/>
  </w:num>
  <w:num w:numId="17" w16cid:durableId="1455976536">
    <w:abstractNumId w:val="6"/>
  </w:num>
  <w:num w:numId="18" w16cid:durableId="1846822982">
    <w:abstractNumId w:val="7"/>
  </w:num>
  <w:num w:numId="19" w16cid:durableId="1602488811">
    <w:abstractNumId w:val="19"/>
  </w:num>
  <w:num w:numId="20" w16cid:durableId="1557817841">
    <w:abstractNumId w:val="8"/>
  </w:num>
  <w:num w:numId="21" w16cid:durableId="1786315709">
    <w:abstractNumId w:val="3"/>
  </w:num>
  <w:num w:numId="22" w16cid:durableId="754087577">
    <w:abstractNumId w:val="2"/>
  </w:num>
  <w:num w:numId="23" w16cid:durableId="8736159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737"/>
    <w:rsid w:val="000B1B91"/>
    <w:rsid w:val="00132F7F"/>
    <w:rsid w:val="0022746D"/>
    <w:rsid w:val="00264D4C"/>
    <w:rsid w:val="002C3F9C"/>
    <w:rsid w:val="003A6792"/>
    <w:rsid w:val="003E38DC"/>
    <w:rsid w:val="00464E7A"/>
    <w:rsid w:val="0046559E"/>
    <w:rsid w:val="004C543F"/>
    <w:rsid w:val="00584323"/>
    <w:rsid w:val="00613B94"/>
    <w:rsid w:val="00665C1C"/>
    <w:rsid w:val="00725D1A"/>
    <w:rsid w:val="00854B88"/>
    <w:rsid w:val="0086144F"/>
    <w:rsid w:val="008973F5"/>
    <w:rsid w:val="008B08B7"/>
    <w:rsid w:val="008B40F0"/>
    <w:rsid w:val="00997E89"/>
    <w:rsid w:val="00A10F98"/>
    <w:rsid w:val="00B15737"/>
    <w:rsid w:val="00C24516"/>
    <w:rsid w:val="00C541BC"/>
    <w:rsid w:val="00CB488A"/>
    <w:rsid w:val="00CB7DD4"/>
    <w:rsid w:val="00DC1523"/>
    <w:rsid w:val="00EB326B"/>
    <w:rsid w:val="00F008CA"/>
    <w:rsid w:val="00F226A5"/>
    <w:rsid w:val="00F404CD"/>
    <w:rsid w:val="00FD3FB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ADF35"/>
  <w15:chartTrackingRefBased/>
  <w15:docId w15:val="{F2F876B1-5EC5-4D7C-890C-94B3CEE8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7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157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57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57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57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5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7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157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57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57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57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5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737"/>
    <w:rPr>
      <w:rFonts w:eastAsiaTheme="majorEastAsia" w:cstheme="majorBidi"/>
      <w:color w:val="272727" w:themeColor="text1" w:themeTint="D8"/>
    </w:rPr>
  </w:style>
  <w:style w:type="paragraph" w:styleId="Title">
    <w:name w:val="Title"/>
    <w:basedOn w:val="Normal"/>
    <w:next w:val="Normal"/>
    <w:link w:val="TitleChar"/>
    <w:uiPriority w:val="10"/>
    <w:qFormat/>
    <w:rsid w:val="00B15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737"/>
    <w:pPr>
      <w:spacing w:before="160"/>
      <w:jc w:val="center"/>
    </w:pPr>
    <w:rPr>
      <w:i/>
      <w:iCs/>
      <w:color w:val="404040" w:themeColor="text1" w:themeTint="BF"/>
    </w:rPr>
  </w:style>
  <w:style w:type="character" w:customStyle="1" w:styleId="QuoteChar">
    <w:name w:val="Quote Char"/>
    <w:basedOn w:val="DefaultParagraphFont"/>
    <w:link w:val="Quote"/>
    <w:uiPriority w:val="29"/>
    <w:rsid w:val="00B15737"/>
    <w:rPr>
      <w:i/>
      <w:iCs/>
      <w:color w:val="404040" w:themeColor="text1" w:themeTint="BF"/>
    </w:rPr>
  </w:style>
  <w:style w:type="paragraph" w:styleId="ListParagraph">
    <w:name w:val="List Paragraph"/>
    <w:basedOn w:val="Normal"/>
    <w:uiPriority w:val="34"/>
    <w:qFormat/>
    <w:rsid w:val="00B15737"/>
    <w:pPr>
      <w:ind w:left="720"/>
      <w:contextualSpacing/>
    </w:pPr>
  </w:style>
  <w:style w:type="character" w:styleId="IntenseEmphasis">
    <w:name w:val="Intense Emphasis"/>
    <w:basedOn w:val="DefaultParagraphFont"/>
    <w:uiPriority w:val="21"/>
    <w:qFormat/>
    <w:rsid w:val="00B15737"/>
    <w:rPr>
      <w:i/>
      <w:iCs/>
      <w:color w:val="2F5496" w:themeColor="accent1" w:themeShade="BF"/>
    </w:rPr>
  </w:style>
  <w:style w:type="paragraph" w:styleId="IntenseQuote">
    <w:name w:val="Intense Quote"/>
    <w:basedOn w:val="Normal"/>
    <w:next w:val="Normal"/>
    <w:link w:val="IntenseQuoteChar"/>
    <w:uiPriority w:val="30"/>
    <w:qFormat/>
    <w:rsid w:val="00B157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5737"/>
    <w:rPr>
      <w:i/>
      <w:iCs/>
      <w:color w:val="2F5496" w:themeColor="accent1" w:themeShade="BF"/>
    </w:rPr>
  </w:style>
  <w:style w:type="character" w:styleId="IntenseReference">
    <w:name w:val="Intense Reference"/>
    <w:basedOn w:val="DefaultParagraphFont"/>
    <w:uiPriority w:val="32"/>
    <w:qFormat/>
    <w:rsid w:val="00B15737"/>
    <w:rPr>
      <w:b/>
      <w:bCs/>
      <w:smallCaps/>
      <w:color w:val="2F5496" w:themeColor="accent1" w:themeShade="BF"/>
      <w:spacing w:val="5"/>
    </w:rPr>
  </w:style>
  <w:style w:type="character" w:styleId="Hyperlink">
    <w:name w:val="Hyperlink"/>
    <w:basedOn w:val="DefaultParagraphFont"/>
    <w:uiPriority w:val="99"/>
    <w:unhideWhenUsed/>
    <w:rsid w:val="00EB326B"/>
    <w:rPr>
      <w:color w:val="0563C1" w:themeColor="hyperlink"/>
      <w:u w:val="single"/>
    </w:rPr>
  </w:style>
  <w:style w:type="character" w:styleId="UnresolvedMention">
    <w:name w:val="Unresolved Mention"/>
    <w:basedOn w:val="DefaultParagraphFont"/>
    <w:uiPriority w:val="99"/>
    <w:semiHidden/>
    <w:unhideWhenUsed/>
    <w:rsid w:val="00584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biprasadghosh@lntecc.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pulse/why-body-locks-while-mind-lifts-debiprasad-ghosh-dvtgc/"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pulse/witness-ladder-debiprasad-ghosh-soooc/" TargetMode="External"/><Relationship Id="rId11" Type="http://schemas.openxmlformats.org/officeDocument/2006/relationships/hyperlink" Target="https://doi.org/10.13140/RG.2.2.24454.54080" TargetMode="External"/><Relationship Id="rId5" Type="http://schemas.openxmlformats.org/officeDocument/2006/relationships/hyperlink" Target="https://www.linkedin.com/pulse/geometry-defensible-action-debiprasad-ghosh-dlhnc/"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orcid.org/0000-0001-7393-2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TotalTime>
  <Pages>42</Pages>
  <Words>23337</Words>
  <Characters>133022</Characters>
  <Application>Microsoft Office Word</Application>
  <DocSecurity>0</DocSecurity>
  <Lines>1108</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Debiprasad Ghosh</dc:creator>
  <cp:keywords/>
  <dc:description/>
  <cp:lastModifiedBy>Debiprasad Ghosh</cp:lastModifiedBy>
  <cp:revision>24</cp:revision>
  <cp:lastPrinted>2026-06-03T19:11:00Z</cp:lastPrinted>
  <dcterms:created xsi:type="dcterms:W3CDTF">2026-06-03T13:18:00Z</dcterms:created>
  <dcterms:modified xsi:type="dcterms:W3CDTF">2026-06-03T19:15:00Z</dcterms:modified>
</cp:coreProperties>
</file>