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6EBC" w14:textId="77777777" w:rsidR="00521179" w:rsidRPr="006B4CC5" w:rsidRDefault="00521179" w:rsidP="00521179">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 14</w:t>
      </w:r>
      <w:r w:rsidRPr="006B4CC5">
        <w:rPr>
          <w:rFonts w:asciiTheme="minorHAnsi" w:hAnsiTheme="minorHAnsi"/>
          <w:sz w:val="22"/>
          <w:szCs w:val="22"/>
        </w:rPr>
        <w:t>, 202</w:t>
      </w:r>
      <w:r>
        <w:rPr>
          <w:rFonts w:asciiTheme="minorHAnsi" w:hAnsiTheme="minorHAnsi"/>
          <w:sz w:val="22"/>
          <w:szCs w:val="22"/>
        </w:rPr>
        <w:t>6.</w:t>
      </w:r>
    </w:p>
    <w:p w14:paraId="529E3512" w14:textId="1CEBADB6" w:rsidR="00521179" w:rsidRDefault="00521179" w:rsidP="00521179">
      <w:pPr>
        <w:pStyle w:val="Title"/>
        <w:jc w:val="center"/>
        <w:rPr>
          <w:sz w:val="28"/>
          <w:szCs w:val="28"/>
        </w:rPr>
      </w:pPr>
      <w:r w:rsidRPr="00521179">
        <w:rPr>
          <w:sz w:val="92"/>
          <w:szCs w:val="92"/>
        </w:rPr>
        <w:t>The Hierarchy of Binding</w:t>
      </w:r>
      <w:r w:rsidRPr="00521179">
        <w:rPr>
          <w:sz w:val="44"/>
          <w:szCs w:val="44"/>
        </w:rPr>
        <w:t xml:space="preserve">: </w:t>
      </w:r>
      <w:r w:rsidRPr="00521179">
        <w:rPr>
          <w:sz w:val="28"/>
          <w:szCs w:val="28"/>
        </w:rPr>
        <w:t>Multimodal Dynamic Predictive Gluing, and Why Language Must Enter at the Top</w:t>
      </w:r>
    </w:p>
    <w:p w14:paraId="27C3FEED" w14:textId="77777777" w:rsidR="00521179" w:rsidRDefault="00521179" w:rsidP="00521179">
      <w:pPr>
        <w:jc w:val="center"/>
      </w:pPr>
      <w:r w:rsidRPr="006B4CC5">
        <w:t xml:space="preserve">Debi Prasad Ghosh, </w:t>
      </w:r>
      <w:hyperlink r:id="rId5" w:history="1">
        <w:r w:rsidRPr="006B4CC5">
          <w:rPr>
            <w:rStyle w:val="Hyperlink"/>
          </w:rPr>
          <w:t>debiprasadghosh@lntecc.com</w:t>
        </w:r>
      </w:hyperlink>
      <w:r>
        <w:t xml:space="preserve"> </w:t>
      </w:r>
      <w:r>
        <w:rPr>
          <w:noProof/>
        </w:rPr>
        <w:drawing>
          <wp:inline distT="0" distB="0" distL="0" distR="0" wp14:anchorId="4A91BEDD" wp14:editId="5453EF36">
            <wp:extent cx="133067" cy="133067"/>
            <wp:effectExtent l="0" t="0" r="635" b="635"/>
            <wp:docPr id="1305915393" name="Picture 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25178C43" w14:textId="77777777" w:rsidR="00521179" w:rsidRPr="006B4CC5" w:rsidRDefault="00521179" w:rsidP="00521179">
      <w:pPr>
        <w:jc w:val="center"/>
      </w:pPr>
      <w:r>
        <w:t>CTO, AI &amp;</w:t>
      </w:r>
      <w:r w:rsidRPr="006B4CC5">
        <w:t xml:space="preserve"> Automation</w:t>
      </w:r>
    </w:p>
    <w:p w14:paraId="136CA8BB" w14:textId="77777777" w:rsidR="00521179" w:rsidRDefault="00521179" w:rsidP="00521179">
      <w:pPr>
        <w:jc w:val="center"/>
      </w:pPr>
      <w:r w:rsidRPr="00F5609C">
        <w:t>Engineering Design &amp; Research Center, Larsen &amp; Toubro Construction (M&amp;M) Kolkata, India</w:t>
      </w:r>
    </w:p>
    <w:p w14:paraId="763AC463" w14:textId="44AEC5C7" w:rsidR="00521179" w:rsidRPr="00521179" w:rsidRDefault="001C269B" w:rsidP="001C269B">
      <w:pPr>
        <w:jc w:val="center"/>
      </w:pPr>
      <w:hyperlink r:id="rId8" w:history="1">
        <w:r w:rsidRPr="00CE2A80">
          <w:rPr>
            <w:rStyle w:val="Hyperlink"/>
          </w:rPr>
          <w:t>https://doi.org/10.13140/RG.2.2.34889.51044</w:t>
        </w:r>
      </w:hyperlink>
      <w:r>
        <w:t xml:space="preserve"> </w:t>
      </w:r>
    </w:p>
    <w:p w14:paraId="095B9EE8" w14:textId="199A5B21" w:rsidR="00521179" w:rsidRPr="00521179" w:rsidRDefault="00521179" w:rsidP="00521179">
      <w:pPr>
        <w:ind w:left="720"/>
        <w:jc w:val="both"/>
      </w:pPr>
      <w:r w:rsidRPr="00521179">
        <w:rPr>
          <w:i/>
          <w:iCs/>
        </w:rPr>
        <w:t>Part of the Defensible Intelligence program; the multimodal case of Dynamic Predictive Gluing (</w:t>
      </w:r>
      <w:hyperlink r:id="rId9" w:history="1">
        <w:r w:rsidRPr="00521179">
          <w:rPr>
            <w:rStyle w:val="Hyperlink"/>
            <w:i/>
            <w:iCs/>
          </w:rPr>
          <w:t>doi.org/10.13140/RG.2.2.19</w:t>
        </w:r>
        <w:r w:rsidRPr="00521179">
          <w:rPr>
            <w:rStyle w:val="Hyperlink"/>
            <w:i/>
            <w:iCs/>
          </w:rPr>
          <w:t>8</w:t>
        </w:r>
        <w:r w:rsidRPr="00521179">
          <w:rPr>
            <w:rStyle w:val="Hyperlink"/>
            <w:i/>
            <w:iCs/>
          </w:rPr>
          <w:t>48.99846</w:t>
        </w:r>
      </w:hyperlink>
      <w:r w:rsidRPr="00521179">
        <w:rPr>
          <w:i/>
          <w:iCs/>
        </w:rPr>
        <w:t>) and an application of the cortical cup-product gate (</w:t>
      </w:r>
      <w:hyperlink r:id="rId10" w:history="1">
        <w:r w:rsidR="002D6958" w:rsidRPr="00CE2A80">
          <w:rPr>
            <w:rStyle w:val="Hyperlink"/>
            <w:i/>
            <w:iCs/>
          </w:rPr>
          <w:t>doi.org/10.13140/RG.2.2.14232.56328</w:t>
        </w:r>
      </w:hyperlink>
      <w:r w:rsidRPr="00521179">
        <w:rPr>
          <w:i/>
          <w:iCs/>
        </w:rPr>
        <w:t>) and the thermodynamic–electric coupling (</w:t>
      </w:r>
      <w:hyperlink r:id="rId11" w:history="1">
        <w:r w:rsidRPr="00521179">
          <w:rPr>
            <w:rStyle w:val="Hyperlink"/>
            <w:i/>
            <w:iCs/>
          </w:rPr>
          <w:t>doi.org/10.13140/RG.2.2.11096.66566</w:t>
        </w:r>
      </w:hyperlink>
      <w:r w:rsidRPr="00521179">
        <w:rPr>
          <w:i/>
          <w:iCs/>
        </w:rPr>
        <w:t>). The mathematical claims stand on their own; the biological readings are structural isomorphisms, never identity; the readings of specific AI systems are interpretive, offered as evidence about architecture, not as claims about those systems' intent.</w:t>
      </w:r>
    </w:p>
    <w:p w14:paraId="7B274974" w14:textId="3B24EF80" w:rsidR="00521179" w:rsidRPr="00521179" w:rsidRDefault="00521179" w:rsidP="00521179">
      <w:pPr>
        <w:jc w:val="both"/>
      </w:pPr>
      <w:r w:rsidRPr="00521179">
        <w:rPr>
          <w:b/>
          <w:bCs/>
        </w:rPr>
        <w:t>Abstract</w:t>
      </w:r>
      <w:r>
        <w:rPr>
          <w:b/>
          <w:bCs/>
        </w:rPr>
        <w:t xml:space="preserve">: </w:t>
      </w:r>
      <w:r w:rsidRPr="00521179">
        <w:t xml:space="preserve">Current multimodal systems fail characteristically on spatial and physical invariants — objects that bleed into one another, actions that violate physics, geometry that does not close. We argue this is not a capacity deficit that scale removes but a </w:t>
      </w:r>
      <w:r w:rsidRPr="00521179">
        <w:rPr>
          <w:b/>
          <w:bCs/>
        </w:rPr>
        <w:t>structural</w:t>
      </w:r>
      <w:r w:rsidRPr="00521179">
        <w:t xml:space="preserve"> one: modalities are fused unconditionally, without ever computing an obstruction to binding. The diagnosis rests on the enrichment ladder of this series. Coordinate-bound sensory streams (vision, audio) live at the </w:t>
      </w:r>
      <w:r w:rsidRPr="00521179">
        <w:rPr>
          <w:b/>
          <w:bCs/>
        </w:rPr>
        <w:t>metric and normed</w:t>
      </w:r>
      <w:r w:rsidRPr="00521179">
        <w:t xml:space="preserve"> rungs, because they are indexed to spacetime; language lives at the </w:t>
      </w:r>
      <w:r w:rsidRPr="00521179">
        <w:rPr>
          <w:b/>
          <w:bCs/>
        </w:rPr>
        <w:t>inner-product</w:t>
      </w:r>
      <w:r w:rsidRPr="00521179">
        <w:t xml:space="preserve"> rung, because it is coordinate-free and orthogonalized. Because the cortical substrate is approximately uniform, the ascent between rungs is produced not by changing the operation but by the </w:t>
      </w:r>
      <w:r w:rsidRPr="00521179">
        <w:rPr>
          <w:i/>
          <w:iCs/>
        </w:rPr>
        <w:t>order of binding</w:t>
      </w:r>
      <w:r w:rsidRPr="00521179">
        <w:t xml:space="preserve"> — each level re-glues the certified outputs of the level below — a structure we keep sharply distinct from cohomological degree. Representations at different rungs are incommensurable, and forcing pixels and words to cross-attend at the input layer assumes a shared geometric space that does not exist — a cross-ladder short-circuit that asserts a fused representation over an unresolved contradiction. The remedy is a hierarchy: each modality must first construct and certify its native spatial/temporal structure (horizontal binding); cross-modal binding must then proceed through </w:t>
      </w:r>
      <w:r w:rsidRPr="00521179">
        <w:rPr>
          <w:b/>
          <w:bCs/>
        </w:rPr>
        <w:t>structured, modality-specific transition maps</w:t>
      </w:r>
      <w:r w:rsidRPr="00521179">
        <w:t xml:space="preserve"> tested by a </w:t>
      </w:r>
      <w:r w:rsidRPr="00521179">
        <w:rPr>
          <w:b/>
          <w:bCs/>
        </w:rPr>
        <w:t>triple-overlap obstruction</w:t>
      </w:r>
      <w:r w:rsidRPr="00521179">
        <w:t xml:space="preserve"> (the cup-product gate of the cortex paper, living in H²), not through a single shared projection — which would make the obstruction vacuous; and language must enter </w:t>
      </w:r>
      <w:r w:rsidRPr="00521179">
        <w:rPr>
          <w:b/>
          <w:bCs/>
        </w:rPr>
        <w:t>only at the top</w:t>
      </w:r>
      <w:r w:rsidRPr="00521179">
        <w:t xml:space="preserve">, as a top-down constraint on an already-constructed sensory geometry, never as a bottom-up co-input. We read two contemporary systems against this: BAGEL, an every-layer shared-attention early-fusion model that by design never withholds a binding (the framework predicts a spatial hallucination </w:t>
      </w:r>
      <w:r w:rsidRPr="00521179">
        <w:rPr>
          <w:i/>
          <w:iCs/>
        </w:rPr>
        <w:t>floor</w:t>
      </w:r>
      <w:r w:rsidRPr="00521179">
        <w:t xml:space="preserve"> scale cannot remove), and π0.7, an embodied model that builds intermediate subgoal images and insulates its action backbone from semantic gradients — a partial convergence on the framework's principles by empirical necessity. The central prediction (P1) is falsifiable and deliberately narrow: at matched capacity, admitting language late will outperform early injection </w:t>
      </w:r>
      <w:r w:rsidRPr="00521179">
        <w:rPr>
          <w:i/>
          <w:iCs/>
        </w:rPr>
        <w:t>specifically</w:t>
      </w:r>
      <w:r w:rsidRPr="00521179">
        <w:t xml:space="preserve"> on certified spatial/physical coherence, conferring little advantage on purely semantic tasks; the framework is refuted if early injection equals or beats late on spatial/physical tasks. We engage the strongest counter-evidence — large scaling studies finding early fusion competitive — and show it measures general semantic loss, not certified spatial coherence, and so locates rather than settles the question. Biological substrate mappings (laminar ascent, myelin-set </w:t>
      </w:r>
      <w:r w:rsidRPr="00521179">
        <w:lastRenderedPageBreak/>
        <w:t>timing, glial precision, the thalamic gate's three regimes) are offered at a supported tier; Fock-space and C*-algebraic structure are named and quarantined.</w:t>
      </w:r>
    </w:p>
    <w:p w14:paraId="1FA6C127" w14:textId="77777777" w:rsidR="00521179" w:rsidRPr="00521179" w:rsidRDefault="00521179" w:rsidP="005C033C">
      <w:pPr>
        <w:pStyle w:val="Heading1"/>
      </w:pPr>
      <w:r w:rsidRPr="00521179">
        <w:t>1. The deficit is structural, not a matter of scale</w:t>
      </w:r>
    </w:p>
    <w:p w14:paraId="5B4CAE1D" w14:textId="77777777" w:rsidR="00521179" w:rsidRPr="00521179" w:rsidRDefault="00521179" w:rsidP="00521179">
      <w:pPr>
        <w:jc w:val="both"/>
      </w:pPr>
      <w:r w:rsidRPr="00521179">
        <w:t xml:space="preserve">Multimodal models fail in a characteristic way: not by lacking knowledge but by asserting incoherent </w:t>
      </w:r>
      <w:r w:rsidRPr="00521179">
        <w:rPr>
          <w:i/>
          <w:iCs/>
        </w:rPr>
        <w:t>bindings</w:t>
      </w:r>
      <w:r w:rsidRPr="00521179">
        <w:t xml:space="preserve"> — an object that occupies two incompatible positions, a poured liquid that defies conservation, a hand that passes through a handle it is said to grasp. The standard expectation is that scale removes these. The claim here is that it cannot, because the failure is </w:t>
      </w:r>
      <w:r w:rsidRPr="00521179">
        <w:rPr>
          <w:b/>
          <w:bCs/>
        </w:rPr>
        <w:t>architectural</w:t>
      </w:r>
      <w:r w:rsidRPr="00521179">
        <w:t xml:space="preserve">: the systems fuse modalities </w:t>
      </w:r>
      <w:r w:rsidRPr="00521179">
        <w:rPr>
          <w:i/>
          <w:iCs/>
        </w:rPr>
        <w:t>unconditionally</w:t>
      </w:r>
      <w:r w:rsidRPr="00521179">
        <w:t>. They compute a joint representation in every case, including the cases where the modalities genuinely disagree, because they have no operation that computes an obstruction to binding and withholds the glue when the obstruction is real. A system that always binds will always, on inputs where the modalities cannot be reconciled, bind something false. That is a floor, not a frontier.</w:t>
      </w:r>
    </w:p>
    <w:p w14:paraId="27C06A2D" w14:textId="77777777" w:rsidR="00521179" w:rsidRPr="00521179" w:rsidRDefault="00521179" w:rsidP="005C033C">
      <w:pPr>
        <w:pStyle w:val="Heading1"/>
      </w:pPr>
      <w:r w:rsidRPr="00521179">
        <w:t>2. Modalities occupy non-commensurable rungs [CAND]</w:t>
      </w:r>
    </w:p>
    <w:p w14:paraId="1BB5F972" w14:textId="77777777" w:rsidR="00521179" w:rsidRPr="00521179" w:rsidRDefault="00521179" w:rsidP="00521179">
      <w:pPr>
        <w:jc w:val="both"/>
      </w:pPr>
      <w:r w:rsidRPr="00521179">
        <w:t>The enrichment ladder distinguishes representations by the structure they carry: topological, proximity, uniform, metric, normed, inner-product, in ascending richness. Modalities do not all sit at the same rung.</w:t>
      </w:r>
    </w:p>
    <w:p w14:paraId="2F2F4DA0" w14:textId="77777777" w:rsidR="00521179" w:rsidRPr="00521179" w:rsidRDefault="00521179" w:rsidP="00521179">
      <w:pPr>
        <w:jc w:val="both"/>
      </w:pPr>
      <w:r w:rsidRPr="00521179">
        <w:rPr>
          <w:b/>
          <w:bCs/>
        </w:rPr>
        <w:t>Sensory streams are coordinate-bound — metric and normed.</w:t>
      </w:r>
      <w:r w:rsidRPr="00521179">
        <w:t xml:space="preserve"> Vision and audio are indexed to spacetime: retinotopic and tonotopic maps, a here and a now, distances and magnitudes in a coordinate frame. A representation that carries distance and a reference origin is </w:t>
      </w:r>
      <w:r w:rsidRPr="00521179">
        <w:rPr>
          <w:i/>
          <w:iCs/>
        </w:rPr>
        <w:t>metric</w:t>
      </w:r>
      <w:r w:rsidRPr="00521179">
        <w:t xml:space="preserve"> and </w:t>
      </w:r>
      <w:r w:rsidRPr="00521179">
        <w:rPr>
          <w:i/>
          <w:iCs/>
        </w:rPr>
        <w:t>normed</w:t>
      </w:r>
      <w:r w:rsidRPr="00521179">
        <w:t xml:space="preserve">. Sensory geometry is, in this precise sense, low on the ladder — not primitive, but </w:t>
      </w:r>
      <w:r w:rsidRPr="00521179">
        <w:rPr>
          <w:i/>
          <w:iCs/>
        </w:rPr>
        <w:t>coordinate-bound</w:t>
      </w:r>
      <w:r w:rsidRPr="00521179">
        <w:t xml:space="preserve">. In a Transformer this coordinate-bound substrate is supplied by the positional encoding: rotary position embedding (RoPE) is read elsewhere in the series as exactly this normed positional code — translation-invariant, multi-frequency — that </w:t>
      </w:r>
      <w:r w:rsidRPr="00521179">
        <w:rPr>
          <w:i/>
          <w:iCs/>
        </w:rPr>
        <w:t>positions</w:t>
      </w:r>
      <w:r w:rsidRPr="00521179">
        <w:t xml:space="preserve"> tokens but performs no separation, which is the same gap §3–§4 diagnose (the companion </w:t>
      </w:r>
      <w:r w:rsidRPr="00521179">
        <w:rPr>
          <w:i/>
          <w:iCs/>
        </w:rPr>
        <w:t>RoPE as a Crude Grid Code</w:t>
      </w:r>
      <w:r w:rsidRPr="00521179">
        <w:t xml:space="preserve"> note).</w:t>
      </w:r>
    </w:p>
    <w:p w14:paraId="44C1CA57" w14:textId="77777777" w:rsidR="00521179" w:rsidRPr="00521179" w:rsidRDefault="00521179" w:rsidP="00521179">
      <w:pPr>
        <w:jc w:val="both"/>
      </w:pPr>
      <w:r w:rsidRPr="00521179">
        <w:rPr>
          <w:b/>
          <w:bCs/>
        </w:rPr>
        <w:t>Language is coordinate-free — inner-product.</w:t>
      </w:r>
      <w:r w:rsidRPr="00521179">
        <w:t xml:space="preserve"> Words are recombinable, context-portable, and very nearly orthogonalizable: a lexicon behaves like a near-orthogonal basis, and meaning composes by something close to an inner product. Language carries angle and orthogonality without being tied to a spatial origin, which places it at the </w:t>
      </w:r>
      <w:r w:rsidRPr="00521179">
        <w:rPr>
          <w:i/>
          <w:iCs/>
        </w:rPr>
        <w:t>inner-product</w:t>
      </w:r>
      <w:r w:rsidRPr="00521179">
        <w:t xml:space="preserve"> rung — the same rung the cortex paper assigns to the orthogonalized cortical store.</w:t>
      </w:r>
    </w:p>
    <w:p w14:paraId="597C55ED" w14:textId="77777777" w:rsidR="00521179" w:rsidRPr="00521179" w:rsidRDefault="00521179" w:rsidP="00521179">
      <w:pPr>
        <w:jc w:val="both"/>
      </w:pPr>
      <w:r w:rsidRPr="00521179">
        <w:t xml:space="preserve">These assignments are [CAND]: structurally motivated (coordinate-bound </w:t>
      </w:r>
      <w:r w:rsidRPr="00521179">
        <w:rPr>
          <w:rFonts w:ascii="Cambria Math" w:hAnsi="Cambria Math" w:cs="Cambria Math"/>
        </w:rPr>
        <w:t>⇒</w:t>
      </w:r>
      <w:r w:rsidRPr="00521179">
        <w:t xml:space="preserve"> metric/normed; coordinate-free orthogonalizable </w:t>
      </w:r>
      <w:r w:rsidRPr="00521179">
        <w:rPr>
          <w:rFonts w:ascii="Cambria Math" w:hAnsi="Cambria Math" w:cs="Cambria Math"/>
        </w:rPr>
        <w:t>⇒</w:t>
      </w:r>
      <w:r w:rsidRPr="00521179">
        <w:t xml:space="preserve"> inner-product), consistent with the rest of the series, but not proved. They are now anchored to dedicated rung treatments rather than asserted in isolation: the metric rung is realized as a circuit in the basal-ganglia paper (</w:t>
      </w:r>
      <w:r w:rsidRPr="00521179">
        <w:rPr>
          <w:i/>
          <w:iCs/>
        </w:rPr>
        <w:t>The Subthalamic Gate and the Pallidal Hub</w:t>
      </w:r>
      <w:r w:rsidRPr="00521179">
        <w:t>), the normed rung in the entorhinal cortex (</w:t>
      </w:r>
      <w:r w:rsidRPr="00521179">
        <w:rPr>
          <w:i/>
          <w:iCs/>
        </w:rPr>
        <w:t>The Entorhinal–Hippocampal Confluence</w:t>
      </w:r>
      <w:r w:rsidRPr="00521179">
        <w:t>), and the inner-product rung in the cortex paper — so a sensory stream's placement at metric/normed and language's at inner-product inherits whatever grounding those papers give the rungs, the tier here unchanged. What the assignments buy is the diagnosis of §3.</w:t>
      </w:r>
    </w:p>
    <w:p w14:paraId="11F95BA3" w14:textId="77777777" w:rsidR="00521179" w:rsidRPr="00521179" w:rsidRDefault="00521179" w:rsidP="005C033C">
      <w:pPr>
        <w:pStyle w:val="Heading1"/>
      </w:pPr>
      <w:r w:rsidRPr="00521179">
        <w:lastRenderedPageBreak/>
        <w:t>3. The cross-ladder short-circuit, and why a single projection is vacuous [LB structure]</w:t>
      </w:r>
    </w:p>
    <w:p w14:paraId="263D3D54" w14:textId="77777777" w:rsidR="00521179" w:rsidRPr="00521179" w:rsidRDefault="00521179" w:rsidP="00521179">
      <w:pPr>
        <w:jc w:val="both"/>
      </w:pPr>
      <w:r w:rsidRPr="00521179">
        <w:t xml:space="preserve">Representations at different rungs are </w:t>
      </w:r>
      <w:r w:rsidRPr="00521179">
        <w:rPr>
          <w:b/>
          <w:bCs/>
        </w:rPr>
        <w:t>incommensurable</w:t>
      </w:r>
      <w:r w:rsidRPr="00521179">
        <w:t xml:space="preserve">: there is no canonical, structure-preserving way to compare a metric sensory section and an inner-product linguistic section as if they lived in one space, because the lower rung lacks the structure the higher one carries (this is the descent/ascent asymmetry of the series — ascent is non-canonical). Forcing pixels and words to cross-attend at the input layer therefore assumes a shared geometric space </w:t>
      </w:r>
      <w:r w:rsidRPr="00521179">
        <w:rPr>
          <w:b/>
          <w:bCs/>
        </w:rPr>
        <w:t>that does not exist</w:t>
      </w:r>
      <w:r w:rsidRPr="00521179">
        <w:t>, and the system, having no way to detect the mismatch, asserts a fused representation over it. That is the cross-ladder short-circuit.</w:t>
      </w:r>
    </w:p>
    <w:p w14:paraId="16669370" w14:textId="77777777" w:rsidR="00521179" w:rsidRPr="00521179" w:rsidRDefault="00521179" w:rsidP="00521179">
      <w:pPr>
        <w:jc w:val="both"/>
      </w:pPr>
      <w:r w:rsidRPr="00521179">
        <w:t xml:space="preserve">There is a tempting fix that fails, and its failure is the load-bearing point of this section. One might map both modalities through a </w:t>
      </w:r>
      <w:r w:rsidRPr="00521179">
        <w:rPr>
          <w:i/>
          <w:iCs/>
        </w:rPr>
        <w:t>single shared projection</w:t>
      </w:r>
      <w:r w:rsidRPr="00521179">
        <w:t xml:space="preserve"> into a common latent space and bind there. But then there are no longer two distinct local sections that must agree on an overlap — there is one section, by construction — so there is </w:t>
      </w:r>
      <w:r w:rsidRPr="00521179">
        <w:rPr>
          <w:b/>
          <w:bCs/>
        </w:rPr>
        <w:t>no cocycle, and the obstruction is vacuous.</w:t>
      </w:r>
      <w:r w:rsidRPr="00521179">
        <w:t xml:space="preserve"> A single shared projection does not resolve the contradiction; it </w:t>
      </w:r>
      <w:r w:rsidRPr="00521179">
        <w:rPr>
          <w:i/>
          <w:iCs/>
        </w:rPr>
        <w:t>hides</w:t>
      </w:r>
      <w:r w:rsidRPr="00521179">
        <w:t xml:space="preserve"> it, by destroying the very overlap on which an obstruction would be computed. To have a computable obstruction at all, the cross-modal map must be </w:t>
      </w:r>
      <w:r w:rsidRPr="00521179">
        <w:rPr>
          <w:b/>
          <w:bCs/>
        </w:rPr>
        <w:t>structured and modality-specific</w:t>
      </w:r>
      <w:r w:rsidRPr="00521179">
        <w:t xml:space="preserve"> — distinct transition maps between the modalities' own representations, on whose overlap a disagreement can be measured. The discipline the series enforces against borrowed prestige here becomes a concrete architectural constraint: a binding is only defensible if the obstruction to it is non-vacuous, and a single shared projection makes it vacuous.</w:t>
      </w:r>
    </w:p>
    <w:p w14:paraId="7832F3F2" w14:textId="77777777" w:rsidR="00521179" w:rsidRPr="00521179" w:rsidRDefault="00521179" w:rsidP="00521179">
      <w:pPr>
        <w:jc w:val="both"/>
      </w:pPr>
      <w:r w:rsidRPr="00521179">
        <w:t xml:space="preserve">A second, independent failure of the shared projection comes from the binding mechanism's capacity, and it is worth stating because it strikes from a different direction than the cohomological one. Even setting aside the vacuous obstruction, collapsing two modalities into one undifferentiated section binds </w:t>
      </w:r>
      <w:r w:rsidRPr="00521179">
        <w:rPr>
          <w:i/>
          <w:iCs/>
        </w:rPr>
        <w:t>un-separated</w:t>
      </w:r>
      <w:r w:rsidRPr="00521179">
        <w:t xml:space="preserve"> operands — and an inner-product binder fed overlapping inputs accumulates crosstalk that is a sum of the inter-operand inner products, so past a critical load the bound structure degrades catastrophically (the associative-memory capacity result the entorhinal–hippocampal confluence makes load-bearing). So the shared projection fails twice over: it </w:t>
      </w:r>
      <w:r w:rsidRPr="00521179">
        <w:rPr>
          <w:i/>
          <w:iCs/>
        </w:rPr>
        <w:t>hides</w:t>
      </w:r>
      <w:r w:rsidRPr="00521179">
        <w:t xml:space="preserve"> the contradiction (no obstruction to compute, above) </w:t>
      </w:r>
      <w:r w:rsidRPr="00521179">
        <w:rPr>
          <w:b/>
          <w:bCs/>
        </w:rPr>
        <w:t>and</w:t>
      </w:r>
      <w:r w:rsidRPr="00521179">
        <w:t xml:space="preserve"> </w:t>
      </w:r>
      <w:r w:rsidRPr="00521179">
        <w:rPr>
          <w:i/>
          <w:iCs/>
        </w:rPr>
        <w:t>corrupts</w:t>
      </w:r>
      <w:r w:rsidRPr="00521179">
        <w:t xml:space="preserve"> the bind (crosstalk in the combined representation). The two arguments converge on one constraint from two independent premises — the cohomological (an obstruction must be testable) and the capacity (operands must be separated before they are bound) — and the next sections build the remedy that satisfies both. [CAND] for the capacity argument's application here, conditional on the inner-product binding mechanism, exactly as in the confluence.</w:t>
      </w:r>
    </w:p>
    <w:p w14:paraId="55C576F6" w14:textId="77777777" w:rsidR="00521179" w:rsidRPr="00521179" w:rsidRDefault="00521179" w:rsidP="005C033C">
      <w:pPr>
        <w:pStyle w:val="Heading1"/>
      </w:pPr>
      <w:r w:rsidRPr="00521179">
        <w:t xml:space="preserve">4. The </w:t>
      </w:r>
      <w:r w:rsidRPr="005C033C">
        <w:t>remedy</w:t>
      </w:r>
      <w:r w:rsidRPr="00521179">
        <w:t xml:space="preserve">: </w:t>
      </w:r>
      <w:r w:rsidRPr="005C033C">
        <w:t>hierarchical multimodal ascent [LB math / CAND application]</w:t>
      </w:r>
    </w:p>
    <w:p w14:paraId="13719283" w14:textId="77777777" w:rsidR="00521179" w:rsidRPr="00521179" w:rsidRDefault="00521179" w:rsidP="00521179">
      <w:pPr>
        <w:jc w:val="both"/>
      </w:pPr>
      <w:r w:rsidRPr="00521179">
        <w:t>The architecture the diagnosis implies has three commitments.</w:t>
      </w:r>
    </w:p>
    <w:p w14:paraId="070E6896" w14:textId="77777777" w:rsidR="00521179" w:rsidRPr="00521179" w:rsidRDefault="00521179" w:rsidP="00521179">
      <w:pPr>
        <w:jc w:val="both"/>
      </w:pPr>
      <w:r w:rsidRPr="00521179">
        <w:rPr>
          <w:b/>
          <w:bCs/>
        </w:rPr>
        <w:t>Bottom-up sensory certification.</w:t>
      </w:r>
      <w:r w:rsidRPr="00521179">
        <w:t xml:space="preserve"> Each modality first constructs and certifies its </w:t>
      </w:r>
      <w:r w:rsidRPr="00521179">
        <w:rPr>
          <w:i/>
          <w:iCs/>
        </w:rPr>
        <w:t>own</w:t>
      </w:r>
      <w:r w:rsidRPr="00521179">
        <w:t xml:space="preserve"> native spatial/temporal structure — horizontal binding within the modality — before any attempt to bind across modalities. The lower-rung geometry must exist and be coherent before it can be lifted.</w:t>
      </w:r>
    </w:p>
    <w:p w14:paraId="4ECEF06C" w14:textId="77777777" w:rsidR="00521179" w:rsidRPr="00521179" w:rsidRDefault="00521179" w:rsidP="00521179">
      <w:pPr>
        <w:jc w:val="both"/>
      </w:pPr>
      <w:r w:rsidRPr="00521179">
        <w:rPr>
          <w:b/>
          <w:bCs/>
        </w:rPr>
        <w:t>Structured transition maps and a triple-overlap gate.</w:t>
      </w:r>
      <w:r w:rsidRPr="00521179">
        <w:t xml:space="preserve"> Cross-modal binding proceeds through structured, modality-specific transition maps (§3), and the obstruction to binding is tested where </w:t>
      </w:r>
      <w:r w:rsidRPr="00521179">
        <w:lastRenderedPageBreak/>
        <w:t xml:space="preserve">compound, cross-modal failures live. Two modalities may each cohere individually yet fail </w:t>
      </w:r>
      <w:r w:rsidRPr="00521179">
        <w:rPr>
          <w:i/>
          <w:iCs/>
        </w:rPr>
        <w:t>jointly</w:t>
      </w:r>
      <w:r w:rsidRPr="00521179">
        <w:t xml:space="preserve">; the cortex paper shows that this compound obstruction is the </w:t>
      </w:r>
      <w:r w:rsidRPr="00521179">
        <w:rPr>
          <w:b/>
          <w:bCs/>
        </w:rPr>
        <w:t>cup product</w:t>
      </w:r>
      <w:r w:rsidRPr="00521179">
        <w:t xml:space="preserve"> of the marginal obstructions, a class in H², and that the gate must withhold when that class is non-trivial — the criterion being class-nontriviality, not magnitude, because the cup product is submultiplicative. In Čech terms H² lives on </w:t>
      </w:r>
      <w:r w:rsidRPr="00521179">
        <w:rPr>
          <w:b/>
          <w:bCs/>
        </w:rPr>
        <w:t>triple overlaps</w:t>
      </w:r>
      <w:r w:rsidRPr="00521179">
        <w:t>, so the cross-modal test is a triple-overlap obstruction: the gate examines where three local agreements must close and withholds the global binding when they do not. This machinery is [LB] (proved in the cortex paper); its application to the cross-modal case is [CAND], and it inherits that paper's standing debt — that the modalities' covers must first be brought into register as one common base.</w:t>
      </w:r>
    </w:p>
    <w:p w14:paraId="73EA4655" w14:textId="77777777" w:rsidR="00521179" w:rsidRPr="00521179" w:rsidRDefault="00521179" w:rsidP="00521179">
      <w:pPr>
        <w:jc w:val="both"/>
      </w:pPr>
      <w:r w:rsidRPr="00521179">
        <w:rPr>
          <w:b/>
          <w:bCs/>
        </w:rPr>
        <w:t>Language at the top.</w:t>
      </w:r>
      <w:r w:rsidRPr="00521179">
        <w:t xml:space="preserve"> Language must enter the lattice </w:t>
      </w:r>
      <w:r w:rsidRPr="00521179">
        <w:rPr>
          <w:b/>
          <w:bCs/>
        </w:rPr>
        <w:t>only at the inner-product rung</w:t>
      </w:r>
      <w:r w:rsidRPr="00521179">
        <w:t xml:space="preserve"> — at the top — as a top-down constraint on an already-constructed sensory geometry, never as a bottom-up co-input. This is the paper's thesis, and it follows from §2–§3: language is at the highest rung, sensory geometry at lower ones; injecting language at the bottom forces the incommensurable cross-ladder binding that has no defensible obstruction. Admitted at the top, language constrains a geometry that has already been built and certified, which is the only place the constraint is commensurable with what it constrains.</w:t>
      </w:r>
    </w:p>
    <w:p w14:paraId="7D9928AE" w14:textId="77777777" w:rsidR="00521179" w:rsidRPr="00521179" w:rsidRDefault="00521179" w:rsidP="00521179">
      <w:pPr>
        <w:jc w:val="both"/>
      </w:pPr>
      <w:r w:rsidRPr="00521179">
        <w:rPr>
          <w:b/>
          <w:bCs/>
        </w:rPr>
        <w:t>Separation before each bind.</w:t>
      </w:r>
      <w:r w:rsidRPr="00521179">
        <w:t xml:space="preserve"> A binding level is defensible only if its operands are </w:t>
      </w:r>
      <w:r w:rsidRPr="00521179">
        <w:rPr>
          <w:i/>
          <w:iCs/>
        </w:rPr>
        <w:t>separated</w:t>
      </w:r>
      <w:r w:rsidRPr="00521179">
        <w:t xml:space="preserve"> before they are combined and </w:t>
      </w:r>
      <w:r w:rsidRPr="00521179">
        <w:rPr>
          <w:i/>
          <w:iCs/>
        </w:rPr>
        <w:t>certified</w:t>
      </w:r>
      <w:r w:rsidRPr="00521179">
        <w:t xml:space="preserve"> after. The cup-product gate above is the certification — the withhold that follows the bind and refuses it when the H² class is non-trivial. The capacity argument of §3 adds the complementary withhold that </w:t>
      </w:r>
      <w:r w:rsidRPr="00521179">
        <w:rPr>
          <w:i/>
          <w:iCs/>
        </w:rPr>
        <w:t>precedes</w:t>
      </w:r>
      <w:r w:rsidRPr="00521179">
        <w:t xml:space="preserve"> the bind: the operands must be orthogonalized so the combined representation does not accumulate the crosstalk that overlapping inputs inject. So every cross-modal bind in the hierarchy is flanked by two withholds — a separation stage before (the entorhinal–hippocampal confluence's dentate-analogue, raising the operands' distinguishability on the separation axis) and the cup-product certification after — and a system missing either is undefensible at that level: without separation the bind is corrupted, without certification an incoherent bind is committed. This [CAND] constraint is the multimodal form of the two-withhold reading the series applies to the Transformer block, and it is conditional on the inner-product binding mechanism.</w:t>
      </w:r>
    </w:p>
    <w:p w14:paraId="77BA9A83" w14:textId="77777777" w:rsidR="00521179" w:rsidRPr="00521179" w:rsidRDefault="00521179" w:rsidP="005C033C">
      <w:pPr>
        <w:pStyle w:val="Heading1"/>
      </w:pPr>
      <w:r w:rsidRPr="00521179">
        <w:t>5. The isotropic substrate and the order of binding [SUP substrate / LB structure]</w:t>
      </w:r>
    </w:p>
    <w:p w14:paraId="4CC684CE" w14:textId="77777777" w:rsidR="00521179" w:rsidRPr="00521179" w:rsidRDefault="00521179" w:rsidP="00521179">
      <w:pPr>
        <w:jc w:val="both"/>
      </w:pPr>
      <w:r w:rsidRPr="00521179">
        <w:t xml:space="preserve">The ladder of §2 raises a question it has not answered: if the cortex is the seat of all these rungs, what physically distinguishes a rung from the one below it? Anatomically, almost nothing does. The neocortex is remarkably uniform — a patch of primary visual cortex and a patch of prefrontal cortex share the same six-layer laminar plan and, on the canonical-microcircuit hypothesis (Mountcastle; Douglas &amp; Martin), the same basic operation. This uniformity is [SUP], and it is a hypothesis rather than a settled fact: granular and agranular regions differ, spine densities and layer thicknesses vary, and the strong reading — that every area runs a </w:t>
      </w:r>
      <w:r w:rsidRPr="00521179">
        <w:rPr>
          <w:i/>
          <w:iCs/>
        </w:rPr>
        <w:t>literally identical</w:t>
      </w:r>
      <w:r w:rsidRPr="00521179">
        <w:t xml:space="preserve"> algorithm — is contested. The weak reading is all this paper needs: across the sheet the cortex runs the </w:t>
      </w:r>
      <w:r w:rsidRPr="00521179">
        <w:rPr>
          <w:i/>
          <w:iCs/>
        </w:rPr>
        <w:t>same class</w:t>
      </w:r>
      <w:r w:rsidRPr="00521179">
        <w:t xml:space="preserve"> of operation, the inner-product gluing the series identifies with cortical computation.</w:t>
      </w:r>
    </w:p>
    <w:p w14:paraId="76E1BE5B" w14:textId="77777777" w:rsidR="00521179" w:rsidRPr="00521179" w:rsidRDefault="00521179" w:rsidP="00521179">
      <w:pPr>
        <w:jc w:val="both"/>
      </w:pPr>
      <w:r w:rsidRPr="00521179">
        <w:t xml:space="preserve">If the operation is approximately constant, the abstraction gradient — edges in V1, plans in prefrontal cortex — cannot be produced by the operation. It must be produced by the </w:t>
      </w:r>
      <w:r w:rsidRPr="00521179">
        <w:rPr>
          <w:b/>
          <w:bCs/>
        </w:rPr>
        <w:t>order of binding</w:t>
      </w:r>
      <w:r w:rsidRPr="00521179">
        <w:t xml:space="preserve">: not </w:t>
      </w:r>
      <w:r w:rsidRPr="00521179">
        <w:rPr>
          <w:i/>
          <w:iCs/>
        </w:rPr>
        <w:t>how</w:t>
      </w:r>
      <w:r w:rsidRPr="00521179">
        <w:t xml:space="preserve"> the cortex binds but </w:t>
      </w:r>
      <w:r w:rsidRPr="00521179">
        <w:rPr>
          <w:i/>
          <w:iCs/>
        </w:rPr>
        <w:t>what it binds</w:t>
      </w:r>
      <w:r w:rsidRPr="00521179">
        <w:t xml:space="preserve">. The ladder is built by iteration. Each level takes as its input presheaf not raw sensors but the </w:t>
      </w:r>
      <w:r w:rsidRPr="00521179">
        <w:rPr>
          <w:b/>
          <w:bCs/>
        </w:rPr>
        <w:t>certified global sections of the level below</w:t>
      </w:r>
      <w:r w:rsidRPr="00521179">
        <w:t xml:space="preserve">, and glues again — sensory cortex </w:t>
      </w:r>
      <w:r w:rsidRPr="00521179">
        <w:lastRenderedPageBreak/>
        <w:t xml:space="preserve">binds raw receptive-field data into certified contours, association cortex binds those contours across modalities into objects, prefrontal cortex binds certified objects into sequences and plans. The operator is fixed; the operands are the outputs of the rung beneath; abstraction is iteration depth. The iteration is not bind-alone but, by §4, </w:t>
      </w:r>
      <w:r w:rsidRPr="00521179">
        <w:rPr>
          <w:i/>
          <w:iCs/>
        </w:rPr>
        <w:t>separate-then-bind</w:t>
      </w:r>
      <w:r w:rsidRPr="00521179">
        <w:t xml:space="preserve"> at each level: before a level re-glues the certified sections beneath it, those sections are orthogonalized so the re-binding does not accumulate crosstalk, and the cup-product gate certifies after. Each rung of the ladder is thus one separate-bind-certify cycle stacked on the certified output of the last. (This is a statement about </w:t>
      </w:r>
      <w:r w:rsidRPr="00521179">
        <w:rPr>
          <w:i/>
          <w:iCs/>
        </w:rPr>
        <w:t>what is bound and in what order it is conditioned</w:t>
      </w:r>
      <w:r w:rsidRPr="00521179">
        <w:t xml:space="preserve">, and must not be confused with the cohomological-degree point that follows.) This is the mechanism behind §2's ladder: an isotropic substrate climbs from coordinate-bound sensory structure to coordinate-free abstraction by re-binding its own certified outputs, and the enrichment rung a representation occupies records how many times it has been re-bound. The inner-product </w:t>
      </w:r>
      <w:r w:rsidRPr="00521179">
        <w:rPr>
          <w:i/>
          <w:iCs/>
        </w:rPr>
        <w:t>operation</w:t>
      </w:r>
      <w:r w:rsidRPr="00521179">
        <w:t xml:space="preserve"> being uniform across the sheet and the </w:t>
      </w:r>
      <w:r w:rsidRPr="00521179">
        <w:rPr>
          <w:i/>
          <w:iCs/>
        </w:rPr>
        <w:t>represented structure</w:t>
      </w:r>
      <w:r w:rsidRPr="00521179">
        <w:t xml:space="preserve"> rising from the metric rung to the inner-product rung are not in tension: the first is a fact about the operator, the second about what the operator has been applied to — operator versus operand.</w:t>
      </w:r>
    </w:p>
    <w:p w14:paraId="4D509C00" w14:textId="77777777" w:rsidR="00521179" w:rsidRPr="00521179" w:rsidRDefault="00521179" w:rsidP="00521179">
      <w:pPr>
        <w:jc w:val="both"/>
      </w:pPr>
      <w:r w:rsidRPr="00521179">
        <w:t xml:space="preserve">One discipline must be enforced here, because the iteration invites a precise error [LB]. </w:t>
      </w:r>
      <w:r w:rsidRPr="00521179">
        <w:rPr>
          <w:b/>
          <w:bCs/>
        </w:rPr>
        <w:t>The order of binding is not the cohomological degree.</w:t>
      </w:r>
      <w:r w:rsidRPr="00521179">
        <w:t xml:space="preserve"> Stacking levels does not march the obstruction from H¹ to H² to H³; at </w:t>
      </w:r>
      <w:r w:rsidRPr="00521179">
        <w:rPr>
          <w:i/>
          <w:iCs/>
        </w:rPr>
        <w:t>every</w:t>
      </w:r>
      <w:r w:rsidRPr="00521179">
        <w:t xml:space="preserve"> level the same gluing runs — a global section (H⁰) exists when the first obstruction (H¹) vanishes, with the compound cross-modal case gated by the cup product in H² on triple overlaps (§4). What iteration changes is not the </w:t>
      </w:r>
      <w:r w:rsidRPr="00521179">
        <w:rPr>
          <w:i/>
          <w:iCs/>
        </w:rPr>
        <w:t>degree</w:t>
      </w:r>
      <w:r w:rsidRPr="00521179">
        <w:t xml:space="preserve"> of the cohomology but the </w:t>
      </w:r>
      <w:r w:rsidRPr="00521179">
        <w:rPr>
          <w:i/>
          <w:iCs/>
        </w:rPr>
        <w:t>coefficient system</w:t>
      </w:r>
      <w:r w:rsidRPr="00521179">
        <w:t xml:space="preserve"> it is computed over: the certified output of one level becomes the presheaf of the next. The correct formal home for "the cohomology of one space supplies the coefficients for the cohomology of a higher one" is the </w:t>
      </w:r>
      <w:r w:rsidRPr="00521179">
        <w:rPr>
          <w:b/>
          <w:bCs/>
        </w:rPr>
        <w:t>Leray spectral sequence</w:t>
      </w:r>
      <w:r w:rsidRPr="00521179">
        <w:t>, named here as the structural picture of iterated binding, not asserted as a theorem about cortex — to promote it to a proven "iterated-cohomology theorem" would be borrowed prestige of exactly the kind §9 quarantines. The load-bearing claim is the weaker and sturdier one: binding order (how many certified levels are stacked beneath a representation) and cohomological degree (the order of the obstruction tested at a given level) are different quantities, and labelling the rungs H¹, H², H³ misreads both.</w:t>
      </w:r>
    </w:p>
    <w:p w14:paraId="287D780E" w14:textId="77777777" w:rsidR="00521179" w:rsidRPr="00521179" w:rsidRDefault="00521179" w:rsidP="00521179">
      <w:pPr>
        <w:jc w:val="both"/>
      </w:pPr>
      <w:r w:rsidRPr="00521179">
        <w:t xml:space="preserve">The architectural consequence sharpens §3 and sets up §6. A flat model that admits every modality into one context window binds across many orders at once — raw sensory data set directly against high-order abstractions — which is the cross-ladder short-circuit of §3 raised from a pair of rungs to the whole stack: it attempts to bind operands belonging to different binding orders, over which no single obstruction is well-posed. Iterated binding is therefore a </w:t>
      </w:r>
      <w:r w:rsidRPr="00521179">
        <w:rPr>
          <w:b/>
          <w:bCs/>
        </w:rPr>
        <w:t>staged</w:t>
      </w:r>
      <w:r w:rsidRPr="00521179">
        <w:t xml:space="preserve"> constraint — each level's gluing certified before its output is admitted as an operand to the next — and that staging is precisely the axis along which §6 reads the early-fusion pole against the embodied convergence. It is also the cleanest statement of the paper's thesis. Language is the highest binding order; its operands are certified high-level sections, not sensory data. It is therefore not </w:t>
      </w:r>
      <w:r w:rsidRPr="00521179">
        <w:rPr>
          <w:i/>
          <w:iCs/>
        </w:rPr>
        <w:t>forbidden</w:t>
      </w:r>
      <w:r w:rsidRPr="00521179">
        <w:t xml:space="preserve"> from binding C⁰ pixels by fiat — it is </w:t>
      </w:r>
      <w:r w:rsidRPr="00521179">
        <w:rPr>
          <w:i/>
          <w:iCs/>
        </w:rPr>
        <w:t>incapable</w:t>
      </w:r>
      <w:r w:rsidRPr="00521179">
        <w:t xml:space="preserve"> of it, because it is a binder of already-bound structure. Language must enter at the top not because it is privileged but because it has no lower-order operands to act on.</w:t>
      </w:r>
    </w:p>
    <w:p w14:paraId="70737292" w14:textId="77777777" w:rsidR="00521179" w:rsidRPr="00521179" w:rsidRDefault="00521179" w:rsidP="005C033C">
      <w:pPr>
        <w:pStyle w:val="Heading1"/>
      </w:pPr>
      <w:r w:rsidRPr="00521179">
        <w:t>6. Two architectures, read against the hierarchy [SUP architecture / CAND reading]</w:t>
      </w:r>
    </w:p>
    <w:p w14:paraId="17FF41CE" w14:textId="77777777" w:rsidR="00521179" w:rsidRPr="00521179" w:rsidRDefault="00521179" w:rsidP="00521179">
      <w:pPr>
        <w:jc w:val="both"/>
      </w:pPr>
      <w:r w:rsidRPr="00521179">
        <w:rPr>
          <w:b/>
          <w:bCs/>
        </w:rPr>
        <w:t>The early-fusion pole — BAGEL.</w:t>
      </w:r>
      <w:r w:rsidRPr="00521179">
        <w:t xml:space="preserve"> BAGEL (ByteDance, </w:t>
      </w:r>
      <w:r w:rsidRPr="00521179">
        <w:rPr>
          <w:i/>
          <w:iCs/>
        </w:rPr>
        <w:t>Emerging Properties in Unified Multimodal Pretraining</w:t>
      </w:r>
      <w:r w:rsidRPr="00521179">
        <w:t xml:space="preserve">, 2025) is a unified decoder-only Mixture-of-Transformer-Experts model whose understanding and generation experts share self-attention in </w:t>
      </w:r>
      <w:r w:rsidRPr="00521179">
        <w:rPr>
          <w:b/>
          <w:bCs/>
        </w:rPr>
        <w:t>every layer</w:t>
      </w:r>
      <w:r w:rsidRPr="00521179">
        <w:t xml:space="preserve">, deliberately bottleneck-free. </w:t>
      </w:r>
      <w:r w:rsidRPr="00521179">
        <w:lastRenderedPageBreak/>
        <w:t xml:space="preserve">It is the early-fusion pole made explicit: text, vision-understanding, and generation tokens are interleaved and attend jointly throughout. By design such a model </w:t>
      </w:r>
      <w:r w:rsidRPr="00521179">
        <w:rPr>
          <w:b/>
          <w:bCs/>
        </w:rPr>
        <w:t>never withholds a binding</w:t>
      </w:r>
      <w:r w:rsidRPr="00521179">
        <w:t xml:space="preserve"> — there is no layer at which the obstruction is computed and the glue refused. The framework's reading is a falsifiable prediction: an every-layer shared-attention architecture has a </w:t>
      </w:r>
      <w:r w:rsidRPr="00521179">
        <w:rPr>
          <w:b/>
          <w:bCs/>
        </w:rPr>
        <w:t>spatial/physical hallucination floor</w:t>
      </w:r>
      <w:r w:rsidRPr="00521179">
        <w:t xml:space="preserve"> that scaling the same architecture cannot eliminate, because the missing operation (withholding) is absent by construction, not by undertraining.</w:t>
      </w:r>
    </w:p>
    <w:p w14:paraId="368C2B91" w14:textId="77777777" w:rsidR="00521179" w:rsidRPr="00521179" w:rsidRDefault="00521179" w:rsidP="00521179">
      <w:pPr>
        <w:jc w:val="both"/>
      </w:pPr>
      <w:r w:rsidRPr="00521179">
        <w:rPr>
          <w:b/>
          <w:bCs/>
        </w:rPr>
        <w:t>Partial convergence — π0.7.</w:t>
      </w:r>
      <w:r w:rsidRPr="00521179">
        <w:t xml:space="preserve"> π0.7 (Physical Intelligence, </w:t>
      </w:r>
      <w:r w:rsidRPr="00521179">
        <w:rPr>
          <w:i/>
          <w:iCs/>
        </w:rPr>
        <w:t>a Steerable Generalist Robotic Foundation Model</w:t>
      </w:r>
      <w:r w:rsidRPr="00521179">
        <w:t xml:space="preserve">, 2026) is an embodied vision-language-action model that does two things the hierarchy predicts an effective embodied system would have to discover. It conditions on </w:t>
      </w:r>
      <w:r w:rsidRPr="00521179">
        <w:rPr>
          <w:b/>
          <w:bCs/>
        </w:rPr>
        <w:t>subgoal images</w:t>
      </w:r>
      <w:r w:rsidRPr="00521179">
        <w:t xml:space="preserve"> generated at runtime by a lightweight world model — intermediate spatial targets that depict the desired near-future state — i.e. it constructs and acts on a lower-rung spatial geometry rather than mapping language directly to action. And it uses </w:t>
      </w:r>
      <w:r w:rsidRPr="00521179">
        <w:rPr>
          <w:b/>
          <w:bCs/>
        </w:rPr>
        <w:t>Knowledge Insulation</w:t>
      </w:r>
      <w:r w:rsidRPr="00521179">
        <w:t xml:space="preserve"> to protect its action backbone from the semantic/language training gradients. Read through the framework, these are exactly </w:t>
      </w:r>
      <w:r w:rsidRPr="00521179">
        <w:rPr>
          <w:i/>
          <w:iCs/>
        </w:rPr>
        <w:t>build the lower-rung geometry first</w:t>
      </w:r>
      <w:r w:rsidRPr="00521179">
        <w:t xml:space="preserve"> and </w:t>
      </w:r>
      <w:r w:rsidRPr="00521179">
        <w:rPr>
          <w:i/>
          <w:iCs/>
        </w:rPr>
        <w:t>insulate it from the higher rung</w:t>
      </w:r>
      <w:r w:rsidRPr="00521179">
        <w:t xml:space="preserve"> — a partial convergence on the hierarchy by empirical necessity rather than by theory. This reading is [CAND]: π0.7's choices are genuine and documented; that they </w:t>
      </w:r>
      <w:r w:rsidRPr="00521179">
        <w:rPr>
          <w:i/>
          <w:iCs/>
        </w:rPr>
        <w:t>realize the framework's principles</w:t>
      </w:r>
      <w:r w:rsidRPr="00521179">
        <w:t xml:space="preserve"> is a structural isomorphism, not a claim that the framework was used.</w:t>
      </w:r>
    </w:p>
    <w:p w14:paraId="3A702834" w14:textId="77777777" w:rsidR="00521179" w:rsidRPr="00521179" w:rsidRDefault="00521179" w:rsidP="005C033C">
      <w:pPr>
        <w:pStyle w:val="Heading1"/>
      </w:pPr>
      <w:r w:rsidRPr="00521179">
        <w:t xml:space="preserve">7. The falsifiable </w:t>
      </w:r>
      <w:r w:rsidRPr="005C033C">
        <w:t>prediction, and the strongest counter-evidence</w:t>
      </w:r>
    </w:p>
    <w:p w14:paraId="7BC31426" w14:textId="77777777" w:rsidR="00521179" w:rsidRPr="00521179" w:rsidRDefault="00521179" w:rsidP="00521179">
      <w:pPr>
        <w:jc w:val="both"/>
      </w:pPr>
      <w:r w:rsidRPr="00521179">
        <w:rPr>
          <w:b/>
          <w:bCs/>
        </w:rPr>
        <w:t>P1 — conditional late-injection advantage.</w:t>
      </w:r>
      <w:r w:rsidRPr="00521179">
        <w:t xml:space="preserve"> At matched capacity, admitting language at </w:t>
      </w:r>
      <w:r w:rsidRPr="00521179">
        <w:rPr>
          <w:i/>
          <w:iCs/>
        </w:rPr>
        <w:t>late</w:t>
      </w:r>
      <w:r w:rsidRPr="00521179">
        <w:t xml:space="preserve"> layers will outperform </w:t>
      </w:r>
      <w:r w:rsidRPr="00521179">
        <w:rPr>
          <w:i/>
          <w:iCs/>
        </w:rPr>
        <w:t>early</w:t>
      </w:r>
      <w:r w:rsidRPr="00521179">
        <w:t xml:space="preserve"> injection </w:t>
      </w:r>
      <w:r w:rsidRPr="00521179">
        <w:rPr>
          <w:b/>
          <w:bCs/>
        </w:rPr>
        <w:t>specifically</w:t>
      </w:r>
      <w:r w:rsidRPr="00521179">
        <w:t xml:space="preserve"> on tasks requiring certified spatial or physical coherence, while conferring little advantage on purely semantic tasks. The conditionality is the content: a generic depth benefit would not be selective for spatial/physical tasks.</w:t>
      </w:r>
    </w:p>
    <w:p w14:paraId="05E8FE07" w14:textId="77777777" w:rsidR="00521179" w:rsidRPr="00521179" w:rsidRDefault="00521179" w:rsidP="00521179">
      <w:pPr>
        <w:jc w:val="both"/>
      </w:pPr>
      <w:r w:rsidRPr="00521179">
        <w:rPr>
          <w:b/>
          <w:bCs/>
        </w:rPr>
        <w:t>Refutation.</w:t>
      </w:r>
      <w:r w:rsidRPr="00521179">
        <w:t xml:space="preserve"> The framework is falsified if early injection </w:t>
      </w:r>
      <w:r w:rsidRPr="00521179">
        <w:rPr>
          <w:b/>
          <w:bCs/>
        </w:rPr>
        <w:t>equals or beats</w:t>
      </w:r>
      <w:r w:rsidRPr="00521179">
        <w:t xml:space="preserve"> late injection on spatial/physical coherence tasks at matched capacity. And a weaker disconfirmation: if late injection wins </w:t>
      </w:r>
      <w:r w:rsidRPr="00521179">
        <w:rPr>
          <w:i/>
          <w:iCs/>
        </w:rPr>
        <w:t>uniformly</w:t>
      </w:r>
      <w:r w:rsidRPr="00521179">
        <w:t xml:space="preserve"> across all tasks including purely semantic ones, the direction holds but the </w:t>
      </w:r>
      <w:r w:rsidRPr="00521179">
        <w:rPr>
          <w:i/>
          <w:iCs/>
        </w:rPr>
        <w:t>mechanism</w:t>
      </w:r>
      <w:r w:rsidRPr="00521179">
        <w:t xml:space="preserve"> is wrong — the advantage would be a generic network-depth effect, not the specific protection of lower-rung sensory geometry.</w:t>
      </w:r>
    </w:p>
    <w:p w14:paraId="56660EB6" w14:textId="77777777" w:rsidR="00521179" w:rsidRPr="00521179" w:rsidRDefault="00521179" w:rsidP="00521179">
      <w:pPr>
        <w:jc w:val="both"/>
      </w:pPr>
      <w:r w:rsidRPr="00521179">
        <w:rPr>
          <w:b/>
          <w:bCs/>
        </w:rPr>
        <w:t>The counter-evidence, faced honestly.</w:t>
      </w:r>
      <w:r w:rsidRPr="00521179">
        <w:t xml:space="preserve"> The strongest current evidence appears to cut against an early-fusion penalty. A large scaling study (Shukor, Fini et al., </w:t>
      </w:r>
      <w:r w:rsidRPr="00521179">
        <w:rPr>
          <w:i/>
          <w:iCs/>
        </w:rPr>
        <w:t>Scaling Laws for Native Multimodal Models</w:t>
      </w:r>
      <w:r w:rsidRPr="00521179">
        <w:t xml:space="preserve">, 2025; 457 models) finds </w:t>
      </w:r>
      <w:r w:rsidRPr="00521179">
        <w:rPr>
          <w:b/>
          <w:bCs/>
        </w:rPr>
        <w:t>no inherent advantage</w:t>
      </w:r>
      <w:r w:rsidRPr="00521179">
        <w:t xml:space="preserve"> of late over early fusion — early fusion is competitive or superior and scales like a language model. If the framework predicted that early fusion is simply worse, this would refute it. But it does </w:t>
      </w:r>
      <w:r w:rsidRPr="00521179">
        <w:rPr>
          <w:b/>
          <w:bCs/>
        </w:rPr>
        <w:t>not</w:t>
      </w:r>
      <w:r w:rsidRPr="00521179">
        <w:t xml:space="preserve">, because the study measures </w:t>
      </w:r>
      <w:r w:rsidRPr="00521179">
        <w:rPr>
          <w:b/>
          <w:bCs/>
        </w:rPr>
        <w:t>general multimodal cross-entropy</w:t>
      </w:r>
      <w:r w:rsidRPr="00521179">
        <w:t xml:space="preserve"> on caption, interleaved, and text validation sets — overwhelmingly </w:t>
      </w:r>
      <w:r w:rsidRPr="00521179">
        <w:rPr>
          <w:i/>
          <w:iCs/>
        </w:rPr>
        <w:t>semantic</w:t>
      </w:r>
      <w:r w:rsidRPr="00521179">
        <w:t xml:space="preserve"> loss — and P1 explicitly predicts </w:t>
      </w:r>
      <w:r w:rsidRPr="00521179">
        <w:rPr>
          <w:i/>
          <w:iCs/>
        </w:rPr>
        <w:t>no</w:t>
      </w:r>
      <w:r w:rsidRPr="00521179">
        <w:t xml:space="preserve"> early/late gap on semantic tasks. The framework's claim is narrower and is located precisely where this evidence is silent: a residual </w:t>
      </w:r>
      <w:r w:rsidRPr="00521179">
        <w:rPr>
          <w:b/>
          <w:bCs/>
        </w:rPr>
        <w:t>spatial/physical coherence floor</w:t>
      </w:r>
      <w:r w:rsidRPr="00521179">
        <w:t xml:space="preserve"> that persists as the architecture scales and its semantic loss falls. So the scaling result neither confirms nor refutes the thesis; it shows that the question has not yet been tested on the metric that would decide it. The decisive experiment is a spatial/physical-coherence benchmark, not a general loss curve — and the framework stakes itself on early fusion showing a floor there that late injection does not.</w:t>
      </w:r>
    </w:p>
    <w:p w14:paraId="244F307D" w14:textId="77777777" w:rsidR="00521179" w:rsidRPr="00521179" w:rsidRDefault="00521179" w:rsidP="005C033C">
      <w:pPr>
        <w:pStyle w:val="Heading1"/>
      </w:pPr>
      <w:r w:rsidRPr="00521179">
        <w:lastRenderedPageBreak/>
        <w:t>8. Biological substrate [SUP]</w:t>
      </w:r>
    </w:p>
    <w:p w14:paraId="0D03F31F" w14:textId="77777777" w:rsidR="00521179" w:rsidRPr="00521179" w:rsidRDefault="00521179" w:rsidP="00521179">
      <w:pPr>
        <w:jc w:val="both"/>
      </w:pPr>
      <w:r w:rsidRPr="00521179">
        <w:t xml:space="preserve">The hierarchy has a cortical reading, offered as support, not proof. The </w:t>
      </w:r>
      <w:r w:rsidRPr="00521179">
        <w:rPr>
          <w:b/>
          <w:bCs/>
        </w:rPr>
        <w:t>laminar ascent</w:t>
      </w:r>
      <w:r w:rsidRPr="00521179">
        <w:t xml:space="preserve">: granular layer 4 receives feedforward sensory input, supragranular layers 2/3 carry the ascending lift toward more abstract representation, and infragranular layers 5/6 carry the top-down (linguistic/contextual) constraint downward — the anatomy of </w:t>
      </w:r>
      <w:r w:rsidRPr="00521179">
        <w:rPr>
          <w:i/>
          <w:iCs/>
        </w:rPr>
        <w:t>build upward, constrain downward</w:t>
      </w:r>
      <w:r w:rsidRPr="00521179">
        <w:t xml:space="preserve">. </w:t>
      </w:r>
      <w:r w:rsidRPr="00521179">
        <w:rPr>
          <w:b/>
          <w:bCs/>
        </w:rPr>
        <w:t>Myelin sets timing</w:t>
      </w:r>
      <w:r w:rsidRPr="00521179">
        <w:t xml:space="preserve">: conduction delays set by myelination determine which signals arrive together to be tested for agreement — the physical realization of the </w:t>
      </w:r>
      <w:r w:rsidRPr="00521179">
        <w:rPr>
          <w:i/>
          <w:iCs/>
        </w:rPr>
        <w:t>temporal cover</w:t>
      </w:r>
      <w:r w:rsidRPr="00521179">
        <w:t xml:space="preserve"> over which the obstruction is computed. </w:t>
      </w:r>
      <w:r w:rsidRPr="00521179">
        <w:rPr>
          <w:b/>
          <w:bCs/>
        </w:rPr>
        <w:t>Glia set precision</w:t>
      </w:r>
      <w:r w:rsidRPr="00521179">
        <w:t xml:space="preserve">: astrocytic and other slow, diffusive regulation sets the tolerance of the gate — the ε(Π) at which an obstruction counts as non-trivial. And the </w:t>
      </w:r>
      <w:r w:rsidRPr="00521179">
        <w:rPr>
          <w:b/>
          <w:bCs/>
        </w:rPr>
        <w:t>thalamic gate</w:t>
      </w:r>
      <w:r w:rsidRPr="00521179">
        <w:t xml:space="preserve"> (the reticular nucleus with neuromodulatory tone) configures the regime across the three states the companion sleep account derives: waking (externally coupled, strict tolerance), non-REM (decoupled, faithful norm-preserving lift), and REM (internally driven, loose associative lift). These mappings are [SUP]: each rests on established anatomy/physiology read as realizing a piece of the structure, none on a claim that the structure is identical to the biology.</w:t>
      </w:r>
    </w:p>
    <w:p w14:paraId="6B929937" w14:textId="77777777" w:rsidR="00521179" w:rsidRPr="00521179" w:rsidRDefault="00521179" w:rsidP="005C033C">
      <w:pPr>
        <w:pStyle w:val="Heading1"/>
      </w:pPr>
      <w:r w:rsidRPr="00521179">
        <w:t>9. Quarantine: what is named and withheld [HOR]</w:t>
      </w:r>
    </w:p>
    <w:p w14:paraId="720CD295" w14:textId="77777777" w:rsidR="00521179" w:rsidRPr="00521179" w:rsidRDefault="00521179" w:rsidP="00521179">
      <w:pPr>
        <w:jc w:val="both"/>
      </w:pPr>
      <w:r w:rsidRPr="00521179">
        <w:t xml:space="preserve">Two further mathematical structures are visible at the horizon and deliberately </w:t>
      </w:r>
      <w:r w:rsidRPr="00521179">
        <w:rPr>
          <w:b/>
          <w:bCs/>
        </w:rPr>
        <w:t>not</w:t>
      </w:r>
      <w:r w:rsidRPr="00521179">
        <w:t xml:space="preserve"> claimed. Variable-arity binding — a scene composing a varying number of bound objects — has the shape of a </w:t>
      </w:r>
      <w:r w:rsidRPr="00521179">
        <w:rPr>
          <w:b/>
          <w:bCs/>
        </w:rPr>
        <w:t>Fock space</w:t>
      </w:r>
      <w:r w:rsidRPr="00521179">
        <w:t xml:space="preserve"> (a direct sum over particle numbers); and the involution that takes a binding apart, dual to the one that builds it, has the shape of a </w:t>
      </w:r>
      <w:r w:rsidRPr="00521179">
        <w:rPr>
          <w:b/>
          <w:bCs/>
        </w:rPr>
        <w:t>C*-algebra</w:t>
      </w:r>
      <w:r w:rsidRPr="00521179">
        <w:t xml:space="preserve"> operator adjoint. The names are withheld, not used, because neural and representational systems are not yet shown to satisfy these structures' strict licensing conditions — canonical commutation relations for the former, the C*-identity ‖x*x‖ = ‖x‖² for the latter. To invoke them now would be borrowed prestige of exactly the kind this series refuses. They are a research horizon: the structures to test for, not results to assert.</w:t>
      </w:r>
    </w:p>
    <w:p w14:paraId="62B0A098" w14:textId="77777777" w:rsidR="00521179" w:rsidRPr="00521179" w:rsidRDefault="00521179" w:rsidP="005C033C">
      <w:pPr>
        <w:pStyle w:val="Heading1"/>
      </w:pPr>
      <w:r w:rsidRPr="00521179">
        <w:t>Bibliography</w:t>
      </w:r>
    </w:p>
    <w:p w14:paraId="07B38016" w14:textId="77777777" w:rsidR="00521179" w:rsidRPr="00521179" w:rsidRDefault="00521179" w:rsidP="005C033C">
      <w:pPr>
        <w:pStyle w:val="Heading2"/>
      </w:pPr>
      <w:r w:rsidRPr="00521179">
        <w:t>Architectures read in §6–§7 (documented systems).</w:t>
      </w:r>
    </w:p>
    <w:p w14:paraId="0C4575BB" w14:textId="77777777" w:rsidR="00521179" w:rsidRPr="00521179" w:rsidRDefault="00521179" w:rsidP="00521179">
      <w:pPr>
        <w:numPr>
          <w:ilvl w:val="0"/>
          <w:numId w:val="1"/>
        </w:numPr>
        <w:jc w:val="both"/>
      </w:pPr>
      <w:r w:rsidRPr="00521179">
        <w:t xml:space="preserve">Deng, C., et al. (ByteDance Seed) (2025). </w:t>
      </w:r>
      <w:r w:rsidRPr="00521179">
        <w:rPr>
          <w:i/>
          <w:iCs/>
        </w:rPr>
        <w:t>Emerging Properties in Unified Multimodal Pretraining</w:t>
      </w:r>
      <w:r w:rsidRPr="00521179">
        <w:t xml:space="preserve"> (BAGEL). arXiv:2505.14683. (First author Chaorui Deng; unified decoder-only Mixture-of-Transformer-Experts; understanding and generation experts share self-attention in every layer; bottleneck-free early fusion.)</w:t>
      </w:r>
    </w:p>
    <w:p w14:paraId="5FC24114" w14:textId="77777777" w:rsidR="00521179" w:rsidRPr="00521179" w:rsidRDefault="00521179" w:rsidP="00521179">
      <w:pPr>
        <w:numPr>
          <w:ilvl w:val="0"/>
          <w:numId w:val="1"/>
        </w:numPr>
        <w:jc w:val="both"/>
      </w:pPr>
      <w:r w:rsidRPr="00521179">
        <w:t xml:space="preserve">Physical Intelligence (2026). </w:t>
      </w:r>
      <w:r w:rsidRPr="00521179">
        <w:rPr>
          <w:i/>
          <w:iCs/>
        </w:rPr>
        <w:t>π0.7: a Steerable Generalist Robotic Foundation Model with Emergent Capabilities</w:t>
      </w:r>
      <w:r w:rsidRPr="00521179">
        <w:t>. arXiv:2604.15483. (Multimodal conditioning including runtime-generated subgoal images; Knowledge Insulation of the backbone.)</w:t>
      </w:r>
    </w:p>
    <w:p w14:paraId="3A47744F" w14:textId="77777777" w:rsidR="00521179" w:rsidRPr="00521179" w:rsidRDefault="00521179" w:rsidP="00521179">
      <w:pPr>
        <w:numPr>
          <w:ilvl w:val="0"/>
          <w:numId w:val="1"/>
        </w:numPr>
        <w:jc w:val="both"/>
      </w:pPr>
      <w:r w:rsidRPr="00521179">
        <w:t xml:space="preserve">Shukor, M., Fini, E., et al. (Apple / Sorbonne) (2025). </w:t>
      </w:r>
      <w:r w:rsidRPr="00521179">
        <w:rPr>
          <w:i/>
          <w:iCs/>
        </w:rPr>
        <w:t>Scaling Laws for Native Multimodal Models</w:t>
      </w:r>
      <w:r w:rsidRPr="00521179">
        <w:t>. arXiv:2504.07951 (ICCV 2025). (457 models; early fusion competitive with or superior to late fusion on general multimodal cross-entropy.)</w:t>
      </w:r>
    </w:p>
    <w:p w14:paraId="6245BE95" w14:textId="77777777" w:rsidR="00521179" w:rsidRPr="00521179" w:rsidRDefault="00521179" w:rsidP="005C033C">
      <w:pPr>
        <w:pStyle w:val="Heading2"/>
      </w:pPr>
      <w:r w:rsidRPr="00521179">
        <w:t>Companion papers (this series).</w:t>
      </w:r>
    </w:p>
    <w:p w14:paraId="28AD49B3" w14:textId="47A69107" w:rsidR="00521179" w:rsidRPr="00521179" w:rsidRDefault="00521179" w:rsidP="00521179">
      <w:pPr>
        <w:numPr>
          <w:ilvl w:val="0"/>
          <w:numId w:val="2"/>
        </w:numPr>
        <w:jc w:val="both"/>
      </w:pPr>
      <w:r w:rsidRPr="00521179">
        <w:t xml:space="preserve">Ghosh, D. P. </w:t>
      </w:r>
      <w:r w:rsidRPr="00521179">
        <w:rPr>
          <w:i/>
          <w:iCs/>
        </w:rPr>
        <w:t>The Algorithm of the 3→6-Layer Cortex</w:t>
      </w:r>
      <w:r w:rsidRPr="00521179">
        <w:t xml:space="preserve"> (</w:t>
      </w:r>
      <w:hyperlink r:id="rId12" w:history="1">
        <w:r w:rsidR="001372C3" w:rsidRPr="00CE2A80">
          <w:rPr>
            <w:rStyle w:val="Hyperlink"/>
          </w:rPr>
          <w:t>https://doi.org</w:t>
        </w:r>
        <w:r w:rsidR="001372C3" w:rsidRPr="00CE2A80">
          <w:rPr>
            <w:rStyle w:val="Hyperlink"/>
          </w:rPr>
          <w:t>/</w:t>
        </w:r>
        <w:r w:rsidR="001372C3" w:rsidRPr="00CE2A80">
          <w:rPr>
            <w:rStyle w:val="Hyperlink"/>
          </w:rPr>
          <w:t>10.13140/RG.2.2.14232.56328</w:t>
        </w:r>
      </w:hyperlink>
      <w:r w:rsidRPr="00521179">
        <w:t>) — tensor-bound storage, contraction as first-class unbinding, the cup-product (H²) obstruction gate, and the laminar/myelination reading.</w:t>
      </w:r>
    </w:p>
    <w:p w14:paraId="1AF11D44" w14:textId="52D4ECA3" w:rsidR="00521179" w:rsidRPr="00521179" w:rsidRDefault="00521179" w:rsidP="00521179">
      <w:pPr>
        <w:numPr>
          <w:ilvl w:val="0"/>
          <w:numId w:val="2"/>
        </w:numPr>
        <w:jc w:val="both"/>
      </w:pPr>
      <w:r w:rsidRPr="00521179">
        <w:lastRenderedPageBreak/>
        <w:t xml:space="preserve">Ghosh, D. P. </w:t>
      </w:r>
      <w:r w:rsidRPr="00521179">
        <w:rPr>
          <w:i/>
          <w:iCs/>
        </w:rPr>
        <w:t>Dynamic Predictive Gluing (DPG)</w:t>
      </w:r>
      <w:r w:rsidRPr="00521179">
        <w:t xml:space="preserve"> </w:t>
      </w:r>
      <w:hyperlink r:id="rId13" w:history="1">
        <w:r w:rsidR="00DF1930" w:rsidRPr="00CE2A80">
          <w:rPr>
            <w:rStyle w:val="Hyperlink"/>
          </w:rPr>
          <w:t>https://doi.org/10.13140/RG.2.2.19848.99846</w:t>
        </w:r>
      </w:hyperlink>
      <w:r w:rsidR="00DF1930">
        <w:t xml:space="preserve"> </w:t>
      </w:r>
      <w:r w:rsidRPr="00521179">
        <w:t>— the online/offline regimes of coherence maintenance and the prediction-error-as-obstruction identification this paper extends to the multimodal case.</w:t>
      </w:r>
    </w:p>
    <w:p w14:paraId="2EFC66E3" w14:textId="3619531A" w:rsidR="00521179" w:rsidRPr="00521179" w:rsidRDefault="00521179" w:rsidP="00521179">
      <w:pPr>
        <w:numPr>
          <w:ilvl w:val="0"/>
          <w:numId w:val="2"/>
        </w:numPr>
        <w:jc w:val="both"/>
      </w:pPr>
      <w:r w:rsidRPr="00521179">
        <w:t xml:space="preserve">Ghosh, D. P. (2026). </w:t>
      </w:r>
      <w:r w:rsidRPr="00521179">
        <w:rPr>
          <w:i/>
          <w:iCs/>
        </w:rPr>
        <w:t>The Categorical Foundations of the Thermodynamic–Electric Coupling.</w:t>
      </w:r>
      <w:r w:rsidRPr="00521179">
        <w:t xml:space="preserve"> </w:t>
      </w:r>
      <w:hyperlink r:id="rId14" w:history="1">
        <w:r w:rsidR="00DF1930" w:rsidRPr="00CE2A80">
          <w:rPr>
            <w:rStyle w:val="Hyperlink"/>
          </w:rPr>
          <w:t>https://doi.org</w:t>
        </w:r>
        <w:r w:rsidR="00DF1930" w:rsidRPr="00CE2A80">
          <w:rPr>
            <w:rStyle w:val="Hyperlink"/>
          </w:rPr>
          <w:t>/</w:t>
        </w:r>
        <w:r w:rsidR="00DF1930" w:rsidRPr="00CE2A80">
          <w:rPr>
            <w:rStyle w:val="Hyperlink"/>
          </w:rPr>
          <w:t>10.13140/RG.2.2.11096.66566</w:t>
        </w:r>
      </w:hyperlink>
      <w:r w:rsidR="00DF1930">
        <w:t xml:space="preserve"> </w:t>
      </w:r>
      <w:r w:rsidRPr="00521179">
        <w:t>— the gate, the precision tolerance ε(Π), and the regime-setting coupling realized here as the thalamic gate.</w:t>
      </w:r>
    </w:p>
    <w:p w14:paraId="2403DA40" w14:textId="77777777" w:rsidR="00521179" w:rsidRPr="00521179" w:rsidRDefault="00521179" w:rsidP="00521179">
      <w:pPr>
        <w:numPr>
          <w:ilvl w:val="0"/>
          <w:numId w:val="2"/>
        </w:numPr>
        <w:jc w:val="both"/>
      </w:pPr>
      <w:r w:rsidRPr="00521179">
        <w:t xml:space="preserve">Ghosh, D. P. </w:t>
      </w:r>
      <w:r w:rsidRPr="00521179">
        <w:rPr>
          <w:i/>
          <w:iCs/>
        </w:rPr>
        <w:t>The Entorhinal–Hippocampal Confluence: A Normed Substrate, a Separation Operator, and a Fast Inner-Product Attractor.</w:t>
      </w:r>
      <w:r w:rsidRPr="00521179">
        <w:t xml:space="preserve"> — the separation-before-binding precondition and its crosstalk/blackout capacity warrant (the second argument of §3, the fourth commitment of §4, the separate-then-bind of §5); the entorhinal cortex realizing the normed rung of §2.</w:t>
      </w:r>
    </w:p>
    <w:p w14:paraId="42D87D2D" w14:textId="77777777" w:rsidR="00521179" w:rsidRPr="00521179" w:rsidRDefault="00521179" w:rsidP="00521179">
      <w:pPr>
        <w:numPr>
          <w:ilvl w:val="0"/>
          <w:numId w:val="2"/>
        </w:numPr>
        <w:jc w:val="both"/>
      </w:pPr>
      <w:r w:rsidRPr="00521179">
        <w:t xml:space="preserve">Ghosh, D. P. </w:t>
      </w:r>
      <w:r w:rsidRPr="00521179">
        <w:rPr>
          <w:i/>
          <w:iCs/>
        </w:rPr>
        <w:t>The Subthalamic Gate and the Pallidal Hub: The Basal Ganglia as the Metric–Separation Junction.</w:t>
      </w:r>
      <w:r w:rsidRPr="00521179">
        <w:t xml:space="preserve"> — the basal ganglia realizing the metric rung of §2; the metric </w:t>
      </w:r>
      <w:r w:rsidRPr="00521179">
        <w:rPr>
          <w:rFonts w:ascii="Cambria Math" w:hAnsi="Cambria Math" w:cs="Cambria Math"/>
        </w:rPr>
        <w:t>⟹</w:t>
      </w:r>
      <w:r w:rsidRPr="00521179">
        <w:t xml:space="preserve"> T₄ junction whose policing is the separation discipline this paper applies to binding.</w:t>
      </w:r>
    </w:p>
    <w:p w14:paraId="0646FC78" w14:textId="77777777" w:rsidR="00521179" w:rsidRPr="00521179" w:rsidRDefault="00521179" w:rsidP="00521179">
      <w:pPr>
        <w:numPr>
          <w:ilvl w:val="0"/>
          <w:numId w:val="2"/>
        </w:numPr>
        <w:jc w:val="both"/>
      </w:pPr>
      <w:r w:rsidRPr="00521179">
        <w:t xml:space="preserve">Ghosh, D. P. </w:t>
      </w:r>
      <w:r w:rsidRPr="00521179">
        <w:rPr>
          <w:i/>
          <w:iCs/>
        </w:rPr>
        <w:t>The Separation Hierarchy: Axis 3 as the T₀–T₄ ladder.</w:t>
      </w:r>
      <w:r w:rsidRPr="00521179">
        <w:t xml:space="preserve"> — the separation axis on which §4's pre-bind orthogonalization raises operand distinguishability, distinct from the certification the cup-product gate performs.</w:t>
      </w:r>
    </w:p>
    <w:p w14:paraId="6C504841" w14:textId="6498A991" w:rsidR="00521179" w:rsidRPr="00521179" w:rsidRDefault="00521179" w:rsidP="00521179">
      <w:pPr>
        <w:numPr>
          <w:ilvl w:val="0"/>
          <w:numId w:val="2"/>
        </w:numPr>
        <w:jc w:val="both"/>
      </w:pPr>
      <w:r w:rsidRPr="00521179">
        <w:t xml:space="preserve">Ghosh, D. P. (2026). </w:t>
      </w:r>
      <w:r w:rsidRPr="00521179">
        <w:rPr>
          <w:i/>
          <w:iCs/>
        </w:rPr>
        <w:t>Proximity, Uniformity, and Provenance: A Sheaf-Theoretic Reading of the Transformer Block.</w:t>
      </w:r>
      <w:r w:rsidRPr="00521179">
        <w:t xml:space="preserve"> </w:t>
      </w:r>
      <w:hyperlink r:id="rId15" w:history="1">
        <w:r w:rsidR="00DF1930" w:rsidRPr="00CE2A80">
          <w:rPr>
            <w:rStyle w:val="Hyperlink"/>
          </w:rPr>
          <w:t>https://doi.org</w:t>
        </w:r>
        <w:r w:rsidR="00DF1930" w:rsidRPr="00CE2A80">
          <w:rPr>
            <w:rStyle w:val="Hyperlink"/>
          </w:rPr>
          <w:t>/</w:t>
        </w:r>
        <w:r w:rsidR="00DF1930" w:rsidRPr="00CE2A80">
          <w:rPr>
            <w:rStyle w:val="Hyperlink"/>
          </w:rPr>
          <w:t>10.13140/RG.2.2.22726.02889</w:t>
        </w:r>
      </w:hyperlink>
      <w:r w:rsidR="00DF1930">
        <w:t xml:space="preserve"> </w:t>
      </w:r>
      <w:r w:rsidRPr="00521179">
        <w:t>— the architecture-level form of this paper's unconditional-gluing finding (its §6.6 two-withholds reading is the single-stream form of §4's separate-then-certify), and the RoPE-as-cover-modulation reading §2 cites.</w:t>
      </w:r>
    </w:p>
    <w:p w14:paraId="5EF0DC73" w14:textId="77777777" w:rsidR="00521179" w:rsidRPr="00521179" w:rsidRDefault="00521179" w:rsidP="005C033C">
      <w:pPr>
        <w:pStyle w:val="Heading2"/>
      </w:pPr>
      <w:r w:rsidRPr="00521179">
        <w:t>Biological substrate [SUP].</w:t>
      </w:r>
    </w:p>
    <w:p w14:paraId="594604E9" w14:textId="77777777" w:rsidR="00521179" w:rsidRPr="00521179" w:rsidRDefault="00521179" w:rsidP="00521179">
      <w:pPr>
        <w:numPr>
          <w:ilvl w:val="0"/>
          <w:numId w:val="3"/>
        </w:numPr>
        <w:jc w:val="both"/>
      </w:pPr>
      <w:r w:rsidRPr="00521179">
        <w:t xml:space="preserve">Canonical cortical microcircuit and the feedforward/feedback laminar division: Douglas, R. J., &amp; Martin, K. A. C. (2004). Neuronal circuits of the neocortex. </w:t>
      </w:r>
      <w:r w:rsidRPr="00521179">
        <w:rPr>
          <w:i/>
          <w:iCs/>
        </w:rPr>
        <w:t>Annu. Rev. Neurosci.</w:t>
      </w:r>
      <w:r w:rsidRPr="00521179">
        <w:t xml:space="preserve"> 27, 419–451; Felleman, D. J., &amp; Van Essen, D. C. (1991). Distributed hierarchical processing in the primate cerebral cortex. </w:t>
      </w:r>
      <w:r w:rsidRPr="00521179">
        <w:rPr>
          <w:i/>
          <w:iCs/>
        </w:rPr>
        <w:t>Cereb. Cortex</w:t>
      </w:r>
      <w:r w:rsidRPr="00521179">
        <w:t xml:space="preserve"> 1, 1–47.</w:t>
      </w:r>
    </w:p>
    <w:p w14:paraId="6E375661" w14:textId="77777777" w:rsidR="00521179" w:rsidRPr="00521179" w:rsidRDefault="00521179" w:rsidP="00521179">
      <w:pPr>
        <w:numPr>
          <w:ilvl w:val="0"/>
          <w:numId w:val="3"/>
        </w:numPr>
        <w:jc w:val="both"/>
      </w:pPr>
      <w:r w:rsidRPr="00521179">
        <w:t xml:space="preserve">Cortical uniformity / the canonical-microcircuit hypothesis underwriting §5 (the isotropic substrate), cited as an influential hypothesis whose strong "identical algorithm" form is contested: Mountcastle, V. B. (1978). An organizing principle for cerebral function: the unit module and the distributed system; Mountcastle, V. B. (1997). The columnar organization of the neocortex. </w:t>
      </w:r>
      <w:r w:rsidRPr="00521179">
        <w:rPr>
          <w:i/>
          <w:iCs/>
        </w:rPr>
        <w:t>Brain</w:t>
      </w:r>
      <w:r w:rsidRPr="00521179">
        <w:t xml:space="preserve"> 120, 701–722.</w:t>
      </w:r>
    </w:p>
    <w:p w14:paraId="5BF9AB1E" w14:textId="77777777" w:rsidR="00521179" w:rsidRPr="00521179" w:rsidRDefault="00521179" w:rsidP="00521179">
      <w:pPr>
        <w:numPr>
          <w:ilvl w:val="0"/>
          <w:numId w:val="3"/>
        </w:numPr>
        <w:jc w:val="both"/>
      </w:pPr>
      <w:r w:rsidRPr="00521179">
        <w:t>Myelination and conduction-delay-set timing; astrocytic slow modulation of synaptic transmission and gain (standard neurophysiology).</w:t>
      </w:r>
    </w:p>
    <w:p w14:paraId="14267CB0" w14:textId="77777777" w:rsidR="00521179" w:rsidRPr="00521179" w:rsidRDefault="00521179" w:rsidP="00521179">
      <w:pPr>
        <w:numPr>
          <w:ilvl w:val="0"/>
          <w:numId w:val="3"/>
        </w:numPr>
        <w:jc w:val="both"/>
      </w:pPr>
      <w:r w:rsidRPr="00521179">
        <w:t>Thalamic reticular nucleus as the gate of thalamocortical transmission across arousal states (standard; see the companion sleep account for the three-regime derivation).</w:t>
      </w:r>
    </w:p>
    <w:p w14:paraId="69B220A8" w14:textId="2D1C2842" w:rsidR="00DC1523" w:rsidRDefault="00DC1523" w:rsidP="00521179">
      <w:pPr>
        <w:jc w:val="both"/>
      </w:pPr>
    </w:p>
    <w:sectPr w:rsidR="00DC1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62E2"/>
    <w:multiLevelType w:val="multilevel"/>
    <w:tmpl w:val="7F4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C26BF"/>
    <w:multiLevelType w:val="multilevel"/>
    <w:tmpl w:val="701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834FF"/>
    <w:multiLevelType w:val="multilevel"/>
    <w:tmpl w:val="C3A4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942448">
    <w:abstractNumId w:val="2"/>
  </w:num>
  <w:num w:numId="2" w16cid:durableId="1454906367">
    <w:abstractNumId w:val="0"/>
  </w:num>
  <w:num w:numId="3" w16cid:durableId="568927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165"/>
    <w:rsid w:val="001372C3"/>
    <w:rsid w:val="001C269B"/>
    <w:rsid w:val="002C3F9C"/>
    <w:rsid w:val="002D6958"/>
    <w:rsid w:val="003F3FDA"/>
    <w:rsid w:val="00521179"/>
    <w:rsid w:val="005C033C"/>
    <w:rsid w:val="008B08B7"/>
    <w:rsid w:val="00997E89"/>
    <w:rsid w:val="009A0165"/>
    <w:rsid w:val="00C24516"/>
    <w:rsid w:val="00DC1523"/>
    <w:rsid w:val="00DF1930"/>
    <w:rsid w:val="00F008CA"/>
    <w:rsid w:val="00F404C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147D6"/>
  <w15:chartTrackingRefBased/>
  <w15:docId w15:val="{6CC436CE-65D7-40B7-9EFC-5A09C7713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0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0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165"/>
    <w:rPr>
      <w:rFonts w:eastAsiaTheme="majorEastAsia" w:cstheme="majorBidi"/>
      <w:color w:val="272727" w:themeColor="text1" w:themeTint="D8"/>
    </w:rPr>
  </w:style>
  <w:style w:type="paragraph" w:styleId="Title">
    <w:name w:val="Title"/>
    <w:basedOn w:val="Normal"/>
    <w:next w:val="Normal"/>
    <w:link w:val="TitleChar"/>
    <w:uiPriority w:val="10"/>
    <w:qFormat/>
    <w:rsid w:val="009A0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165"/>
    <w:pPr>
      <w:spacing w:before="160"/>
      <w:jc w:val="center"/>
    </w:pPr>
    <w:rPr>
      <w:i/>
      <w:iCs/>
      <w:color w:val="404040" w:themeColor="text1" w:themeTint="BF"/>
    </w:rPr>
  </w:style>
  <w:style w:type="character" w:customStyle="1" w:styleId="QuoteChar">
    <w:name w:val="Quote Char"/>
    <w:basedOn w:val="DefaultParagraphFont"/>
    <w:link w:val="Quote"/>
    <w:uiPriority w:val="29"/>
    <w:rsid w:val="009A0165"/>
    <w:rPr>
      <w:i/>
      <w:iCs/>
      <w:color w:val="404040" w:themeColor="text1" w:themeTint="BF"/>
    </w:rPr>
  </w:style>
  <w:style w:type="paragraph" w:styleId="ListParagraph">
    <w:name w:val="List Paragraph"/>
    <w:basedOn w:val="Normal"/>
    <w:uiPriority w:val="34"/>
    <w:qFormat/>
    <w:rsid w:val="009A0165"/>
    <w:pPr>
      <w:ind w:left="720"/>
      <w:contextualSpacing/>
    </w:pPr>
  </w:style>
  <w:style w:type="character" w:styleId="IntenseEmphasis">
    <w:name w:val="Intense Emphasis"/>
    <w:basedOn w:val="DefaultParagraphFont"/>
    <w:uiPriority w:val="21"/>
    <w:qFormat/>
    <w:rsid w:val="009A0165"/>
    <w:rPr>
      <w:i/>
      <w:iCs/>
      <w:color w:val="2F5496" w:themeColor="accent1" w:themeShade="BF"/>
    </w:rPr>
  </w:style>
  <w:style w:type="paragraph" w:styleId="IntenseQuote">
    <w:name w:val="Intense Quote"/>
    <w:basedOn w:val="Normal"/>
    <w:next w:val="Normal"/>
    <w:link w:val="IntenseQuoteChar"/>
    <w:uiPriority w:val="30"/>
    <w:qFormat/>
    <w:rsid w:val="009A0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165"/>
    <w:rPr>
      <w:i/>
      <w:iCs/>
      <w:color w:val="2F5496" w:themeColor="accent1" w:themeShade="BF"/>
    </w:rPr>
  </w:style>
  <w:style w:type="character" w:styleId="IntenseReference">
    <w:name w:val="Intense Reference"/>
    <w:basedOn w:val="DefaultParagraphFont"/>
    <w:uiPriority w:val="32"/>
    <w:qFormat/>
    <w:rsid w:val="009A0165"/>
    <w:rPr>
      <w:b/>
      <w:bCs/>
      <w:smallCaps/>
      <w:color w:val="2F5496" w:themeColor="accent1" w:themeShade="BF"/>
      <w:spacing w:val="5"/>
    </w:rPr>
  </w:style>
  <w:style w:type="character" w:styleId="Hyperlink">
    <w:name w:val="Hyperlink"/>
    <w:basedOn w:val="DefaultParagraphFont"/>
    <w:uiPriority w:val="99"/>
    <w:unhideWhenUsed/>
    <w:rsid w:val="00521179"/>
    <w:rPr>
      <w:color w:val="0563C1" w:themeColor="hyperlink"/>
      <w:u w:val="single"/>
    </w:rPr>
  </w:style>
  <w:style w:type="character" w:styleId="UnresolvedMention">
    <w:name w:val="Unresolved Mention"/>
    <w:basedOn w:val="DefaultParagraphFont"/>
    <w:uiPriority w:val="99"/>
    <w:semiHidden/>
    <w:unhideWhenUsed/>
    <w:rsid w:val="00521179"/>
    <w:rPr>
      <w:color w:val="605E5C"/>
      <w:shd w:val="clear" w:color="auto" w:fill="E1DFDD"/>
    </w:rPr>
  </w:style>
  <w:style w:type="character" w:styleId="FollowedHyperlink">
    <w:name w:val="FollowedHyperlink"/>
    <w:basedOn w:val="DefaultParagraphFont"/>
    <w:uiPriority w:val="99"/>
    <w:semiHidden/>
    <w:unhideWhenUsed/>
    <w:rsid w:val="002D69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34889.51044" TargetMode="External"/><Relationship Id="rId13" Type="http://schemas.openxmlformats.org/officeDocument/2006/relationships/hyperlink" Target="https://doi.org/10.13140/RG.2.2.19848.9984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140/RG.2.2.14232.5632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cid.org/0000-0001-7393-2907" TargetMode="External"/><Relationship Id="rId11" Type="http://schemas.openxmlformats.org/officeDocument/2006/relationships/hyperlink" Target="https://doi.org/10.13140/RG.2.2.11096.66566" TargetMode="External"/><Relationship Id="rId5" Type="http://schemas.openxmlformats.org/officeDocument/2006/relationships/hyperlink" Target="mailto:debiprasadghosh@lntecc.com" TargetMode="External"/><Relationship Id="rId15" Type="http://schemas.openxmlformats.org/officeDocument/2006/relationships/hyperlink" Target="https://doi.org/10.13140/RG.2.2.22726.02889" TargetMode="External"/><Relationship Id="rId10" Type="http://schemas.openxmlformats.org/officeDocument/2006/relationships/hyperlink" Target="https://doi.org/10.13140/RG.2.2.14232.56328" TargetMode="External"/><Relationship Id="rId4" Type="http://schemas.openxmlformats.org/officeDocument/2006/relationships/webSettings" Target="webSettings.xml"/><Relationship Id="rId9" Type="http://schemas.openxmlformats.org/officeDocument/2006/relationships/hyperlink" Target="https://doi.org/10.13140/RG.2.2.19848.99846" TargetMode="External"/><Relationship Id="rId14" Type="http://schemas.openxmlformats.org/officeDocument/2006/relationships/hyperlink" Target="https://doi.org/10.13140/RG.2.2.11096.66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4259</Words>
  <Characters>24278</Characters>
  <Application>Microsoft Office Word</Application>
  <DocSecurity>0</DocSecurity>
  <Lines>202</Lines>
  <Paragraphs>56</Paragraphs>
  <ScaleCrop>false</ScaleCrop>
  <Company/>
  <LinksUpToDate>false</LinksUpToDate>
  <CharactersWithSpaces>28481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10</cp:revision>
  <cp:lastPrinted>2026-06-17T02:02:00Z</cp:lastPrinted>
  <dcterms:created xsi:type="dcterms:W3CDTF">2026-06-17T01:42:00Z</dcterms:created>
  <dcterms:modified xsi:type="dcterms:W3CDTF">2026-06-17T02:05:00Z</dcterms:modified>
</cp:coreProperties>
</file>