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8E4C" w14:textId="77777777" w:rsidR="0029497D" w:rsidRPr="006B4CC5" w:rsidRDefault="0029497D" w:rsidP="0029497D">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w:t>
      </w:r>
      <w:r w:rsidRPr="006B4CC5">
        <w:rPr>
          <w:rFonts w:asciiTheme="minorHAnsi" w:hAnsiTheme="minorHAnsi"/>
          <w:sz w:val="22"/>
          <w:szCs w:val="22"/>
        </w:rPr>
        <w:t xml:space="preserve"> </w:t>
      </w:r>
      <w:r>
        <w:rPr>
          <w:rFonts w:asciiTheme="minorHAnsi" w:hAnsiTheme="minorHAnsi"/>
          <w:sz w:val="22"/>
          <w:szCs w:val="22"/>
        </w:rPr>
        <w:t>14</w:t>
      </w:r>
      <w:r w:rsidRPr="006B4CC5">
        <w:rPr>
          <w:rFonts w:asciiTheme="minorHAnsi" w:hAnsiTheme="minorHAnsi"/>
          <w:sz w:val="22"/>
          <w:szCs w:val="22"/>
        </w:rPr>
        <w:t>, 202</w:t>
      </w:r>
      <w:r>
        <w:rPr>
          <w:rFonts w:asciiTheme="minorHAnsi" w:hAnsiTheme="minorHAnsi"/>
          <w:sz w:val="22"/>
          <w:szCs w:val="22"/>
        </w:rPr>
        <w:t xml:space="preserve">6; </w:t>
      </w:r>
    </w:p>
    <w:p w14:paraId="54341C22" w14:textId="6C6A41F1" w:rsidR="0029497D" w:rsidRDefault="0029497D" w:rsidP="0029497D">
      <w:pPr>
        <w:pStyle w:val="Title"/>
        <w:jc w:val="center"/>
        <w:rPr>
          <w:sz w:val="52"/>
          <w:szCs w:val="52"/>
        </w:rPr>
      </w:pPr>
      <w:r w:rsidRPr="0029497D">
        <w:rPr>
          <w:sz w:val="52"/>
          <w:szCs w:val="52"/>
        </w:rPr>
        <w:t>The Proximity Floor</w:t>
      </w:r>
      <w:r w:rsidRPr="0029497D">
        <w:rPr>
          <w:sz w:val="52"/>
          <w:szCs w:val="52"/>
        </w:rPr>
        <w:t xml:space="preserve">: </w:t>
      </w:r>
      <w:r w:rsidRPr="0029497D">
        <w:rPr>
          <w:sz w:val="52"/>
          <w:szCs w:val="52"/>
        </w:rPr>
        <w:t>The Reticular Formation, the Ground Adjunction, and the Arousal Melt</w:t>
      </w:r>
    </w:p>
    <w:p w14:paraId="7597BCF0" w14:textId="77777777" w:rsidR="0029497D" w:rsidRDefault="0029497D" w:rsidP="0029497D">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1CF7D1E1" wp14:editId="6A3B6AA5">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59383334" w14:textId="6CE81D21" w:rsidR="0029497D" w:rsidRPr="006B4CC5" w:rsidRDefault="0029497D" w:rsidP="0029497D">
      <w:pPr>
        <w:jc w:val="center"/>
      </w:pPr>
      <w:r>
        <w:t>CTO, AI &amp;</w:t>
      </w:r>
      <w:r w:rsidRPr="006B4CC5">
        <w:t xml:space="preserve"> Automation</w:t>
      </w:r>
    </w:p>
    <w:p w14:paraId="5C114102" w14:textId="77777777" w:rsidR="0029497D" w:rsidRDefault="0029497D" w:rsidP="0029497D">
      <w:pPr>
        <w:tabs>
          <w:tab w:val="center" w:pos="4513"/>
          <w:tab w:val="right" w:pos="9026"/>
        </w:tabs>
      </w:pPr>
      <w:r>
        <w:tab/>
      </w:r>
      <w:r w:rsidRPr="00F5609C">
        <w:t>Engineering Design &amp; Research Center, Larsen &amp; Toubro Construction (M&amp;M) Kolkata, India</w:t>
      </w:r>
    </w:p>
    <w:p w14:paraId="5335986A" w14:textId="163EE407" w:rsidR="0029497D" w:rsidRDefault="00527830" w:rsidP="0029497D">
      <w:pPr>
        <w:jc w:val="center"/>
        <w:rPr>
          <w:b/>
          <w:bCs/>
        </w:rPr>
      </w:pPr>
      <w:hyperlink r:id="rId8" w:history="1">
        <w:r w:rsidRPr="000F6E42">
          <w:rPr>
            <w:rStyle w:val="Hyperlink"/>
            <w:b/>
            <w:bCs/>
          </w:rPr>
          <w:t>https://doi.org/10.13140/RG.2.2.20333.96488</w:t>
        </w:r>
      </w:hyperlink>
      <w:r>
        <w:rPr>
          <w:b/>
          <w:bCs/>
        </w:rPr>
        <w:t xml:space="preserve"> </w:t>
      </w:r>
    </w:p>
    <w:p w14:paraId="1BC3D7BF" w14:textId="3B2FCF67" w:rsidR="0029497D" w:rsidRDefault="0029497D" w:rsidP="0029497D">
      <w:pPr>
        <w:jc w:val="both"/>
      </w:pPr>
      <w:r w:rsidRPr="0029497D">
        <w:rPr>
          <w:b/>
          <w:bCs/>
        </w:rPr>
        <w:t>Abstract</w:t>
      </w:r>
      <w:r>
        <w:rPr>
          <w:b/>
          <w:bCs/>
        </w:rPr>
        <w:t xml:space="preserve">: </w:t>
      </w:r>
      <w:r w:rsidRPr="0029497D">
        <w:t xml:space="preserve">The reticular formation (RF) is the diffuse, isodendritic core of the brainstem that sets arousal, gates sleep and waking, and broadcasts a flood of neuromodulators to the entire cortex. We argue it occupies the proximity floor of the enrichment ladder — the rung that carries a bare nearness relation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00963839">
        <w:rPr>
          <w:rFonts w:eastAsiaTheme="minorEastAsia"/>
        </w:rPr>
        <w:t xml:space="preserve"> </w:t>
      </w:r>
      <w:r w:rsidRPr="0029497D">
        <w:t xml:space="preserve">but no graded entourages, hence no transition maps, hence no computable obstruction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29497D">
        <w:t xml:space="preserve">. Two results follow. First, the coupling between the thermodynamic axis and the electric one, which at the uniform rung and above is the tolerance-filtration adjunction </w:t>
      </w:r>
      <m:oMath>
        <m:r>
          <w:rPr>
            <w:rFonts w:ascii="Cambria Math" w:hAnsi="Cambria Math"/>
          </w:rPr>
          <m:t>F⊣G</m:t>
        </m:r>
      </m:oMath>
      <w:r w:rsidRPr="0029497D">
        <w:t xml:space="preserve">of Paper 2, cannot take that form at the proximity floor because </w:t>
      </w:r>
      <m:oMath>
        <m:r>
          <w:rPr>
            <w:rFonts w:ascii="Cambria Math" w:hAnsi="Cambria Math"/>
          </w:rPr>
          <m:t>F⊣G</m:t>
        </m:r>
      </m:oMath>
      <w:r w:rsidRPr="0029497D">
        <w:t xml:space="preserve">presupposes the very descent structure the floor lacks. What exists there instead is a ground adjunction: a degenerate, threshold Galois connection between the arousal magnitude and the two-element connection lattice, which decides only </w:t>
      </w:r>
      <w:r w:rsidRPr="00963839">
        <w:rPr>
          <w:b/>
          <w:bCs/>
        </w:rPr>
        <w:t>connected or severed</w:t>
      </w:r>
      <w:r w:rsidRPr="0029497D">
        <w:t xml:space="preserve"> — and which, precisely because it is degenerate, is foundational: it boots up the system into the regime where the richer coupling can run. We make the cross-layer claim a proposition: the precision tolerance </w:t>
      </w:r>
      <m:oMath>
        <m:r>
          <w:rPr>
            <w:rFonts w:ascii="Cambria Math" w:hAnsi="Cambria Math"/>
          </w:rPr>
          <m:t>ε(</m:t>
        </m:r>
        <m:r>
          <m:rPr>
            <m:sty m:val="p"/>
          </m:rPr>
          <w:rPr>
            <w:rFonts w:ascii="Cambria Math" w:hAnsi="Cambria Math"/>
          </w:rPr>
          <m:t>Π</m:t>
        </m:r>
        <m:r>
          <w:rPr>
            <w:rFonts w:ascii="Cambria Math" w:hAnsi="Cambria Math"/>
          </w:rPr>
          <m:t>)</m:t>
        </m:r>
      </m:oMath>
      <w:r w:rsidR="00963839">
        <w:rPr>
          <w:rFonts w:eastAsiaTheme="minorEastAsia"/>
        </w:rPr>
        <w:t xml:space="preserve"> </w:t>
      </w:r>
      <w:r w:rsidRPr="0029497D">
        <w:t xml:space="preserve">is born at the proximity floor as a broadcast magnitude and consumed at the uniform rung as an entourage size, with the assignment </w:t>
      </w:r>
      <m:oMath>
        <m:r>
          <m:rPr>
            <m:sty m:val="p"/>
          </m:rPr>
          <w:rPr>
            <w:rFonts w:ascii="Cambria Math" w:hAnsi="Cambria Math"/>
          </w:rPr>
          <m:t>Π</m:t>
        </m:r>
        <m:r>
          <w:rPr>
            <w:rFonts w:ascii="Cambria Math" w:hAnsi="Cambria Math"/>
          </w:rPr>
          <m:t>↦ε(</m:t>
        </m:r>
        <m:r>
          <m:rPr>
            <m:sty m:val="p"/>
          </m:rPr>
          <w:rPr>
            <w:rFonts w:ascii="Cambria Math" w:hAnsi="Cambria Math"/>
          </w:rPr>
          <m:t>Π</m:t>
        </m:r>
        <m:r>
          <w:rPr>
            <w:rFonts w:ascii="Cambria Math" w:hAnsi="Cambria Math"/>
          </w:rPr>
          <m:t>)</m:t>
        </m:r>
      </m:oMath>
      <w:r w:rsidR="00963839">
        <w:rPr>
          <w:rFonts w:eastAsiaTheme="minorEastAsia"/>
        </w:rPr>
        <w:t xml:space="preserve"> </w:t>
      </w:r>
      <w:r w:rsidRPr="0029497D">
        <w:t xml:space="preserve">a rung-dependent readout of the neuromodulator vector — </w:t>
      </w:r>
      <w:r w:rsidRPr="00963839">
        <w:rPr>
          <w:b/>
          <w:bCs/>
        </w:rPr>
        <w:t>not</w:t>
      </w:r>
      <w:r w:rsidRPr="0029497D">
        <w:t xml:space="preserve"> a norm-collapse, because the neuromodulators carry distinct roles that fear and focus must not be allowed to merge. Second, we define the arousal melt </w:t>
      </w:r>
      <m:oMath>
        <m:sSub>
          <m:sSubPr>
            <m:ctrlPr>
              <w:rPr>
                <w:rFonts w:ascii="Cambria Math" w:hAnsi="Cambria Math"/>
              </w:rPr>
            </m:ctrlPr>
          </m:sSubPr>
          <m:e>
            <m:r>
              <w:rPr>
                <w:rFonts w:ascii="Cambria Math" w:hAnsi="Cambria Math"/>
              </w:rPr>
              <m:t>μ</m:t>
            </m:r>
          </m:e>
          <m:sub>
            <m:r>
              <m:rPr>
                <m:nor/>
              </m:rPr>
              <m:t>arousal</m:t>
            </m:r>
          </m:sub>
        </m:sSub>
      </m:oMath>
      <w:r w:rsidRPr="0029497D">
        <w:t xml:space="preserve">: a free descent that forgets all higher structure and drops the system to the proximity floor. Pain is its canonical biological instance, and the anatomy is exact — the spinoreticular tract (older, non-somatotopic, affective/arousing) carries the melt to the RF, while the spinothalamic tract carries graded discriminative coordinates separately up to cortex. Because the melt drops the system </w:t>
      </w:r>
      <w:r w:rsidRPr="00B57C8F">
        <w:rPr>
          <w:b/>
          <w:bCs/>
        </w:rPr>
        <w:t>below the descent prerequisite</w:t>
      </w:r>
      <w:r w:rsidRPr="0029497D">
        <w:t xml:space="preserve">, the filtration coupling and the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rsidRPr="0029497D">
        <w:t>gate become locally undefined: "you cannot reason your way out of raw pain or panic" is then a precise statement, not a metaphor. We close with the engineering reading: a defensible agent needs an unmaskable arousal interrupt outside its learning loop — a safety floor the cortex's gradient cannot override — that drops it to a bounded, recoverable state.</w:t>
      </w:r>
    </w:p>
    <w:p w14:paraId="0BE71AAB" w14:textId="3BF6CCA4" w:rsidR="0029497D" w:rsidRPr="0029497D" w:rsidRDefault="0029497D" w:rsidP="0029497D">
      <w:pPr>
        <w:jc w:val="both"/>
      </w:pPr>
      <w:r w:rsidRPr="0029497D">
        <w:rPr>
          <w:i/>
          <w:iCs/>
        </w:rPr>
        <w:t xml:space="preserve">Part of the Defensible Intelligence program. This paper places the brainstem reticular formation at the proximity floor of the enrichment ladder and works out the two consequences that placement forces: a primitive </w:t>
      </w:r>
      <w:r w:rsidRPr="0029497D">
        <w:rPr>
          <w:b/>
          <w:bCs/>
          <w:i/>
          <w:iCs/>
        </w:rPr>
        <w:t>ground adjunction</w:t>
      </w:r>
      <w:r w:rsidRPr="0029497D">
        <w:rPr>
          <w:i/>
          <w:iCs/>
        </w:rPr>
        <w:t xml:space="preserve"> that boots up the higher coupling, and an </w:t>
      </w:r>
      <w:r w:rsidRPr="0029497D">
        <w:rPr>
          <w:b/>
          <w:bCs/>
          <w:i/>
          <w:iCs/>
        </w:rPr>
        <w:t>arousal melt</w:t>
      </w:r>
      <w:r w:rsidRPr="0029497D">
        <w:rPr>
          <w:i/>
          <w:iCs/>
        </w:rPr>
        <w:t xml:space="preserve"> operator that drops the system to the floor below the rung at which reasoning is defined. The proximity mathematics and the descent-prerequisite are load-bearing; the reticular identifications are supported by tract-level neuroanatomy; the engineering bridge is a candidate design principle. Tiers: </w:t>
      </w:r>
      <w:r w:rsidRPr="0029497D">
        <w:rPr>
          <w:b/>
          <w:bCs/>
          <w:i/>
          <w:iCs/>
        </w:rPr>
        <w:t>[LB]</w:t>
      </w:r>
      <w:r w:rsidRPr="0029497D">
        <w:rPr>
          <w:i/>
          <w:iCs/>
        </w:rPr>
        <w:t xml:space="preserve"> load-bearing mathematics; </w:t>
      </w:r>
      <w:r w:rsidRPr="0029497D">
        <w:rPr>
          <w:b/>
          <w:bCs/>
          <w:i/>
          <w:iCs/>
        </w:rPr>
        <w:t>[SUP]</w:t>
      </w:r>
      <w:r w:rsidRPr="0029497D">
        <w:rPr>
          <w:i/>
          <w:iCs/>
        </w:rPr>
        <w:t xml:space="preserve"> cited physiology; </w:t>
      </w:r>
      <w:r w:rsidRPr="0029497D">
        <w:rPr>
          <w:b/>
          <w:bCs/>
          <w:i/>
          <w:iCs/>
        </w:rPr>
        <w:t>[CAND]</w:t>
      </w:r>
      <w:r w:rsidRPr="0029497D">
        <w:rPr>
          <w:i/>
          <w:iCs/>
        </w:rPr>
        <w:t xml:space="preserve"> falsifiable candidate or structural isomorphism; </w:t>
      </w:r>
      <w:r w:rsidRPr="0029497D">
        <w:rPr>
          <w:b/>
          <w:bCs/>
          <w:i/>
          <w:iCs/>
        </w:rPr>
        <w:t>[HOR]</w:t>
      </w:r>
      <w:r w:rsidRPr="0029497D">
        <w:rPr>
          <w:i/>
          <w:iCs/>
        </w:rPr>
        <w:t xml:space="preserve"> quarantined.</w:t>
      </w:r>
    </w:p>
    <w:p w14:paraId="66D2E958" w14:textId="77777777" w:rsidR="0029497D" w:rsidRPr="0029497D" w:rsidRDefault="0029497D" w:rsidP="0029497D">
      <w:pPr>
        <w:pStyle w:val="Heading1"/>
      </w:pPr>
      <w:r w:rsidRPr="0029497D">
        <w:lastRenderedPageBreak/>
        <w:t>1. The proximity floor</w:t>
      </w:r>
    </w:p>
    <w:p w14:paraId="444EBAB9" w14:textId="015DD96D" w:rsidR="0029497D" w:rsidRPr="0029497D" w:rsidRDefault="0029497D" w:rsidP="0029497D">
      <w:pPr>
        <w:jc w:val="both"/>
      </w:pPr>
      <w:r w:rsidRPr="0029497D">
        <w:t xml:space="preserve">A proximity space (Efremovič) carries one relation,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w:t>
      </w:r>
      <m:oMath>
        <m:r>
          <w:rPr>
            <w:rFonts w:ascii="Cambria Math" w:hAnsi="Cambria Math"/>
          </w:rPr>
          <m:t>A</m:t>
        </m:r>
      </m:oMath>
      <w:r w:rsidRPr="0029497D">
        <w:t xml:space="preserve"> is near </w:t>
      </w:r>
      <m:oMath>
        <m:r>
          <w:rPr>
            <w:rFonts w:ascii="Cambria Math" w:hAnsi="Cambria Math"/>
          </w:rPr>
          <m:t>B</m:t>
        </m:r>
      </m:oMath>
      <w:r w:rsidRPr="0029497D">
        <w:t xml:space="preserve">"), and sits strictly between topology and uniformity: a uniformity induces a proximity, a proximity induces a topology. Its decisive feature is what it lacks — graded entourages. Nearness is bare: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 xml:space="preserve">or not, with no "how near." With no graded entourages there are no structured transition maps, hence no Čech cocycle, hence no computable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29497D">
        <w:t xml:space="preserve"> `[LB]`. At the proximity rung the obstruction machinery is not weak but *undefined*; there is nothing for a cocycle test to act on.</w:t>
      </w:r>
    </w:p>
    <w:p w14:paraId="1B5E1850" w14:textId="08156DB9" w:rsidR="0029497D" w:rsidRPr="0029497D" w:rsidRDefault="0029497D" w:rsidP="0029497D">
      <w:pPr>
        <w:jc w:val="both"/>
      </w:pPr>
      <w:r w:rsidRPr="0029497D">
        <w:t xml:space="preserve">This fixes the RF at the floor of the structured ladder, and the anatomy is consonant `[SUP]`: the RF is "not a separate anatomic structure" but a diffuse isodendritic web whose axons "travel toward the entire cerebral cortex and downstream to the spinal cord," and its nuclei "lack somatotopic organization" — it establishes a global *nearness* web, not a metric, a basis, or a cover. Its physiology is the physiology of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 xml:space="preserve">: the ascending reticular activating system establishes proximity between brain and world (waking: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 xml:space="preserve">) or severs it (deep sleep: </w:t>
      </w:r>
      <m:oMath>
        <m:r>
          <w:rPr>
            <w:rFonts w:ascii="Cambria Math" w:hAnsi="Cambria Math"/>
          </w:rPr>
          <m:t>A</m:t>
        </m:r>
        <m:r>
          <m:rPr>
            <m:nor/>
          </m:rPr>
          <m:t> </m:t>
        </m:r>
        <m:r>
          <m:rPr>
            <m:sty m:val="p"/>
          </m:rPr>
          <w:rPr>
            <w:rFonts w:ascii="Cambria Math" w:hAnsi="Cambria Math"/>
          </w:rPr>
          <m:t>δ̸</m:t>
        </m:r>
        <m:r>
          <m:rPr>
            <m:nor/>
          </m:rPr>
          <m:t> </m:t>
        </m:r>
        <m:r>
          <w:rPr>
            <w:rFonts w:ascii="Cambria Math" w:hAnsi="Cambria Math"/>
          </w:rPr>
          <m:t>B</m:t>
        </m:r>
      </m:oMath>
      <w:r w:rsidRPr="0029497D">
        <w:t>), and the reticulospinal tracts supply the fluid baseline of muscle tone from which the cerebellum later carves bounded steps.</w:t>
      </w:r>
    </w:p>
    <w:p w14:paraId="03D76505" w14:textId="20FA1614" w:rsidR="0029497D" w:rsidRPr="0029497D" w:rsidRDefault="0029497D" w:rsidP="0029497D">
      <w:pPr>
        <w:jc w:val="both"/>
      </w:pPr>
      <w:r w:rsidRPr="0029497D">
        <w:t>The rung below is not nothing — it is coma, correctly described. The topological rung beneath proximity is *local connection without global nearness*. Clinically this is exact: in coma and deep anesthesia the global proximity web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 xml:space="preserve"> between brain and environment) is severed, yet local topological reflexes persist — the pupillary light reflex, corneal and gag reflexes, isolated brainstem and spinal arcs. Coma does not abolish connection; it abolishes *global nearness*, reducing the system to isolated topological islands. So the bottom of the ladder reads cleanly: proximity (RF, global arousal) one rung above topological (local reflex islands, coma) `[CAND, sharpened]`.</w:t>
      </w:r>
    </w:p>
    <w:p w14:paraId="794B2DE1" w14:textId="77777777" w:rsidR="0029497D" w:rsidRPr="0029497D" w:rsidRDefault="0029497D" w:rsidP="0029497D">
      <w:pPr>
        <w:jc w:val="both"/>
      </w:pPr>
      <w:r w:rsidRPr="0029497D">
        <w:rPr>
          <w:b/>
          <w:bCs/>
        </w:rPr>
        <w:t>One idealization, flagged and used.</w:t>
      </w:r>
      <w:r w:rsidRPr="0029497D">
        <w:t xml:space="preserve"> The RF is not purely proximity: arousal is graded and the RF contains organized nuclei (raphe, LC, PPT). The resolution is not to abandon the placement but to read the gradation as belonging to a </w:t>
      </w:r>
      <w:r w:rsidRPr="0029497D">
        <w:rPr>
          <w:i/>
          <w:iCs/>
        </w:rPr>
        <w:t>different axis</w:t>
      </w:r>
      <w:r w:rsidRPr="0029497D">
        <w:t xml:space="preserve"> — the coupled scalar of §2–3 — riding on the binary nearness relation, not inside it. The RF's </w:t>
      </w:r>
      <w:r w:rsidRPr="0029497D">
        <w:rPr>
          <w:i/>
          <w:iCs/>
        </w:rPr>
        <w:t>connection</w:t>
      </w:r>
      <w:r w:rsidRPr="0029497D">
        <w:t xml:space="preserve"> structure is proximity; its </w:t>
      </w:r>
      <w:r w:rsidRPr="0029497D">
        <w:rPr>
          <w:i/>
          <w:iCs/>
        </w:rPr>
        <w:t>gradation</w:t>
      </w:r>
      <w:r w:rsidRPr="0029497D">
        <w:t xml:space="preserve"> is the thermodynamic magnitude coupled to it.</w:t>
      </w:r>
    </w:p>
    <w:p w14:paraId="542C125D" w14:textId="77777777" w:rsidR="0029497D" w:rsidRPr="0029497D" w:rsidRDefault="0029497D" w:rsidP="0029497D">
      <w:pPr>
        <w:pStyle w:val="Heading1"/>
      </w:pPr>
      <w:r w:rsidRPr="0029497D">
        <w:t>2. The ground adjunction</w:t>
      </w:r>
    </w:p>
    <w:p w14:paraId="39C95CEA" w14:textId="3A237E2C" w:rsidR="0029497D" w:rsidRPr="0029497D" w:rsidRDefault="0029497D" w:rsidP="0029497D">
      <w:pPr>
        <w:jc w:val="both"/>
      </w:pPr>
      <w:r w:rsidRPr="0029497D">
        <w:t xml:space="preserve">Paper 2's coupling is the tolerance-filtration </w:t>
      </w:r>
      <m:oMath>
        <m:r>
          <w:rPr>
            <w:rFonts w:ascii="Cambria Math" w:hAnsi="Cambria Math"/>
          </w:rPr>
          <m:t>F:</m:t>
        </m:r>
        <m:r>
          <m:rPr>
            <m:scr m:val="script"/>
          </m:rPr>
          <w:rPr>
            <w:rFonts w:ascii="Cambria Math" w:hAnsi="Cambria Math"/>
          </w:rPr>
          <m:t>T→</m:t>
        </m:r>
        <m:r>
          <m:rPr>
            <m:sty m:val="p"/>
          </m:rPr>
          <w:rPr>
            <w:rFonts w:ascii="Cambria Math" w:hAnsi="Cambria Math"/>
          </w:rPr>
          <m:t>Sub</m:t>
        </m:r>
        <m:r>
          <m:rPr>
            <m:scr m:val="script"/>
          </m:rPr>
          <w:rPr>
            <w:rFonts w:ascii="Cambria Math" w:hAnsi="Cambria Math"/>
          </w:rPr>
          <m:t>⁡(E)</m:t>
        </m:r>
      </m:oMath>
      <w:r w:rsidRPr="0029497D">
        <w:t xml:space="preserve">with </w:t>
      </w:r>
      <m:oMath>
        <m:r>
          <w:rPr>
            <w:rFonts w:ascii="Cambria Math" w:hAnsi="Cambria Math"/>
          </w:rPr>
          <m:t>F⊣G</m:t>
        </m:r>
      </m:oMath>
      <w:r w:rsidRPr="0029497D">
        <w:t xml:space="preserve">, built on the residual </w:t>
      </w:r>
      <m:oMath>
        <m:r>
          <w:rPr>
            <w:rFonts w:ascii="Cambria Math" w:hAnsi="Cambria Math"/>
          </w:rPr>
          <m:t>r(E)=∥</m:t>
        </m:r>
        <m:sSub>
          <m:sSubPr>
            <m:ctrlPr>
              <w:rPr>
                <w:rFonts w:ascii="Cambria Math" w:hAnsi="Cambria Math"/>
              </w:rPr>
            </m:ctrlPr>
          </m:sSubPr>
          <m:e>
            <m:r>
              <w:rPr>
                <w:rFonts w:ascii="Cambria Math" w:hAnsi="Cambria Math"/>
              </w:rPr>
              <m:t>P</m:t>
            </m:r>
          </m:e>
          <m:sub>
            <m:r>
              <m:rPr>
                <m:nor/>
              </m:rPr>
              <m:t>harm</m:t>
            </m:r>
          </m:sub>
        </m:sSub>
        <m:r>
          <w:rPr>
            <w:rFonts w:ascii="Cambria Math" w:hAnsi="Cambria Math"/>
          </w:rPr>
          <m:t>(E)∥</m:t>
        </m:r>
      </m:oMath>
      <w:r w:rsidRPr="0029497D">
        <w:t xml:space="preserve">. The Paper 2 addendum established that </w:t>
      </w:r>
      <m:oMath>
        <m:r>
          <w:rPr>
            <w:rFonts w:ascii="Cambria Math" w:hAnsi="Cambria Math"/>
          </w:rPr>
          <m:t>r</m:t>
        </m:r>
      </m:oMath>
      <w:r w:rsidRPr="0029497D">
        <w:t>, and hence the whole adjunction, presupposes a descent (Čech) structure. Section 1 showed the proximity floor has none. So *Paper 2's coupling cannot take its filtration form at the RF.* What is the coupling there?</w:t>
      </w:r>
    </w:p>
    <w:p w14:paraId="7CFE62C2" w14:textId="5BD8DDC4" w:rsidR="0029497D" w:rsidRPr="0029497D" w:rsidRDefault="0029497D" w:rsidP="0029497D">
      <w:pPr>
        <w:jc w:val="both"/>
      </w:pPr>
      <w:r w:rsidRPr="0029497D">
        <w:t xml:space="preserve">It is a </w:t>
      </w:r>
      <w:r w:rsidRPr="0029497D">
        <w:rPr>
          <w:b/>
          <w:bCs/>
        </w:rPr>
        <w:t>Galois connection of the most primitive kind.</w:t>
      </w:r>
      <w:r w:rsidRPr="0029497D">
        <w:t xml:space="preserve"> Let arousal be a magnitude on a chain </w:t>
      </w:r>
      <m:oMath>
        <m:d>
          <m:dPr>
            <m:ctrlPr>
              <w:rPr>
                <w:rFonts w:ascii="Cambria Math" w:hAnsi="Cambria Math"/>
              </w:rPr>
            </m:ctrlPr>
          </m:dPr>
          <m:e>
            <m:r>
              <m:rPr>
                <m:scr m:val="script"/>
              </m:rPr>
              <w:rPr>
                <w:rFonts w:ascii="Cambria Math" w:hAnsi="Cambria Math"/>
              </w:rPr>
              <m:t>T,≤</m:t>
            </m:r>
          </m:e>
        </m:d>
      </m:oMath>
      <w:r w:rsidRPr="0029497D">
        <w:t xml:space="preserve">, and let the connection state be the two-element lattice </w:t>
      </w:r>
      <m:oMath>
        <m:r>
          <m:rPr>
            <m:sty m:val="b"/>
          </m:rPr>
          <w:rPr>
            <w:rFonts w:ascii="Cambria Math" w:hAnsi="Cambria Math"/>
          </w:rPr>
          <m:t>2</m:t>
        </m:r>
        <m:r>
          <w:rPr>
            <w:rFonts w:ascii="Cambria Math" w:hAnsi="Cambria Math"/>
          </w:rPr>
          <m:t>=(</m:t>
        </m:r>
        <m:r>
          <m:rPr>
            <m:nor/>
          </m:rPr>
          <m:t>Severed</m:t>
        </m:r>
        <m:r>
          <w:rPr>
            <w:rFonts w:ascii="Cambria Math" w:hAnsi="Cambria Math"/>
          </w:rPr>
          <m:t>&lt;</m:t>
        </m:r>
        <m:r>
          <m:rPr>
            <m:nor/>
          </m:rPr>
          <m:t>Connected</m:t>
        </m:r>
        <m:r>
          <w:rPr>
            <w:rFonts w:ascii="Cambria Math" w:hAnsi="Cambria Math"/>
          </w:rPr>
          <m:t>)</m:t>
        </m:r>
      </m:oMath>
      <w:r w:rsidRPr="0029497D">
        <w:t xml:space="preserve">. Define the ignition map and its adjoint: </w:t>
      </w:r>
    </w:p>
    <w:p w14:paraId="461F9FF1" w14:textId="3BABD01E" w:rsidR="0029497D" w:rsidRPr="0029497D" w:rsidRDefault="0029497D" w:rsidP="0029497D">
      <w:pPr>
        <w:jc w:val="both"/>
      </w:pPr>
      <m:oMathPara>
        <m:oMath>
          <m:sSub>
            <m:sSubPr>
              <m:ctrlPr>
                <w:rPr>
                  <w:rFonts w:ascii="Cambria Math" w:hAnsi="Cambria Math"/>
                </w:rPr>
              </m:ctrlPr>
            </m:sSubPr>
            <m:e>
              <m:r>
                <w:rPr>
                  <w:rFonts w:ascii="Cambria Math" w:hAnsi="Cambria Math"/>
                </w:rPr>
                <m:t>F</m:t>
              </m:r>
            </m:e>
            <m:sub>
              <m:r>
                <m:rPr>
                  <m:nor/>
                </m:rPr>
                <m:t>ground</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Connected</m:t>
                    </m:r>
                  </m:e>
                  <m:e>
                    <m:r>
                      <w:rPr>
                        <w:rFonts w:ascii="Cambria Math" w:hAnsi="Cambria Math"/>
                      </w:rPr>
                      <m:t>T&gt;τ</m:t>
                    </m:r>
                  </m:e>
                </m:mr>
                <m:mr>
                  <m:e>
                    <m:r>
                      <m:rPr>
                        <m:nor/>
                      </m:rPr>
                      <m:t>Severed</m:t>
                    </m:r>
                  </m:e>
                  <m:e>
                    <m:r>
                      <w:rPr>
                        <w:rFonts w:ascii="Cambria Math" w:hAnsi="Cambria Math"/>
                      </w:rPr>
                      <m:t>T≤τ</m:t>
                    </m:r>
                  </m:e>
                </m:mr>
              </m:m>
            </m:e>
          </m:d>
          <m:sSub>
            <m:sSubPr>
              <m:ctrlPr>
                <w:rPr>
                  <w:rFonts w:ascii="Cambria Math" w:hAnsi="Cambria Math"/>
                </w:rPr>
              </m:ctrlPr>
            </m:sSubPr>
            <m:e>
              <m:r>
                <w:rPr>
                  <w:rFonts w:ascii="Cambria Math" w:hAnsi="Cambria Math"/>
                </w:rPr>
                <m:t>F</m:t>
              </m:r>
            </m:e>
            <m:sub>
              <m:r>
                <m:rPr>
                  <m:nor/>
                </m:rPr>
                <m:t>ground</m:t>
              </m:r>
            </m:sub>
          </m:sSub>
          <m:r>
            <w:rPr>
              <w:rFonts w:ascii="Cambria Math" w:hAnsi="Cambria Math"/>
            </w:rPr>
            <m:t>⊣</m:t>
          </m:r>
          <m:sSub>
            <m:sSubPr>
              <m:ctrlPr>
                <w:rPr>
                  <w:rFonts w:ascii="Cambria Math" w:hAnsi="Cambria Math"/>
                </w:rPr>
              </m:ctrlPr>
            </m:sSubPr>
            <m:e>
              <m:r>
                <w:rPr>
                  <w:rFonts w:ascii="Cambria Math" w:hAnsi="Cambria Math"/>
                </w:rPr>
                <m:t>G</m:t>
              </m:r>
            </m:e>
            <m:sub>
              <m:r>
                <m:rPr>
                  <m:nor/>
                </m:rPr>
                <m:t>ground</m:t>
              </m:r>
            </m:sub>
          </m:sSub>
          <m:r>
            <m:rPr>
              <m:sty m:val="p"/>
            </m:rPr>
            <w:rPr>
              <w:rFonts w:ascii="Cambria Math" w:hAnsi="Cambria Math"/>
            </w:rPr>
            <m:t>.</m:t>
          </m:r>
          <m:r>
            <w:br/>
          </m:r>
        </m:oMath>
      </m:oMathPara>
    </w:p>
    <w:p w14:paraId="4647B6F1" w14:textId="661A00ED" w:rsidR="0029497D" w:rsidRPr="0029497D" w:rsidRDefault="0029497D" w:rsidP="0029497D">
      <w:pPr>
        <w:jc w:val="both"/>
      </w:pPr>
      <m:oMath>
        <m:sSub>
          <m:sSubPr>
            <m:ctrlPr>
              <w:rPr>
                <w:rFonts w:ascii="Cambria Math" w:hAnsi="Cambria Math"/>
              </w:rPr>
            </m:ctrlPr>
          </m:sSubPr>
          <m:e>
            <m:r>
              <w:rPr>
                <w:rFonts w:ascii="Cambria Math" w:hAnsi="Cambria Math"/>
              </w:rPr>
              <m:t>F</m:t>
            </m:r>
          </m:e>
          <m:sub>
            <m:r>
              <m:rPr>
                <m:nor/>
              </m:rPr>
              <m:t>ground</m:t>
            </m:r>
          </m:sub>
        </m:sSub>
      </m:oMath>
      <w:r w:rsidRPr="0029497D">
        <w:t xml:space="preserve">is monotone and preserves joins, so the right adjoint exists, with </w:t>
      </w:r>
      <m:oMath>
        <m:sSub>
          <m:sSubPr>
            <m:ctrlPr>
              <w:rPr>
                <w:rFonts w:ascii="Cambria Math" w:hAnsi="Cambria Math"/>
              </w:rPr>
            </m:ctrlPr>
          </m:sSubPr>
          <m:e>
            <m:r>
              <w:rPr>
                <w:rFonts w:ascii="Cambria Math" w:hAnsi="Cambria Math"/>
              </w:rPr>
              <m:t>G</m:t>
            </m:r>
          </m:e>
          <m:sub>
            <m:r>
              <m:rPr>
                <m:nor/>
              </m:rPr>
              <m:t>ground</m:t>
            </m:r>
          </m:sub>
        </m:sSub>
        <m:r>
          <w:rPr>
            <w:rFonts w:ascii="Cambria Math" w:hAnsi="Cambria Math"/>
          </w:rPr>
          <m:t>(</m:t>
        </m:r>
        <m:r>
          <m:rPr>
            <m:nor/>
          </m:rPr>
          <m:t>Severed</m:t>
        </m:r>
        <m:r>
          <w:rPr>
            <w:rFonts w:ascii="Cambria Math" w:hAnsi="Cambria Math"/>
          </w:rPr>
          <m:t>)=τ</m:t>
        </m:r>
      </m:oMath>
      <w:r w:rsidRPr="0029497D">
        <w:t xml:space="preserve">and </w:t>
      </w:r>
      <m:oMath>
        <m:sSub>
          <m:sSubPr>
            <m:ctrlPr>
              <w:rPr>
                <w:rFonts w:ascii="Cambria Math" w:hAnsi="Cambria Math"/>
              </w:rPr>
            </m:ctrlPr>
          </m:sSubPr>
          <m:e>
            <m:r>
              <w:rPr>
                <w:rFonts w:ascii="Cambria Math" w:hAnsi="Cambria Math"/>
              </w:rPr>
              <m:t>G</m:t>
            </m:r>
          </m:e>
          <m:sub>
            <m:r>
              <m:rPr>
                <m:nor/>
              </m:rPr>
              <m:t>ground</m:t>
            </m:r>
          </m:sub>
        </m:sSub>
        <m:r>
          <w:rPr>
            <w:rFonts w:ascii="Cambria Math" w:hAnsi="Cambria Math"/>
          </w:rPr>
          <m:t>(</m:t>
        </m:r>
        <m:r>
          <m:rPr>
            <m:nor/>
          </m:rPr>
          <m:t>Connected</m:t>
        </m:r>
        <m:r>
          <w:rPr>
            <w:rFonts w:ascii="Cambria Math" w:hAnsi="Cambria Math"/>
          </w:rPr>
          <m:t>)=</m:t>
        </m:r>
        <m:r>
          <m:rPr>
            <m:sty m:val="p"/>
          </m:rPr>
          <w:rPr>
            <w:rFonts w:ascii="Cambria Math" w:hAnsi="Cambria Math"/>
          </w:rPr>
          <m:t>⊤</m:t>
        </m:r>
      </m:oMath>
      <w:r w:rsidRPr="0029497D">
        <w:t xml:space="preserve">. The threshold </w:t>
      </w:r>
      <m:oMath>
        <m:r>
          <w:rPr>
            <w:rFonts w:ascii="Cambria Math" w:hAnsi="Cambria Math"/>
          </w:rPr>
          <m:t>τ=</m:t>
        </m:r>
        <m:sSub>
          <m:sSubPr>
            <m:ctrlPr>
              <w:rPr>
                <w:rFonts w:ascii="Cambria Math" w:hAnsi="Cambria Math"/>
              </w:rPr>
            </m:ctrlPr>
          </m:sSubPr>
          <m:e>
            <m:r>
              <w:rPr>
                <w:rFonts w:ascii="Cambria Math" w:hAnsi="Cambria Math"/>
              </w:rPr>
              <m:t>G</m:t>
            </m:r>
          </m:e>
          <m:sub>
            <m:r>
              <m:rPr>
                <m:nor/>
              </m:rPr>
              <m:t>ground</m:t>
            </m:r>
          </m:sub>
        </m:sSub>
        <m:r>
          <w:rPr>
            <w:rFonts w:ascii="Cambria Math" w:hAnsi="Cambria Math"/>
          </w:rPr>
          <m:t>(</m:t>
        </m:r>
        <m:r>
          <m:rPr>
            <m:nor/>
          </m:rPr>
          <m:t>Severed</m:t>
        </m:r>
        <m:r>
          <w:rPr>
            <w:rFonts w:ascii="Cambria Math" w:hAnsi="Cambria Math"/>
          </w:rPr>
          <m:t>)</m:t>
        </m:r>
      </m:oMath>
      <w:r w:rsidRPr="0029497D">
        <w:t xml:space="preserve">is the </w:t>
      </w:r>
      <w:r w:rsidRPr="0029497D">
        <w:rPr>
          <w:b/>
          <w:bCs/>
        </w:rPr>
        <w:t>ignition point</w:t>
      </w:r>
      <w:r w:rsidRPr="0029497D">
        <w:t xml:space="preserve"> — the minimum arousal at which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 xml:space="preserve">is established — and the closure </w:t>
      </w:r>
      <m:oMath>
        <m:sSub>
          <m:sSubPr>
            <m:ctrlPr>
              <w:rPr>
                <w:rFonts w:ascii="Cambria Math" w:hAnsi="Cambria Math"/>
              </w:rPr>
            </m:ctrlPr>
          </m:sSubPr>
          <m:e>
            <m:r>
              <w:rPr>
                <w:rFonts w:ascii="Cambria Math" w:hAnsi="Cambria Math"/>
              </w:rPr>
              <m:t>G</m:t>
            </m:r>
          </m:e>
          <m:sub>
            <m:r>
              <m:rPr>
                <m:nor/>
              </m:rPr>
              <m:t>ground</m:t>
            </m:r>
          </m:sub>
        </m:sSub>
        <m:r>
          <w:rPr>
            <w:rFonts w:ascii="Cambria Math" w:hAnsi="Cambria Math"/>
          </w:rPr>
          <m:t>∘</m:t>
        </m:r>
        <m:sSub>
          <m:sSubPr>
            <m:ctrlPr>
              <w:rPr>
                <w:rFonts w:ascii="Cambria Math" w:hAnsi="Cambria Math"/>
              </w:rPr>
            </m:ctrlPr>
          </m:sSubPr>
          <m:e>
            <m:r>
              <w:rPr>
                <w:rFonts w:ascii="Cambria Math" w:hAnsi="Cambria Math"/>
              </w:rPr>
              <m:t>F</m:t>
            </m:r>
          </m:e>
          <m:sub>
            <m:r>
              <m:rPr>
                <m:nor/>
              </m:rPr>
              <m:t>ground</m:t>
            </m:r>
          </m:sub>
        </m:sSub>
      </m:oMath>
      <w:r w:rsidRPr="0029497D">
        <w:t xml:space="preserve">partitions arousal into the severed region </w:t>
      </w:r>
      <m:oMath>
        <m:d>
          <m:dPr>
            <m:sepChr m:val="≤"/>
            <m:ctrlPr>
              <w:rPr>
                <w:rFonts w:ascii="Cambria Math" w:hAnsi="Cambria Math"/>
              </w:rPr>
            </m:ctrlPr>
          </m:dPr>
          <m:e>
            <m:r>
              <w:rPr>
                <w:rFonts w:ascii="Cambria Math" w:hAnsi="Cambria Math"/>
              </w:rPr>
              <m:t>T</m:t>
            </m:r>
          </m:e>
          <m:e>
            <m:r>
              <w:rPr>
                <w:rFonts w:ascii="Cambria Math" w:hAnsi="Cambria Math"/>
              </w:rPr>
              <m:t>τ</m:t>
            </m:r>
          </m:e>
        </m:d>
      </m:oMath>
      <w:r w:rsidRPr="0029497D">
        <w:t xml:space="preserve">and the connected region </w:t>
      </w:r>
      <m:oMath>
        <m:d>
          <m:dPr>
            <m:sepChr m:val="&gt;"/>
            <m:ctrlPr>
              <w:rPr>
                <w:rFonts w:ascii="Cambria Math" w:hAnsi="Cambria Math"/>
              </w:rPr>
            </m:ctrlPr>
          </m:dPr>
          <m:e>
            <m:r>
              <w:rPr>
                <w:rFonts w:ascii="Cambria Math" w:hAnsi="Cambria Math"/>
              </w:rPr>
              <m:t>T</m:t>
            </m:r>
          </m:e>
          <m:e>
            <m:r>
              <w:rPr>
                <w:rFonts w:ascii="Cambria Math" w:hAnsi="Cambria Math"/>
              </w:rPr>
              <m:t>τ</m:t>
            </m:r>
          </m:e>
        </m:d>
      </m:oMath>
      <w:r w:rsidRPr="0029497D">
        <w:t>.</w:t>
      </w:r>
    </w:p>
    <w:p w14:paraId="484225F3" w14:textId="77777777" w:rsidR="0029497D" w:rsidRPr="0029497D" w:rsidRDefault="0029497D" w:rsidP="0029497D">
      <w:pPr>
        <w:jc w:val="both"/>
      </w:pPr>
      <w:r w:rsidRPr="0029497D">
        <w:lastRenderedPageBreak/>
        <w:t>Two corrections to the natural temptation here, both [LB]:</w:t>
      </w:r>
    </w:p>
    <w:p w14:paraId="2CB6B26C" w14:textId="2E42BE35" w:rsidR="0029497D" w:rsidRPr="0029497D" w:rsidRDefault="0029497D" w:rsidP="0029497D">
      <w:pPr>
        <w:numPr>
          <w:ilvl w:val="0"/>
          <w:numId w:val="1"/>
        </w:numPr>
        <w:jc w:val="both"/>
      </w:pPr>
      <w:r w:rsidRPr="0029497D">
        <w:t xml:space="preserve">It is a *degenerate* adjunction, and that is the point — not a defect. Its codomain is the two-element lattice; it carries a single bit, *connected or not*. One might want to call it "the foundational adjunction, not a degenerate anomaly," but degenerate and foundational are not opposites. It is foundational *because* it is degenerate: it decides only on/off, leaving all richer structure to the rungs above, and it is exactly this on/off decision that boots the system into the regime where Paper 2's filtration adjunction can run at all. The ground adjunction is the ignition; </w:t>
      </w:r>
      <m:oMath>
        <m:r>
          <w:rPr>
            <w:rFonts w:ascii="Cambria Math" w:hAnsi="Cambria Math"/>
          </w:rPr>
          <m:t>F⊣G</m:t>
        </m:r>
      </m:oMath>
      <w:r w:rsidRPr="0029497D">
        <w:t>is the engine it starts.</w:t>
      </w:r>
    </w:p>
    <w:p w14:paraId="77E79639" w14:textId="608A6D1E" w:rsidR="0029497D" w:rsidRPr="0029497D" w:rsidRDefault="0029497D" w:rsidP="0029497D">
      <w:pPr>
        <w:numPr>
          <w:ilvl w:val="0"/>
          <w:numId w:val="1"/>
        </w:numPr>
        <w:jc w:val="both"/>
      </w:pPr>
      <w:r w:rsidRPr="0029497D">
        <w:t xml:space="preserve">The right adjoint is not "minimum metabolic cost to maintain connection." That reading mislocates it: the minimum arousal to *be* connected is the threshold </w:t>
      </w:r>
      <m:oMath>
        <m:r>
          <w:rPr>
            <w:rFonts w:ascii="Cambria Math" w:hAnsi="Cambria Math"/>
          </w:rPr>
          <m:t>τ</m:t>
        </m:r>
      </m:oMath>
      <w:r w:rsidRPr="0029497D">
        <w:t xml:space="preserve">, which is </w:t>
      </w:r>
      <m:oMath>
        <m:sSub>
          <m:sSubPr>
            <m:ctrlPr>
              <w:rPr>
                <w:rFonts w:ascii="Cambria Math" w:hAnsi="Cambria Math"/>
              </w:rPr>
            </m:ctrlPr>
          </m:sSubPr>
          <m:e>
            <m:r>
              <w:rPr>
                <w:rFonts w:ascii="Cambria Math" w:hAnsi="Cambria Math"/>
              </w:rPr>
              <m:t>G</m:t>
            </m:r>
          </m:e>
          <m:sub>
            <m:r>
              <m:rPr>
                <m:nor/>
              </m:rPr>
              <m:t>ground</m:t>
            </m:r>
          </m:sub>
        </m:sSub>
        <m:r>
          <w:rPr>
            <w:rFonts w:ascii="Cambria Math" w:hAnsi="Cambria Math"/>
          </w:rPr>
          <m:t>(</m:t>
        </m:r>
        <m:r>
          <m:rPr>
            <m:nor/>
          </m:rPr>
          <m:t>Severed</m:t>
        </m:r>
        <m:r>
          <w:rPr>
            <w:rFonts w:ascii="Cambria Math" w:hAnsi="Cambria Math"/>
          </w:rPr>
          <m:t>)</m:t>
        </m:r>
      </m:oMath>
      <w:r w:rsidRPr="0029497D">
        <w:t xml:space="preserve">— the boundary of the severed region — not </w:t>
      </w:r>
      <m:oMath>
        <m:sSub>
          <m:sSubPr>
            <m:ctrlPr>
              <w:rPr>
                <w:rFonts w:ascii="Cambria Math" w:hAnsi="Cambria Math"/>
              </w:rPr>
            </m:ctrlPr>
          </m:sSubPr>
          <m:e>
            <m:r>
              <w:rPr>
                <w:rFonts w:ascii="Cambria Math" w:hAnsi="Cambria Math"/>
              </w:rPr>
              <m:t>G</m:t>
            </m:r>
          </m:e>
          <m:sub>
            <m:r>
              <m:rPr>
                <m:nor/>
              </m:rPr>
              <m:t>ground</m:t>
            </m:r>
          </m:sub>
        </m:sSub>
        <m:r>
          <w:rPr>
            <w:rFonts w:ascii="Cambria Math" w:hAnsi="Cambria Math"/>
          </w:rPr>
          <m:t>(</m:t>
        </m:r>
        <m:r>
          <m:rPr>
            <m:nor/>
          </m:rPr>
          <m:t>Connected</m:t>
        </m:r>
        <m:r>
          <w:rPr>
            <w:rFonts w:ascii="Cambria Math" w:hAnsi="Cambria Math"/>
          </w:rPr>
          <m:t>)=</m:t>
        </m:r>
        <m:r>
          <m:rPr>
            <m:sty m:val="p"/>
          </m:rPr>
          <w:rPr>
            <w:rFonts w:ascii="Cambria Math" w:hAnsi="Cambria Math"/>
          </w:rPr>
          <m:t>⊤</m:t>
        </m:r>
      </m:oMath>
      <w:r w:rsidRPr="0029497D">
        <w:t xml:space="preserve">. The cost interpretation, if one wants it, attaches to </w:t>
      </w:r>
      <m:oMath>
        <m:r>
          <w:rPr>
            <w:rFonts w:ascii="Cambria Math" w:hAnsi="Cambria Math"/>
          </w:rPr>
          <m:t>τ</m:t>
        </m:r>
      </m:oMath>
      <w:r w:rsidRPr="0029497D">
        <w:t>as the ignition threshold, not to the right adjoint's value at Connected.</w:t>
      </w:r>
    </w:p>
    <w:p w14:paraId="0A7B035E" w14:textId="3E7985E3" w:rsidR="0029497D" w:rsidRPr="0029497D" w:rsidRDefault="0029497D" w:rsidP="0029497D">
      <w:pPr>
        <w:jc w:val="both"/>
      </w:pPr>
      <w:r w:rsidRPr="0029497D">
        <w:t xml:space="preserve">The ground coupling therefore does two separable things: the </w:t>
      </w:r>
      <w:r w:rsidRPr="0029497D">
        <w:rPr>
          <w:b/>
          <w:bCs/>
        </w:rPr>
        <w:t>ignition</w:t>
      </w:r>
      <w:r w:rsidRPr="0029497D">
        <w:t xml:space="preserve"> (the Galois connection above: is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 xml:space="preserve">on or off) and a </w:t>
      </w:r>
      <w:r w:rsidRPr="0029497D">
        <w:rPr>
          <w:b/>
          <w:bCs/>
        </w:rPr>
        <w:t>scalar broadcast</w:t>
      </w:r>
      <w:r w:rsidRPr="0029497D">
        <w:t xml:space="preserve"> (the magnitude </w:t>
      </w:r>
      <m:oMath>
        <m:r>
          <w:rPr>
            <w:rFonts w:ascii="Cambria Math" w:hAnsi="Cambria Math"/>
          </w:rPr>
          <m:t>T</m:t>
        </m:r>
      </m:oMath>
      <w:r w:rsidRPr="0029497D">
        <w:t>passed diffusely upward). The next section is about the broadcast.</w:t>
      </w:r>
    </w:p>
    <w:p w14:paraId="2C3CEDF7" w14:textId="6FFE1162" w:rsidR="0029497D" w:rsidRPr="0029497D" w:rsidRDefault="0029497D" w:rsidP="0029497D">
      <w:pPr>
        <w:pStyle w:val="Heading1"/>
      </w:pPr>
      <w:r w:rsidRPr="0029497D">
        <w:t xml:space="preserve">3. The birth of </w:t>
      </w:r>
      <m:oMath>
        <m:r>
          <m:rPr>
            <m:sty m:val="bi"/>
          </m:rPr>
          <w:rPr>
            <w:rFonts w:ascii="Cambria Math" w:hAnsi="Cambria Math"/>
          </w:rPr>
          <m:t>ε</m:t>
        </m:r>
      </m:oMath>
      <w:r w:rsidRPr="0029497D">
        <w:t>(central proposition)</w:t>
      </w:r>
    </w:p>
    <w:p w14:paraId="3881D4C7" w14:textId="55E26F01" w:rsidR="0029497D" w:rsidRPr="0029497D" w:rsidRDefault="0029497D" w:rsidP="0029497D">
      <w:pPr>
        <w:jc w:val="both"/>
      </w:pPr>
      <w:r w:rsidRPr="0029497D">
        <w:t xml:space="preserve">Proposition (Birth and consumption of the tolerance). The precision tolerance </w:t>
      </w:r>
      <m:oMath>
        <m:r>
          <w:rPr>
            <w:rFonts w:ascii="Cambria Math" w:hAnsi="Cambria Math"/>
          </w:rPr>
          <m:t>ε(</m:t>
        </m:r>
        <m:r>
          <m:rPr>
            <m:sty m:val="p"/>
          </m:rPr>
          <w:rPr>
            <w:rFonts w:ascii="Cambria Math" w:hAnsi="Cambria Math"/>
          </w:rPr>
          <m:t>Π</m:t>
        </m:r>
        <m:r>
          <w:rPr>
            <w:rFonts w:ascii="Cambria Math" w:hAnsi="Cambria Math"/>
          </w:rPr>
          <m:t>)</m:t>
        </m:r>
      </m:oMath>
      <w:r w:rsidRPr="0029497D">
        <w:t xml:space="preserve">is *generated* at the proximity floor as a component of the broadcast neuromodulator magnitude and *consumed* at the uniform rung and above as an entourage size. At the proximity floor the broadcast has no interpretation as a tolerance, because a tolerance is an entourage size and the floor has no entourages; the assignment </w:t>
      </w:r>
      <m:oMath>
        <m:r>
          <m:rPr>
            <m:sty m:val="p"/>
          </m:rPr>
          <w:rPr>
            <w:rFonts w:ascii="Cambria Math" w:hAnsi="Cambria Math"/>
          </w:rPr>
          <m:t>Π</m:t>
        </m:r>
        <m:r>
          <w:rPr>
            <w:rFonts w:ascii="Cambria Math" w:hAnsi="Cambria Math"/>
          </w:rPr>
          <m:t>↦ε(</m:t>
        </m:r>
        <m:r>
          <m:rPr>
            <m:sty m:val="p"/>
          </m:rPr>
          <w:rPr>
            <w:rFonts w:ascii="Cambria Math" w:hAnsi="Cambria Math"/>
          </w:rPr>
          <m:t>Π</m:t>
        </m:r>
        <m:r>
          <w:rPr>
            <w:rFonts w:ascii="Cambria Math" w:hAnsi="Cambria Math"/>
          </w:rPr>
          <m:t>)</m:t>
        </m:r>
      </m:oMath>
      <w:r w:rsidRPr="0029497D">
        <w:t>is a rung-dependent readout, defined only where entourages exist. `[CAND on the [LB] proximity/descent facts]`</w:t>
      </w:r>
    </w:p>
    <w:p w14:paraId="67CCAB09" w14:textId="0732C24A" w:rsidR="0029497D" w:rsidRPr="0029497D" w:rsidRDefault="0029497D" w:rsidP="0029497D">
      <w:pPr>
        <w:jc w:val="both"/>
      </w:pPr>
      <w:r w:rsidRPr="0029497D">
        <w:t xml:space="preserve">This is the load-bearing cross-layer claim, and it is why the thermodynamic chemistry and the geometric topology meet. The RF broadcasts a magnitude; it cannot itself *mean* a tolerance; the magnitude acquires its meaning — "the size below which an obstruction is ignored" — only when it reaches a rung with entourages to apply it to. </w:t>
      </w:r>
      <m:oMath>
        <m:r>
          <w:rPr>
            <w:rFonts w:ascii="Cambria Math" w:hAnsi="Cambria Math"/>
          </w:rPr>
          <m:t>ε</m:t>
        </m:r>
      </m:oMath>
      <w:r w:rsidRPr="0029497D">
        <w:t>is born below as magnitude and consumed above as tolerance.</w:t>
      </w:r>
    </w:p>
    <w:p w14:paraId="31CA62D2" w14:textId="45FDDDAC" w:rsidR="0029497D" w:rsidRPr="0029497D" w:rsidRDefault="0029497D" w:rsidP="0029497D">
      <w:pPr>
        <w:jc w:val="both"/>
      </w:pPr>
      <w:r w:rsidRPr="0029497D">
        <w:t xml:space="preserve">The neuromodulator vector does *not* collapse to a scalar. It is tempting to take a norm — </w:t>
      </w:r>
      <m:oMath>
        <m:sSup>
          <m:sSupPr>
            <m:ctrlPr>
              <w:rPr>
                <w:rFonts w:ascii="Cambria Math" w:hAnsi="Cambria Math"/>
              </w:rPr>
            </m:ctrlPr>
          </m:sSupPr>
          <m:e>
            <m:r>
              <w:rPr>
                <w:rFonts w:ascii="Cambria Math" w:hAnsi="Cambria Math"/>
              </w:rPr>
              <m:t>L</m:t>
            </m:r>
          </m:e>
          <m:sup>
            <m:r>
              <w:rPr>
                <w:rFonts w:ascii="Cambria Math" w:hAnsi="Cambria Math"/>
              </w:rPr>
              <m:t>2</m:t>
            </m:r>
          </m:sup>
        </m:sSup>
      </m:oMath>
      <w:r w:rsidRPr="0029497D">
        <w:t xml:space="preserve">or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9497D">
        <w:t xml:space="preserve">— of the neuromodulator vector </w:t>
      </w:r>
      <m:oMath>
        <m:acc>
          <m:accPr>
            <m:chr m:val="⃗"/>
            <m:ctrlPr>
              <w:rPr>
                <w:rFonts w:ascii="Cambria Math" w:hAnsi="Cambria Math"/>
              </w:rPr>
            </m:ctrlPr>
          </m:accPr>
          <m:e>
            <m:r>
              <w:rPr>
                <w:rFonts w:ascii="Cambria Math" w:hAnsi="Cambria Math"/>
              </w:rPr>
              <m:t>T</m:t>
            </m:r>
          </m:e>
        </m:acc>
        <m:r>
          <w:rPr>
            <w:rFonts w:ascii="Cambria Math" w:hAnsi="Cambria Math"/>
          </w:rPr>
          <m:t>=(</m:t>
        </m:r>
        <m:r>
          <m:rPr>
            <m:nor/>
          </m:rPr>
          <m:t>ACh</m:t>
        </m:r>
        <m:r>
          <w:rPr>
            <w:rFonts w:ascii="Cambria Math" w:hAnsi="Cambria Math"/>
          </w:rPr>
          <m:t>,</m:t>
        </m:r>
        <m:r>
          <m:rPr>
            <m:nor/>
          </m:rPr>
          <m:t>NA</m:t>
        </m:r>
        <m:r>
          <w:rPr>
            <w:rFonts w:ascii="Cambria Math" w:hAnsi="Cambria Math"/>
          </w:rPr>
          <m:t>,</m:t>
        </m:r>
        <m:r>
          <m:rPr>
            <m:nor/>
          </m:rPr>
          <m:t>5-HT</m:t>
        </m:r>
        <m:r>
          <w:rPr>
            <w:rFonts w:ascii="Cambria Math" w:hAnsi="Cambria Math"/>
          </w:rPr>
          <m:t>,…</m:t>
        </m:r>
        <m:r>
          <m:rPr>
            <m:nor/>
          </m:rPr>
          <m:t> </m:t>
        </m:r>
        <m:r>
          <w:rPr>
            <w:rFonts w:ascii="Cambria Math" w:hAnsi="Cambria Math"/>
          </w:rPr>
          <m:t>)</m:t>
        </m:r>
      </m:oMath>
      <w:r w:rsidRPr="0029497D">
        <w:t xml:space="preserve">and call the result the single tolerance </w:t>
      </w:r>
      <m:oMath>
        <m:r>
          <w:rPr>
            <w:rFonts w:ascii="Cambria Math" w:hAnsi="Cambria Math"/>
          </w:rPr>
          <m:t>ε</m:t>
        </m:r>
      </m:oMath>
      <w:r w:rsidRPr="0029497D">
        <w:t xml:space="preserve">, on the grounds that this would show "how fear and focus project to the same </w:t>
      </w:r>
      <m:oMath>
        <m:r>
          <w:rPr>
            <w:rFonts w:ascii="Cambria Math" w:hAnsi="Cambria Math"/>
          </w:rPr>
          <m:t>ε</m:t>
        </m:r>
      </m:oMath>
      <w:r w:rsidRPr="0029497D">
        <w:t xml:space="preserve">." This is exactly the move to refuse, because the framework's neuromodulator structure (Paper 2) is that these chemicals carry distinct roles, and fear (NA-weighted) and focus (ACh-weighted) must *not* be allowed to collapse to the same tolerance — if they did, the higher rungs could not tell a vigilant state from a precise one. The correct form is a </w:t>
      </w:r>
      <m:oMath>
        <m:r>
          <m:rPr>
            <m:sty m:val="p"/>
          </m:rPr>
          <w:rPr>
            <w:rFonts w:ascii="Cambria Math" w:hAnsi="Cambria Math"/>
          </w:rPr>
          <m:t>Π</m:t>
        </m:r>
      </m:oMath>
      <w:r w:rsidRPr="0029497D">
        <w:t xml:space="preserve">-indexed projection, not a norm: </w:t>
      </w:r>
    </w:p>
    <w:p w14:paraId="3C3DD101" w14:textId="2CFB0DED" w:rsidR="0029497D" w:rsidRPr="0029497D" w:rsidRDefault="0029497D" w:rsidP="0029497D">
      <w:pPr>
        <w:jc w:val="both"/>
      </w:pPr>
      <m:oMathPara>
        <m:oMath>
          <m:r>
            <w:rPr>
              <w:rFonts w:ascii="Cambria Math" w:hAnsi="Cambria Math"/>
            </w:rPr>
            <m:t>ε(</m:t>
          </m:r>
          <m:r>
            <m:rPr>
              <m:sty m:val="p"/>
            </m:rPr>
            <w:rPr>
              <w:rFonts w:ascii="Cambria Math" w:hAnsi="Cambria Math"/>
            </w:rPr>
            <m:t>Π</m:t>
          </m:r>
          <m:r>
            <w:rPr>
              <w:rFonts w:ascii="Cambria Math" w:hAnsi="Cambria Math"/>
            </w:rPr>
            <m:t>)</m:t>
          </m:r>
          <m:r>
            <m:rPr>
              <m:nor/>
            </m:rPr>
            <m:t>  </m:t>
          </m:r>
          <m:r>
            <w:rPr>
              <w:rFonts w:ascii="Cambria Math" w:hAnsi="Cambria Math"/>
            </w:rPr>
            <m: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w</m:t>
              </m:r>
            </m:e>
            <m:sub>
              <m:r>
                <m:rPr>
                  <m:sty m:val="p"/>
                </m:rPr>
                <w:rPr>
                  <w:rFonts w:ascii="Cambria Math" w:hAnsi="Cambria Math"/>
                </w:rPr>
                <m:t>Π</m:t>
              </m:r>
            </m:sub>
          </m:sSub>
          <m:r>
            <w:rPr>
              <w:rFonts w:ascii="Cambria Math" w:hAnsi="Cambria Math"/>
            </w:rPr>
            <m:t>,</m:t>
          </m:r>
          <m:r>
            <m:rPr>
              <m:sty m:val="p"/>
            </m:rPr>
            <w:rPr>
              <w:rFonts w:ascii="Cambria Math" w:hAnsi="Cambria Math"/>
            </w:rPr>
            <m:t> </m:t>
          </m:r>
          <m:acc>
            <m:accPr>
              <m:chr m:val="⃗"/>
              <m:ctrlPr>
                <w:rPr>
                  <w:rFonts w:ascii="Cambria Math" w:hAnsi="Cambria Math"/>
                </w:rPr>
              </m:ctrlPr>
            </m:accPr>
            <m:e>
              <m:r>
                <w:rPr>
                  <w:rFonts w:ascii="Cambria Math" w:hAnsi="Cambria Math"/>
                </w:rPr>
                <m:t>T</m:t>
              </m:r>
            </m:e>
          </m:acc>
          <m:r>
            <m:rPr>
              <m:nor/>
            </m:rPr>
            <m:t> </m:t>
          </m:r>
          <m:r>
            <w:rPr>
              <w:rFonts w:ascii="Cambria Math" w:hAnsi="Cambria Math"/>
            </w:rPr>
            <m:t>⟩,</m:t>
          </m:r>
          <m:r>
            <w:rPr>
              <w:i/>
            </w:rPr>
            <w:br/>
          </m:r>
        </m:oMath>
      </m:oMathPara>
    </w:p>
    <w:p w14:paraId="2A87EE7A" w14:textId="03166B98" w:rsidR="0029497D" w:rsidRPr="0029497D" w:rsidRDefault="0029497D" w:rsidP="0029497D">
      <w:pPr>
        <w:jc w:val="both"/>
      </w:pPr>
      <w:r w:rsidRPr="0029497D">
        <w:t xml:space="preserve">a binding-specific readout in which different bindings </w:t>
      </w:r>
      <m:oMath>
        <m:r>
          <m:rPr>
            <m:sty m:val="p"/>
          </m:rPr>
          <w:rPr>
            <w:rFonts w:ascii="Cambria Math" w:hAnsi="Cambria Math"/>
          </w:rPr>
          <m:t>Π</m:t>
        </m:r>
      </m:oMath>
      <w:r w:rsidRPr="0029497D">
        <w:t xml:space="preserve">weight different neuromodulators. Threat-relevant bindings read out NA; precision-demanding bindings read out ACh. The broadcast is a vector; the tolerance each rung consumes is its own projection of that vector; distinct chemical states yield </w:t>
      </w:r>
      <w:r w:rsidRPr="0029497D">
        <w:lastRenderedPageBreak/>
        <w:t>*distinct* tolerances by construction. A norm-collapse would destroy the very distinction the system is built to preserve.</w:t>
      </w:r>
    </w:p>
    <w:p w14:paraId="3BD4935D" w14:textId="77777777" w:rsidR="0029497D" w:rsidRPr="0029497D" w:rsidRDefault="0029497D" w:rsidP="0029497D">
      <w:pPr>
        <w:pStyle w:val="Heading1"/>
      </w:pPr>
      <w:r w:rsidRPr="0029497D">
        <w:t>4. The arousal melt</w:t>
      </w:r>
    </w:p>
    <w:p w14:paraId="652636D7" w14:textId="7D05121C" w:rsidR="0029497D" w:rsidRPr="0029497D" w:rsidRDefault="0029497D" w:rsidP="0029497D">
      <w:pPr>
        <w:jc w:val="both"/>
      </w:pPr>
      <w:r w:rsidRPr="0029497D">
        <w:t xml:space="preserve">The operator, named for substrate-independence. The ladder has Paper 1's asymmetry — descent (forgetting upper structure) is free; ascent is obstructed — and the runtime paper named the free descent *melting*. Define </w:t>
      </w:r>
      <m:oMath>
        <m:sSub>
          <m:sSubPr>
            <m:ctrlPr>
              <w:rPr>
                <w:rFonts w:ascii="Cambria Math" w:hAnsi="Cambria Math"/>
              </w:rPr>
            </m:ctrlPr>
          </m:sSubPr>
          <m:e>
            <m:r>
              <w:rPr>
                <w:rFonts w:ascii="Cambria Math" w:hAnsi="Cambria Math"/>
              </w:rPr>
              <m:t>μ</m:t>
            </m:r>
          </m:e>
          <m:sub>
            <m:r>
              <m:rPr>
                <m:nor/>
              </m:rPr>
              <m:t>arousal</m:t>
            </m:r>
          </m:sub>
        </m:sSub>
      </m:oMath>
      <w:r w:rsidRPr="0029497D">
        <w:t>, the arousal melt: the operator that, on a sufficiently large thermodynamic spike, forgets all structure above the proximity floor and drops the system there. We name it for arousal rather than pain because it is substrate-independent — it applies equally to a hand on a stove and to a drone detecting critical overheating — with pain the canonical biological instance.</w:t>
      </w:r>
    </w:p>
    <w:p w14:paraId="0612D111" w14:textId="77777777" w:rsidR="0029497D" w:rsidRPr="0029497D" w:rsidRDefault="0029497D" w:rsidP="0029497D">
      <w:pPr>
        <w:jc w:val="both"/>
      </w:pPr>
      <w:r w:rsidRPr="0029497D">
        <w:rPr>
          <w:b/>
          <w:bCs/>
        </w:rPr>
        <w:t>Pain as the canonical melt, anchored in tract anatomy [SUP].</w:t>
      </w:r>
      <w:r w:rsidRPr="0029497D">
        <w:t xml:space="preserve"> The neuroanatomy separates the operator from the data exactly. The </w:t>
      </w:r>
      <w:r w:rsidRPr="0029497D">
        <w:rPr>
          <w:b/>
          <w:bCs/>
        </w:rPr>
        <w:t>spinothalamic tract</w:t>
      </w:r>
      <w:r w:rsidRPr="0029497D">
        <w:t xml:space="preserve"> carries the </w:t>
      </w:r>
      <w:r w:rsidRPr="0029497D">
        <w:rPr>
          <w:i/>
          <w:iCs/>
        </w:rPr>
        <w:t>discriminative</w:t>
      </w:r>
      <w:r w:rsidRPr="0029497D">
        <w:t xml:space="preserve"> qualities of pain — location and intensity, graded coordinates — directly to the ventrocaudal thalamus and on to somatosensory and insular cortex: this is coordinate data delivered to the higher (metric/inner-product) rungs, and it does not melt anything. The </w:t>
      </w:r>
      <w:r w:rsidRPr="0029497D">
        <w:rPr>
          <w:b/>
          <w:bCs/>
        </w:rPr>
        <w:t>spinoreticular tract</w:t>
      </w:r>
      <w:r w:rsidRPr="0029497D">
        <w:t xml:space="preserve"> — phylogenetically older, terminating in reticular nuclei that </w:t>
      </w:r>
      <w:r w:rsidRPr="0029497D">
        <w:rPr>
          <w:i/>
          <w:iCs/>
        </w:rPr>
        <w:t>lack somatotopic organization</w:t>
      </w:r>
      <w:r w:rsidRPr="0029497D">
        <w:t xml:space="preserve"> — carries the </w:t>
      </w:r>
      <w:r w:rsidRPr="0029497D">
        <w:rPr>
          <w:i/>
          <w:iCs/>
        </w:rPr>
        <w:t>affective and arousing</w:t>
      </w:r>
      <w:r w:rsidRPr="0029497D">
        <w:t xml:space="preserve"> component into the RF and thence, via intralaminar thalamus, diffusely to cortex: this is the melt. So the system already routes the ungraded arousal operator (spinoreticular → proximity floor) along a different anatomical channel from the graded coordinate data (spinothalamic → cortex). The earlier caveat — that only the alerting aspect of pain melts, while the discriminative aspect is cortical — is therefore not a theoretical hedge but a tract-level fact.</w:t>
      </w:r>
    </w:p>
    <w:p w14:paraId="1AEB2F6D" w14:textId="77777777" w:rsidR="0029497D" w:rsidRPr="0029497D" w:rsidRDefault="0029497D" w:rsidP="0029497D">
      <w:pPr>
        <w:jc w:val="both"/>
      </w:pPr>
      <w:r w:rsidRPr="0029497D">
        <w:rPr>
          <w:b/>
          <w:bCs/>
        </w:rPr>
        <w:t>The floor property.</w:t>
      </w:r>
      <w:r w:rsidRPr="0029497D">
        <w:t xml:space="preserve"> The melt stops </w:t>
      </w:r>
      <w:r w:rsidRPr="0029497D">
        <w:rPr>
          <w:i/>
          <w:iCs/>
        </w:rPr>
        <w:t>at</w:t>
      </w:r>
      <w:r w:rsidRPr="0029497D">
        <w:t xml:space="preserve"> proximity, not below, because proximity is the minimal structure that keeps "threat is near" representable; the topological rung below is the coma of §1. The melt is </w:t>
      </w:r>
      <w:r w:rsidRPr="0029497D">
        <w:rPr>
          <w:i/>
          <w:iCs/>
        </w:rPr>
        <w:t>recoverable</w:t>
      </w:r>
      <w:r w:rsidRPr="0029497D">
        <w:t>: it collapses the system onto the fluid base, from which it can re-ascend, rather than shattering it — the protective character of pain in the Defensible-Kernel sense of bounded, recoverable failure.</w:t>
      </w:r>
    </w:p>
    <w:p w14:paraId="4B872F8E" w14:textId="77777777" w:rsidR="0029497D" w:rsidRPr="0029497D" w:rsidRDefault="0029497D" w:rsidP="0029497D">
      <w:pPr>
        <w:pStyle w:val="Heading1"/>
      </w:pPr>
      <w:r w:rsidRPr="0029497D">
        <w:t>5. Why you cannot reason your way out of arousal</w:t>
      </w:r>
    </w:p>
    <w:p w14:paraId="1C3834F4" w14:textId="5732462D" w:rsidR="0029497D" w:rsidRPr="0029497D" w:rsidRDefault="0029497D" w:rsidP="0029497D">
      <w:pPr>
        <w:jc w:val="both"/>
      </w:pPr>
      <w:r w:rsidRPr="0029497D">
        <w:t xml:space="preserve">The two results compose into one mechanism. The arousal melt (§4) drops the system below the descent prerequisite — below the rung at which any residual </w:t>
      </w:r>
      <m:oMath>
        <m:r>
          <w:rPr>
            <w:rFonts w:ascii="Cambria Math" w:hAnsi="Cambria Math"/>
          </w:rPr>
          <m:t>r</m:t>
        </m:r>
      </m:oMath>
      <w:r w:rsidRPr="0029497D">
        <w:t xml:space="preserve">, any </w:t>
      </w:r>
      <m:oMath>
        <m:r>
          <w:rPr>
            <w:rFonts w:ascii="Cambria Math" w:hAnsi="Cambria Math"/>
          </w:rPr>
          <m:t>F⊣G</m:t>
        </m:r>
      </m:oMath>
      <w:r w:rsidRPr="0029497D">
        <w:t xml:space="preserve">filtration, any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rsidRPr="0029497D">
        <w:t xml:space="preserve">gate is even defined. Once melted to the proximity floor, only the ground coupling of §2–3 runs: the ignition adjunction holds </w:t>
      </w:r>
      <m:oMath>
        <m:r>
          <w:rPr>
            <w:rFonts w:ascii="Cambria Math" w:hAnsi="Cambria Math"/>
          </w:rPr>
          <m:t>A</m:t>
        </m:r>
        <m:r>
          <m:rPr>
            <m:nor/>
          </m:rPr>
          <m:t> </m:t>
        </m:r>
        <m:r>
          <w:rPr>
            <w:rFonts w:ascii="Cambria Math" w:hAnsi="Cambria Math"/>
          </w:rPr>
          <m:t>δ</m:t>
        </m:r>
        <m:r>
          <m:rPr>
            <m:nor/>
          </m:rPr>
          <m:t> </m:t>
        </m:r>
        <m:r>
          <w:rPr>
            <w:rFonts w:ascii="Cambria Math" w:hAnsi="Cambria Math"/>
          </w:rPr>
          <m:t>B</m:t>
        </m:r>
      </m:oMath>
      <w:r w:rsidRPr="0029497D">
        <w:t>saturated (threat is *near*), the broadcast is floored high (maximal arousal), and the filtration coupling has nothing to act on because its descent structure has been forgotten. So "you cannot consciously reason your way out of raw pain or panic" is, in this framework, the precise statement that the certification machinery is undefined at the rung the melt drops you to. Reasoning is an operation on descent structure; the melt removes the descent structure; therefore reasoning is locally and temporarily not a defined operation. The cortex is not out-argued — its substrate is melted out from under it, and restored only as arousal subsides back below ignition and the ladder re-ascends.</w:t>
      </w:r>
    </w:p>
    <w:p w14:paraId="33542A5E" w14:textId="77777777" w:rsidR="0029497D" w:rsidRPr="0029497D" w:rsidRDefault="0029497D" w:rsidP="0029497D">
      <w:pPr>
        <w:pStyle w:val="Heading1"/>
      </w:pPr>
      <w:r w:rsidRPr="0029497D">
        <w:t xml:space="preserve">6. The engineering reading: </w:t>
      </w:r>
      <w:r w:rsidRPr="0029497D">
        <w:rPr>
          <w:sz w:val="32"/>
          <w:szCs w:val="32"/>
        </w:rPr>
        <w:t>the unmaskable arousal interrupt</w:t>
      </w:r>
    </w:p>
    <w:p w14:paraId="3EEA14B1" w14:textId="2A983234" w:rsidR="0029497D" w:rsidRPr="0029497D" w:rsidRDefault="0029497D" w:rsidP="0029497D">
      <w:pPr>
        <w:jc w:val="both"/>
      </w:pPr>
      <w:r w:rsidRPr="0029497D">
        <w:t xml:space="preserve">The program builds consequence-bearing agents, and the arousal melt has a direct design consequence `[CAND/HOR]`. If </w:t>
      </w:r>
      <m:oMath>
        <m:sSub>
          <m:sSubPr>
            <m:ctrlPr>
              <w:rPr>
                <w:rFonts w:ascii="Cambria Math" w:hAnsi="Cambria Math"/>
              </w:rPr>
            </m:ctrlPr>
          </m:sSubPr>
          <m:e>
            <m:r>
              <w:rPr>
                <w:rFonts w:ascii="Cambria Math" w:hAnsi="Cambria Math"/>
              </w:rPr>
              <m:t>μ</m:t>
            </m:r>
          </m:e>
          <m:sub>
            <m:r>
              <m:rPr>
                <m:nor/>
              </m:rPr>
              <m:t>arousal</m:t>
            </m:r>
          </m:sub>
        </m:sSub>
      </m:oMath>
      <w:r w:rsidRPr="0029497D">
        <w:t xml:space="preserve">is the operator that forces a free descent to a hard floor, then a defensible agent should implement it as an unmaskable interrupt placed outside the learning loop — </w:t>
      </w:r>
      <w:r w:rsidRPr="0029497D">
        <w:lastRenderedPageBreak/>
        <w:t xml:space="preserve">a channel from thermodynamic sensors (battery depletion, chassis damage, thermal limits) that, on a spike, drops the agent out of its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29497D">
        <w:t xml:space="preserve">obstruction tests and </w:t>
      </w:r>
      <m:oMath>
        <m:r>
          <w:rPr>
            <w:rFonts w:ascii="Cambria Math" w:hAnsi="Cambria Math"/>
          </w:rPr>
          <m:t>E</m:t>
        </m:r>
      </m:oMath>
      <w:r w:rsidRPr="0029497D">
        <w:t>-chain bounding into a pre-specified proximity-floor state. The essential property, inherited directly from the Defensible Kernel, is that this interrupt must be a bound the *cortex's gradient cannot reach*: a learnable safety floor is a breakable safety floor, so the melt channel and its floor must be frozen against task learning, exactly as the echo-state expansion and the muscle-force cone are.</w:t>
      </w:r>
    </w:p>
    <w:p w14:paraId="35289B26" w14:textId="77777777" w:rsidR="0029497D" w:rsidRPr="0029497D" w:rsidRDefault="0029497D" w:rsidP="0029497D">
      <w:pPr>
        <w:jc w:val="both"/>
      </w:pPr>
      <w:r w:rsidRPr="0029497D">
        <w:t xml:space="preserve">Two disciplines the program forces on the naive version. First, the floor the interrupt drops to must itself be </w:t>
      </w:r>
      <w:r w:rsidRPr="0029497D">
        <w:rPr>
          <w:b/>
          <w:bCs/>
        </w:rPr>
        <w:t>bounded and recoverable</w:t>
      </w:r>
      <w:r w:rsidRPr="0029497D">
        <w:t xml:space="preserve"> — it should land in a physically safe, in-envelope state (the engineered analogue of the muscle cone: freeze, or a constrained safe posture), not an arbitrary one, or the safety mechanism becomes its own hazard. Second, the interrupt must be </w:t>
      </w:r>
      <w:r w:rsidRPr="0029497D">
        <w:rPr>
          <w:b/>
          <w:bCs/>
        </w:rPr>
        <w:t>unmaskable but not unbounded in authority</w:t>
      </w:r>
      <w:r w:rsidRPr="0029497D">
        <w:t xml:space="preserve">: it suspends certification, so it must hand control to a </w:t>
      </w:r>
      <w:r w:rsidRPr="0029497D">
        <w:rPr>
          <w:i/>
          <w:iCs/>
        </w:rPr>
        <w:t>pre-certified</w:t>
      </w:r>
      <w:r w:rsidRPr="0029497D">
        <w:t xml:space="preserve"> reflex (the consolidated, cone-bounded behaviour of the companion papers), never to an uncertified free action. The arousal interrupt is thus the system-level statement of the whole program: the deepest safety guarantee is the one rung that learning is structurally forbidden to touch.</w:t>
      </w:r>
    </w:p>
    <w:p w14:paraId="71D4DA44" w14:textId="77777777" w:rsidR="0029497D" w:rsidRPr="0029497D" w:rsidRDefault="0029497D" w:rsidP="0029497D">
      <w:pPr>
        <w:pStyle w:val="Heading1"/>
      </w:pPr>
      <w:r w:rsidRPr="0029497D">
        <w:t>7. Tiering, idealizations, open items</w:t>
      </w:r>
    </w:p>
    <w:p w14:paraId="0DC65E43" w14:textId="564BE875" w:rsidR="0029497D" w:rsidRPr="0029497D" w:rsidRDefault="0029497D" w:rsidP="0029497D">
      <w:pPr>
        <w:jc w:val="both"/>
      </w:pPr>
      <w:r w:rsidRPr="0029497D">
        <w:t xml:space="preserve">`[LB]` — the proximity facts (between topology and uniformity; no graded entourages </w:t>
      </w:r>
      <w:r w:rsidRPr="0029497D">
        <w:rPr>
          <w:rFonts w:ascii="Cambria Math" w:hAnsi="Cambria Math" w:cs="Cambria Math"/>
        </w:rPr>
        <w:t>⟹</w:t>
      </w:r>
      <w:r w:rsidRPr="0029497D">
        <w:t xml:space="preserve"> no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29497D">
        <w:t xml:space="preserve">); the descent-prerequisite (Paper 2 addendum); the ground adjunction as a degenerate threshold Galois connection. `[SUP]` — the RF's diffuse isodendritic architecture and ARAS arousal/sleep–wake control; the spinoreticular/spinothalamic split (arousal-operator vs discriminative-coordinate); preserved brainstem reflexes in coma. `[CAND]` — the identification of the RF with the proximity rung, of pain with </w:t>
      </w:r>
      <m:oMath>
        <m:sSub>
          <m:sSubPr>
            <m:ctrlPr>
              <w:rPr>
                <w:rFonts w:ascii="Cambria Math" w:hAnsi="Cambria Math"/>
              </w:rPr>
            </m:ctrlPr>
          </m:sSubPr>
          <m:e>
            <m:r>
              <w:rPr>
                <w:rFonts w:ascii="Cambria Math" w:hAnsi="Cambria Math"/>
              </w:rPr>
              <m:t>μ</m:t>
            </m:r>
          </m:e>
          <m:sub>
            <m:r>
              <m:rPr>
                <m:nor/>
              </m:rPr>
              <m:t>arousal</m:t>
            </m:r>
          </m:sub>
        </m:sSub>
      </m:oMath>
      <w:r w:rsidRPr="0029497D">
        <w:t xml:space="preserve">, of the broadcast with the </w:t>
      </w:r>
      <m:oMath>
        <m:r>
          <w:rPr>
            <w:rFonts w:ascii="Cambria Math" w:hAnsi="Cambria Math"/>
          </w:rPr>
          <m:t>ε</m:t>
        </m:r>
      </m:oMath>
      <w:r w:rsidRPr="0029497D">
        <w:t xml:space="preserve">-generating ground coupling, and the central proposition; the engineering interrupt is `[CAND/HOR]`. Idealizations held open: whether the topological rung is fully captured by "coma as local reflex islands"; and whether the ground adjunction's chain </w:t>
      </w:r>
      <m:oMath>
        <m:r>
          <m:rPr>
            <m:scr m:val="script"/>
          </m:rPr>
          <w:rPr>
            <w:rFonts w:ascii="Cambria Math" w:hAnsi="Cambria Math"/>
          </w:rPr>
          <m:t>T</m:t>
        </m:r>
      </m:oMath>
      <w:r w:rsidRPr="0029497D">
        <w:t xml:space="preserve">should be the scalar arousal or, more honestly, the partially-ordered neuromodulator vector — in which case the ignition map is a monotone map from a product order to </w:t>
      </w:r>
      <m:oMath>
        <m:r>
          <m:rPr>
            <m:sty m:val="b"/>
          </m:rPr>
          <w:rPr>
            <w:rFonts w:ascii="Cambria Math" w:hAnsi="Cambria Math"/>
          </w:rPr>
          <m:t>2</m:t>
        </m:r>
      </m:oMath>
      <w:r w:rsidRPr="0029497D">
        <w:t xml:space="preserve">, and the single threshold </w:t>
      </w:r>
      <m:oMath>
        <m:r>
          <w:rPr>
            <w:rFonts w:ascii="Cambria Math" w:hAnsi="Cambria Math"/>
          </w:rPr>
          <m:t>τ</m:t>
        </m:r>
      </m:oMath>
      <w:r w:rsidRPr="0029497D">
        <w:t>becomes a decision *surface*. This last is the first thing to formalize next, and it is the same vector that §3 forbids collapsing.</w:t>
      </w:r>
    </w:p>
    <w:p w14:paraId="3BAAB7AE" w14:textId="77777777" w:rsidR="0029497D" w:rsidRPr="0029497D" w:rsidRDefault="0029497D" w:rsidP="0029497D">
      <w:pPr>
        <w:pStyle w:val="Heading1"/>
      </w:pPr>
      <w:r w:rsidRPr="0029497D">
        <w:t>Bibliography</w:t>
      </w:r>
    </w:p>
    <w:p w14:paraId="1F556774" w14:textId="77777777" w:rsidR="0029497D" w:rsidRPr="0029497D" w:rsidRDefault="0029497D" w:rsidP="0029497D">
      <w:pPr>
        <w:pStyle w:val="Heading2"/>
      </w:pPr>
      <w:r w:rsidRPr="0029497D">
        <w:t>Mathematics.</w:t>
      </w:r>
    </w:p>
    <w:p w14:paraId="2A6E8D6E" w14:textId="77777777" w:rsidR="0029497D" w:rsidRPr="0029497D" w:rsidRDefault="0029497D" w:rsidP="0029497D">
      <w:pPr>
        <w:numPr>
          <w:ilvl w:val="0"/>
          <w:numId w:val="2"/>
        </w:numPr>
        <w:jc w:val="both"/>
      </w:pPr>
      <w:r w:rsidRPr="0029497D">
        <w:t xml:space="preserve">Proximity spaces (Efremovič; Naimpally &amp; Warrack, </w:t>
      </w:r>
      <w:r w:rsidRPr="0029497D">
        <w:rPr>
          <w:i/>
          <w:iCs/>
        </w:rPr>
        <w:t>Proximity Spaces</w:t>
      </w:r>
      <w:r w:rsidRPr="0029497D">
        <w:t xml:space="preserve">) — between topology and uniformity; induced topology; no graded entourages. </w:t>
      </w:r>
      <w:r w:rsidRPr="0029497D">
        <w:rPr>
          <w:b/>
          <w:bCs/>
        </w:rPr>
        <w:t>[standard]</w:t>
      </w:r>
    </w:p>
    <w:p w14:paraId="6E3488F4" w14:textId="77777777" w:rsidR="0029497D" w:rsidRPr="0029497D" w:rsidRDefault="0029497D" w:rsidP="0029497D">
      <w:pPr>
        <w:numPr>
          <w:ilvl w:val="0"/>
          <w:numId w:val="2"/>
        </w:numPr>
        <w:jc w:val="both"/>
      </w:pPr>
      <w:r w:rsidRPr="0029497D">
        <w:t xml:space="preserve">Galois connections / adjunctions between posets; threshold maps and their adjoints. </w:t>
      </w:r>
      <w:r w:rsidRPr="0029497D">
        <w:rPr>
          <w:b/>
          <w:bCs/>
        </w:rPr>
        <w:t>[standard]</w:t>
      </w:r>
    </w:p>
    <w:p w14:paraId="7076EA3B" w14:textId="77777777" w:rsidR="0029497D" w:rsidRPr="0029497D" w:rsidRDefault="0029497D" w:rsidP="0029497D">
      <w:pPr>
        <w:pStyle w:val="Heading2"/>
      </w:pPr>
      <w:r w:rsidRPr="0029497D">
        <w:t>Neuroanatomy.</w:t>
      </w:r>
    </w:p>
    <w:p w14:paraId="1D04C15D" w14:textId="2CBB1060" w:rsidR="0029497D" w:rsidRPr="0029497D" w:rsidRDefault="0029497D" w:rsidP="0029497D">
      <w:pPr>
        <w:numPr>
          <w:ilvl w:val="0"/>
          <w:numId w:val="3"/>
        </w:numPr>
        <w:jc w:val="both"/>
      </w:pPr>
      <w:r w:rsidRPr="0029497D">
        <w:t xml:space="preserve">Reticular formation / ARAS: diffuse isodendritic architecture; control of cortical excitability, arousal, sleep–wake via diffuse cholinergic/adrenergic broadcast through intralaminar thalamus; reticulospinal control of baseline muscle tone; RF nuclei lack somatotopic organization. StatPearls </w:t>
      </w:r>
      <w:r w:rsidRPr="0029497D">
        <w:rPr>
          <w:i/>
          <w:iCs/>
        </w:rPr>
        <w:t>Neuroanatomy, Reticular Formation</w:t>
      </w:r>
      <w:r w:rsidRPr="0029497D">
        <w:t xml:space="preserve"> (NBK556102) and </w:t>
      </w:r>
      <w:r w:rsidRPr="0029497D">
        <w:rPr>
          <w:i/>
          <w:iCs/>
        </w:rPr>
        <w:t>Reticular Activating System</w:t>
      </w:r>
      <w:r w:rsidRPr="0029497D">
        <w:t xml:space="preserve"> (NBK549835); </w:t>
      </w:r>
      <w:r w:rsidRPr="0029497D">
        <w:rPr>
          <w:i/>
          <w:iCs/>
        </w:rPr>
        <w:t>Functional Anatomy of the Reticular Formation</w:t>
      </w:r>
      <w:r w:rsidRPr="0029497D">
        <w:t xml:space="preserve"> (PMC6548970).</w:t>
      </w:r>
    </w:p>
    <w:p w14:paraId="5A7ABDDD" w14:textId="3DF0978B" w:rsidR="0029497D" w:rsidRPr="0029497D" w:rsidRDefault="0029497D" w:rsidP="0029497D">
      <w:pPr>
        <w:numPr>
          <w:ilvl w:val="0"/>
          <w:numId w:val="3"/>
        </w:numPr>
        <w:jc w:val="both"/>
      </w:pPr>
      <w:r w:rsidRPr="0029497D">
        <w:lastRenderedPageBreak/>
        <w:t xml:space="preserve">Pain tracts: the spinothalamic tract conveys sensory-discriminative pain (location/intensity) to ventrocaudal thalamus → somatosensory/insular cortex; the spinoreticular tract (phylogenetically older) conveys affective-motivational and arousing pain to the reticular formation → intralaminar/medial thalamus → diffuse cortex, as part of the ARAS. </w:t>
      </w:r>
      <w:r w:rsidRPr="0029497D">
        <w:rPr>
          <w:i/>
          <w:iCs/>
        </w:rPr>
        <w:t>Spinoreticular Tract</w:t>
      </w:r>
      <w:r w:rsidRPr="0029497D">
        <w:t xml:space="preserve"> and </w:t>
      </w:r>
      <w:r w:rsidRPr="0029497D">
        <w:rPr>
          <w:i/>
          <w:iCs/>
        </w:rPr>
        <w:t>Spinothalamic Tract</w:t>
      </w:r>
      <w:r w:rsidRPr="0029497D">
        <w:t xml:space="preserve"> (ScienceDirect Topics); Willis, </w:t>
      </w:r>
      <w:r w:rsidRPr="0029497D">
        <w:rPr>
          <w:i/>
          <w:iCs/>
        </w:rPr>
        <w:t>The Anatomy and Physiology of Pain</w:t>
      </w:r>
      <w:r w:rsidRPr="0029497D">
        <w:t xml:space="preserve"> (NBK219252).</w:t>
      </w:r>
    </w:p>
    <w:p w14:paraId="31D2A027" w14:textId="77777777" w:rsidR="0029497D" w:rsidRPr="0029497D" w:rsidRDefault="0029497D" w:rsidP="0029497D">
      <w:pPr>
        <w:numPr>
          <w:ilvl w:val="0"/>
          <w:numId w:val="3"/>
        </w:numPr>
        <w:jc w:val="both"/>
      </w:pPr>
      <w:r w:rsidRPr="0029497D">
        <w:t xml:space="preserve">Preserved brainstem reflexes (pupillary light, corneal, gag) in coma despite loss of global arousal: standard coma/brain-death examination. </w:t>
      </w:r>
      <w:r w:rsidRPr="0029497D">
        <w:rPr>
          <w:b/>
          <w:bCs/>
        </w:rPr>
        <w:t>[standard]</w:t>
      </w:r>
    </w:p>
    <w:p w14:paraId="7856BBFA" w14:textId="77777777" w:rsidR="0029497D" w:rsidRDefault="0029497D" w:rsidP="0029497D">
      <w:pPr>
        <w:pStyle w:val="Heading2"/>
      </w:pPr>
      <w:r w:rsidRPr="0029497D">
        <w:t>This framework.</w:t>
      </w:r>
    </w:p>
    <w:p w14:paraId="14C35AA8" w14:textId="77777777" w:rsidR="0092269A" w:rsidRDefault="0092269A" w:rsidP="0092269A">
      <w:pPr>
        <w:numPr>
          <w:ilvl w:val="0"/>
          <w:numId w:val="5"/>
        </w:numPr>
        <w:jc w:val="both"/>
      </w:pPr>
      <w:r w:rsidRPr="005425C7">
        <w:t>Ghosh D. P. (2026).</w:t>
      </w:r>
      <w:r>
        <w:t xml:space="preserve"> </w:t>
      </w:r>
      <w:r w:rsidRPr="007819ED">
        <w:rPr>
          <w:i/>
          <w:iCs/>
        </w:rPr>
        <w:t>Proximity, Uniformity, and Provenance</w:t>
      </w:r>
      <w:r w:rsidRPr="007819ED">
        <w:t xml:space="preserve"> (the Transformer with no envelope); </w:t>
      </w:r>
    </w:p>
    <w:p w14:paraId="257988C5" w14:textId="77777777" w:rsidR="0092269A" w:rsidRDefault="0092269A" w:rsidP="0092269A">
      <w:pPr>
        <w:numPr>
          <w:ilvl w:val="0"/>
          <w:numId w:val="5"/>
        </w:numPr>
        <w:jc w:val="both"/>
      </w:pPr>
      <w:r w:rsidRPr="005425C7">
        <w:t>Ghosh D. P. (2026).</w:t>
      </w:r>
      <w:r>
        <w:t xml:space="preserve"> </w:t>
      </w:r>
      <w:r w:rsidRPr="007819ED">
        <w:rPr>
          <w:i/>
          <w:iCs/>
        </w:rPr>
        <w:t>The Hierarchy of Binding</w:t>
      </w:r>
      <w:r w:rsidRPr="007819ED">
        <w:t xml:space="preserve"> (π0.7 Knowledge Insulation); </w:t>
      </w:r>
    </w:p>
    <w:p w14:paraId="7F304904" w14:textId="6AA90496" w:rsidR="00EC0876" w:rsidRDefault="00EC0876" w:rsidP="0092269A">
      <w:pPr>
        <w:numPr>
          <w:ilvl w:val="0"/>
          <w:numId w:val="5"/>
        </w:numPr>
        <w:jc w:val="both"/>
      </w:pPr>
      <w:r w:rsidRPr="005425C7">
        <w:t>Ghosh D. P. (2026).</w:t>
      </w:r>
      <w:r>
        <w:t xml:space="preserve"> </w:t>
      </w:r>
      <w:r>
        <w:t>T</w:t>
      </w:r>
      <w:r w:rsidRPr="0029497D">
        <w:t>he pain manuscript (the topological computation of pain).</w:t>
      </w:r>
    </w:p>
    <w:p w14:paraId="4280A7B6" w14:textId="77777777" w:rsidR="0092269A" w:rsidRDefault="0092269A" w:rsidP="0092269A">
      <w:pPr>
        <w:numPr>
          <w:ilvl w:val="0"/>
          <w:numId w:val="5"/>
        </w:numPr>
        <w:jc w:val="both"/>
      </w:pPr>
      <w:r w:rsidRPr="005425C7">
        <w:t>Ghosh D. P. (2026). Inhibit the Average, Inhibit the Tail: A Thalamocortical Theory of Conscious Access, Automatization, and Precision-Misalignment Pathology</w:t>
      </w:r>
      <w:r>
        <w:t xml:space="preserve">, </w:t>
      </w:r>
      <w:hyperlink r:id="rId9" w:history="1">
        <w:r w:rsidRPr="000F6E42">
          <w:rPr>
            <w:rStyle w:val="Hyperlink"/>
          </w:rPr>
          <w:t>https://doi.org/10.13140/RG.2.2.16306.77763</w:t>
        </w:r>
      </w:hyperlink>
    </w:p>
    <w:p w14:paraId="5CAEC928" w14:textId="77777777" w:rsidR="0092269A" w:rsidRDefault="0092269A" w:rsidP="0092269A">
      <w:pPr>
        <w:numPr>
          <w:ilvl w:val="0"/>
          <w:numId w:val="5"/>
        </w:numPr>
        <w:jc w:val="both"/>
      </w:pPr>
      <w:r w:rsidRPr="005425C7">
        <w:t>Ghosh D. P. (2026).</w:t>
      </w:r>
      <w:r>
        <w:t xml:space="preserve"> </w:t>
      </w:r>
      <w:r w:rsidRPr="005425C7">
        <w:t>The Geometry of Defensible Action: An Enrichment-Ladder Theory of Certifiable Intelligence, from Cortico-Striatal Gating to the Thalamic Binding of Action, Fear, and Sleep</w:t>
      </w:r>
      <w:r>
        <w:t xml:space="preserve">, </w:t>
      </w:r>
      <w:hyperlink r:id="rId10" w:history="1">
        <w:r w:rsidRPr="000F6E42">
          <w:rPr>
            <w:rStyle w:val="Hyperlink"/>
          </w:rPr>
          <w:t>https://doi.org/10.13140/RG.2.2.24454.54080</w:t>
        </w:r>
      </w:hyperlink>
      <w:r>
        <w:t xml:space="preserve"> </w:t>
      </w:r>
    </w:p>
    <w:p w14:paraId="3867EDC8" w14:textId="77777777" w:rsidR="0092269A" w:rsidRDefault="0092269A" w:rsidP="0092269A">
      <w:pPr>
        <w:numPr>
          <w:ilvl w:val="0"/>
          <w:numId w:val="5"/>
        </w:numPr>
        <w:jc w:val="both"/>
      </w:pPr>
      <w:r w:rsidRPr="005425C7">
        <w:t>Ghosh D. P. (2026).</w:t>
      </w:r>
      <w:r>
        <w:t xml:space="preserve"> </w:t>
      </w:r>
      <w:r w:rsidRPr="005425C7">
        <w:t>The Categorical Foundations of the Thermodynamic-Electric Coupling</w:t>
      </w:r>
      <w:r>
        <w:t xml:space="preserve">, </w:t>
      </w:r>
      <w:hyperlink r:id="rId11" w:history="1">
        <w:r w:rsidRPr="000F6E42">
          <w:rPr>
            <w:rStyle w:val="Hyperlink"/>
          </w:rPr>
          <w:t>https://doi.org/10.13140/RG.2.2.11096.66566</w:t>
        </w:r>
      </w:hyperlink>
      <w:r>
        <w:t xml:space="preserve">. </w:t>
      </w:r>
    </w:p>
    <w:p w14:paraId="0619DADD" w14:textId="77777777" w:rsidR="0092269A" w:rsidRDefault="0092269A" w:rsidP="0092269A">
      <w:pPr>
        <w:numPr>
          <w:ilvl w:val="0"/>
          <w:numId w:val="5"/>
        </w:numPr>
        <w:jc w:val="both"/>
      </w:pPr>
      <w:r w:rsidRPr="005425C7">
        <w:t>Ghosh D. P. (2026).</w:t>
      </w:r>
      <w:r>
        <w:t xml:space="preserve"> </w:t>
      </w:r>
      <w:r w:rsidRPr="005425C7">
        <w:t>Settling and Traversing: The Cerebellum as a Kernel Machine at the Uniform-Coarse Pivot</w:t>
      </w:r>
      <w:r>
        <w:t xml:space="preserve">, </w:t>
      </w:r>
      <w:hyperlink r:id="rId12" w:history="1">
        <w:r w:rsidRPr="000F6E42">
          <w:rPr>
            <w:rStyle w:val="Hyperlink"/>
          </w:rPr>
          <w:t>https://doi.org/10.13140/RG.2.2.31186.72648</w:t>
        </w:r>
      </w:hyperlink>
      <w:r>
        <w:t xml:space="preserve">. </w:t>
      </w:r>
    </w:p>
    <w:p w14:paraId="25BE4C33" w14:textId="0628A415" w:rsidR="00DC1523" w:rsidRDefault="0092269A" w:rsidP="00D742A4">
      <w:pPr>
        <w:numPr>
          <w:ilvl w:val="0"/>
          <w:numId w:val="4"/>
        </w:numPr>
        <w:jc w:val="both"/>
      </w:pPr>
      <w:r w:rsidRPr="005425C7">
        <w:t>Ghosh D. P. (2026).</w:t>
      </w:r>
      <w:r>
        <w:t xml:space="preserve"> </w:t>
      </w:r>
      <w:r w:rsidR="00EC0876" w:rsidRPr="00EC0876">
        <w:t>The Defensible Cerebellum Kernel: Fixed bounds, a learned readout, and the dissociation a seizure reveals</w:t>
      </w:r>
      <w:r w:rsidR="0029497D" w:rsidRPr="0029497D">
        <w:t xml:space="preserve">;  </w:t>
      </w:r>
      <w:hyperlink r:id="rId13" w:history="1">
        <w:r w:rsidRPr="000F6E42">
          <w:rPr>
            <w:rStyle w:val="Hyperlink"/>
          </w:rPr>
          <w:t>https://doi.org/10.13140/RG.2.2.24318.55369</w:t>
        </w:r>
      </w:hyperlink>
      <w:r>
        <w:t xml:space="preserve"> </w:t>
      </w:r>
      <w:r w:rsidR="00D742A4">
        <w:t xml:space="preserve"> </w:t>
      </w: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3F8"/>
    <w:multiLevelType w:val="multilevel"/>
    <w:tmpl w:val="7E24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35305"/>
    <w:multiLevelType w:val="multilevel"/>
    <w:tmpl w:val="4D4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5181"/>
    <w:multiLevelType w:val="multilevel"/>
    <w:tmpl w:val="003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C47EC"/>
    <w:multiLevelType w:val="multilevel"/>
    <w:tmpl w:val="BB0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F019C"/>
    <w:multiLevelType w:val="multilevel"/>
    <w:tmpl w:val="C88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944065">
    <w:abstractNumId w:val="0"/>
  </w:num>
  <w:num w:numId="2" w16cid:durableId="405803258">
    <w:abstractNumId w:val="3"/>
  </w:num>
  <w:num w:numId="3" w16cid:durableId="1431127044">
    <w:abstractNumId w:val="4"/>
  </w:num>
  <w:num w:numId="4" w16cid:durableId="602542965">
    <w:abstractNumId w:val="1"/>
  </w:num>
  <w:num w:numId="5" w16cid:durableId="124888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4F"/>
    <w:rsid w:val="0029497D"/>
    <w:rsid w:val="002C3F9C"/>
    <w:rsid w:val="00527830"/>
    <w:rsid w:val="007D504F"/>
    <w:rsid w:val="008B08B7"/>
    <w:rsid w:val="0092269A"/>
    <w:rsid w:val="00963839"/>
    <w:rsid w:val="00997E89"/>
    <w:rsid w:val="00B57C8F"/>
    <w:rsid w:val="00C24516"/>
    <w:rsid w:val="00D742A4"/>
    <w:rsid w:val="00DC1523"/>
    <w:rsid w:val="00E0129C"/>
    <w:rsid w:val="00EC0876"/>
    <w:rsid w:val="00EE1940"/>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65EC"/>
  <w15:chartTrackingRefBased/>
  <w15:docId w15:val="{F3A895B5-4829-4A55-9F52-3CB8EAEE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5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5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04F"/>
    <w:rPr>
      <w:rFonts w:eastAsiaTheme="majorEastAsia" w:cstheme="majorBidi"/>
      <w:color w:val="272727" w:themeColor="text1" w:themeTint="D8"/>
    </w:rPr>
  </w:style>
  <w:style w:type="paragraph" w:styleId="Title">
    <w:name w:val="Title"/>
    <w:basedOn w:val="Normal"/>
    <w:next w:val="Normal"/>
    <w:link w:val="TitleChar"/>
    <w:uiPriority w:val="10"/>
    <w:qFormat/>
    <w:rsid w:val="007D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04F"/>
    <w:pPr>
      <w:spacing w:before="160"/>
      <w:jc w:val="center"/>
    </w:pPr>
    <w:rPr>
      <w:i/>
      <w:iCs/>
      <w:color w:val="404040" w:themeColor="text1" w:themeTint="BF"/>
    </w:rPr>
  </w:style>
  <w:style w:type="character" w:customStyle="1" w:styleId="QuoteChar">
    <w:name w:val="Quote Char"/>
    <w:basedOn w:val="DefaultParagraphFont"/>
    <w:link w:val="Quote"/>
    <w:uiPriority w:val="29"/>
    <w:rsid w:val="007D504F"/>
    <w:rPr>
      <w:i/>
      <w:iCs/>
      <w:color w:val="404040" w:themeColor="text1" w:themeTint="BF"/>
    </w:rPr>
  </w:style>
  <w:style w:type="paragraph" w:styleId="ListParagraph">
    <w:name w:val="List Paragraph"/>
    <w:basedOn w:val="Normal"/>
    <w:uiPriority w:val="34"/>
    <w:qFormat/>
    <w:rsid w:val="007D504F"/>
    <w:pPr>
      <w:ind w:left="720"/>
      <w:contextualSpacing/>
    </w:pPr>
  </w:style>
  <w:style w:type="character" w:styleId="IntenseEmphasis">
    <w:name w:val="Intense Emphasis"/>
    <w:basedOn w:val="DefaultParagraphFont"/>
    <w:uiPriority w:val="21"/>
    <w:qFormat/>
    <w:rsid w:val="007D504F"/>
    <w:rPr>
      <w:i/>
      <w:iCs/>
      <w:color w:val="2F5496" w:themeColor="accent1" w:themeShade="BF"/>
    </w:rPr>
  </w:style>
  <w:style w:type="paragraph" w:styleId="IntenseQuote">
    <w:name w:val="Intense Quote"/>
    <w:basedOn w:val="Normal"/>
    <w:next w:val="Normal"/>
    <w:link w:val="IntenseQuoteChar"/>
    <w:uiPriority w:val="30"/>
    <w:qFormat/>
    <w:rsid w:val="007D5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04F"/>
    <w:rPr>
      <w:i/>
      <w:iCs/>
      <w:color w:val="2F5496" w:themeColor="accent1" w:themeShade="BF"/>
    </w:rPr>
  </w:style>
  <w:style w:type="character" w:styleId="IntenseReference">
    <w:name w:val="Intense Reference"/>
    <w:basedOn w:val="DefaultParagraphFont"/>
    <w:uiPriority w:val="32"/>
    <w:qFormat/>
    <w:rsid w:val="007D504F"/>
    <w:rPr>
      <w:b/>
      <w:bCs/>
      <w:smallCaps/>
      <w:color w:val="2F5496" w:themeColor="accent1" w:themeShade="BF"/>
      <w:spacing w:val="5"/>
    </w:rPr>
  </w:style>
  <w:style w:type="character" w:styleId="Hyperlink">
    <w:name w:val="Hyperlink"/>
    <w:basedOn w:val="DefaultParagraphFont"/>
    <w:uiPriority w:val="99"/>
    <w:unhideWhenUsed/>
    <w:rsid w:val="0029497D"/>
    <w:rPr>
      <w:color w:val="0563C1" w:themeColor="hyperlink"/>
      <w:u w:val="single"/>
    </w:rPr>
  </w:style>
  <w:style w:type="character" w:styleId="UnresolvedMention">
    <w:name w:val="Unresolved Mention"/>
    <w:basedOn w:val="DefaultParagraphFont"/>
    <w:uiPriority w:val="99"/>
    <w:semiHidden/>
    <w:unhideWhenUsed/>
    <w:rsid w:val="00922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0333.96488" TargetMode="External"/><Relationship Id="rId13" Type="http://schemas.openxmlformats.org/officeDocument/2006/relationships/hyperlink" Target="https://doi.org/10.13140/RG.2.2.24318.5536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140/RG.2.2.31186.726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doi.org/10.13140/RG.2.2.11096.66566" TargetMode="External"/><Relationship Id="rId5" Type="http://schemas.openxmlformats.org/officeDocument/2006/relationships/hyperlink" Target="mailto:debiprasadghosh@lntecc.com" TargetMode="External"/><Relationship Id="rId15" Type="http://schemas.openxmlformats.org/officeDocument/2006/relationships/theme" Target="theme/theme1.xml"/><Relationship Id="rId10" Type="http://schemas.openxmlformats.org/officeDocument/2006/relationships/hyperlink" Target="https://doi.org/10.13140/RG.2.2.24454.54080" TargetMode="External"/><Relationship Id="rId4" Type="http://schemas.openxmlformats.org/officeDocument/2006/relationships/webSettings" Target="webSettings.xml"/><Relationship Id="rId9" Type="http://schemas.openxmlformats.org/officeDocument/2006/relationships/hyperlink" Target="https://doi.org/10.13140/RG.2.2.16306.7776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9</cp:revision>
  <cp:lastPrinted>2026-06-13T08:35:00Z</cp:lastPrinted>
  <dcterms:created xsi:type="dcterms:W3CDTF">2026-06-13T08:15:00Z</dcterms:created>
  <dcterms:modified xsi:type="dcterms:W3CDTF">2026-06-13T08:38:00Z</dcterms:modified>
</cp:coreProperties>
</file>