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52EB" w14:textId="77777777" w:rsidR="008A259C" w:rsidRPr="006B4CC5" w:rsidRDefault="008A259C" w:rsidP="008A259C">
      <w:pPr>
        <w:pStyle w:val="Title"/>
        <w:pBdr>
          <w:bottom w:val="single" w:sz="6" w:space="1" w:color="auto"/>
        </w:pBdr>
        <w:jc w:val="both"/>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t</w:t>
      </w:r>
      <w:r w:rsidRPr="009F645A">
        <w:rPr>
          <w:rFonts w:asciiTheme="minorHAnsi" w:hAnsiTheme="minorHAnsi"/>
          <w:sz w:val="22"/>
          <w:szCs w:val="22"/>
        </w:rPr>
        <w:t>he 12th International Day of Yoga (June 21, 2026)</w:t>
      </w:r>
      <w:r>
        <w:rPr>
          <w:rFonts w:asciiTheme="minorHAnsi" w:hAnsiTheme="minorHAnsi"/>
          <w:sz w:val="22"/>
          <w:szCs w:val="22"/>
        </w:rPr>
        <w:t>.</w:t>
      </w:r>
    </w:p>
    <w:p w14:paraId="2F3E5BD2" w14:textId="6D0DCB2A" w:rsidR="00BA2B87" w:rsidRPr="00BA2B87" w:rsidRDefault="00BA2B87" w:rsidP="00BA2B87">
      <w:pPr>
        <w:pStyle w:val="Title"/>
        <w:jc w:val="center"/>
        <w:rPr>
          <w:sz w:val="32"/>
          <w:szCs w:val="32"/>
        </w:rPr>
      </w:pPr>
      <w:r w:rsidRPr="00BA2B87">
        <w:rPr>
          <w:sz w:val="36"/>
          <w:szCs w:val="36"/>
        </w:rPr>
        <w:t xml:space="preserve">The Restriction Vertex: </w:t>
      </w:r>
      <w:r w:rsidRPr="00BA2B87">
        <w:rPr>
          <w:sz w:val="32"/>
          <w:szCs w:val="32"/>
        </w:rPr>
        <w:t>The algebra of restriction, its realization as cortical feedback, and the executive veto — the third coordinate of defensible audit</w:t>
      </w:r>
    </w:p>
    <w:p w14:paraId="3873C04D" w14:textId="77777777" w:rsidR="008A259C" w:rsidRDefault="008A259C" w:rsidP="008A259C">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166D4DD" wp14:editId="2100F036">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4BA50CBC" w14:textId="77777777" w:rsidR="008A259C" w:rsidRPr="006B4CC5" w:rsidRDefault="008A259C" w:rsidP="008A259C">
      <w:pPr>
        <w:jc w:val="center"/>
      </w:pPr>
      <w:r>
        <w:t>CTO, AI &amp;</w:t>
      </w:r>
      <w:r w:rsidRPr="006B4CC5">
        <w:t xml:space="preserve"> Automation</w:t>
      </w:r>
    </w:p>
    <w:p w14:paraId="15E65C12" w14:textId="77777777" w:rsidR="008A259C" w:rsidRDefault="008A259C" w:rsidP="008A259C">
      <w:pPr>
        <w:tabs>
          <w:tab w:val="center" w:pos="4513"/>
          <w:tab w:val="right" w:pos="9026"/>
        </w:tabs>
        <w:jc w:val="center"/>
      </w:pPr>
      <w:r w:rsidRPr="00F5609C">
        <w:t>Engineering Design &amp; Research Center, Larsen &amp; Toubro Construction (M&amp;M) Kolkata, India</w:t>
      </w:r>
    </w:p>
    <w:p w14:paraId="1470812E" w14:textId="6F817569" w:rsidR="00BA2B87" w:rsidRPr="00BA2B87" w:rsidRDefault="0019563A" w:rsidP="008A259C">
      <w:pPr>
        <w:jc w:val="center"/>
      </w:pPr>
      <w:hyperlink r:id="rId8" w:history="1">
        <w:r w:rsidRPr="00C416F5">
          <w:rPr>
            <w:rStyle w:val="Hyperlink"/>
          </w:rPr>
          <w:t>https://doi.org/10.13140/RG.2.2.18717.68323</w:t>
        </w:r>
      </w:hyperlink>
      <w:r>
        <w:t xml:space="preserve"> </w:t>
      </w:r>
    </w:p>
    <w:p w14:paraId="3B188539" w14:textId="4B5B7FA7" w:rsidR="00BA2B87" w:rsidRPr="00BA2B87" w:rsidRDefault="008A259C" w:rsidP="00BB130E">
      <w:pPr>
        <w:jc w:val="both"/>
      </w:pPr>
      <w:r w:rsidRPr="008A259C">
        <w:rPr>
          <w:b/>
          <w:bCs/>
          <w:i/>
          <w:iCs/>
        </w:rPr>
        <w:t>Abstract</w:t>
      </w:r>
      <w:r>
        <w:rPr>
          <w:i/>
          <w:iCs/>
        </w:rPr>
        <w:t xml:space="preserve">: </w:t>
      </w:r>
      <w:r w:rsidR="00BA2B87" w:rsidRPr="00BA2B87">
        <w:rPr>
          <w:i/>
          <w:iCs/>
        </w:rPr>
        <w:t xml:space="preserve">This paper is the restriction vertex of the failure triad. Where Nerve-Attention certifies that the simplices exist (the domain coordinate) and Hypercovering refines the cover until the computation is faithful (the resolution coordinate), the restriction vertex is the gate itself — the operation that carries a proposed global claim back down to the local evidence it presupposes and tests whether it glues, withholding the class it cannot discharge. It consolidates three lines of the series into one treatment: the </w:t>
      </w:r>
      <w:r w:rsidR="00BA2B87" w:rsidRPr="00BA2B87">
        <w:rPr>
          <w:b/>
          <w:bCs/>
          <w:i/>
          <w:iCs/>
        </w:rPr>
        <w:t>algebra</w:t>
      </w:r>
      <w:r w:rsidR="00BA2B87" w:rsidRPr="00BA2B87">
        <w:rPr>
          <w:i/>
          <w:iCs/>
        </w:rPr>
        <w:t xml:space="preserve"> of the gate (the abelian-sheaf cochain audit, the four-way categorization of error, the connecting homomorphism that is the exact form of the veto); the </w:t>
      </w:r>
      <w:r w:rsidR="00BA2B87" w:rsidRPr="00BA2B87">
        <w:rPr>
          <w:b/>
          <w:bCs/>
          <w:i/>
          <w:iCs/>
        </w:rPr>
        <w:t>physical realization</w:t>
      </w:r>
      <w:r w:rsidR="00BA2B87" w:rsidRPr="00BA2B87">
        <w:rPr>
          <w:i/>
          <w:iCs/>
        </w:rPr>
        <w:t xml:space="preserve"> of the gate (feedback read as the restriction direction, the propose–restrict–decide–repair loop, and the careful reconciliation with the published Transformer diagnosis); and the </w:t>
      </w:r>
      <w:r w:rsidR="00BA2B87" w:rsidRPr="00BA2B87">
        <w:rPr>
          <w:b/>
          <w:bCs/>
          <w:i/>
          <w:iCs/>
        </w:rPr>
        <w:t>cortical realization</w:t>
      </w:r>
      <w:r w:rsidR="00BA2B87" w:rsidRPr="00BA2B87">
        <w:rPr>
          <w:i/>
          <w:iCs/>
        </w:rPr>
        <w:t xml:space="preserve"> of the gate (the realized short exact sequence, kernel retention up the sensory–association hierarchy, and the prefrontal–mediodorsal executive veto). It supersedes the Abelian Cortex, Feedback-as-Restriction, and Realized-Exact-Sequence notes. The one load-bearing mathematical thread is the obstruction class of a sheaf cohomology; everything biological is a structural isomorphism, not an identity; and the paper is scrupulous, in Part II, about the stronger claims it declines. Tiers: [LB], [SUP], [CAND], [F], [V].</w:t>
      </w:r>
    </w:p>
    <w:p w14:paraId="36BBA86F" w14:textId="538FBD76" w:rsidR="00BA2B87" w:rsidRDefault="008A259C" w:rsidP="00BB130E">
      <w:pPr>
        <w:pStyle w:val="Heading1"/>
        <w:jc w:val="both"/>
      </w:pPr>
      <w:r>
        <w:t>Introduction</w:t>
      </w:r>
    </w:p>
    <w:p w14:paraId="1E446154" w14:textId="77777777" w:rsidR="00BB130E" w:rsidRPr="00BB130E" w:rsidRDefault="00BB130E" w:rsidP="00BB130E">
      <w:pPr>
        <w:jc w:val="both"/>
      </w:pPr>
      <w:r w:rsidRPr="00BB130E">
        <w:t>The Defensible Intelligence framework treats intelligence not as fluent generation, scalar optimization, or pattern completion alone, but as the disciplined release of claims that have survived an audit. A system may propose a representation, answer, design decision, action, or report; however, the proposal is not yet defensible merely because it is coherent at the level where it was generated. It must be carried back down to the local evidence, hidden constraints, sensory conditions, motor affordances, contextual rules, and physical invariants that it presupposes. Only when the proposal survives this downward restriction may it be released. If it fails, the system must repair, refine, defer, or refuse.</w:t>
      </w:r>
    </w:p>
    <w:p w14:paraId="40569813" w14:textId="77777777" w:rsidR="00BB130E" w:rsidRPr="00BB130E" w:rsidRDefault="00BB130E" w:rsidP="00BB130E">
      <w:pPr>
        <w:jc w:val="both"/>
      </w:pPr>
      <w:r w:rsidRPr="00BB130E">
        <w:t xml:space="preserve">This paper supplies the </w:t>
      </w:r>
      <w:r w:rsidRPr="00BB130E">
        <w:rPr>
          <w:b/>
          <w:bCs/>
        </w:rPr>
        <w:t>restriction vertex</w:t>
      </w:r>
      <w:r w:rsidRPr="00BB130E">
        <w:t xml:space="preserve"> of the failure triad. The previous two coordinates of audit adequacy already addressed two prior conditions. Nerve-Attention supplies the domain coordinate: the gate can compute only over genuine simplices, not over clique-completed fictions. Hypercovering and Descent supplies the resolution coordinate: even a genuine face may be too coarsely covered, hiding an obstruction that a single-level cover falsely reports as zero. The present paper supplies the third coordinate: restriction. It asks what happens after a high-level claim has been proposed, and before it is allowed to become a report or action. The answer is that the proposed quotient must be restricted back to the local evidence it would forget, and an obstruction class must decide whether release is licensed.</w:t>
      </w:r>
    </w:p>
    <w:p w14:paraId="5514F275" w14:textId="77777777" w:rsidR="00BB130E" w:rsidRPr="00BB130E" w:rsidRDefault="00BB130E" w:rsidP="00BB130E">
      <w:pPr>
        <w:jc w:val="both"/>
      </w:pPr>
      <w:r w:rsidRPr="00BB130E">
        <w:t xml:space="preserve">The central mathematical thread is sheaf cohomology in an abelian setting. A proposed global claim is not treated as a free-standing output, but as a quotient of a richer state. The hidden local constraints </w:t>
      </w:r>
      <w:r w:rsidRPr="00BB130E">
        <w:lastRenderedPageBreak/>
        <w:t>form the kernel; the full cortical or artificial state carries the available data; the report or action is the quotient that tries to discard what is no longer needed. The decisive object is the connecting homomorphism from the proposed quotient section to the first cohomology of the hidden-constraint sheaf. If the proposed claim lifts through the full state without obstruction, it may be released. If it does not lift, the system must withhold. This is the exact algebraic form of veto.</w:t>
      </w:r>
    </w:p>
    <w:p w14:paraId="1FA65F61" w14:textId="77777777" w:rsidR="00BB130E" w:rsidRPr="00BB130E" w:rsidRDefault="00BB130E" w:rsidP="00BB130E">
      <w:pPr>
        <w:jc w:val="both"/>
      </w:pPr>
      <w:r w:rsidRPr="00BB130E">
        <w:t>The paper is careful about what it does not claim. It does not claim that the cortex literally computes sheaf cohomology. It does not claim that feedback is mathematically identical to restriction as a theorem. It does not claim that feedforward systems are guaranteed to hallucinate. It does not reduce cortical layers to symbolic coboundary arithmetic. Instead, it proposes a structural isomorphism: sheaf theory supplies the operation of restriction, and cortical feedback supplies a physical channel capable of realizing the same direction of control. A high-level proposal is carried back downward; the local evidence it presupposes is tested; release is gated by whether the hidden constraints can be discharged.</w:t>
      </w:r>
    </w:p>
    <w:p w14:paraId="4CA5BCCB" w14:textId="77777777" w:rsidR="00BB130E" w:rsidRPr="00BB130E" w:rsidRDefault="00BB130E" w:rsidP="00BB130E">
      <w:pPr>
        <w:jc w:val="both"/>
      </w:pPr>
      <w:r w:rsidRPr="00BB130E">
        <w:t>This restriction vertex also reconciles the framework’s Transformer diagnosis. In the Transformer, attention can be read as soft gluing over a dynamic cover, but the obstruction is vacuous because the transition structure is trivialized. The value contribution is query-independent, so the architecture has no nontrivial transition maps on which a genuine inconsistency can register. Feedback, in this paper’s reading, does not create restriction maps from nothing; rather, it supplies the nontrivial comparison channel that lets a proposal meet the overlaps where disagreement can become visible. The restriction vertex therefore refines the Transformer critique: the issue is not that Transformers lack all gluing behavior, but that they lack a runtime veto channel over nontrivial restriction structure.</w:t>
      </w:r>
    </w:p>
    <w:p w14:paraId="0D488633" w14:textId="77777777" w:rsidR="00BB130E" w:rsidRPr="00BB130E" w:rsidRDefault="00BB130E" w:rsidP="00BB130E">
      <w:pPr>
        <w:jc w:val="both"/>
      </w:pPr>
      <w:r w:rsidRPr="00BB130E">
        <w:t>The biological reading is equally precise. The paper maps the algebra of restriction onto cortical feedback, laminar gating, and the prefrontal–mediodorsal executive loop. Layer 5 is read as the output quotient and release gate; Layer 6 as the corticothalamic audit channel that restricts the proposed quotient back to the local domains; Layer 1 as the apical contextual and precision field; and the prefrontal–mediodorsal loop as the executive specialization of availability and veto. The mediodorsal thalamus keeps rule/action representations available across delay, uncertainty, and context switching, but availability is not permission. Permission belongs to the audit: the proposed rule/action quotient must survive the hidden contextual kernel before it may be released.</w:t>
      </w:r>
    </w:p>
    <w:p w14:paraId="32510CD3" w14:textId="77777777" w:rsidR="00BB130E" w:rsidRPr="00BB130E" w:rsidRDefault="00BB130E" w:rsidP="00BB130E">
      <w:pPr>
        <w:jc w:val="both"/>
      </w:pPr>
      <w:r w:rsidRPr="00BB130E">
        <w:t xml:space="preserve">The thesis of the paper is therefore simple: </w:t>
      </w:r>
      <w:r w:rsidRPr="00BB130E">
        <w:rPr>
          <w:b/>
          <w:bCs/>
        </w:rPr>
        <w:t>the cortex is an abelian audit circuit, and the restriction vertex is the place where a proposed claim meets the evidence it would otherwise forget</w:t>
      </w:r>
      <w:r w:rsidRPr="00BB130E">
        <w:t>. The runtime cycle is propose, restrict, audit, release or refuse, then repair or refine. The currency of the cycle is not scalar loss but obstruction class. The purpose of the gate is not to make every proposal smoother, but to determine which proposals are licensed to stand.</w:t>
      </w:r>
    </w:p>
    <w:p w14:paraId="6A65BA44" w14:textId="462FAB95" w:rsidR="00BB130E" w:rsidRPr="00BB130E" w:rsidRDefault="00BB130E" w:rsidP="0000368B">
      <w:pPr>
        <w:pStyle w:val="Heading2"/>
      </w:pPr>
      <w:r w:rsidRPr="00BB130E">
        <w:t>Neuroscience motivation</w:t>
      </w:r>
    </w:p>
    <w:p w14:paraId="5BA7A4B5" w14:textId="77777777" w:rsidR="00BB130E" w:rsidRPr="00BB130E" w:rsidRDefault="00BB130E" w:rsidP="00BB130E">
      <w:pPr>
        <w:jc w:val="both"/>
      </w:pPr>
      <w:r w:rsidRPr="00BB130E">
        <w:t>The neuroscience motivation begins with the fact that cognition is not a one-way feedforward cascade from sensation to action. The cortex is recurrent, hierarchical, and feedback-rich. Higher cortical areas do not merely receive lower-level representations and pass them forward; they send predictions, constraints, attentional priorities, and contextual signals back down the hierarchy. This bidirectional structure is essential for reading feedback as the physical realization of restriction. A high-level proposal must not remain at the level of abstraction where it was formed; it must descend toward the local sensory, motor, contextual, and bodily conditions that could falsify it.</w:t>
      </w:r>
    </w:p>
    <w:p w14:paraId="4966A412" w14:textId="77777777" w:rsidR="00BB130E" w:rsidRPr="00BB130E" w:rsidRDefault="00BB130E" w:rsidP="00BB130E">
      <w:pPr>
        <w:jc w:val="both"/>
      </w:pPr>
      <w:r w:rsidRPr="00BB130E">
        <w:t xml:space="preserve">The laminar organization of cortex gives this motivation a sharper form. Feedforward streams provide local evidence and candidate assemblies. Feedback streams carry top-down context, prediction, and </w:t>
      </w:r>
      <w:r w:rsidRPr="00BB130E">
        <w:lastRenderedPageBreak/>
        <w:t>gain. Layer 5 pyramidal neurons integrate basal input with apical contextual input and form major subcortical output channels. Layer 6 corticothalamic circuits regulate prediction, routing, and gain. In this framework reading, Layer 5 is not the arithmetic computer of the obstruction; it is the output quotient and release gate. Layer 6 supplies the restriction/audit direction by carrying the proposed quotient back toward the domains where hidden constraints can be tested. This preserves the distinction between computing an algebraic obstruction and physically realizing the comparison channel.</w:t>
      </w:r>
    </w:p>
    <w:p w14:paraId="01B12B19" w14:textId="77777777" w:rsidR="00BB130E" w:rsidRPr="00BB130E" w:rsidRDefault="00BB130E" w:rsidP="00BB130E">
      <w:pPr>
        <w:jc w:val="both"/>
      </w:pPr>
      <w:r w:rsidRPr="00BB130E">
        <w:t>The prefrontal–mediodorsal thalamic loop gives the restriction vertex its executive specialization. The prefrontal cortex represents goals, rules, task sets, and possible actions. The mediodorsal thalamus helps sustain and amplify prefrontal activity during working memory, attention, and context switching. However, keeping a rule/action representation available is not the same as permitting it to be released. The hidden contextual kernel includes safety, uncertainty, social context, future consequence, task rule, and environmental constraint. A proposal may be maintained, amplified, and ready, yet still vetoed because its hidden constraints do not glue.</w:t>
      </w:r>
    </w:p>
    <w:p w14:paraId="04CF086C" w14:textId="77777777" w:rsidR="00BB130E" w:rsidRPr="00BB130E" w:rsidRDefault="00BB130E" w:rsidP="00BB130E">
      <w:pPr>
        <w:jc w:val="both"/>
      </w:pPr>
      <w:r w:rsidRPr="00BB130E">
        <w:t>This distinction between availability and permission is central to defensible intelligence. Many AI systems make representations available; fewer systems decide whether those representations are licensed. The brain suggests a different architecture: cognition is not simply the amplification of the winning proposal, but the gated release of a proposal that has survived restriction against local evidence and context. This is why feedback, thalamocortical loops, basal/apical coincidence, and executive veto are not incidental biological details. They are the physical pattern expected of a system whose runtime discipline is propose, restrict, audit, release or refuse, and repair.</w:t>
      </w:r>
    </w:p>
    <w:p w14:paraId="1582BC67" w14:textId="029C51C7" w:rsidR="00BB130E" w:rsidRPr="00BB130E" w:rsidRDefault="00BB130E" w:rsidP="0000368B">
      <w:pPr>
        <w:pStyle w:val="Heading2"/>
      </w:pPr>
      <w:r w:rsidRPr="00BB130E">
        <w:t>Literature Survey</w:t>
      </w:r>
    </w:p>
    <w:p w14:paraId="5382897C" w14:textId="06E0D0CC" w:rsidR="00BB130E" w:rsidRPr="00BB130E" w:rsidRDefault="00BB130E" w:rsidP="00BB130E">
      <w:pPr>
        <w:jc w:val="both"/>
      </w:pPr>
      <w:r w:rsidRPr="00BB130E">
        <w:t>The mathematical foundation of the paper lies in homological algebra, sheaf theory, and cohomological obstruction. Homological algebra supplies the abelian setting in which kernels, cokernels, images, quotients, long exact sequences, and connecting homomorphisms are meaningful (</w:t>
      </w:r>
      <w:hyperlink r:id="rId9" w:history="1">
        <w:r w:rsidRPr="0000368B">
          <w:rPr>
            <w:rStyle w:val="Hyperlink"/>
          </w:rPr>
          <w:t>Weibel, 1994</w:t>
        </w:r>
      </w:hyperlink>
      <w:r w:rsidRPr="00BB130E">
        <w:t>). Sheaf theory supplies local sections, restriction maps, the sheaf condition, and the interpretation of cohomology as obstruction to gluing (</w:t>
      </w:r>
      <w:hyperlink r:id="rId10" w:history="1">
        <w:r w:rsidRPr="0000368B">
          <w:rPr>
            <w:rStyle w:val="Hyperlink"/>
          </w:rPr>
          <w:t>Bredon, 1997</w:t>
        </w:r>
      </w:hyperlink>
      <w:r w:rsidRPr="00BB130E">
        <w:t xml:space="preserve">; </w:t>
      </w:r>
      <w:hyperlink r:id="rId11" w:history="1">
        <w:r w:rsidRPr="0000368B">
          <w:rPr>
            <w:rStyle w:val="Hyperlink"/>
          </w:rPr>
          <w:t>Iversen, 1986</w:t>
        </w:r>
      </w:hyperlink>
      <w:r w:rsidRPr="00BB130E">
        <w:t xml:space="preserve">; </w:t>
      </w:r>
      <w:hyperlink r:id="rId12" w:history="1">
        <w:r w:rsidRPr="0000368B">
          <w:rPr>
            <w:rStyle w:val="Hyperlink"/>
          </w:rPr>
          <w:t>Kashiwara &amp; Schapira, 1990</w:t>
        </w:r>
      </w:hyperlink>
      <w:r w:rsidRPr="00BB130E">
        <w:t>). The language of presheaves and restriction maps also clarifies why feedback can be structurally identified with restriction without being declared mathematically identical to it (</w:t>
      </w:r>
      <w:hyperlink r:id="rId13" w:history="1">
        <w:r w:rsidRPr="00055D9C">
          <w:rPr>
            <w:rStyle w:val="Hyperlink"/>
          </w:rPr>
          <w:t>Mac Lane &amp; Moerdijk, 1994</w:t>
        </w:r>
      </w:hyperlink>
      <w:r w:rsidRPr="00BB130E">
        <w:t>). Čech cochains, covers, partitions of unity, and cup products provide the local-to-global audit machinery required by the wider framework (</w:t>
      </w:r>
      <w:hyperlink r:id="rId14" w:history="1">
        <w:r w:rsidRPr="00055D9C">
          <w:rPr>
            <w:rStyle w:val="Hyperlink"/>
          </w:rPr>
          <w:t>Godement, 1958</w:t>
        </w:r>
      </w:hyperlink>
      <w:r w:rsidRPr="00BB130E">
        <w:t xml:space="preserve">; </w:t>
      </w:r>
      <w:hyperlink r:id="rId15" w:history="1">
        <w:r w:rsidRPr="00055D9C">
          <w:rPr>
            <w:rStyle w:val="Hyperlink"/>
          </w:rPr>
          <w:t>Bott &amp; Tu, 1982</w:t>
        </w:r>
      </w:hyperlink>
      <w:r w:rsidRPr="00BB130E">
        <w:t>).</w:t>
      </w:r>
    </w:p>
    <w:p w14:paraId="51E12EFA" w14:textId="0A828502" w:rsidR="00BB130E" w:rsidRPr="00BB130E" w:rsidRDefault="00BB130E" w:rsidP="00BB130E">
      <w:pPr>
        <w:jc w:val="both"/>
      </w:pPr>
      <w:r w:rsidRPr="00BB130E">
        <w:t>Recent mathematical and computational work on sheaves over networks provides an additional bridge toward implementability. Cellular sheaves and sheaf-theoretic signal processing show how local data, stalks, and restriction maps can be represented over graphs and networks, giving a technical cousin of the framework’s consistency-radius and audit interpretation (</w:t>
      </w:r>
      <w:hyperlink r:id="rId16" w:history="1">
        <w:r w:rsidRPr="00055D9C">
          <w:rPr>
            <w:rStyle w:val="Hyperlink"/>
          </w:rPr>
          <w:t>Robinson, 2013</w:t>
        </w:r>
      </w:hyperlink>
      <w:r w:rsidRPr="00BB130E">
        <w:t xml:space="preserve">; </w:t>
      </w:r>
      <w:hyperlink r:id="rId17" w:history="1">
        <w:r w:rsidRPr="00055D9C">
          <w:rPr>
            <w:rStyle w:val="Hyperlink"/>
          </w:rPr>
          <w:t>Robinson, 2014</w:t>
        </w:r>
      </w:hyperlink>
      <w:r w:rsidRPr="00BB130E">
        <w:t xml:space="preserve">; </w:t>
      </w:r>
      <w:hyperlink r:id="rId18" w:history="1">
        <w:r w:rsidRPr="00055D9C">
          <w:rPr>
            <w:rStyle w:val="Hyperlink"/>
          </w:rPr>
          <w:t>Hansen &amp; Ghrist, 2019</w:t>
        </w:r>
      </w:hyperlink>
      <w:r w:rsidRPr="00BB130E">
        <w:t>). These works do not imply the cortical claim, but they demonstrate that sheaf-like restriction and consistency structures can be operationalized over discrete architectures.</w:t>
      </w:r>
    </w:p>
    <w:p w14:paraId="46D41592" w14:textId="6BA1D6C5" w:rsidR="00BB130E" w:rsidRPr="00BB130E" w:rsidRDefault="00BB130E" w:rsidP="00BB130E">
      <w:pPr>
        <w:jc w:val="both"/>
      </w:pPr>
      <w:r w:rsidRPr="00BB130E">
        <w:t>The artificial intelligence background begins with the Transformer. Self-attention can be understood as a dynamic pairwise proposal mechanism that mixes values according to learned affinities. In the framework’s previous reading, this resembles soft gluing over a dynamic cover, but it lacks the nontrivial transition structure and obstruction gate needed for defensible certification (</w:t>
      </w:r>
      <w:hyperlink r:id="rId19" w:history="1">
        <w:r w:rsidRPr="00055D9C">
          <w:rPr>
            <w:rStyle w:val="Hyperlink"/>
          </w:rPr>
          <w:t>Vaswani et al., 2017</w:t>
        </w:r>
      </w:hyperlink>
      <w:r w:rsidRPr="00BB130E">
        <w:t>). The present paper refines that diagnosis: the problem is not simply absence of attention or absence of local mixing, but absence of a runtime restriction-and-test channel capable of making inconsistency visible before release.</w:t>
      </w:r>
    </w:p>
    <w:p w14:paraId="514C5954" w14:textId="1EEA248C" w:rsidR="00BB130E" w:rsidRPr="00BB130E" w:rsidRDefault="00BB130E" w:rsidP="00BB130E">
      <w:pPr>
        <w:jc w:val="both"/>
      </w:pPr>
      <w:r w:rsidRPr="00BB130E">
        <w:lastRenderedPageBreak/>
        <w:t>The neuroscience background is anchored in prefrontal control, mediodorsal thalamic amplification, and apical/basal integration. Prefrontal cortex has long been associated with rule representation, goal maintenance, and cognitive control (</w:t>
      </w:r>
      <w:hyperlink r:id="rId20" w:history="1">
        <w:r w:rsidRPr="00055D9C">
          <w:rPr>
            <w:rStyle w:val="Hyperlink"/>
          </w:rPr>
          <w:t>Miller &amp; Cohen, 2001</w:t>
        </w:r>
      </w:hyperlink>
      <w:r w:rsidRPr="00BB130E">
        <w:t>). Mediodorsal thalamus has been shown to sustain and amplify prefrontal activity during attentional control and working memory, supporting the availability side of executive cognition (</w:t>
      </w:r>
      <w:hyperlink r:id="rId21" w:history="1">
        <w:r w:rsidRPr="00055D9C">
          <w:rPr>
            <w:rStyle w:val="Hyperlink"/>
          </w:rPr>
          <w:t>Schmitt et al., 2017</w:t>
        </w:r>
      </w:hyperlink>
      <w:r w:rsidRPr="00BB130E">
        <w:t xml:space="preserve">; </w:t>
      </w:r>
      <w:hyperlink r:id="rId22" w:history="1">
        <w:r w:rsidRPr="00055D9C">
          <w:rPr>
            <w:rStyle w:val="Hyperlink"/>
          </w:rPr>
          <w:t>Bolkan et al., 2017</w:t>
        </w:r>
      </w:hyperlink>
      <w:r w:rsidRPr="00BB130E">
        <w:t>). Disrupting mediodorsal thalamus impairs thalamofrontal connectivity and cognition, strengthening the case that the PFC–MD loop is not a passive relay but an active executive substrate (</w:t>
      </w:r>
      <w:hyperlink r:id="rId23" w:history="1">
        <w:r w:rsidRPr="00055D9C">
          <w:rPr>
            <w:rStyle w:val="Hyperlink"/>
          </w:rPr>
          <w:t>Parnaudeau et al., 2013</w:t>
        </w:r>
      </w:hyperlink>
      <w:r w:rsidRPr="00BB130E">
        <w:t>). Layer 5 apical/basal coincidence provides a cellular mechanism by which bottom-up evidence and top-down context can be compared in pyramidal neurons (</w:t>
      </w:r>
      <w:hyperlink r:id="rId24" w:history="1">
        <w:r w:rsidRPr="00055D9C">
          <w:rPr>
            <w:rStyle w:val="Hyperlink"/>
          </w:rPr>
          <w:t>Larkum, 2013</w:t>
        </w:r>
      </w:hyperlink>
      <w:r w:rsidRPr="00BB130E">
        <w:t>).</w:t>
      </w:r>
    </w:p>
    <w:p w14:paraId="790BDCCE" w14:textId="6A5A3123" w:rsidR="00BB130E" w:rsidRPr="00BB130E" w:rsidRDefault="00BB130E" w:rsidP="00BB130E">
      <w:pPr>
        <w:jc w:val="both"/>
      </w:pPr>
      <w:r w:rsidRPr="00BB130E">
        <w:t>Within the Defensible Intelligence framework, this paper consolidates and supersedes earlier notes on the Abelian Cortex, Feedback-as-Restriction, and the Realized Exact Sequence. It depends on the three-coordinate audit basis introduced in The Direct and Indirect Axes and the Construction AGI Island (</w:t>
      </w:r>
      <w:hyperlink r:id="rId25" w:history="1">
        <w:r w:rsidRPr="005925BA">
          <w:rPr>
            <w:rStyle w:val="Hyperlink"/>
          </w:rPr>
          <w:t>Ghosh, 2026</w:t>
        </w:r>
        <w:r w:rsidR="005925BA" w:rsidRPr="005925BA">
          <w:rPr>
            <w:rStyle w:val="Hyperlink"/>
          </w:rPr>
          <w:t>b</w:t>
        </w:r>
      </w:hyperlink>
      <w:r w:rsidRPr="00BB130E">
        <w:t>), the domain coordinate supplied by Nerve-Attention (</w:t>
      </w:r>
      <w:hyperlink r:id="rId26" w:history="1">
        <w:r w:rsidRPr="005925BA">
          <w:rPr>
            <w:rStyle w:val="Hyperlink"/>
          </w:rPr>
          <w:t>Ghosh, 2026</w:t>
        </w:r>
        <w:r w:rsidR="005925BA" w:rsidRPr="005925BA">
          <w:rPr>
            <w:rStyle w:val="Hyperlink"/>
          </w:rPr>
          <w:t>c</w:t>
        </w:r>
      </w:hyperlink>
      <w:r w:rsidRPr="00BB130E">
        <w:t>), the resolution coordinate supplied by Hypercovering and Descent (</w:t>
      </w:r>
      <w:hyperlink r:id="rId27" w:history="1">
        <w:r w:rsidRPr="005925BA">
          <w:rPr>
            <w:rStyle w:val="Hyperlink"/>
          </w:rPr>
          <w:t>Ghosh, 2026</w:t>
        </w:r>
        <w:r w:rsidR="005925BA" w:rsidRPr="005925BA">
          <w:rPr>
            <w:rStyle w:val="Hyperlink"/>
          </w:rPr>
          <w:t>d</w:t>
        </w:r>
      </w:hyperlink>
      <w:r w:rsidRPr="00BB130E">
        <w:t>), the Transformer diagnosis of vacuous obstruction (</w:t>
      </w:r>
      <w:hyperlink r:id="rId28" w:history="1">
        <w:r w:rsidRPr="002949ED">
          <w:rPr>
            <w:rStyle w:val="Hyperlink"/>
          </w:rPr>
          <w:t>Ghosh, 2026</w:t>
        </w:r>
        <w:r w:rsidR="002949ED" w:rsidRPr="002949ED">
          <w:rPr>
            <w:rStyle w:val="Hyperlink"/>
          </w:rPr>
          <w:t>i</w:t>
        </w:r>
      </w:hyperlink>
      <w:r w:rsidRPr="00BB130E">
        <w:t>), and the cup-product/compositional gate developed in the 3→6-layer cortex paper (</w:t>
      </w:r>
      <w:hyperlink r:id="rId29" w:history="1">
        <w:r w:rsidRPr="005925BA">
          <w:rPr>
            <w:rStyle w:val="Hyperlink"/>
          </w:rPr>
          <w:t>Ghosh, 2026</w:t>
        </w:r>
        <w:r w:rsidR="005925BA" w:rsidRPr="005925BA">
          <w:rPr>
            <w:rStyle w:val="Hyperlink"/>
          </w:rPr>
          <w:t>e</w:t>
        </w:r>
      </w:hyperlink>
      <w:r w:rsidRPr="00BB130E">
        <w:t>). It also connects to Dynamic Predictive Gluing and Audit → Lift through the distinction between online restriction/audit and offline repair (</w:t>
      </w:r>
      <w:hyperlink r:id="rId30" w:history="1">
        <w:r w:rsidRPr="005925BA">
          <w:rPr>
            <w:rStyle w:val="Hyperlink"/>
          </w:rPr>
          <w:t>Ghosh, 2026</w:t>
        </w:r>
        <w:r w:rsidR="005925BA" w:rsidRPr="005925BA">
          <w:rPr>
            <w:rStyle w:val="Hyperlink"/>
          </w:rPr>
          <w:t>f</w:t>
        </w:r>
      </w:hyperlink>
      <w:r w:rsidRPr="00BB130E">
        <w:t>).</w:t>
      </w:r>
    </w:p>
    <w:p w14:paraId="5722BD40" w14:textId="05455261" w:rsidR="00BB130E" w:rsidRPr="00BB130E" w:rsidRDefault="00BB130E" w:rsidP="0000368B">
      <w:pPr>
        <w:pStyle w:val="Heading2"/>
      </w:pPr>
      <w:r w:rsidRPr="00BB130E">
        <w:t>Paper Contribution</w:t>
      </w:r>
    </w:p>
    <w:p w14:paraId="6AC3282C" w14:textId="77777777" w:rsidR="00BB130E" w:rsidRPr="00BB130E" w:rsidRDefault="00BB130E" w:rsidP="00BB130E">
      <w:pPr>
        <w:jc w:val="both"/>
      </w:pPr>
      <w:r w:rsidRPr="00BB130E">
        <w:t>This paper makes five contributions.</w:t>
      </w:r>
    </w:p>
    <w:p w14:paraId="5BE91DB6" w14:textId="77777777" w:rsidR="00BB130E" w:rsidRPr="00BB130E" w:rsidRDefault="00BB130E" w:rsidP="00BB130E">
      <w:pPr>
        <w:jc w:val="both"/>
      </w:pPr>
      <w:r w:rsidRPr="0000368B">
        <w:rPr>
          <w:color w:val="00B0F0"/>
        </w:rPr>
        <w:t>First</w:t>
      </w:r>
      <w:r w:rsidRPr="00BB130E">
        <w:t>, it formalizes the restriction vertex as the third coordinate of defensible audit. Nerve-Attention certifies that the simplicial domain exists. Hypercovering ensures that the cover is adequate and not hiding a false zero. The restriction vertex forces a proposed high-level claim to descend against the local evidence and hidden constraints it presupposes. Together, the three coordinates define the minimum conditions under which an obstruction verdict is meaningful.</w:t>
      </w:r>
    </w:p>
    <w:p w14:paraId="1925C761" w14:textId="77777777" w:rsidR="00BB130E" w:rsidRPr="00BB130E" w:rsidRDefault="00BB130E" w:rsidP="00BB130E">
      <w:pPr>
        <w:jc w:val="both"/>
      </w:pPr>
      <w:r w:rsidRPr="0000368B">
        <w:rPr>
          <w:color w:val="00B0F0"/>
        </w:rPr>
        <w:t>Second</w:t>
      </w:r>
      <w:r w:rsidRPr="00BB130E">
        <w:t>, the paper identifies the connecting homomorphism as the exact algebraic form of veto. A proposal is treated as a quotient section: a compressed report or action that wants to discard hidden constraints. The obstruction is not the raw pairwise mismatch of chosen local sections, since such a mismatch is a coboundary and therefore repairable as a local disagreement. The genuine veto arises when a proposed quotient section fails to lift through the full state and produces a nontrivial cohomology class in the hidden-constraint sheaf. The connecting homomorphism therefore distinguishes release from withholding.</w:t>
      </w:r>
    </w:p>
    <w:p w14:paraId="595E9C2B" w14:textId="77777777" w:rsidR="00BB130E" w:rsidRPr="00BB130E" w:rsidRDefault="00BB130E" w:rsidP="00BB130E">
      <w:pPr>
        <w:jc w:val="both"/>
      </w:pPr>
      <w:r w:rsidRPr="0000368B">
        <w:rPr>
          <w:color w:val="00B0F0"/>
        </w:rPr>
        <w:t>Third</w:t>
      </w:r>
      <w:r w:rsidRPr="00BB130E">
        <w:t>, the paper replaces scalar error with a four-way categorization of audit failure. A discrepancy may be a removable coboundary, a liftable first-cohomology obstruction, an irreducible obstruction requiring refusal, or a false zero produced by an overly coarse cover. These cases require different actions: online repair, offline lift, no-go refusal, or hypercover refinement. This categorization is more informative than a scalar magnitude because it identifies which exactness condition failed.</w:t>
      </w:r>
    </w:p>
    <w:p w14:paraId="1D9A05D9" w14:textId="77777777" w:rsidR="00BB130E" w:rsidRPr="00BB130E" w:rsidRDefault="00BB130E" w:rsidP="00BB130E">
      <w:pPr>
        <w:jc w:val="both"/>
      </w:pPr>
      <w:r w:rsidRPr="0000368B">
        <w:rPr>
          <w:color w:val="00B0F0"/>
        </w:rPr>
        <w:t>Fourth</w:t>
      </w:r>
      <w:r w:rsidRPr="00BB130E">
        <w:t>, the paper gives a disciplined physical reading of feedback as restriction. Feedback is not claimed as a theorem of sheaf theory. It is proposed as the physical channel that realizes the restriction direction: a higher-level claim is carried back down to the local site where its presuppositions must be checked. This resolves the operational loop as propose, restrict, decide, and repair, while preserving the distinction between mathematical operation and biological implementation.</w:t>
      </w:r>
    </w:p>
    <w:p w14:paraId="38DF22B6" w14:textId="77777777" w:rsidR="00BB130E" w:rsidRPr="00BB130E" w:rsidRDefault="00BB130E" w:rsidP="00BB130E">
      <w:pPr>
        <w:jc w:val="both"/>
      </w:pPr>
      <w:r w:rsidRPr="0000368B">
        <w:rPr>
          <w:color w:val="00B0F0"/>
        </w:rPr>
        <w:t>Fifth</w:t>
      </w:r>
      <w:r w:rsidRPr="00BB130E">
        <w:t xml:space="preserve">, the paper maps the gate onto cortical and executive structures without overclaiming. It reads Layer 5 as forming the output quotient and gating release; Layer 6 as supplying the corticothalamic </w:t>
      </w:r>
      <w:r w:rsidRPr="00BB130E">
        <w:lastRenderedPageBreak/>
        <w:t>audit/restriction channel; sensory–association ascent as a kernel-retention requirement; and the PFC–MD loop as an executive specialization in which prefrontal cortex selects rule/action quotients, mediodorsal thalamus sustains availability, and the hidden contextual kernel supplies the veto conditions. This mapping is candidate and structural, not anatomical identity.</w:t>
      </w:r>
    </w:p>
    <w:p w14:paraId="63436187" w14:textId="1FDF45A1" w:rsidR="00BB130E" w:rsidRPr="00BB130E" w:rsidRDefault="00BB130E" w:rsidP="0000368B">
      <w:pPr>
        <w:pStyle w:val="Heading2"/>
      </w:pPr>
      <w:r w:rsidRPr="00BB130E">
        <w:t>Paper Structure</w:t>
      </w:r>
    </w:p>
    <w:p w14:paraId="2B0167D6" w14:textId="77777777" w:rsidR="00BB130E" w:rsidRPr="00BB130E" w:rsidRDefault="00BB130E" w:rsidP="00BB130E">
      <w:pPr>
        <w:jc w:val="both"/>
      </w:pPr>
      <w:r w:rsidRPr="00BB130E">
        <w:t>Part I develops the algebra of restriction. It explains why the audit must live in an abelian category of sheaves, why sheaves rather than vector bundles preserve obstruction, why the cochain complex is an audit rather than a forward pass, and why exactness yields a four-way categorization of error. It then identifies the connecting homomorphism as the precise algebraic source of the veto.</w:t>
      </w:r>
    </w:p>
    <w:p w14:paraId="6FF956E1" w14:textId="77777777" w:rsidR="00BB130E" w:rsidRPr="00BB130E" w:rsidRDefault="00BB130E" w:rsidP="00BB130E">
      <w:pPr>
        <w:jc w:val="both"/>
      </w:pPr>
      <w:r w:rsidRPr="00BB130E">
        <w:t>Part II interprets feedback as the physical realization of restriction. It states the structural identity honestly, defines the propose–restrict–decide–repair loop, reconciles the claim with the existing Transformer diagnosis, and declines four stronger claims that would either overstate the mathematics or contradict deposited framework results.</w:t>
      </w:r>
    </w:p>
    <w:p w14:paraId="4B86E348" w14:textId="77777777" w:rsidR="00BB130E" w:rsidRPr="00BB130E" w:rsidRDefault="00BB130E" w:rsidP="00BB130E">
      <w:pPr>
        <w:jc w:val="both"/>
      </w:pPr>
      <w:r w:rsidRPr="00BB130E">
        <w:t>Part III gives the cortical realization of the gate. It explains how the short exact sequence is realized rather than guaranteed anatomically, how hidden constraints attach to the kernel, why sensory–association ascent requires kernel retention, and how the PFC–MD loop realizes the executive distinction between availability and permission.</w:t>
      </w:r>
    </w:p>
    <w:p w14:paraId="10CA3094" w14:textId="77777777" w:rsidR="00BB130E" w:rsidRPr="00BB130E" w:rsidRDefault="00BB130E" w:rsidP="00BB130E">
      <w:pPr>
        <w:jc w:val="both"/>
      </w:pPr>
      <w:r w:rsidRPr="00BB130E">
        <w:t>Part IV positions the restriction vertex inside the failure triad. It shows that the gate presupposes the domain coordinate supplied by Nerve-Attention and the resolution coordinate supplied by Hypercovering. The gate computes the obstruction only when it has genuine simplices and a sufficiently faithful cover; otherwise its verdict is meaningless or falsely reassuring.</w:t>
      </w:r>
    </w:p>
    <w:p w14:paraId="37B65510" w14:textId="77777777" w:rsidR="00BB130E" w:rsidRPr="00BB130E" w:rsidRDefault="00BB130E" w:rsidP="00BB130E">
      <w:pPr>
        <w:jc w:val="both"/>
      </w:pPr>
      <w:r w:rsidRPr="00BB130E">
        <w:t>Part V relates the restriction vertex to adjacent structures. It describes the two-tier compositional gate through the cup product, distinguishes the homological gate from the bounded-gain dynamical envelope, and places the laminar routing inside the deposited cortex reading.</w:t>
      </w:r>
    </w:p>
    <w:p w14:paraId="68EA2299" w14:textId="77777777" w:rsidR="00BB130E" w:rsidRPr="00BB130E" w:rsidRDefault="00BB130E" w:rsidP="00BB130E">
      <w:pPr>
        <w:jc w:val="both"/>
      </w:pPr>
      <w:r w:rsidRPr="00BB130E">
        <w:t>Part VI states the design thesis: the cortex is an abelian audit circuit. Its runtime discipline is propose, restrict, audit, release or refuse, and repair or refine. Its currency is obstruction class rather than scalar loss.</w:t>
      </w:r>
    </w:p>
    <w:p w14:paraId="793E34F9" w14:textId="77777777" w:rsidR="00BB130E" w:rsidRPr="00BB130E" w:rsidRDefault="00BB130E" w:rsidP="00BB130E">
      <w:pPr>
        <w:jc w:val="both"/>
      </w:pPr>
      <w:r w:rsidRPr="00BB130E">
        <w:t>Part VII gives the tiers, fences, and refutation condition. The mathematical components are load-bearing; the neuroscience is supporting evidence; the cortical and AI readings are candidate structural isomorphisms. The framework is refutable if a scaled pure-proposal engine, without a runtime restriction-and-test channel and without nontrivial transition maps, proves equally defensible on edge cases at matched capacity. If that happens, the restriction vertex becomes descriptive decoration rather than architectural necessity.</w:t>
      </w:r>
    </w:p>
    <w:p w14:paraId="58398429" w14:textId="0F5AA84C" w:rsidR="00BA2B87" w:rsidRPr="00BA2B87" w:rsidRDefault="00BA2B87" w:rsidP="00BB130E">
      <w:pPr>
        <w:pStyle w:val="Heading1"/>
        <w:jc w:val="both"/>
      </w:pPr>
      <w:r w:rsidRPr="00BA2B87">
        <w:t>Part I — The algebra of restriction</w:t>
      </w:r>
      <w:r w:rsidR="008A259C">
        <w:tab/>
      </w:r>
    </w:p>
    <w:p w14:paraId="319010EE" w14:textId="0F842482" w:rsidR="00BA2B87" w:rsidRPr="00BA2B87" w:rsidRDefault="00BA2B87" w:rsidP="008A259C">
      <w:pPr>
        <w:pStyle w:val="Heading2"/>
      </w:pPr>
      <w:r w:rsidRPr="00BA2B87">
        <w:t xml:space="preserve">1. Why an abelian category </w:t>
      </w:r>
      <w:r w:rsidRPr="008A259C">
        <w:rPr>
          <w:sz w:val="28"/>
          <w:szCs w:val="28"/>
        </w:rPr>
        <w:t>of</w:t>
      </w:r>
      <w:r w:rsidRPr="008A259C">
        <w:rPr>
          <w:sz w:val="24"/>
          <w:szCs w:val="24"/>
        </w:rPr>
        <w:t xml:space="preserve"> </w:t>
      </w:r>
      <w:r w:rsidRPr="008A259C">
        <w:rPr>
          <w:sz w:val="28"/>
          <w:szCs w:val="28"/>
        </w:rPr>
        <w:t>sheaves — the one load-bearing thread [LB]</w:t>
      </w:r>
    </w:p>
    <w:p w14:paraId="7EE653D9" w14:textId="77777777" w:rsidR="00BA2B87" w:rsidRPr="00BA2B87" w:rsidRDefault="00BA2B87" w:rsidP="00BA2B87">
      <w:pPr>
        <w:jc w:val="both"/>
      </w:pPr>
      <w:r w:rsidRPr="00BA2B87">
        <w:t xml:space="preserve">The gate computes an </w:t>
      </w:r>
      <w:r w:rsidRPr="00BA2B87">
        <w:rPr>
          <w:b/>
          <w:bCs/>
        </w:rPr>
        <w:t>obstruction</w:t>
      </w:r>
      <w:r w:rsidRPr="00BA2B87">
        <w:t xml:space="preserve">: the class H¹ = ker δ¹ / im δ⁰, and more generally H^{&gt;0} of a sheaf over the cover. Cohomology of this kind is defined only in an abelian category — one with kernels, cokernels, images, and the exactness machinery that makes ker/im a meaningful quotient. The single thread that must hold for the whole edifice is therefore not that cortical representations add (they do, but that is incidental) but that the system's local data form a </w:t>
      </w:r>
      <w:r w:rsidRPr="00BA2B87">
        <w:rPr>
          <w:b/>
          <w:bCs/>
        </w:rPr>
        <w:t>sheaf over a site</w:t>
      </w:r>
      <w:r w:rsidRPr="00BA2B87">
        <w:t xml:space="preserve"> whose sections live in </w:t>
      </w:r>
      <w:r w:rsidRPr="00BA2B87">
        <w:lastRenderedPageBreak/>
        <w:t>an abelian category, so that the difference of two sections is a section, the failure-to-agree is an object, and the obstruction to gluing is a computable class rather than a scalar. Abelian-ness is the ambient setting cohomology requires; the load-bearing structure is the sheaf-over-a-site.</w:t>
      </w:r>
    </w:p>
    <w:p w14:paraId="652BA06B" w14:textId="77777777" w:rsidR="00BA2B87" w:rsidRPr="00BA2B87" w:rsidRDefault="00BA2B87" w:rsidP="00BA2B87">
      <w:pPr>
        <w:jc w:val="both"/>
        <w:rPr>
          <w:b/>
          <w:bCs/>
        </w:rPr>
      </w:pPr>
      <w:r w:rsidRPr="00BA2B87">
        <w:rPr>
          <w:b/>
          <w:bCs/>
        </w:rPr>
        <w:t>1.1 Why sheaves and not vector bundles [LB] distinction / [CAND] reading</w:t>
      </w:r>
    </w:p>
    <w:p w14:paraId="55B61AFC" w14:textId="77777777" w:rsidR="00BA2B87" w:rsidRPr="00BA2B87" w:rsidRDefault="00BA2B87" w:rsidP="00BA2B87">
      <w:pPr>
        <w:jc w:val="both"/>
      </w:pPr>
      <w:r w:rsidRPr="00BA2B87">
        <w:t>A vector bundle is locally trivial — every point has a neighbourhood on which the fibre is a fixed vector space glued by invertible transition maps. A sheaf imposes no such triviality: its restriction maps need not be isomorphisms, sections need not extend, and the obstruction to extension is exactly the content. Cognition before audit is sheaf-like, not bundle-like — a percept does not come with a guarantee that it extends coherently across the scene, and the architecture's job is to discover whether it does. Reading cognition as sections of a sheaf ([CAND]) rather than of a bundle keeps the obstruction in view; the post-stabilization, successfully-glued state is the bundle-like special case, earned, not assumed.</w:t>
      </w:r>
    </w:p>
    <w:p w14:paraId="463627E3" w14:textId="77777777" w:rsidR="00BA2B87" w:rsidRPr="00BA2B87" w:rsidRDefault="00BA2B87" w:rsidP="008A259C">
      <w:pPr>
        <w:pStyle w:val="Heading2"/>
      </w:pPr>
      <w:r w:rsidRPr="00BA2B87">
        <w:t>2. The cochain complex is the audit, not the forward pass [CAND]</w:t>
      </w:r>
    </w:p>
    <w:p w14:paraId="26A51059" w14:textId="77777777" w:rsidR="00BA2B87" w:rsidRPr="00BA2B87" w:rsidRDefault="00BA2B87" w:rsidP="00BA2B87">
      <w:pPr>
        <w:jc w:val="both"/>
      </w:pPr>
      <w:r w:rsidRPr="00BA2B87">
        <w:t xml:space="preserve">Given a cover </w:t>
      </w:r>
      <w:r w:rsidRPr="00BA2B87">
        <w:rPr>
          <w:rFonts w:ascii="Cambria Math" w:hAnsi="Cambria Math" w:cs="Cambria Math"/>
        </w:rPr>
        <w:t>𝒰</w:t>
      </w:r>
      <w:r w:rsidRPr="00BA2B87">
        <w:t xml:space="preserve"> = {U_i} with local sections s_i </w:t>
      </w:r>
      <w:r w:rsidRPr="00BA2B87">
        <w:rPr>
          <w:rFonts w:ascii="Cambria Math" w:hAnsi="Cambria Math" w:cs="Cambria Math"/>
        </w:rPr>
        <w:t>∈</w:t>
      </w:r>
      <w:r w:rsidRPr="00BA2B87">
        <w:t xml:space="preserve"> </w:t>
      </w:r>
      <w:r w:rsidRPr="00BA2B87">
        <w:rPr>
          <w:rFonts w:ascii="Cambria Math" w:hAnsi="Cambria Math" w:cs="Cambria Math"/>
        </w:rPr>
        <w:t>𝓕</w:t>
      </w:r>
      <w:r w:rsidRPr="00BA2B87">
        <w:t>(U_i), the audit is the Čech cochain complex</w:t>
      </w:r>
    </w:p>
    <w:p w14:paraId="2570FADA" w14:textId="77777777" w:rsidR="00BA2B87" w:rsidRPr="00BA2B87" w:rsidRDefault="00BA2B87" w:rsidP="008A259C">
      <w:pPr>
        <w:jc w:val="center"/>
      </w:pPr>
      <w:r w:rsidRPr="00BA2B87">
        <w:t>C⁰(</w:t>
      </w:r>
      <w:r w:rsidRPr="00BA2B87">
        <w:rPr>
          <w:rFonts w:ascii="Cambria Math" w:hAnsi="Cambria Math" w:cs="Cambria Math"/>
        </w:rPr>
        <w:t>𝒰</w:t>
      </w:r>
      <w:r w:rsidRPr="00BA2B87">
        <w:t xml:space="preserve">, </w:t>
      </w:r>
      <w:r w:rsidRPr="00BA2B87">
        <w:rPr>
          <w:rFonts w:ascii="Cambria Math" w:hAnsi="Cambria Math" w:cs="Cambria Math"/>
        </w:rPr>
        <w:t>𝓕</w:t>
      </w:r>
      <w:r w:rsidRPr="00BA2B87">
        <w:t>) →^{δ⁰} C¹(</w:t>
      </w:r>
      <w:r w:rsidRPr="00BA2B87">
        <w:rPr>
          <w:rFonts w:ascii="Cambria Math" w:hAnsi="Cambria Math" w:cs="Cambria Math"/>
        </w:rPr>
        <w:t>𝒰</w:t>
      </w:r>
      <w:r w:rsidRPr="00BA2B87">
        <w:t xml:space="preserve">, </w:t>
      </w:r>
      <w:r w:rsidRPr="00BA2B87">
        <w:rPr>
          <w:rFonts w:ascii="Cambria Math" w:hAnsi="Cambria Math" w:cs="Cambria Math"/>
        </w:rPr>
        <w:t>𝓕</w:t>
      </w:r>
      <w:r w:rsidRPr="00BA2B87">
        <w:t>) →^{δ¹} C²(</w:t>
      </w:r>
      <w:r w:rsidRPr="00BA2B87">
        <w:rPr>
          <w:rFonts w:ascii="Cambria Math" w:hAnsi="Cambria Math" w:cs="Cambria Math"/>
        </w:rPr>
        <w:t>𝒰</w:t>
      </w:r>
      <w:r w:rsidRPr="00BA2B87">
        <w:t xml:space="preserve">, </w:t>
      </w:r>
      <w:r w:rsidRPr="00BA2B87">
        <w:rPr>
          <w:rFonts w:ascii="Cambria Math" w:hAnsi="Cambria Math" w:cs="Cambria Math"/>
        </w:rPr>
        <w:t>𝓕</w:t>
      </w:r>
      <w:r w:rsidRPr="00BA2B87">
        <w:t xml:space="preserve">) → </w:t>
      </w:r>
      <w:r w:rsidRPr="00BA2B87">
        <w:rPr>
          <w:rFonts w:ascii="Cambria Math" w:hAnsi="Cambria Math" w:cs="Cambria Math"/>
        </w:rPr>
        <w:t>⋯</w:t>
      </w:r>
      <w:r w:rsidRPr="00BA2B87">
        <w:t>,</w:t>
      </w:r>
    </w:p>
    <w:p w14:paraId="7A5452D6" w14:textId="77777777" w:rsidR="00BA2B87" w:rsidRPr="00BA2B87" w:rsidRDefault="00BA2B87" w:rsidP="00BA2B87">
      <w:pPr>
        <w:jc w:val="both"/>
      </w:pPr>
      <w:r w:rsidRPr="00BA2B87">
        <w:t xml:space="preserve">with C⁰ the local sections, C¹ the discrepancies on pairwise overlaps, C² the compound discrepancies on triple overlaps, and the differentials the restriction-difference maps. This complex is the architecture's </w:t>
      </w:r>
      <w:r w:rsidRPr="00BA2B87">
        <w:rPr>
          <w:i/>
          <w:iCs/>
        </w:rPr>
        <w:t>audit</w:t>
      </w:r>
      <w:r w:rsidRPr="00BA2B87">
        <w:t>, computed when a candidate binding is proposed — it is not the forward pass that produced the candidate. The forward pass assembles; the cochain audit interrogates whether the assembly is legitimate. Conflating the two is the basic category error the paper exists to prevent: producing a representation is not the same act as certifying that it glues.</w:t>
      </w:r>
    </w:p>
    <w:p w14:paraId="0FFACD30" w14:textId="77777777" w:rsidR="00BA2B87" w:rsidRPr="00BA2B87" w:rsidRDefault="00BA2B87" w:rsidP="008A259C">
      <w:pPr>
        <w:pStyle w:val="Heading2"/>
      </w:pPr>
      <w:r w:rsidRPr="00BA2B87">
        <w:t>3. The categorization of error by exactness — four cases, not a magnitude [CAND on LB structure]</w:t>
      </w:r>
    </w:p>
    <w:p w14:paraId="239E5E37" w14:textId="77777777" w:rsidR="00BA2B87" w:rsidRPr="00BA2B87" w:rsidRDefault="00BA2B87" w:rsidP="00BA2B87">
      <w:pPr>
        <w:jc w:val="both"/>
      </w:pPr>
      <w:r w:rsidRPr="00BA2B87">
        <w:t xml:space="preserve">A scalar loss reports </w:t>
      </w:r>
      <w:r w:rsidRPr="00BA2B87">
        <w:rPr>
          <w:i/>
          <w:iCs/>
        </w:rPr>
        <w:t>how wrong</w:t>
      </w:r>
      <w:r w:rsidRPr="00BA2B87">
        <w:t xml:space="preserve"> a prediction is; the cochain audit reports </w:t>
      </w:r>
      <w:r w:rsidRPr="00BA2B87">
        <w:rPr>
          <w:i/>
          <w:iCs/>
        </w:rPr>
        <w:t>which exactness condition fails</w:t>
      </w:r>
      <w:r w:rsidRPr="00BA2B87">
        <w:t>, and there are four distinct cases, each with a different repair:</w:t>
      </w:r>
    </w:p>
    <w:p w14:paraId="0D912B2A" w14:textId="77777777" w:rsidR="00BA2B87" w:rsidRPr="00BA2B87" w:rsidRDefault="00BA2B87" w:rsidP="00BA2B87">
      <w:pPr>
        <w:numPr>
          <w:ilvl w:val="0"/>
          <w:numId w:val="1"/>
        </w:numPr>
        <w:jc w:val="both"/>
      </w:pPr>
      <w:r w:rsidRPr="00BA2B87">
        <w:rPr>
          <w:b/>
          <w:bCs/>
        </w:rPr>
        <w:t>im δ⁰ — a coboundary.</w:t>
      </w:r>
      <w:r w:rsidRPr="00BA2B87">
        <w:t xml:space="preserve"> The discrepancy is the difference of local sections; it is removable by local adjustment. </w:t>
      </w:r>
      <w:r w:rsidRPr="00BA2B87">
        <w:rPr>
          <w:b/>
          <w:bCs/>
        </w:rPr>
        <w:t>Repair online.</w:t>
      </w:r>
    </w:p>
    <w:p w14:paraId="1531B32A" w14:textId="77777777" w:rsidR="00BA2B87" w:rsidRPr="00BA2B87" w:rsidRDefault="00BA2B87" w:rsidP="00BA2B87">
      <w:pPr>
        <w:numPr>
          <w:ilvl w:val="0"/>
          <w:numId w:val="1"/>
        </w:numPr>
        <w:jc w:val="both"/>
      </w:pPr>
      <w:r w:rsidRPr="00BA2B87">
        <w:rPr>
          <w:b/>
          <w:bCs/>
        </w:rPr>
        <w:t>A nonzero H¹ class that is liftable.</w:t>
      </w:r>
      <w:r w:rsidRPr="00BA2B87">
        <w:t xml:space="preserve"> A genuine first-cohomology obstruction over this cover, but one a re-coordinatization can discharge. </w:t>
      </w:r>
      <w:r w:rsidRPr="00BA2B87">
        <w:rPr>
          <w:b/>
          <w:bCs/>
        </w:rPr>
        <w:t>Withhold now, lift offline.</w:t>
      </w:r>
    </w:p>
    <w:p w14:paraId="2EB321FC" w14:textId="77777777" w:rsidR="00BA2B87" w:rsidRPr="00BA2B87" w:rsidRDefault="00BA2B87" w:rsidP="00BA2B87">
      <w:pPr>
        <w:numPr>
          <w:ilvl w:val="0"/>
          <w:numId w:val="1"/>
        </w:numPr>
        <w:jc w:val="both"/>
      </w:pPr>
      <w:r w:rsidRPr="00BA2B87">
        <w:rPr>
          <w:b/>
          <w:bCs/>
        </w:rPr>
        <w:t>A nonzero H¹ class that is irreducible.</w:t>
      </w:r>
      <w:r w:rsidRPr="00BA2B87">
        <w:t xml:space="preserve"> The obstruction survives any admissible lift. </w:t>
      </w:r>
      <w:r w:rsidRPr="00BA2B87">
        <w:rPr>
          <w:b/>
          <w:bCs/>
        </w:rPr>
        <w:t>No-go: refuse.</w:t>
      </w:r>
    </w:p>
    <w:p w14:paraId="292B7E37" w14:textId="77777777" w:rsidR="00BA2B87" w:rsidRPr="00BA2B87" w:rsidRDefault="00BA2B87" w:rsidP="00BA2B87">
      <w:pPr>
        <w:numPr>
          <w:ilvl w:val="0"/>
          <w:numId w:val="1"/>
        </w:numPr>
        <w:jc w:val="both"/>
      </w:pPr>
      <w:r w:rsidRPr="00BA2B87">
        <w:rPr>
          <w:b/>
          <w:bCs/>
        </w:rPr>
        <w:t>A false zero.</w:t>
      </w:r>
      <w:r w:rsidRPr="00BA2B87">
        <w:t xml:space="preserve"> The computed obstruction is zero only because the cover is too coarse to resolve the overlap. </w:t>
      </w:r>
      <w:r w:rsidRPr="00BA2B87">
        <w:rPr>
          <w:b/>
          <w:bCs/>
        </w:rPr>
        <w:t>Refine the cover (hypercover) before trusting the zero.</w:t>
      </w:r>
    </w:p>
    <w:p w14:paraId="0495CA44" w14:textId="77777777" w:rsidR="00BA2B87" w:rsidRPr="00BA2B87" w:rsidRDefault="00BA2B87" w:rsidP="00BA2B87">
      <w:pPr>
        <w:jc w:val="both"/>
      </w:pPr>
      <w:r w:rsidRPr="00BA2B87">
        <w:t xml:space="preserve">The three-way reading "coboundary / cocycle / H¹ → refuse" is a </w:t>
      </w:r>
      <w:r w:rsidRPr="00BA2B87">
        <w:rPr>
          <w:i/>
          <w:iCs/>
        </w:rPr>
        <w:t>collapse</w:t>
      </w:r>
      <w:r w:rsidRPr="00BA2B87">
        <w:t xml:space="preserve"> of this: it folds the liftable and irreducible cases into one refusal and omits the false-zero case entirely. The honest categorization is these four, distinguished by which exactness condition fails — and none of the four is visible to a scalar magnitude.</w:t>
      </w:r>
    </w:p>
    <w:p w14:paraId="017D54B8" w14:textId="77777777" w:rsidR="00BA2B87" w:rsidRPr="00BA2B87" w:rsidRDefault="00BA2B87" w:rsidP="00BA2B87">
      <w:pPr>
        <w:jc w:val="both"/>
        <w:rPr>
          <w:b/>
          <w:bCs/>
        </w:rPr>
      </w:pPr>
      <w:r w:rsidRPr="00BA2B87">
        <w:rPr>
          <w:b/>
          <w:bCs/>
        </w:rPr>
        <w:t>3.1 Where the obstruction comes from: the connecting homomorphism [LB] algebra / [CAND] reading</w:t>
      </w:r>
    </w:p>
    <w:p w14:paraId="4027CB4B" w14:textId="77777777" w:rsidR="00BA2B87" w:rsidRPr="00BA2B87" w:rsidRDefault="00BA2B87" w:rsidP="00BA2B87">
      <w:pPr>
        <w:jc w:val="both"/>
      </w:pPr>
      <w:r w:rsidRPr="00BA2B87">
        <w:lastRenderedPageBreak/>
        <w:t xml:space="preserve">The naive answer to "where is the obstruction" is wrong in an instructive way. The pairwise mismatch δ⁰s of a chosen family of local sections is, by construction, in im δ⁰ — a coboundary, hence trivial in H¹. So the raw mismatch is never itself the obstruction; it is the </w:t>
      </w:r>
      <w:r w:rsidRPr="00BA2B87">
        <w:rPr>
          <w:i/>
          <w:iCs/>
        </w:rPr>
        <w:t>agreement test</w:t>
      </w:r>
      <w:r w:rsidRPr="00BA2B87">
        <w:t xml:space="preserve"> (δ⁰s = 0?), and when nonzero it is the repairable coboundary of §3's first case. A genuine non-coboundary class must be </w:t>
      </w:r>
      <w:r w:rsidRPr="00BA2B87">
        <w:rPr>
          <w:i/>
          <w:iCs/>
        </w:rPr>
        <w:t>sourced</w:t>
      </w:r>
      <w:r w:rsidRPr="00BA2B87">
        <w:t xml:space="preserve">, and the source is a short exact sequence of sheaves. Write the hidden local constraints a claim presupposes as a subsheaf </w:t>
      </w:r>
      <w:r w:rsidRPr="00BA2B87">
        <w:rPr>
          <w:rFonts w:ascii="Cambria Math" w:hAnsi="Cambria Math" w:cs="Cambria Math"/>
        </w:rPr>
        <w:t>𝓕</w:t>
      </w:r>
      <w:r w:rsidRPr="00BA2B87">
        <w:t xml:space="preserve">′, the full cortical state as </w:t>
      </w:r>
      <w:r w:rsidRPr="00BA2B87">
        <w:rPr>
          <w:rFonts w:ascii="Cambria Math" w:hAnsi="Cambria Math" w:cs="Cambria Math"/>
        </w:rPr>
        <w:t>𝓕</w:t>
      </w:r>
      <w:r w:rsidRPr="00BA2B87">
        <w:t xml:space="preserve">, and the compressed claim the system wants to report or act on as the quotient </w:t>
      </w:r>
      <w:r w:rsidRPr="00BA2B87">
        <w:rPr>
          <w:rFonts w:ascii="Cambria Math" w:hAnsi="Cambria Math" w:cs="Cambria Math"/>
        </w:rPr>
        <w:t>𝓕</w:t>
      </w:r>
      <w:r w:rsidRPr="00BA2B87">
        <w:t>″:</w:t>
      </w:r>
    </w:p>
    <w:p w14:paraId="51AEDBC8" w14:textId="77777777" w:rsidR="00BA2B87" w:rsidRPr="00BA2B87" w:rsidRDefault="00BA2B87" w:rsidP="008A259C">
      <w:pPr>
        <w:jc w:val="center"/>
      </w:pPr>
      <w:r w:rsidRPr="00BA2B87">
        <w:t xml:space="preserve">0 → </w:t>
      </w:r>
      <w:r w:rsidRPr="00BA2B87">
        <w:rPr>
          <w:rFonts w:ascii="Cambria Math" w:hAnsi="Cambria Math" w:cs="Cambria Math"/>
        </w:rPr>
        <w:t>𝓕</w:t>
      </w:r>
      <w:r w:rsidRPr="00BA2B87">
        <w:t xml:space="preserve">′ → </w:t>
      </w:r>
      <w:r w:rsidRPr="00BA2B87">
        <w:rPr>
          <w:rFonts w:ascii="Cambria Math" w:hAnsi="Cambria Math" w:cs="Cambria Math"/>
        </w:rPr>
        <w:t>𝓕</w:t>
      </w:r>
      <w:r w:rsidRPr="00BA2B87">
        <w:t xml:space="preserve"> → </w:t>
      </w:r>
      <w:r w:rsidRPr="00BA2B87">
        <w:rPr>
          <w:rFonts w:ascii="Cambria Math" w:hAnsi="Cambria Math" w:cs="Cambria Math"/>
        </w:rPr>
        <w:t>𝓕</w:t>
      </w:r>
      <w:r w:rsidRPr="00BA2B87">
        <w:t>″ → 0.</w:t>
      </w:r>
    </w:p>
    <w:p w14:paraId="3C325D4D" w14:textId="77777777" w:rsidR="00BA2B87" w:rsidRPr="00BA2B87" w:rsidRDefault="00BA2B87" w:rsidP="00BA2B87">
      <w:pPr>
        <w:jc w:val="both"/>
      </w:pPr>
      <w:r w:rsidRPr="00BA2B87">
        <w:t xml:space="preserve">Its long exact sequence contains the </w:t>
      </w:r>
      <w:r w:rsidRPr="00BA2B87">
        <w:rPr>
          <w:b/>
          <w:bCs/>
        </w:rPr>
        <w:t>connecting homomorphism</w:t>
      </w:r>
    </w:p>
    <w:p w14:paraId="73321E0C" w14:textId="77777777" w:rsidR="00BA2B87" w:rsidRPr="00BA2B87" w:rsidRDefault="00BA2B87" w:rsidP="008A259C">
      <w:pPr>
        <w:jc w:val="center"/>
      </w:pPr>
      <w:r w:rsidRPr="00BA2B87">
        <w:t xml:space="preserve">∂ : H⁰(X, </w:t>
      </w:r>
      <w:r w:rsidRPr="00BA2B87">
        <w:rPr>
          <w:rFonts w:ascii="Cambria Math" w:hAnsi="Cambria Math" w:cs="Cambria Math"/>
        </w:rPr>
        <w:t>𝓕</w:t>
      </w:r>
      <w:r w:rsidRPr="00BA2B87">
        <w:t xml:space="preserve">″) → H¹(X, </w:t>
      </w:r>
      <w:r w:rsidRPr="00BA2B87">
        <w:rPr>
          <w:rFonts w:ascii="Cambria Math" w:hAnsi="Cambria Math" w:cs="Cambria Math"/>
        </w:rPr>
        <w:t>𝓕</w:t>
      </w:r>
      <w:r w:rsidRPr="00BA2B87">
        <w:t>′),</w:t>
      </w:r>
    </w:p>
    <w:p w14:paraId="64B7B2B6" w14:textId="77777777" w:rsidR="00BA2B87" w:rsidRPr="00BA2B87" w:rsidRDefault="00BA2B87" w:rsidP="00BA2B87">
      <w:pPr>
        <w:jc w:val="both"/>
      </w:pPr>
      <w:r w:rsidRPr="00BA2B87">
        <w:t xml:space="preserve">and this is the exact algebraic form of the veto. A proposed report or action is a global quotient section s″ </w:t>
      </w:r>
      <w:r w:rsidRPr="00BA2B87">
        <w:rPr>
          <w:rFonts w:ascii="Cambria Math" w:hAnsi="Cambria Math" w:cs="Cambria Math"/>
        </w:rPr>
        <w:t>∈</w:t>
      </w:r>
      <w:r w:rsidRPr="00BA2B87">
        <w:t xml:space="preserve"> H</w:t>
      </w:r>
      <w:r w:rsidRPr="00BA2B87">
        <w:rPr>
          <w:rFonts w:ascii="Calibri" w:hAnsi="Calibri" w:cs="Calibri"/>
        </w:rPr>
        <w:t>⁰</w:t>
      </w:r>
      <w:r w:rsidRPr="00BA2B87">
        <w:t xml:space="preserve">(X, </w:t>
      </w:r>
      <w:r w:rsidRPr="00BA2B87">
        <w:rPr>
          <w:rFonts w:ascii="Cambria Math" w:hAnsi="Cambria Math" w:cs="Cambria Math"/>
        </w:rPr>
        <w:t>𝓕</w:t>
      </w:r>
      <w:r w:rsidRPr="00BA2B87">
        <w:t xml:space="preserve">″); the system attempts to lift it into the full state </w:t>
      </w:r>
      <w:r w:rsidRPr="00BA2B87">
        <w:rPr>
          <w:rFonts w:ascii="Cambria Math" w:hAnsi="Cambria Math" w:cs="Cambria Math"/>
        </w:rPr>
        <w:t>𝓕</w:t>
      </w:r>
      <w:r w:rsidRPr="00BA2B87">
        <w:t xml:space="preserve">; the local lifts may disagree on overlaps, their differences land in the hidden-constraint sheaf </w:t>
      </w:r>
      <w:r w:rsidRPr="00BA2B87">
        <w:rPr>
          <w:rFonts w:ascii="Cambria Math" w:hAnsi="Cambria Math" w:cs="Cambria Math"/>
        </w:rPr>
        <w:t>𝓕</w:t>
      </w:r>
      <w:r w:rsidRPr="00BA2B87">
        <w:t xml:space="preserve">′ and form a genuine 1-cocycle, and its class is ∂(s″). If ∂(s″) = 0 the proposal lifts and may be released; if ∂(s″) ≠ 0 it carries an obstruction and must be withheld. This ∂(s″) — not the coboundary δ⁰s, not a free-floating element of C¹, but the image under the connecting map of the proposed claim, valued in the constraints it tried to skip — is the cocycle the audit actually tests. The standard homological algebra is [LB]; the identification of </w:t>
      </w:r>
      <w:r w:rsidRPr="00BA2B87">
        <w:rPr>
          <w:rFonts w:ascii="Cambria Math" w:hAnsi="Cambria Math" w:cs="Cambria Math"/>
        </w:rPr>
        <w:t>𝓕</w:t>
      </w:r>
      <w:r w:rsidRPr="00BA2B87">
        <w:t>′/</w:t>
      </w:r>
      <w:r w:rsidRPr="00BA2B87">
        <w:rPr>
          <w:rFonts w:ascii="Cambria Math" w:hAnsi="Cambria Math" w:cs="Cambria Math"/>
        </w:rPr>
        <w:t>𝓕</w:t>
      </w:r>
      <w:r w:rsidRPr="00BA2B87">
        <w:t>/</w:t>
      </w:r>
      <w:r w:rsidRPr="00BA2B87">
        <w:rPr>
          <w:rFonts w:ascii="Cambria Math" w:hAnsi="Cambria Math" w:cs="Cambria Math"/>
        </w:rPr>
        <w:t>𝓕</w:t>
      </w:r>
      <w:r w:rsidRPr="00BA2B87">
        <w:t xml:space="preserve">″ with hidden-constraint / full-state / report sheaves is the [CAND] cortical reading. Against the apex-proposer thesis it has a clean reading: with </w:t>
      </w:r>
      <w:r w:rsidRPr="00BA2B87">
        <w:rPr>
          <w:rFonts w:ascii="Cambria Math" w:hAnsi="Cambria Math" w:cs="Cambria Math"/>
        </w:rPr>
        <w:t>𝓕</w:t>
      </w:r>
      <w:r w:rsidRPr="00BA2B87">
        <w:t xml:space="preserve">′ the lower coordinate-bound covers and </w:t>
      </w:r>
      <w:r w:rsidRPr="00BA2B87">
        <w:rPr>
          <w:rFonts w:ascii="Cambria Math" w:hAnsi="Cambria Math" w:cs="Cambria Math"/>
        </w:rPr>
        <w:t>𝓕</w:t>
      </w:r>
      <w:r w:rsidRPr="00BA2B87">
        <w:t xml:space="preserve">″ the linguistic proposal, ∂ </w:t>
      </w:r>
      <w:r w:rsidRPr="00BA2B87">
        <w:rPr>
          <w:i/>
          <w:iCs/>
        </w:rPr>
        <w:t>is</w:t>
      </w:r>
      <w:r w:rsidRPr="00BA2B87">
        <w:t xml:space="preserve"> the algebraic form of restricting an apex proposal downward against the world-covers it presupposes (</w:t>
      </w:r>
      <w:r w:rsidRPr="00BA2B87">
        <w:rPr>
          <w:i/>
          <w:iCs/>
        </w:rPr>
        <w:t>Language as the Apex Proposer</w:t>
      </w:r>
      <w:r w:rsidRPr="00BA2B87">
        <w:t>).</w:t>
      </w:r>
    </w:p>
    <w:p w14:paraId="764FCFCC" w14:textId="77777777" w:rsidR="00BA2B87" w:rsidRPr="00BA2B87" w:rsidRDefault="00BA2B87" w:rsidP="008A259C">
      <w:pPr>
        <w:pStyle w:val="Heading1"/>
      </w:pPr>
      <w:r w:rsidRPr="00BA2B87">
        <w:t xml:space="preserve">Part II — Feedback </w:t>
      </w:r>
      <w:r w:rsidRPr="008A259C">
        <w:rPr>
          <w:sz w:val="36"/>
          <w:szCs w:val="36"/>
        </w:rPr>
        <w:t>as the physical realization of restriction</w:t>
      </w:r>
    </w:p>
    <w:p w14:paraId="6EE3C396" w14:textId="77777777" w:rsidR="00BA2B87" w:rsidRPr="00BA2B87" w:rsidRDefault="00BA2B87" w:rsidP="008A259C">
      <w:pPr>
        <w:pStyle w:val="Heading2"/>
      </w:pPr>
      <w:r w:rsidRPr="00BA2B87">
        <w:t>4. The identity, stated honestly [CAND] structural isomorphism</w:t>
      </w:r>
    </w:p>
    <w:p w14:paraId="32D342B6" w14:textId="77777777" w:rsidR="00BA2B87" w:rsidRPr="00BA2B87" w:rsidRDefault="00BA2B87" w:rsidP="00BA2B87">
      <w:pPr>
        <w:jc w:val="both"/>
      </w:pPr>
      <w:r w:rsidRPr="00BA2B87">
        <w:t xml:space="preserve">A presheaf carries </w:t>
      </w:r>
      <w:r w:rsidRPr="00BA2B87">
        <w:rPr>
          <w:b/>
          <w:bCs/>
        </w:rPr>
        <w:t>restriction maps</w:t>
      </w:r>
      <w:r w:rsidRPr="00BA2B87">
        <w:t xml:space="preserve"> from larger opens to smaller ones; the architecture's claim is that physical feedback is a channel that realizes this operation — it carries a higher-level claim back down to the local site where it must meet sensory evidence, motor constraint, or lower-rung geometry, and be tested there. This is a </w:t>
      </w:r>
      <w:r w:rsidRPr="00BA2B87">
        <w:rPr>
          <w:b/>
          <w:bCs/>
        </w:rPr>
        <w:t>structural isomorphism, not a theorem under the name "feedback is restriction."</w:t>
      </w:r>
      <w:r w:rsidRPr="00BA2B87">
        <w:t xml:space="preserve"> Sheaf theory supplies the restriction operation; feedback supplies a physical channel that can play its role; the legitimacy of the resulting global claim is then tested by the ordinary gluing-and-obstruction machinery.</w:t>
      </w:r>
    </w:p>
    <w:p w14:paraId="6DB30546" w14:textId="77777777" w:rsidR="00BA2B87" w:rsidRPr="00BA2B87" w:rsidRDefault="00BA2B87" w:rsidP="00BA2B87">
      <w:pPr>
        <w:jc w:val="both"/>
      </w:pPr>
      <w:r w:rsidRPr="00BA2B87">
        <w:t xml:space="preserve">What </w:t>
      </w:r>
      <w:r w:rsidRPr="00BA2B87">
        <w:rPr>
          <w:i/>
          <w:iCs/>
        </w:rPr>
        <w:t>is</w:t>
      </w:r>
      <w:r w:rsidRPr="00BA2B87">
        <w:t xml:space="preserve"> load-bearing, and deposited, is the asymmetry that gives the identity its direction. The global-sections functor is </w:t>
      </w:r>
      <w:r w:rsidRPr="00BA2B87">
        <w:rPr>
          <w:b/>
          <w:bCs/>
        </w:rPr>
        <w:t>left exact but not right exact</w:t>
      </w:r>
      <w:r w:rsidRPr="00BA2B87">
        <w:t xml:space="preserve"> (</w:t>
      </w:r>
      <w:r w:rsidRPr="00BA2B87">
        <w:rPr>
          <w:i/>
          <w:iCs/>
        </w:rPr>
        <w:t>Dynamic Predictive Gluing</w:t>
      </w:r>
      <w:r w:rsidRPr="00BA2B87">
        <w:t xml:space="preserve">): taking a whole apart into local pieces — restriction — is free, while assembling local pieces into a coherent whole — gluing — is obstructed and costs work. Feedback, read as restriction, sits on the </w:t>
      </w:r>
      <w:r w:rsidRPr="00BA2B87">
        <w:rPr>
          <w:i/>
          <w:iCs/>
        </w:rPr>
        <w:t>free, forgetting</w:t>
      </w:r>
      <w:r w:rsidRPr="00BA2B87">
        <w:t xml:space="preserve"> side; the obstruction lives on the </w:t>
      </w:r>
      <w:r w:rsidRPr="00BA2B87">
        <w:rPr>
          <w:i/>
          <w:iCs/>
        </w:rPr>
        <w:t>costly, assembling</w:t>
      </w:r>
      <w:r w:rsidRPr="00BA2B87">
        <w:t xml:space="preserve"> side. This is the chain direction of the chain/cochain duality the hypercovering paper deposits, not a new object.</w:t>
      </w:r>
    </w:p>
    <w:p w14:paraId="07DE4160" w14:textId="77777777" w:rsidR="00BA2B87" w:rsidRPr="00BA2B87" w:rsidRDefault="00BA2B87" w:rsidP="008A259C">
      <w:pPr>
        <w:pStyle w:val="Heading2"/>
      </w:pPr>
      <w:r w:rsidRPr="00BA2B87">
        <w:t>5. The operational loop [CAND]</w:t>
      </w:r>
    </w:p>
    <w:p w14:paraId="747EA590" w14:textId="77777777" w:rsidR="00BA2B87" w:rsidRPr="00BA2B87" w:rsidRDefault="00BA2B87" w:rsidP="00BA2B87">
      <w:pPr>
        <w:jc w:val="both"/>
      </w:pPr>
      <w:r w:rsidRPr="00BA2B87">
        <w:t>The identity resolves the series into one cycle, each step a deposited operation:</w:t>
      </w:r>
    </w:p>
    <w:p w14:paraId="39A26D2A" w14:textId="77777777" w:rsidR="00BA2B87" w:rsidRPr="00BA2B87" w:rsidRDefault="00BA2B87" w:rsidP="00BA2B87">
      <w:pPr>
        <w:numPr>
          <w:ilvl w:val="0"/>
          <w:numId w:val="2"/>
        </w:numPr>
        <w:jc w:val="both"/>
      </w:pPr>
      <w:r w:rsidRPr="00BA2B87">
        <w:rPr>
          <w:b/>
          <w:bCs/>
        </w:rPr>
        <w:lastRenderedPageBreak/>
        <w:t>Feedforward proposes a section</w:t>
      </w:r>
      <w:r w:rsidRPr="00BA2B87">
        <w:t xml:space="preserve"> — local evidence assembled upward into a candidate global representation (in a Transformer, attention: a softmax-weighted convex combination along a partition of unity).</w:t>
      </w:r>
    </w:p>
    <w:p w14:paraId="2742B4CF" w14:textId="77777777" w:rsidR="00BA2B87" w:rsidRPr="00BA2B87" w:rsidRDefault="00BA2B87" w:rsidP="00BA2B87">
      <w:pPr>
        <w:numPr>
          <w:ilvl w:val="0"/>
          <w:numId w:val="2"/>
        </w:numPr>
        <w:jc w:val="both"/>
      </w:pPr>
      <w:r w:rsidRPr="00BA2B87">
        <w:rPr>
          <w:b/>
          <w:bCs/>
        </w:rPr>
        <w:t>Feedback restricts it</w:t>
      </w:r>
      <w:r w:rsidRPr="00BA2B87">
        <w:t xml:space="preserve"> — the proposal carried back to the local domains whose agreement it presupposes, and tested there, localized before commitment rather than corrected after failure.</w:t>
      </w:r>
    </w:p>
    <w:p w14:paraId="451F26CA" w14:textId="77777777" w:rsidR="00BA2B87" w:rsidRPr="00BA2B87" w:rsidRDefault="00BA2B87" w:rsidP="00BA2B87">
      <w:pPr>
        <w:numPr>
          <w:ilvl w:val="0"/>
          <w:numId w:val="2"/>
        </w:numPr>
        <w:jc w:val="both"/>
      </w:pPr>
      <w:r w:rsidRPr="00BA2B87">
        <w:rPr>
          <w:b/>
          <w:bCs/>
        </w:rPr>
        <w:t>The obstruction gate decides whether the restricted claims glue</w:t>
      </w:r>
      <w:r w:rsidRPr="00BA2B87">
        <w:t xml:space="preserve"> — bind if they agree on overlaps, deliberate if they disagree resolvably, withhold if the disagreement is a nonzero class at the precision tolerance ε(Π); the gate tests the </w:t>
      </w:r>
      <w:r w:rsidRPr="00BA2B87">
        <w:rPr>
          <w:i/>
          <w:iCs/>
        </w:rPr>
        <w:t>class</w:t>
      </w:r>
      <w:r w:rsidRPr="00BA2B87">
        <w:t>, not a scalar magnitude.</w:t>
      </w:r>
    </w:p>
    <w:p w14:paraId="571FF90F" w14:textId="77777777" w:rsidR="00BA2B87" w:rsidRPr="00BA2B87" w:rsidRDefault="00BA2B87" w:rsidP="00BA2B87">
      <w:pPr>
        <w:numPr>
          <w:ilvl w:val="0"/>
          <w:numId w:val="2"/>
        </w:numPr>
        <w:jc w:val="both"/>
      </w:pPr>
      <w:r w:rsidRPr="00BA2B87">
        <w:rPr>
          <w:b/>
          <w:bCs/>
        </w:rPr>
        <w:t>The offline lift repairs what online gluing could not discharge</w:t>
      </w:r>
      <w:r w:rsidRPr="00BA2B87">
        <w:t xml:space="preserve"> — obstructions that cannot be resolved while the base is moving are tagged and deferred; offline, the lift re-coordinatizes the geometry so the previously incompatible sections glue (</w:t>
      </w:r>
      <w:r w:rsidRPr="00BA2B87">
        <w:rPr>
          <w:i/>
          <w:iCs/>
        </w:rPr>
        <w:t>Audit → Lift</w:t>
      </w:r>
      <w:r w:rsidRPr="00BA2B87">
        <w:t>).</w:t>
      </w:r>
    </w:p>
    <w:p w14:paraId="00A2A0F3" w14:textId="77777777" w:rsidR="00BA2B87" w:rsidRPr="00BA2B87" w:rsidRDefault="00BA2B87" w:rsidP="00BA2B87">
      <w:pPr>
        <w:jc w:val="both"/>
      </w:pPr>
      <w:r w:rsidRPr="00BA2B87">
        <w:t xml:space="preserve">The architecture is, in this reading, a closed </w:t>
      </w:r>
      <w:r w:rsidRPr="00BA2B87">
        <w:rPr>
          <w:b/>
          <w:bCs/>
        </w:rPr>
        <w:t>propose–restrict–decide–repair</w:t>
      </w:r>
      <w:r w:rsidRPr="00BA2B87">
        <w:t xml:space="preserve"> cycle, not feedforward inference plus later training.</w:t>
      </w:r>
    </w:p>
    <w:p w14:paraId="7A053E59" w14:textId="77777777" w:rsidR="00BA2B87" w:rsidRPr="00BA2B87" w:rsidRDefault="00BA2B87" w:rsidP="008A259C">
      <w:pPr>
        <w:pStyle w:val="Heading2"/>
      </w:pPr>
      <w:r w:rsidRPr="00BA2B87">
        <w:t>6. Reconciliation with the Transformer paper — the decisive consistency check [F]</w:t>
      </w:r>
    </w:p>
    <w:p w14:paraId="3635E5C1" w14:textId="77777777" w:rsidR="00BA2B87" w:rsidRPr="00BA2B87" w:rsidRDefault="00BA2B87" w:rsidP="00BA2B87">
      <w:pPr>
        <w:jc w:val="both"/>
      </w:pPr>
      <w:r w:rsidRPr="00BA2B87">
        <w:t xml:space="preserve">The published Transformer paper must be matched exactly, because a careless version of this identity contradicts it. That paper does </w:t>
      </w:r>
      <w:r w:rsidRPr="00BA2B87">
        <w:rPr>
          <w:b/>
          <w:bCs/>
        </w:rPr>
        <w:t>not</w:t>
      </w:r>
      <w:r w:rsidRPr="00BA2B87">
        <w:t xml:space="preserve"> say the Transformer lacks restriction maps. It says attention </w:t>
      </w:r>
      <w:r w:rsidRPr="00BA2B87">
        <w:rPr>
          <w:i/>
          <w:iCs/>
        </w:rPr>
        <w:t>does</w:t>
      </w:r>
      <w:r w:rsidRPr="00BA2B87">
        <w:t xml:space="preserve"> perform soft gluing — the softmax row is a genuine partition of unity over a dynamic cover — and that the obstruction is vacuous by construction because the value a token contributes is query-independent, so the </w:t>
      </w:r>
      <w:r w:rsidRPr="00BA2B87">
        <w:rPr>
          <w:b/>
          <w:bCs/>
        </w:rPr>
        <w:t>transition maps are trivial</w:t>
      </w:r>
      <w:r w:rsidRPr="00BA2B87">
        <w:t xml:space="preserve">, the triple-overlap cocycle condition holds automatically, and H¹ is forced to zero: the architecture represents no transition structure that could be inconsistent. Read against this, feedback's role is not to </w:t>
      </w:r>
      <w:r w:rsidRPr="00BA2B87">
        <w:rPr>
          <w:i/>
          <w:iCs/>
        </w:rPr>
        <w:t>create restriction from nothing</w:t>
      </w:r>
      <w:r w:rsidRPr="00BA2B87">
        <w:t xml:space="preserve"> but to </w:t>
      </w:r>
      <w:r w:rsidRPr="00BA2B87">
        <w:rPr>
          <w:b/>
          <w:bCs/>
        </w:rPr>
        <w:t>supply the non-trivial transition structure that makes the obstruction non-vacuous</w:t>
      </w:r>
      <w:r w:rsidRPr="00BA2B87">
        <w:t xml:space="preserve"> — a channel that carries the proposed section to the overlaps where a real disagreement could register. The identity thus </w:t>
      </w:r>
      <w:r w:rsidRPr="00BA2B87">
        <w:rPr>
          <w:b/>
          <w:bCs/>
        </w:rPr>
        <w:t>refines</w:t>
      </w:r>
      <w:r w:rsidRPr="00BA2B87">
        <w:t xml:space="preserve"> the Transformer diagnosis (vacuous obstruction ← trivial transition maps) rather than replacing it.</w:t>
      </w:r>
    </w:p>
    <w:p w14:paraId="4CBBE113" w14:textId="77777777" w:rsidR="00BA2B87" w:rsidRPr="00BA2B87" w:rsidRDefault="00BA2B87" w:rsidP="008A259C">
      <w:pPr>
        <w:pStyle w:val="Heading2"/>
      </w:pPr>
      <w:r w:rsidRPr="00BA2B87">
        <w:t>7. What this paper does not claim — the four declines [fence]</w:t>
      </w:r>
    </w:p>
    <w:p w14:paraId="5EB66613" w14:textId="77777777" w:rsidR="00BA2B87" w:rsidRPr="00BA2B87" w:rsidRDefault="00BA2B87" w:rsidP="00BA2B87">
      <w:pPr>
        <w:jc w:val="both"/>
      </w:pPr>
      <w:r w:rsidRPr="00BA2B87">
        <w:t>The same conclusion — that the architecture needs a restriction-and-test channel — was offered elsewhere with a stronger "proof." The paper declines it on four counts, because each would import borrowed prestige or contradict a deposited result.</w:t>
      </w:r>
    </w:p>
    <w:p w14:paraId="1676CE62" w14:textId="77777777" w:rsidR="00BA2B87" w:rsidRPr="00BA2B87" w:rsidRDefault="00BA2B87" w:rsidP="00BA2B87">
      <w:pPr>
        <w:numPr>
          <w:ilvl w:val="0"/>
          <w:numId w:val="3"/>
        </w:numPr>
        <w:jc w:val="both"/>
      </w:pPr>
      <w:r w:rsidRPr="00BA2B87">
        <w:rPr>
          <w:b/>
          <w:bCs/>
        </w:rPr>
        <w:t>It does not adopt the colimit-versus-equalizer proof.</w:t>
      </w:r>
      <w:r w:rsidRPr="00BA2B87">
        <w:t xml:space="preserve"> The sheaf condition </w:t>
      </w:r>
      <w:r w:rsidRPr="00BA2B87">
        <w:rPr>
          <w:i/>
          <w:iCs/>
        </w:rPr>
        <w:t>is</w:t>
      </w:r>
      <w:r w:rsidRPr="00BA2B87">
        <w:t xml:space="preserve"> an equalizer ([LB], correct), but "feedforward computes a colimit/pushout" is asserted, not derived — a feedforward network computes function composition, and naming that a categorical colimit is an analogy. And the proof's load-bearing step, "no top-down feedback </w:t>
      </w:r>
      <w:r w:rsidRPr="00BA2B87">
        <w:rPr>
          <w:rFonts w:ascii="Cambria Math" w:hAnsi="Cambria Math" w:cs="Cambria Math"/>
        </w:rPr>
        <w:t>⟹</w:t>
      </w:r>
      <w:r w:rsidRPr="00BA2B87">
        <w:t xml:space="preserve"> no restriction maps </w:t>
      </w:r>
      <w:r w:rsidRPr="00BA2B87">
        <w:rPr>
          <w:rFonts w:ascii="Cambria Math" w:hAnsi="Cambria Math" w:cs="Cambria Math"/>
        </w:rPr>
        <w:t>⟹</w:t>
      </w:r>
      <w:r w:rsidRPr="00BA2B87">
        <w:t xml:space="preserve"> δ undefined," misidentifies the maps: the differential δ⁰ = ρ₁ − ρ₂ is built from </w:t>
      </w:r>
      <w:r w:rsidRPr="00BA2B87">
        <w:rPr>
          <w:b/>
          <w:bCs/>
        </w:rPr>
        <w:t>patch-to-overlap</w:t>
      </w:r>
      <w:r w:rsidRPr="00BA2B87">
        <w:t xml:space="preserve"> restrictions </w:t>
      </w:r>
      <w:r w:rsidRPr="00BA2B87">
        <w:rPr>
          <w:rFonts w:ascii="Cambria Math" w:hAnsi="Cambria Math" w:cs="Cambria Math"/>
        </w:rPr>
        <w:t>𝓕</w:t>
      </w:r>
      <w:r w:rsidRPr="00BA2B87">
        <w:t xml:space="preserve">(U_i) → </w:t>
      </w:r>
      <w:r w:rsidRPr="00BA2B87">
        <w:rPr>
          <w:rFonts w:ascii="Cambria Math" w:hAnsi="Cambria Math" w:cs="Cambria Math"/>
        </w:rPr>
        <w:t>𝓕</w:t>
      </w:r>
      <w:r w:rsidRPr="00BA2B87">
        <w:t xml:space="preserve">(U_i ∩ U_j) among the cover elements, computed on the local family with </w:t>
      </w:r>
      <w:r w:rsidRPr="00BA2B87">
        <w:rPr>
          <w:b/>
          <w:bCs/>
        </w:rPr>
        <w:t>no global section as input</w:t>
      </w:r>
      <w:r w:rsidRPr="00BA2B87">
        <w:t xml:space="preserve"> (the global section is the kernel, the output). The cover's own internal restriction structure suffices to compute the obstruction; feedback is a physical realization of the comparison, not a homological prerequisite for its existence.</w:t>
      </w:r>
    </w:p>
    <w:p w14:paraId="66D83328" w14:textId="77777777" w:rsidR="00BA2B87" w:rsidRPr="00BA2B87" w:rsidRDefault="00BA2B87" w:rsidP="00BA2B87">
      <w:pPr>
        <w:numPr>
          <w:ilvl w:val="0"/>
          <w:numId w:val="3"/>
        </w:numPr>
        <w:jc w:val="both"/>
      </w:pPr>
      <w:r w:rsidRPr="00BA2B87">
        <w:rPr>
          <w:b/>
          <w:bCs/>
        </w:rPr>
        <w:lastRenderedPageBreak/>
        <w:t>It does not claim feedforward systems are "mathematically guaranteed to hallucinate."</w:t>
      </w:r>
      <w:r w:rsidRPr="00BA2B87">
        <w:t xml:space="preserve"> The honest claim is a </w:t>
      </w:r>
      <w:r w:rsidRPr="00BA2B87">
        <w:rPr>
          <w:i/>
          <w:iCs/>
        </w:rPr>
        <w:t>defensibility gap</w:t>
      </w:r>
      <w:r w:rsidRPr="00BA2B87">
        <w:t xml:space="preserve"> — vacuous obstruction plus missing gate — not a theorem of forced error.</w:t>
      </w:r>
    </w:p>
    <w:p w14:paraId="0F2F7028" w14:textId="77777777" w:rsidR="00BA2B87" w:rsidRPr="00BA2B87" w:rsidRDefault="00BA2B87" w:rsidP="00BA2B87">
      <w:pPr>
        <w:numPr>
          <w:ilvl w:val="0"/>
          <w:numId w:val="3"/>
        </w:numPr>
        <w:jc w:val="both"/>
      </w:pPr>
      <w:r w:rsidRPr="00BA2B87">
        <w:rPr>
          <w:b/>
          <w:bCs/>
        </w:rPr>
        <w:t>It does not re-map the cortical layers to coboundary arithmetic.</w:t>
      </w:r>
      <w:r w:rsidRPr="00BA2B87">
        <w:t xml:space="preserve"> Layer 5 is the integrate-and-gate coincidence cell with the apical veto; layer 6 is corticothalamic prediction and gain. Feedback </w:t>
      </w:r>
      <w:r w:rsidRPr="00BA2B87">
        <w:rPr>
          <w:i/>
          <w:iCs/>
        </w:rPr>
        <w:t>delivers</w:t>
      </w:r>
      <w:r w:rsidRPr="00BA2B87">
        <w:t xml:space="preserve"> the top-down term to the L5 comparison; it is not a new arithmetic assigned to a layer.</w:t>
      </w:r>
    </w:p>
    <w:p w14:paraId="29EE7437" w14:textId="77777777" w:rsidR="00BA2B87" w:rsidRPr="00BA2B87" w:rsidRDefault="00BA2B87" w:rsidP="00BA2B87">
      <w:pPr>
        <w:numPr>
          <w:ilvl w:val="0"/>
          <w:numId w:val="3"/>
        </w:numPr>
        <w:jc w:val="both"/>
      </w:pPr>
      <w:r w:rsidRPr="00BA2B87">
        <w:rPr>
          <w:b/>
          <w:bCs/>
        </w:rPr>
        <w:t>It does not call the identity a theorem.</w:t>
      </w:r>
      <w:r w:rsidRPr="00BA2B87">
        <w:t xml:space="preserve"> "Feedback is restriction" is a structural identification — sheaf theory supplies the operation, feedback supplies a channel that realizes it, the gluing machinery tests the result.</w:t>
      </w:r>
    </w:p>
    <w:p w14:paraId="3BED38F9" w14:textId="77777777" w:rsidR="00BA2B87" w:rsidRPr="00BA2B87" w:rsidRDefault="00BA2B87" w:rsidP="008A259C">
      <w:pPr>
        <w:pStyle w:val="Heading1"/>
      </w:pPr>
      <w:r w:rsidRPr="00BA2B87">
        <w:t>Part III — The cortical realization of the gate</w:t>
      </w:r>
    </w:p>
    <w:p w14:paraId="16AF7DE1" w14:textId="77777777" w:rsidR="00BA2B87" w:rsidRPr="00BA2B87" w:rsidRDefault="00BA2B87" w:rsidP="008A259C">
      <w:pPr>
        <w:pStyle w:val="Heading2"/>
      </w:pPr>
      <w:r w:rsidRPr="00BA2B87">
        <w:t>8. The exact sequence is realized, not anatomical [LB] algebra / [CAND] reading</w:t>
      </w:r>
    </w:p>
    <w:p w14:paraId="657CD6E9" w14:textId="77777777" w:rsidR="00BA2B87" w:rsidRPr="00BA2B87" w:rsidRDefault="00BA2B87" w:rsidP="00BA2B87">
      <w:pPr>
        <w:jc w:val="both"/>
      </w:pPr>
      <w:r w:rsidRPr="00BA2B87">
        <w:t xml:space="preserve">The neocortical layers do not guarantee a short exact sequence by anatomy alone; they </w:t>
      </w:r>
      <w:r w:rsidRPr="00BA2B87">
        <w:rPr>
          <w:b/>
          <w:bCs/>
        </w:rPr>
        <w:t>realize</w:t>
      </w:r>
      <w:r w:rsidRPr="00BA2B87">
        <w:t xml:space="preserve"> one when the full cortical state </w:t>
      </w:r>
      <w:r w:rsidRPr="00BA2B87">
        <w:rPr>
          <w:rFonts w:ascii="Cambria Math" w:hAnsi="Cambria Math" w:cs="Cambria Math"/>
        </w:rPr>
        <w:t>𝓑</w:t>
      </w:r>
      <w:r w:rsidRPr="00BA2B87">
        <w:t xml:space="preserve"> projects onto a report/action quotient </w:t>
      </w:r>
      <w:r w:rsidRPr="00BA2B87">
        <w:rPr>
          <w:rFonts w:ascii="Cambria Math" w:hAnsi="Cambria Math" w:cs="Cambria Math"/>
        </w:rPr>
        <w:t>𝓒</w:t>
      </w:r>
      <w:r w:rsidRPr="00BA2B87">
        <w:t xml:space="preserve">, and the erased information is exactly </w:t>
      </w:r>
      <w:r w:rsidRPr="00BA2B87">
        <w:rPr>
          <w:rFonts w:ascii="Cambria Math" w:hAnsi="Cambria Math" w:cs="Cambria Math"/>
        </w:rPr>
        <w:t>𝓐</w:t>
      </w:r>
      <w:r w:rsidRPr="00BA2B87">
        <w:t xml:space="preserve"> = ker(</w:t>
      </w:r>
      <w:r w:rsidRPr="00BA2B87">
        <w:rPr>
          <w:rFonts w:ascii="Cambria Math" w:hAnsi="Cambria Math" w:cs="Cambria Math"/>
        </w:rPr>
        <w:t>𝓑</w:t>
      </w:r>
      <w:r w:rsidRPr="00BA2B87">
        <w:t xml:space="preserve"> → </w:t>
      </w:r>
      <w:r w:rsidRPr="00BA2B87">
        <w:rPr>
          <w:rFonts w:ascii="Cambria Math" w:hAnsi="Cambria Math" w:cs="Cambria Math"/>
        </w:rPr>
        <w:t>𝓒</w:t>
      </w:r>
      <w:r w:rsidRPr="00BA2B87">
        <w:t xml:space="preserve">). The laminar reading respects the deposited mechanism: </w:t>
      </w:r>
      <w:r w:rsidRPr="00BA2B87">
        <w:rPr>
          <w:b/>
          <w:bCs/>
        </w:rPr>
        <w:t>Layer 5 forms the quotient</w:t>
      </w:r>
      <w:r w:rsidRPr="00BA2B87">
        <w:t xml:space="preserve"> (the principal subcortical output layer reads out the report/action section </w:t>
      </w:r>
      <w:r w:rsidRPr="00BA2B87">
        <w:rPr>
          <w:rFonts w:ascii="Cambria Math" w:hAnsi="Cambria Math" w:cs="Cambria Math"/>
        </w:rPr>
        <w:t>𝓒</w:t>
      </w:r>
      <w:r w:rsidRPr="00BA2B87">
        <w:t xml:space="preserve"> and carries the release gate); </w:t>
      </w:r>
      <w:r w:rsidRPr="00BA2B87">
        <w:rPr>
          <w:b/>
          <w:bCs/>
        </w:rPr>
        <w:t>Layer 6 audits the kernel</w:t>
      </w:r>
      <w:r w:rsidRPr="00BA2B87">
        <w:t xml:space="preserve"> (corticothalamic feedback restricts the proposed quotient section back onto the local domains, the local lifts disagree, and their differences in </w:t>
      </w:r>
      <w:r w:rsidRPr="00BA2B87">
        <w:rPr>
          <w:rFonts w:ascii="Cambria Math" w:hAnsi="Cambria Math" w:cs="Cambria Math"/>
        </w:rPr>
        <w:t>𝓐</w:t>
      </w:r>
      <w:r w:rsidRPr="00BA2B87">
        <w:t xml:space="preserve"> define ∂(c)); </w:t>
      </w:r>
      <w:r w:rsidRPr="00BA2B87">
        <w:rPr>
          <w:b/>
          <w:bCs/>
        </w:rPr>
        <w:t>the connecting homomorphism is the veto</w:t>
      </w:r>
      <w:r w:rsidRPr="00BA2B87">
        <w:t xml:space="preserve"> (∂(c) = 0 releases, ∂(c) ≠ 0 withholds). The fence is exact: ∂(c) is </w:t>
      </w:r>
      <w:r w:rsidRPr="00BA2B87">
        <w:rPr>
          <w:i/>
          <w:iCs/>
        </w:rPr>
        <w:t>computed in the Layer-6 audit</w:t>
      </w:r>
      <w:r w:rsidRPr="00BA2B87">
        <w:t xml:space="preserve"> and its (non)triviality is </w:t>
      </w:r>
      <w:r w:rsidRPr="00BA2B87">
        <w:rPr>
          <w:i/>
          <w:iCs/>
        </w:rPr>
        <w:t>read at the Layer-5 gate</w:t>
      </w:r>
      <w:r w:rsidRPr="00BA2B87">
        <w:t xml:space="preserve">. Layer 5 forms </w:t>
      </w:r>
      <w:r w:rsidRPr="00BA2B87">
        <w:rPr>
          <w:rFonts w:ascii="Cambria Math" w:hAnsi="Cambria Math" w:cs="Cambria Math"/>
        </w:rPr>
        <w:t>𝓒</w:t>
      </w:r>
      <w:r w:rsidRPr="00BA2B87">
        <w:t xml:space="preserve"> and gates; it does not compute ∂.</w:t>
      </w:r>
    </w:p>
    <w:p w14:paraId="014D8F00" w14:textId="77777777" w:rsidR="00BA2B87" w:rsidRPr="00BA2B87" w:rsidRDefault="00BA2B87" w:rsidP="008A259C">
      <w:pPr>
        <w:pStyle w:val="Heading2"/>
      </w:pPr>
      <w:r w:rsidRPr="00BA2B87">
        <w:t>9. How the constraints attach to the kernel [CAND]</w:t>
      </w:r>
    </w:p>
    <w:p w14:paraId="1773AB20" w14:textId="77777777" w:rsidR="00BA2B87" w:rsidRPr="00BA2B87" w:rsidRDefault="00BA2B87" w:rsidP="00BA2B87">
      <w:pPr>
        <w:jc w:val="both"/>
      </w:pPr>
      <w:r w:rsidRPr="00BA2B87">
        <w:t xml:space="preserve">The kernel </w:t>
      </w:r>
      <w:r w:rsidRPr="00BA2B87">
        <w:rPr>
          <w:rFonts w:ascii="Cambria Math" w:hAnsi="Cambria Math" w:cs="Cambria Math"/>
        </w:rPr>
        <w:t>𝓐</w:t>
      </w:r>
      <w:r w:rsidRPr="00BA2B87">
        <w:t xml:space="preserve"> is assembled from the modality-specific data a claim presupposes: each modality-specific sheaf is pulled onto the common cortical cover, and the compatible tuples are embedded into </w:t>
      </w:r>
      <w:r w:rsidRPr="00BA2B87">
        <w:rPr>
          <w:rFonts w:ascii="Cambria Math" w:hAnsi="Cambria Math" w:cs="Cambria Math"/>
        </w:rPr>
        <w:t>𝓐</w:t>
      </w:r>
      <w:r w:rsidRPr="00BA2B87">
        <w:t xml:space="preserve"> — the fiber product of compatible tuples, modality-specific routing rather than a single shared projection (the Hierarchy of Binding's requirement). Sensory data attach as </w:t>
      </w:r>
      <w:r w:rsidRPr="00BA2B87">
        <w:rPr>
          <w:i/>
          <w:iCs/>
        </w:rPr>
        <w:t>evidence</w:t>
      </w:r>
      <w:r w:rsidRPr="00BA2B87">
        <w:t xml:space="preserve">, motor as </w:t>
      </w:r>
      <w:r w:rsidRPr="00BA2B87">
        <w:rPr>
          <w:i/>
          <w:iCs/>
        </w:rPr>
        <w:t>executable reach</w:t>
      </w:r>
      <w:r w:rsidRPr="00BA2B87">
        <w:t xml:space="preserve">, affordance as their </w:t>
      </w:r>
      <w:r w:rsidRPr="00BA2B87">
        <w:rPr>
          <w:i/>
          <w:iCs/>
        </w:rPr>
        <w:t>relation</w:t>
      </w:r>
      <w:r w:rsidRPr="00BA2B87">
        <w:t xml:space="preserve">, physical as </w:t>
      </w:r>
      <w:r w:rsidRPr="00BA2B87">
        <w:rPr>
          <w:i/>
          <w:iCs/>
        </w:rPr>
        <w:t>invariants</w:t>
      </w:r>
      <w:r w:rsidRPr="00BA2B87">
        <w:t xml:space="preserve">, contextual as the </w:t>
      </w:r>
      <w:r w:rsidRPr="00BA2B87">
        <w:rPr>
          <w:i/>
          <w:iCs/>
        </w:rPr>
        <w:t>selector</w:t>
      </w:r>
      <w:r w:rsidRPr="00BA2B87">
        <w:t xml:space="preserve">; together they constitute </w:t>
      </w:r>
      <w:r w:rsidRPr="00BA2B87">
        <w:rPr>
          <w:rFonts w:ascii="Cambria Math" w:hAnsi="Cambria Math" w:cs="Cambria Math"/>
        </w:rPr>
        <w:t>𝓐</w:t>
      </w:r>
      <w:r w:rsidRPr="00BA2B87">
        <w:t xml:space="preserve"> = ker(</w:t>
      </w:r>
      <w:r w:rsidRPr="00BA2B87">
        <w:rPr>
          <w:rFonts w:ascii="Cambria Math" w:hAnsi="Cambria Math" w:cs="Cambria Math"/>
        </w:rPr>
        <w:t>𝓑</w:t>
      </w:r>
      <w:r w:rsidRPr="00BA2B87">
        <w:t xml:space="preserve"> → </w:t>
      </w:r>
      <w:r w:rsidRPr="00BA2B87">
        <w:rPr>
          <w:rFonts w:ascii="Cambria Math" w:hAnsi="Cambria Math" w:cs="Cambria Math"/>
        </w:rPr>
        <w:t>𝓒</w:t>
      </w:r>
      <w:r w:rsidRPr="00BA2B87">
        <w:t xml:space="preserve">). What </w:t>
      </w:r>
      <w:r w:rsidRPr="00BA2B87">
        <w:rPr>
          <w:rFonts w:ascii="Cambria Math" w:hAnsi="Cambria Math" w:cs="Cambria Math"/>
        </w:rPr>
        <w:t>𝓒</w:t>
      </w:r>
      <w:r w:rsidRPr="00BA2B87">
        <w:t xml:space="preserve"> forgets is exactly what </w:t>
      </w:r>
      <w:r w:rsidRPr="00BA2B87">
        <w:rPr>
          <w:rFonts w:ascii="Cambria Math" w:hAnsi="Cambria Math" w:cs="Cambria Math"/>
        </w:rPr>
        <w:t>𝓐</w:t>
      </w:r>
      <w:r w:rsidRPr="00BA2B87">
        <w:t xml:space="preserve"> retains.</w:t>
      </w:r>
    </w:p>
    <w:p w14:paraId="4B789FFA" w14:textId="77777777" w:rsidR="00BA2B87" w:rsidRPr="00BA2B87" w:rsidRDefault="00BA2B87" w:rsidP="008A259C">
      <w:pPr>
        <w:pStyle w:val="Heading2"/>
      </w:pPr>
      <w:r w:rsidRPr="00BA2B87">
        <w:t>10. The sensory–association hierarchy is a kernel-retention requirement [CAND]</w:t>
      </w:r>
    </w:p>
    <w:p w14:paraId="6D9E0562" w14:textId="77777777" w:rsidR="00BA2B87" w:rsidRPr="00BA2B87" w:rsidRDefault="00BA2B87" w:rsidP="00BA2B87">
      <w:pPr>
        <w:jc w:val="both"/>
      </w:pPr>
      <w:r w:rsidRPr="00BA2B87">
        <w:t xml:space="preserve">Sensory cortex writes and stabilizes modality-specific local sections over a comparatively fixed metric base — it constructs the lower quotients </w:t>
      </w:r>
      <w:r w:rsidRPr="00BA2B87">
        <w:rPr>
          <w:rFonts w:ascii="Cambria Math" w:hAnsi="Cambria Math" w:cs="Cambria Math"/>
        </w:rPr>
        <w:t>𝓒</w:t>
      </w:r>
      <w:r w:rsidRPr="00BA2B87">
        <w:t xml:space="preserve">_S and </w:t>
      </w:r>
      <w:r w:rsidRPr="00BA2B87">
        <w:rPr>
          <w:b/>
          <w:bCs/>
        </w:rPr>
        <w:t>freezes the cover</w:t>
      </w:r>
      <w:r w:rsidRPr="00BA2B87">
        <w:t xml:space="preserve">. Association cortex binds them into relational tensors and tests whether their constraints glue — it </w:t>
      </w:r>
      <w:r w:rsidRPr="00BA2B87">
        <w:rPr>
          <w:b/>
          <w:bCs/>
        </w:rPr>
        <w:t>tests the glue</w:t>
      </w:r>
      <w:r w:rsidRPr="00BA2B87">
        <w:t xml:space="preserve">. The requirement is provenance, and it is the kernel pre-image result one level up: association cortex must </w:t>
      </w:r>
      <w:r w:rsidRPr="00BA2B87">
        <w:rPr>
          <w:b/>
          <w:bCs/>
        </w:rPr>
        <w:t xml:space="preserve">retain the sensory kernels </w:t>
      </w:r>
      <w:r w:rsidRPr="00BA2B87">
        <w:rPr>
          <w:rFonts w:ascii="Cambria Math" w:hAnsi="Cambria Math" w:cs="Cambria Math"/>
          <w:b/>
          <w:bCs/>
        </w:rPr>
        <w:t>𝓐</w:t>
      </w:r>
      <w:r w:rsidRPr="00BA2B87">
        <w:rPr>
          <w:b/>
          <w:bCs/>
        </w:rPr>
        <w:t>_S</w:t>
      </w:r>
      <w:r w:rsidRPr="00BA2B87">
        <w:t xml:space="preserve">, not only the quotients </w:t>
      </w:r>
      <w:r w:rsidRPr="00BA2B87">
        <w:rPr>
          <w:rFonts w:ascii="Cambria Math" w:hAnsi="Cambria Math" w:cs="Cambria Math"/>
        </w:rPr>
        <w:t>𝓒</w:t>
      </w:r>
      <w:r w:rsidRPr="00BA2B87">
        <w:t xml:space="preserve">_S, or higher cognition acts over claims whose veto conditions were already erased — the ungated, provenance-blind ascent whose obstruction can no longer be computed. A defensible ascent preserves the kernel of the rung it lifted from, exactly as crystallization preserves its proximity layer and the N3 lift preserves its normed structure. Sensory </w:t>
      </w:r>
      <w:r w:rsidRPr="00BA2B87">
        <w:lastRenderedPageBreak/>
        <w:t>cortex freezes the cover; association cortex computes the obstruction over the base, and can only do so because the base's kernels were kept.</w:t>
      </w:r>
    </w:p>
    <w:p w14:paraId="624174BD" w14:textId="77777777" w:rsidR="00BA2B87" w:rsidRPr="00BA2B87" w:rsidRDefault="00BA2B87" w:rsidP="008A259C">
      <w:pPr>
        <w:pStyle w:val="Heading2"/>
      </w:pPr>
      <w:r w:rsidRPr="00BA2B87">
        <w:t>11. The PFC–MD loop as the executive veto [CAND] on [SUP] anatomy</w:t>
      </w:r>
    </w:p>
    <w:p w14:paraId="0428657C" w14:textId="7FB112F7" w:rsidR="00BA2B87" w:rsidRPr="00BA2B87" w:rsidRDefault="00BA2B87" w:rsidP="00BA2B87">
      <w:pPr>
        <w:jc w:val="both"/>
      </w:pPr>
      <w:r w:rsidRPr="00BA2B87">
        <w:t xml:space="preserve">The gate has an executive specialization in the prefrontal–mediodorsal loop — a mapping new to the series, established here rather than restated. The prefrontal cortex defines the active rule/action quotient </w:t>
      </w:r>
      <w:r w:rsidRPr="00BA2B87">
        <w:rPr>
          <w:rFonts w:ascii="Cambria Math" w:hAnsi="Cambria Math" w:cs="Cambria Math"/>
        </w:rPr>
        <w:t>𝓒</w:t>
      </w:r>
      <w:r w:rsidRPr="00BA2B87">
        <w:t xml:space="preserve">_rule/action (the prefrontal rule/goal representation, </w:t>
      </w:r>
      <w:hyperlink r:id="rId31" w:history="1">
        <w:r w:rsidRPr="00055D9C">
          <w:rPr>
            <w:rStyle w:val="Hyperlink"/>
          </w:rPr>
          <w:t>Miller &amp; Cohen 2001</w:t>
        </w:r>
      </w:hyperlink>
      <w:r w:rsidRPr="00BA2B87">
        <w:t xml:space="preserve">); the mediodorsal thalamus stabilizes and amplifies that quotient across delay, uncertainty, and context switching (the finding that MD sustains and amplifies prefrontal activity rather than relaying content — </w:t>
      </w:r>
      <w:hyperlink r:id="rId32" w:history="1">
        <w:r w:rsidRPr="00055D9C">
          <w:rPr>
            <w:rStyle w:val="Hyperlink"/>
          </w:rPr>
          <w:t>Schmitt et al. 2017</w:t>
        </w:r>
      </w:hyperlink>
      <w:r w:rsidRPr="00BA2B87">
        <w:t xml:space="preserve">; </w:t>
      </w:r>
      <w:hyperlink r:id="rId33" w:history="1">
        <w:r w:rsidRPr="00055D9C">
          <w:rPr>
            <w:rStyle w:val="Hyperlink"/>
          </w:rPr>
          <w:t>Bolkan et al. 2017</w:t>
        </w:r>
      </w:hyperlink>
      <w:r w:rsidRPr="00BA2B87">
        <w:t xml:space="preserve">; </w:t>
      </w:r>
      <w:hyperlink r:id="rId34" w:history="1">
        <w:r w:rsidRPr="00055D9C">
          <w:rPr>
            <w:rStyle w:val="Hyperlink"/>
          </w:rPr>
          <w:t>Parnaudeau et al. 2013</w:t>
        </w:r>
      </w:hyperlink>
      <w:r w:rsidRPr="00BA2B87">
        <w:t xml:space="preserve">); and the hidden contextual kernel </w:t>
      </w:r>
      <w:r w:rsidRPr="00BA2B87">
        <w:rPr>
          <w:rFonts w:ascii="Cambria Math" w:hAnsi="Cambria Math" w:cs="Cambria Math"/>
        </w:rPr>
        <w:t>𝓐</w:t>
      </w:r>
      <w:r w:rsidRPr="00BA2B87">
        <w:t xml:space="preserve">_ctx contains the constraints a released action would forget: rule, goal, safety, social context, uncertainty, future consequence. The realized sequence is 0 → </w:t>
      </w:r>
      <w:r w:rsidRPr="00BA2B87">
        <w:rPr>
          <w:rFonts w:ascii="Cambria Math" w:hAnsi="Cambria Math" w:cs="Cambria Math"/>
        </w:rPr>
        <w:t>𝓐</w:t>
      </w:r>
      <w:r w:rsidRPr="00BA2B87">
        <w:t xml:space="preserve">_ctx → </w:t>
      </w:r>
      <w:r w:rsidRPr="00BA2B87">
        <w:rPr>
          <w:rFonts w:ascii="Cambria Math" w:hAnsi="Cambria Math" w:cs="Cambria Math"/>
        </w:rPr>
        <w:t>𝓑</w:t>
      </w:r>
      <w:r w:rsidRPr="00BA2B87">
        <w:t xml:space="preserve">_{PFC–MD} → </w:t>
      </w:r>
      <w:r w:rsidRPr="00BA2B87">
        <w:rPr>
          <w:rFonts w:ascii="Cambria Math" w:hAnsi="Cambria Math" w:cs="Cambria Math"/>
        </w:rPr>
        <w:t>𝓒</w:t>
      </w:r>
      <w:r w:rsidRPr="00BA2B87">
        <w:t xml:space="preserve">_rule/action → 0, and the executive veto is the connecting homomorphism ∂ : H⁰(X, </w:t>
      </w:r>
      <w:r w:rsidRPr="00BA2B87">
        <w:rPr>
          <w:rFonts w:ascii="Cambria Math" w:hAnsi="Cambria Math" w:cs="Cambria Math"/>
        </w:rPr>
        <w:t>𝓒</w:t>
      </w:r>
      <w:r w:rsidRPr="00BA2B87">
        <w:t xml:space="preserve">_rule/action) → H¹(X, </w:t>
      </w:r>
      <w:r w:rsidRPr="00BA2B87">
        <w:rPr>
          <w:rFonts w:ascii="Cambria Math" w:hAnsi="Cambria Math" w:cs="Cambria Math"/>
        </w:rPr>
        <w:t>𝓐</w:t>
      </w:r>
      <w:r w:rsidRPr="00BA2B87">
        <w:t xml:space="preserve">_ctx): nontrivial, the loop withholds, switches rule, or refines the cover. The division of labour is the </w:t>
      </w:r>
      <w:r w:rsidRPr="00BA2B87">
        <w:rPr>
          <w:b/>
          <w:bCs/>
        </w:rPr>
        <w:t>availability-versus-permission</w:t>
      </w:r>
      <w:r w:rsidRPr="00BA2B87">
        <w:t xml:space="preserve"> distinction made circuit-specific: MD supplies </w:t>
      </w:r>
      <w:r w:rsidRPr="00BA2B87">
        <w:rPr>
          <w:i/>
          <w:iCs/>
        </w:rPr>
        <w:t>availability</w:t>
      </w:r>
      <w:r w:rsidRPr="00BA2B87">
        <w:t xml:space="preserve"> — it keeps the quotient alive so there is something to audit — while the connecting homomorphism supplies </w:t>
      </w:r>
      <w:r w:rsidRPr="00BA2B87">
        <w:rPr>
          <w:i/>
          <w:iCs/>
        </w:rPr>
        <w:t>permission</w:t>
      </w:r>
      <w:r w:rsidRPr="00BA2B87">
        <w:t xml:space="preserve"> — the veto deciding whether the kept-alive quotient may be released. Availability is not permission, and conflating them is the executive form of treating separation power as separation license. PFC chooses the quotient; MD keeps it alive; the kernel is context; the connecting homomorphism is executive control.</w:t>
      </w:r>
    </w:p>
    <w:p w14:paraId="1CC9EBF7" w14:textId="77777777" w:rsidR="00BA2B87" w:rsidRPr="00BA2B87" w:rsidRDefault="00BA2B87" w:rsidP="008A259C">
      <w:pPr>
        <w:pStyle w:val="Heading1"/>
      </w:pPr>
      <w:r w:rsidRPr="00BA2B87">
        <w:t>Part IV — The restriction vertex in the failure triad</w:t>
      </w:r>
    </w:p>
    <w:p w14:paraId="096E12C3" w14:textId="77777777" w:rsidR="00BA2B87" w:rsidRPr="00BA2B87" w:rsidRDefault="00BA2B87" w:rsidP="008A259C">
      <w:pPr>
        <w:pStyle w:val="Heading2"/>
      </w:pPr>
      <w:r w:rsidRPr="00BA2B87">
        <w:t>12. The gate presupposes the domain and the resolution coordinates [LB] preconditions / [F]</w:t>
      </w:r>
    </w:p>
    <w:p w14:paraId="5ED286E0" w14:textId="77777777" w:rsidR="00BA2B87" w:rsidRPr="00BA2B87" w:rsidRDefault="00BA2B87" w:rsidP="00BA2B87">
      <w:pPr>
        <w:jc w:val="both"/>
      </w:pPr>
      <w:r w:rsidRPr="00BA2B87">
        <w:t xml:space="preserve">This gate is the </w:t>
      </w:r>
      <w:r w:rsidRPr="00BA2B87">
        <w:rPr>
          <w:b/>
          <w:bCs/>
        </w:rPr>
        <w:t>restriction vertex</w:t>
      </w:r>
      <w:r w:rsidRPr="00BA2B87">
        <w:t xml:space="preserve"> of the three independent, individually necessary coordinates of audit adequacy (</w:t>
      </w:r>
      <w:r w:rsidRPr="00BA2B87">
        <w:rPr>
          <w:i/>
          <w:iCs/>
        </w:rPr>
        <w:t>The Direct and Indirect Axes and the Construction AGI Island</w:t>
      </w:r>
      <w:r w:rsidRPr="00BA2B87">
        <w:t xml:space="preserve">); it closes </w:t>
      </w:r>
      <w:r w:rsidRPr="00BA2B87">
        <w:rPr>
          <w:b/>
          <w:bCs/>
        </w:rPr>
        <w:t>restriction failure</w:t>
      </w:r>
      <w:r w:rsidRPr="00BA2B87">
        <w:t>, the case where a high-level proposal is never forced to descend against the evidence it presupposes. But the obstruction it computes is well-posed only when the other two coordinates hold, and the enrichment worth making explicit is that conditioning.</w:t>
      </w:r>
    </w:p>
    <w:p w14:paraId="4D8D1684" w14:textId="77777777" w:rsidR="00BA2B87" w:rsidRPr="00BA2B87" w:rsidRDefault="00BA2B87" w:rsidP="00BA2B87">
      <w:pPr>
        <w:jc w:val="both"/>
      </w:pPr>
      <w:r w:rsidRPr="00BA2B87">
        <w:rPr>
          <w:b/>
          <w:bCs/>
        </w:rPr>
        <w:t>The domain precondition — the missing-simplex vertex (Nerve-Attention).</w:t>
      </w:r>
      <w:r w:rsidRPr="00BA2B87">
        <w:t xml:space="preserve"> The differential δ¹ and the connecting map ∂ are evaluated on genuine simplices; the cochain group C² is generated by genuine triple overlaps. If those faces are clique-completed fictions — three pairwise agreements mistaken for a joint one, the Vietoris–Rips complex passed off as the Čech nerve — the gate computes H¹ over a complex whose 2-simplices do not exist, and its verdict is meaningless. Missing-simplex failure does not corrupt the gate's arithmetic; it removes the gate's domain.</w:t>
      </w:r>
    </w:p>
    <w:p w14:paraId="38A5A94F" w14:textId="77777777" w:rsidR="00BA2B87" w:rsidRPr="00BA2B87" w:rsidRDefault="00BA2B87" w:rsidP="00BA2B87">
      <w:pPr>
        <w:jc w:val="both"/>
      </w:pPr>
      <w:r w:rsidRPr="00BA2B87">
        <w:rPr>
          <w:b/>
          <w:bCs/>
        </w:rPr>
        <w:t>The resolution precondition — the false-zero vertex (Hypercovering).</w:t>
      </w:r>
      <w:r w:rsidRPr="00BA2B87">
        <w:t xml:space="preserve"> The release verdict [ω] = 0 certifies </w:t>
      </w:r>
      <w:r w:rsidRPr="00BA2B87">
        <w:rPr>
          <w:i/>
          <w:iCs/>
        </w:rPr>
        <w:t>genuine</w:t>
      </w:r>
      <w:r w:rsidRPr="00BA2B87">
        <w:t xml:space="preserve"> agreement only on a cover acyclic in the relevant degrees (the good-cover/Leray condition). On a cover too coarse, Čech H¹ need not equal the true derived obstruction: a real obstruction hides in an interior the coarse cover treats as a point, and the gate reads a </w:t>
      </w:r>
      <w:r w:rsidRPr="00BA2B87">
        <w:rPr>
          <w:b/>
          <w:bCs/>
        </w:rPr>
        <w:t>false zero</w:t>
      </w:r>
      <w:r w:rsidRPr="00BA2B87">
        <w:t>. False-zero failure does not remove the gate's domain; it makes the gate's zero a false certification.</w:t>
      </w:r>
    </w:p>
    <w:p w14:paraId="465D0FFE" w14:textId="77777777" w:rsidR="00BA2B87" w:rsidRPr="00BA2B87" w:rsidRDefault="00BA2B87" w:rsidP="00BA2B87">
      <w:pPr>
        <w:jc w:val="both"/>
      </w:pPr>
      <w:r w:rsidRPr="00BA2B87">
        <w:t xml:space="preserve">Stated cohomologically: the H¹ the gate audits is the </w:t>
      </w:r>
      <w:r w:rsidRPr="00BA2B87">
        <w:rPr>
          <w:i/>
          <w:iCs/>
        </w:rPr>
        <w:t>true</w:t>
      </w:r>
      <w:r w:rsidRPr="00BA2B87">
        <w:t xml:space="preserve"> obstruction if and only if its cochain complex is built on genuine simplices (the domain coordinate) and its cover is Leray (the resolution coordinate); ∂ inherits both preconditions. The three failures are independent — each can fail with the others </w:t>
      </w:r>
      <w:r w:rsidRPr="00BA2B87">
        <w:lastRenderedPageBreak/>
        <w:t>satisfied — yet the restriction gate is where they compose. The enrichment is a conditioning, not an absorption: Nerve-Attention certifies the faces, Hypercovering refines the cover, the restriction gate computes the obstruction; it depends on the other two coordinates, it does not perform them, and its defensibility is the conjunction of all three.</w:t>
      </w:r>
    </w:p>
    <w:p w14:paraId="7B3B6A5F" w14:textId="77777777" w:rsidR="00BA2B87" w:rsidRPr="00BA2B87" w:rsidRDefault="00BA2B87" w:rsidP="008A259C">
      <w:pPr>
        <w:pStyle w:val="Heading1"/>
      </w:pPr>
      <w:r w:rsidRPr="00BA2B87">
        <w:t>Part V — Adjacent structures and the gate's home</w:t>
      </w:r>
    </w:p>
    <w:p w14:paraId="316CBC51" w14:textId="77777777" w:rsidR="00BA2B87" w:rsidRPr="00BA2B87" w:rsidRDefault="00BA2B87" w:rsidP="008A259C">
      <w:pPr>
        <w:pStyle w:val="Heading2"/>
      </w:pPr>
      <w:r w:rsidRPr="00BA2B87">
        <w:t>13. The two-tier compositional gate [CAND], from the cortex paper</w:t>
      </w:r>
    </w:p>
    <w:p w14:paraId="3381485E" w14:textId="77777777" w:rsidR="00BA2B87" w:rsidRPr="00BA2B87" w:rsidRDefault="00BA2B87" w:rsidP="00BA2B87">
      <w:pPr>
        <w:jc w:val="both"/>
      </w:pPr>
      <w:r w:rsidRPr="00BA2B87">
        <w:t>The first-order gate tests whether a single binding glues (H¹); a second tier tests whether two already-glued bindings compose, via the cup product H¹ × H¹ → H² (</w:t>
      </w:r>
      <w:r w:rsidRPr="00BA2B87">
        <w:rPr>
          <w:i/>
          <w:iCs/>
        </w:rPr>
        <w:t>The Algorithm of the 3→6-Layer Cortex</w:t>
      </w:r>
      <w:r w:rsidRPr="00BA2B87">
        <w:t>). A pair of locally defensible bindings can carry a compound obstruction their individual audits do not see — the algebraic form of the deposited "validating parts never validates the composition." The cup-product gate is the compositional tier of the same audit, and like the first tier it lives on genuine simplices.</w:t>
      </w:r>
    </w:p>
    <w:p w14:paraId="01C208EE" w14:textId="77777777" w:rsidR="00BA2B87" w:rsidRPr="00BA2B87" w:rsidRDefault="00BA2B87" w:rsidP="008A259C">
      <w:pPr>
        <w:pStyle w:val="Heading2"/>
      </w:pPr>
      <w:r w:rsidRPr="00BA2B87">
        <w:t>14. The adjacent layer the algebra must not absorb — bounded gain [LB, but a different kind of mathematics]</w:t>
      </w:r>
    </w:p>
    <w:p w14:paraId="0BDD5094" w14:textId="77777777" w:rsidR="00BA2B87" w:rsidRPr="00BA2B87" w:rsidRDefault="00BA2B87" w:rsidP="00BA2B87">
      <w:pPr>
        <w:jc w:val="both"/>
      </w:pPr>
      <w:r w:rsidRPr="00BA2B87">
        <w:t xml:space="preserve">The gate has a dynamical envelope — arousal as a free-energy potential V(a), a bounded loop gain L &lt; 1, a Hopf margin, the hinge V″(a) = γₐ(1 − L) = Γ of the Loop-Stability arc — that regulates </w:t>
      </w:r>
      <w:r w:rsidRPr="00BA2B87">
        <w:rPr>
          <w:i/>
          <w:iCs/>
        </w:rPr>
        <w:t>whether the loop is stable enough to run the audit at all</w:t>
      </w:r>
      <w:r w:rsidRPr="00BA2B87">
        <w:t xml:space="preserve">. This is a </w:t>
      </w:r>
      <w:r w:rsidRPr="00BA2B87">
        <w:rPr>
          <w:b/>
          <w:bCs/>
        </w:rPr>
        <w:t>different kind of mathematics</w:t>
      </w:r>
      <w:r w:rsidRPr="00BA2B87">
        <w:t xml:space="preserve"> from the homological gate: dynamical-systems stability, not sheaf cohomology. The paper keeps the two layers adjacent and does not merge them; the algebra computes the obstruction, the dynamical layer keeps the machine that computes it from oscillating or melting. Conflating them is the standing error the framework's capstone fences.</w:t>
      </w:r>
    </w:p>
    <w:p w14:paraId="4469077F" w14:textId="77777777" w:rsidR="00BA2B87" w:rsidRPr="00BA2B87" w:rsidRDefault="00BA2B87" w:rsidP="008A259C">
      <w:pPr>
        <w:pStyle w:val="Heading2"/>
      </w:pPr>
      <w:r w:rsidRPr="00BA2B87">
        <w:t>15. The laminar routing [CAND], held to the deposited cortex reading</w:t>
      </w:r>
    </w:p>
    <w:p w14:paraId="0C5179C8" w14:textId="77777777" w:rsidR="00BA2B87" w:rsidRPr="00BA2B87" w:rsidRDefault="00BA2B87" w:rsidP="00BA2B87">
      <w:pPr>
        <w:jc w:val="both"/>
      </w:pPr>
      <w:r w:rsidRPr="00BA2B87">
        <w:t xml:space="preserve">Read as one circuit: </w:t>
      </w:r>
      <w:r w:rsidRPr="00BA2B87">
        <w:rPr>
          <w:b/>
          <w:bCs/>
        </w:rPr>
        <w:t>Layer 4</w:t>
      </w:r>
      <w:r w:rsidRPr="00BA2B87">
        <w:t xml:space="preserve"> writes the local sections (C⁰); </w:t>
      </w:r>
      <w:r w:rsidRPr="00BA2B87">
        <w:rPr>
          <w:b/>
          <w:bCs/>
        </w:rPr>
        <w:t>Layers 2/3</w:t>
      </w:r>
      <w:r w:rsidRPr="00BA2B87">
        <w:t xml:space="preserve"> assemble candidate relational bindings; </w:t>
      </w:r>
      <w:r w:rsidRPr="00BA2B87">
        <w:rPr>
          <w:b/>
          <w:bCs/>
        </w:rPr>
        <w:t>Layer 6</w:t>
      </w:r>
      <w:r w:rsidRPr="00BA2B87">
        <w:t xml:space="preserve"> carries the feedback/restriction term and the gain; </w:t>
      </w:r>
      <w:r w:rsidRPr="00BA2B87">
        <w:rPr>
          <w:b/>
          <w:bCs/>
        </w:rPr>
        <w:t>Layer 1</w:t>
      </w:r>
      <w:r w:rsidRPr="00BA2B87">
        <w:t xml:space="preserve"> supplies apical context and the precision ε(Π); </w:t>
      </w:r>
      <w:r w:rsidRPr="00BA2B87">
        <w:rPr>
          <w:b/>
          <w:bCs/>
        </w:rPr>
        <w:t>Layer 5</w:t>
      </w:r>
      <w:r w:rsidRPr="00BA2B87">
        <w:t xml:space="preserve"> integrates the basal and apical streams at its two dendritic compartments, forms the output quotient, and gates release. The L5 apical/basal coincidence is the physical </w:t>
      </w:r>
      <w:r w:rsidRPr="00BA2B87">
        <w:rPr>
          <w:i/>
          <w:iCs/>
        </w:rPr>
        <w:t>comparison</w:t>
      </w:r>
      <w:r w:rsidRPr="00BA2B87">
        <w:t xml:space="preserve"> the loop requires — consistent with the deposited mechanism, and deliberately </w:t>
      </w:r>
      <w:r w:rsidRPr="00BA2B87">
        <w:rPr>
          <w:b/>
          <w:bCs/>
        </w:rPr>
        <w:t>not</w:t>
      </w:r>
      <w:r w:rsidRPr="00BA2B87">
        <w:t xml:space="preserve"> the stronger claim that Layer 5 computes the Čech coboundary.</w:t>
      </w:r>
    </w:p>
    <w:p w14:paraId="2CB9B25E" w14:textId="77777777" w:rsidR="00BA2B87" w:rsidRPr="00BA2B87" w:rsidRDefault="00BA2B87" w:rsidP="008A259C">
      <w:pPr>
        <w:pStyle w:val="Heading1"/>
      </w:pPr>
      <w:r w:rsidRPr="00BA2B87">
        <w:t>Part VI — The design thesis</w:t>
      </w:r>
    </w:p>
    <w:p w14:paraId="6AFC8947" w14:textId="77777777" w:rsidR="00BA2B87" w:rsidRPr="00BA2B87" w:rsidRDefault="00BA2B87" w:rsidP="008A259C">
      <w:pPr>
        <w:pStyle w:val="Heading2"/>
      </w:pPr>
      <w:r w:rsidRPr="00BA2B87">
        <w:t>16. The cortex is an abelian audit circuit</w:t>
      </w:r>
    </w:p>
    <w:p w14:paraId="752B4D6B" w14:textId="77777777" w:rsidR="00BA2B87" w:rsidRPr="00BA2B87" w:rsidRDefault="00BA2B87" w:rsidP="00BA2B87">
      <w:pPr>
        <w:jc w:val="both"/>
      </w:pPr>
      <w:r w:rsidRPr="00BA2B87">
        <w:t xml:space="preserve">The thesis the paper consolidates: the cortex is not an optimizer alone and not a feature detector alone — it is a machine for maintaining cohomological consistency over local-to-global claims. Its runtime cycle is </w:t>
      </w:r>
      <w:r w:rsidRPr="00BA2B87">
        <w:rPr>
          <w:b/>
          <w:bCs/>
        </w:rPr>
        <w:t>propose → restrict → audit → release/refuse → repair/refine</w:t>
      </w:r>
      <w:r w:rsidRPr="00BA2B87">
        <w:t>; its currency is the obstruction class, not the scalar loss; its discipline is to release only what glues, repair what is locally repairable, refine when the cover is too coarse, withhold what carries an irreducible class, and defer to offline lift what online gluing cannot discharge. The restriction vertex is the audit step of that cycle — the place where a proposal meets the evidence it presupposes and is told whether it may stand.</w:t>
      </w:r>
    </w:p>
    <w:p w14:paraId="1945FFFA" w14:textId="77777777" w:rsidR="00BA2B87" w:rsidRPr="00BA2B87" w:rsidRDefault="00BA2B87" w:rsidP="008A259C">
      <w:pPr>
        <w:pStyle w:val="Heading1"/>
      </w:pPr>
      <w:r w:rsidRPr="00BA2B87">
        <w:lastRenderedPageBreak/>
        <w:t>Part VII — Tiers, fences, and refutation</w:t>
      </w:r>
    </w:p>
    <w:p w14:paraId="2D79E846" w14:textId="7FC94F84" w:rsidR="00BA2B87" w:rsidRPr="00BA2B87" w:rsidRDefault="00BA2B87" w:rsidP="00BA2B87">
      <w:pPr>
        <w:jc w:val="both"/>
      </w:pPr>
      <w:r w:rsidRPr="00BA2B87">
        <w:t>[LB] — that cohomology and the obstruction class H¹ = ker δ¹/im δ⁰ are defined only in an abelian category; the short exact sequence and its connecting homomorphism ∂ : H⁰(</w:t>
      </w:r>
      <w:r w:rsidRPr="00BA2B87">
        <w:rPr>
          <w:rFonts w:ascii="Cambria Math" w:hAnsi="Cambria Math" w:cs="Cambria Math"/>
        </w:rPr>
        <w:t>𝓕</w:t>
      </w:r>
      <w:r w:rsidRPr="00BA2B87">
        <w:t>″) → H¹(</w:t>
      </w:r>
      <w:r w:rsidRPr="00BA2B87">
        <w:rPr>
          <w:rFonts w:ascii="Cambria Math" w:hAnsi="Cambria Math" w:cs="Cambria Math"/>
        </w:rPr>
        <w:t>𝓕</w:t>
      </w:r>
      <w:r w:rsidRPr="00BA2B87">
        <w:t xml:space="preserve">′); that this H¹ is the true obstruction only on a complex of genuine simplices and a Leray cover (the two preconditions of Part IV); the cup product H¹ × H¹ → H²; the left-exact-not-right-exact asymmetry of the global-sections functor (restriction free, gluing obstructed); the patch-to-overlap construction of the Čech differential; and, in the </w:t>
      </w:r>
      <w:r w:rsidRPr="00BA2B87">
        <w:rPr>
          <w:i/>
          <w:iCs/>
        </w:rPr>
        <w:t>adjacent dynamical layer</w:t>
      </w:r>
      <w:r w:rsidRPr="00BA2B87">
        <w:t>, the bounded-gain / L &lt; 1 / Hopf-margin results. [SUP] — the mediodorsal amplification of prefrontal activity (</w:t>
      </w:r>
      <w:hyperlink r:id="rId35" w:history="1">
        <w:r w:rsidRPr="00055D9C">
          <w:rPr>
            <w:rStyle w:val="Hyperlink"/>
          </w:rPr>
          <w:t>Schmitt 2017</w:t>
        </w:r>
      </w:hyperlink>
      <w:r w:rsidRPr="00BA2B87">
        <w:t xml:space="preserve">; </w:t>
      </w:r>
      <w:hyperlink r:id="rId36" w:history="1">
        <w:r w:rsidRPr="00055D9C">
          <w:rPr>
            <w:rStyle w:val="Hyperlink"/>
          </w:rPr>
          <w:t>Bolkan 2017</w:t>
        </w:r>
      </w:hyperlink>
      <w:r w:rsidRPr="00BA2B87">
        <w:t xml:space="preserve">; </w:t>
      </w:r>
      <w:hyperlink r:id="rId37" w:history="1">
        <w:r w:rsidRPr="00055D9C">
          <w:rPr>
            <w:rStyle w:val="Hyperlink"/>
          </w:rPr>
          <w:t>Parnaudeau 2013</w:t>
        </w:r>
      </w:hyperlink>
      <w:r w:rsidRPr="00BA2B87">
        <w:t>), the prefrontal rule/goal representation (</w:t>
      </w:r>
      <w:hyperlink r:id="rId38" w:history="1">
        <w:r w:rsidRPr="00055D9C">
          <w:rPr>
            <w:rStyle w:val="Hyperlink"/>
          </w:rPr>
          <w:t>Miller &amp; Cohen 2001</w:t>
        </w:r>
      </w:hyperlink>
      <w:r w:rsidRPr="00BA2B87">
        <w:t>), and the L5 apical/basal coincidence mechanism (</w:t>
      </w:r>
      <w:hyperlink r:id="rId39" w:history="1">
        <w:r w:rsidRPr="00055D9C">
          <w:rPr>
            <w:rStyle w:val="Hyperlink"/>
          </w:rPr>
          <w:t>Larkum 2013</w:t>
        </w:r>
      </w:hyperlink>
      <w:r w:rsidRPr="00BA2B87">
        <w:t>). [CAND] — cognition as the cochain audit; the four-way categorization; feedback as the physical restriction direction; the operational loop; the realized SES and its laminar assignment; the kernel-retention reading of the sensory–association hierarchy; the PFC–MD executive veto. [F] — the deposited companions. [V] — the external mathematics.</w:t>
      </w:r>
    </w:p>
    <w:p w14:paraId="38D07FBA" w14:textId="77777777" w:rsidR="00BA2B87" w:rsidRPr="00BA2B87" w:rsidRDefault="00BA2B87" w:rsidP="00BA2B87">
      <w:pPr>
        <w:jc w:val="both"/>
      </w:pPr>
      <w:r w:rsidRPr="00BA2B87">
        <w:t>Fences. (i) The homological layer and the dynamical-stability layer (§14) are different kinds of mathematics, kept adjacent, not merged. (ii) "Abelian" is not the load-bearing addition over a vector generator — the sheaf-over-a-site structure is. (iii) Feedback realizes restriction as a structural isomorphism, not a theorem, and is not the prerequisite for the Čech differential's existence; the comparison could equally be realized by lateral or bottom-up structure, since the mathematics needs only the cover's restriction structure. (iv) Layer 5 forms the quotient and gates; it is not a coboundary-computer — ∂ is computed in the Layer-6 audit and read at the Layer-5 gate. (v) The raw mismatch δ⁰s is a coboundary (the agreement test), never itself the H¹ obstruction; the genuine obstruction is ∂(s″). (vi) The gate is conditioned by the failure triad, not the absorber of it — it presupposes a certified domain (Nerve-Attention) and a Leray cover (Hypercovering), it does not perform them, and the three failures remain independent. (vii) The four declines of §7 hold: not the colimit-versus-equalizer proof, not "guaranteed to hallucinate," not the layer-as-coboundary mapping, not a theorem. (viii) MD supplies availability, the connecting homomorphism supplies permission; the two are not the same act. (ix) The PFC–MD mapping is new to the corpus and its [SUP] primaries are to be confirmed against the originals before formal deposit. (x) Structural isomorphism throughout — the cortex has the structure of the audit, it does not compute sheaf cohomology.</w:t>
      </w:r>
    </w:p>
    <w:p w14:paraId="31C0C230" w14:textId="77777777" w:rsidR="00BA2B87" w:rsidRDefault="00BA2B87" w:rsidP="00BA2B87">
      <w:pPr>
        <w:jc w:val="both"/>
      </w:pPr>
      <w:r w:rsidRPr="00BA2B87">
        <w:t>Refutation. The structural isomorphism earns its place only if the propose–restrict–decide–repair loop predicts something a feedforward-plus-offline-training pipeline does not: concretely, that inserting a runtime restriction-and-test channel — one supplying non-trivial transition maps — confers an edge-case defensibility advantage at matched capacity over scaling the proposal engine alone. If a scaled pure-proposal engine is as defensible at the edges, the loop is descriptive decoration and the identity buys nothing.</w:t>
      </w:r>
    </w:p>
    <w:p w14:paraId="2AEBDFA1" w14:textId="77777777" w:rsidR="00BB130E" w:rsidRPr="00BB130E" w:rsidRDefault="00BB130E" w:rsidP="00BB130E">
      <w:pPr>
        <w:pStyle w:val="Heading1"/>
      </w:pPr>
      <w:r w:rsidRPr="00BB130E">
        <w:t>Conclusion</w:t>
      </w:r>
    </w:p>
    <w:p w14:paraId="35EEDD8F" w14:textId="77777777" w:rsidR="00BB130E" w:rsidRPr="00BB130E" w:rsidRDefault="00BB130E" w:rsidP="00BB130E">
      <w:pPr>
        <w:jc w:val="both"/>
      </w:pPr>
      <w:r w:rsidRPr="00BB130E">
        <w:t xml:space="preserve">This paper has identified the restriction vertex as the third indispensable coordinate of defensible audit. Nerve-Attention supplies the domain by certifying that genuine simplices exist; Hypercovering supplies the resolution by ensuring that the cover is faithful enough not to hide a false zero; the restriction vertex supplies the gate by forcing a proposed quotient claim back down onto the hidden local constraints it would otherwise forget. The central algebraic object is the connecting homomorphism: a proposed report or action may be released only if it lifts through the full state without producing a nontrivial obstruction in the hidden-constraint sheaf. This reframes error not as a </w:t>
      </w:r>
      <w:r w:rsidRPr="00BB130E">
        <w:lastRenderedPageBreak/>
        <w:t>scalar magnitude but as an exactness diagnosis: repairable coboundary, liftable obstruction, irreducible refusal, or false zero requiring refinement. In this sense, the cortex is read not as an optimizer alone, nor as a feature detector alone, but as an abelian audit circuit whose runtime discipline is propose, restrict, audit, release or refuse, and repair or refine.</w:t>
      </w:r>
    </w:p>
    <w:p w14:paraId="27B68806" w14:textId="77777777" w:rsidR="00BB130E" w:rsidRPr="00BB130E" w:rsidRDefault="00BB130E" w:rsidP="00BB130E">
      <w:pPr>
        <w:jc w:val="both"/>
      </w:pPr>
      <w:r w:rsidRPr="00BB130E">
        <w:t>The biological and AI claims remain structural, not literal. Feedback is not declared identical to sheaf restriction as a theorem; it is the physical channel that can realize the restriction direction by carrying a higher-level proposal back to the local evidence, sensory constraints, motor affordances, contextual rules, and hidden kernels it presupposes. Layer 5 forms the output quotient and gates release; Layer 6 supplies the corticothalamic audit direction; the PFC–MD loop maintains executive availability while the obstruction supplies permission. This also refines the Transformer diagnosis: attention may perform soft gluing, but without nontrivial transition structure and a runtime restriction-and-test channel, its obstruction remains vacuous. The final claim is therefore precise: defensible intelligence is not the amplification of the winning proposal, but the licensed release of what survives downward restriction. A system becomes trustworthy when it can say not only what it proposes, but what hidden constraints it preserved, what obstruction it tested, and why the proposal may stand.</w:t>
      </w:r>
    </w:p>
    <w:p w14:paraId="4AE66715" w14:textId="6E818100" w:rsidR="00BA2B87" w:rsidRPr="00BA2B87" w:rsidRDefault="008A259C" w:rsidP="00BB130E">
      <w:pPr>
        <w:pStyle w:val="Heading1"/>
        <w:tabs>
          <w:tab w:val="left" w:pos="5704"/>
        </w:tabs>
      </w:pPr>
      <w:r>
        <w:t>References</w:t>
      </w:r>
      <w:r w:rsidR="00BB130E">
        <w:tab/>
      </w:r>
    </w:p>
    <w:p w14:paraId="42317B35" w14:textId="77777777" w:rsidR="003A0CCC" w:rsidRPr="003A0CCC" w:rsidRDefault="003A0CCC" w:rsidP="003A0CCC">
      <w:pPr>
        <w:pStyle w:val="Heading2"/>
      </w:pPr>
      <w:r w:rsidRPr="003A0CCC">
        <w:t>Mathematics and Sheaf Theory</w:t>
      </w:r>
    </w:p>
    <w:p w14:paraId="7F5073B8" w14:textId="77777777" w:rsidR="003A0CCC" w:rsidRPr="003A0CCC" w:rsidRDefault="003A0CCC" w:rsidP="003A0CCC">
      <w:pPr>
        <w:jc w:val="both"/>
      </w:pPr>
      <w:r w:rsidRPr="003A0CCC">
        <w:t xml:space="preserve">Bott, R., &amp; Tu, L. W. (1982). </w:t>
      </w:r>
      <w:r w:rsidRPr="003A0CCC">
        <w:rPr>
          <w:i/>
          <w:iCs/>
        </w:rPr>
        <w:t>Differential forms in algebraic topology</w:t>
      </w:r>
      <w:r w:rsidRPr="003A0CCC">
        <w:t xml:space="preserve"> (Graduate Texts in Mathematics, Vol. 82). Springer. </w:t>
      </w:r>
      <w:hyperlink r:id="rId40" w:history="1">
        <w:r w:rsidRPr="003A0CCC">
          <w:rPr>
            <w:rStyle w:val="Hyperlink"/>
          </w:rPr>
          <w:t>https://doi.org/10.1007/978-1-4757-3951-0</w:t>
        </w:r>
      </w:hyperlink>
    </w:p>
    <w:p w14:paraId="4C746762" w14:textId="213DC35F" w:rsidR="003A0CCC" w:rsidRPr="003A0CCC" w:rsidRDefault="003A0CCC" w:rsidP="003A0CCC">
      <w:pPr>
        <w:jc w:val="both"/>
      </w:pPr>
      <w:r w:rsidRPr="003A0CCC">
        <w:t xml:space="preserve">Bredon, G. E. (1997). </w:t>
      </w:r>
      <w:r w:rsidRPr="003A0CCC">
        <w:rPr>
          <w:i/>
          <w:iCs/>
        </w:rPr>
        <w:t>Sheaf theory</w:t>
      </w:r>
      <w:r w:rsidRPr="003A0CCC">
        <w:t xml:space="preserve"> (2nd ed., Graduate Texts in Mathematics, Vol. 170). Springer. </w:t>
      </w:r>
      <w:hyperlink r:id="rId41" w:history="1">
        <w:r w:rsidRPr="003A0CCC">
          <w:rPr>
            <w:rStyle w:val="Hyperlink"/>
          </w:rPr>
          <w:t>https://doi.org/10.1007/978-1-4612-0647-7</w:t>
        </w:r>
      </w:hyperlink>
      <w:r w:rsidR="0000368B">
        <w:t xml:space="preserve"> </w:t>
      </w:r>
      <w:r w:rsidR="0000368B" w:rsidRPr="00BA2B87">
        <w:t xml:space="preserve"> (Sheaf cohomology as the obstruction to gluing; the good-cover/Leray condition.)</w:t>
      </w:r>
    </w:p>
    <w:p w14:paraId="28AEF916" w14:textId="4D639CAC" w:rsidR="003A0CCC" w:rsidRPr="003A0CCC" w:rsidRDefault="003A0CCC" w:rsidP="003A0CCC">
      <w:pPr>
        <w:jc w:val="both"/>
      </w:pPr>
      <w:r w:rsidRPr="003A0CCC">
        <w:t xml:space="preserve">Godement, R. (1958). </w:t>
      </w:r>
      <w:r w:rsidRPr="003A0CCC">
        <w:rPr>
          <w:i/>
          <w:iCs/>
        </w:rPr>
        <w:t>Topologie algébrique et théorie des faisceaux</w:t>
      </w:r>
      <w:r w:rsidRPr="003A0CCC">
        <w:t xml:space="preserve">. Hermann. WorldCat record: </w:t>
      </w:r>
      <w:hyperlink r:id="rId42" w:history="1">
        <w:r w:rsidRPr="003A0CCC">
          <w:rPr>
            <w:rStyle w:val="Hyperlink"/>
          </w:rPr>
          <w:t>https://search.worldcat.org/title/1935048</w:t>
        </w:r>
      </w:hyperlink>
      <w:r w:rsidR="0000368B">
        <w:t xml:space="preserve">, </w:t>
      </w:r>
      <w:hyperlink r:id="rId43" w:history="1">
        <w:r w:rsidR="0000368B" w:rsidRPr="002E59B9">
          <w:rPr>
            <w:rStyle w:val="Hyperlink"/>
          </w:rPr>
          <w:t>https://ncatlab.org/nlab/files/Godement-TopologieAlgebrique.pdf</w:t>
        </w:r>
      </w:hyperlink>
      <w:r w:rsidR="00055D9C">
        <w:t xml:space="preserve">, </w:t>
      </w:r>
      <w:r w:rsidR="00055D9C" w:rsidRPr="00BA2B87">
        <w:t>(Čech cochains over covers; the cup product; partitions of unity)</w:t>
      </w:r>
      <w:r w:rsidR="00055D9C">
        <w:t xml:space="preserve">. </w:t>
      </w:r>
      <w:r w:rsidR="0000368B">
        <w:t xml:space="preserve"> </w:t>
      </w:r>
    </w:p>
    <w:p w14:paraId="5B969CB4" w14:textId="6D91558E" w:rsidR="003A0CCC" w:rsidRPr="003A0CCC" w:rsidRDefault="003A0CCC" w:rsidP="003A0CCC">
      <w:pPr>
        <w:jc w:val="both"/>
      </w:pPr>
      <w:r w:rsidRPr="003A0CCC">
        <w:t xml:space="preserve">Hansen, J., &amp; Ghrist, R. (2019). Toward a spectral theory of cellular sheaves. </w:t>
      </w:r>
      <w:r w:rsidRPr="003A0CCC">
        <w:rPr>
          <w:i/>
          <w:iCs/>
        </w:rPr>
        <w:t>Journal of Applied and Computational Topology, 3</w:t>
      </w:r>
      <w:r w:rsidRPr="003A0CCC">
        <w:t xml:space="preserve">, 315–358. </w:t>
      </w:r>
      <w:hyperlink r:id="rId44" w:history="1">
        <w:r w:rsidRPr="003A0CCC">
          <w:rPr>
            <w:rStyle w:val="Hyperlink"/>
          </w:rPr>
          <w:t>https://doi.org/10.1007/s41468-019-00038-7</w:t>
        </w:r>
      </w:hyperlink>
      <w:r w:rsidRPr="003A0CCC">
        <w:br/>
        <w:t xml:space="preserve">arXiv: </w:t>
      </w:r>
      <w:hyperlink r:id="rId45" w:history="1">
        <w:r w:rsidRPr="003A0CCC">
          <w:rPr>
            <w:rStyle w:val="Hyperlink"/>
          </w:rPr>
          <w:t>https://arxiv.org/abs/1808.01513</w:t>
        </w:r>
      </w:hyperlink>
      <w:r w:rsidR="00055D9C">
        <w:t xml:space="preserve">, </w:t>
      </w:r>
      <w:r w:rsidR="00055D9C" w:rsidRPr="00BA2B87">
        <w:t>(Implementable graph/neural analogues with stalks and restriction maps.)</w:t>
      </w:r>
      <w:r w:rsidR="00055D9C">
        <w:t xml:space="preserve"> </w:t>
      </w:r>
    </w:p>
    <w:p w14:paraId="3C068BD1" w14:textId="77777777" w:rsidR="003A0CCC" w:rsidRPr="003A0CCC" w:rsidRDefault="003A0CCC" w:rsidP="003A0CCC">
      <w:pPr>
        <w:jc w:val="both"/>
      </w:pPr>
      <w:r w:rsidRPr="003A0CCC">
        <w:t xml:space="preserve">Iversen, B. (1986). </w:t>
      </w:r>
      <w:r w:rsidRPr="003A0CCC">
        <w:rPr>
          <w:i/>
          <w:iCs/>
        </w:rPr>
        <w:t>Cohomology of sheaves</w:t>
      </w:r>
      <w:r w:rsidRPr="003A0CCC">
        <w:t xml:space="preserve">. Springer. </w:t>
      </w:r>
      <w:hyperlink r:id="rId46" w:history="1">
        <w:r w:rsidRPr="003A0CCC">
          <w:rPr>
            <w:rStyle w:val="Hyperlink"/>
          </w:rPr>
          <w:t>https://doi.org/10.1007/978-3-642-82783-9</w:t>
        </w:r>
      </w:hyperlink>
    </w:p>
    <w:p w14:paraId="622EB660" w14:textId="77777777" w:rsidR="003A0CCC" w:rsidRPr="003A0CCC" w:rsidRDefault="003A0CCC" w:rsidP="003A0CCC">
      <w:pPr>
        <w:jc w:val="both"/>
      </w:pPr>
      <w:r w:rsidRPr="003A0CCC">
        <w:t xml:space="preserve">Kashiwara, M., &amp; Schapira, P. (1990). </w:t>
      </w:r>
      <w:r w:rsidRPr="003A0CCC">
        <w:rPr>
          <w:i/>
          <w:iCs/>
        </w:rPr>
        <w:t>Sheaves on manifolds: With a short history “Les débuts de la théorie des faisceaux” by Christian Houzel</w:t>
      </w:r>
      <w:r w:rsidRPr="003A0CCC">
        <w:t xml:space="preserve"> (Grundlehren der mathematischen Wissenschaften, Vol. 292). Springer. </w:t>
      </w:r>
      <w:hyperlink r:id="rId47" w:history="1">
        <w:r w:rsidRPr="003A0CCC">
          <w:rPr>
            <w:rStyle w:val="Hyperlink"/>
          </w:rPr>
          <w:t>https://doi.org/10.1007/978-3-662-02661-8</w:t>
        </w:r>
      </w:hyperlink>
    </w:p>
    <w:p w14:paraId="35177ED5" w14:textId="202D9EEF" w:rsidR="003A0CCC" w:rsidRPr="003A0CCC" w:rsidRDefault="003A0CCC" w:rsidP="003A0CCC">
      <w:pPr>
        <w:jc w:val="both"/>
      </w:pPr>
      <w:r w:rsidRPr="003A0CCC">
        <w:t xml:space="preserve">Mac Lane, S., &amp; Moerdijk, I. (1994). </w:t>
      </w:r>
      <w:r w:rsidRPr="003A0CCC">
        <w:rPr>
          <w:i/>
          <w:iCs/>
        </w:rPr>
        <w:t>Sheaves in geometry and logic: A first introduction to topos theory</w:t>
      </w:r>
      <w:r w:rsidRPr="003A0CCC">
        <w:t xml:space="preserve">. Springer. </w:t>
      </w:r>
      <w:hyperlink r:id="rId48" w:history="1">
        <w:r w:rsidRPr="003A0CCC">
          <w:rPr>
            <w:rStyle w:val="Hyperlink"/>
          </w:rPr>
          <w:t>https://doi.org/10.1007/978-1-4612-0927-0</w:t>
        </w:r>
      </w:hyperlink>
      <w:r w:rsidR="00055D9C">
        <w:t xml:space="preserve">, </w:t>
      </w:r>
      <w:r w:rsidR="00055D9C" w:rsidRPr="00BA2B87">
        <w:t>(Presheaves, restriction maps, the sheaf condition as an equalizer.)</w:t>
      </w:r>
      <w:r w:rsidR="00055D9C">
        <w:t xml:space="preserve"> </w:t>
      </w:r>
    </w:p>
    <w:p w14:paraId="616971D1" w14:textId="58036E02" w:rsidR="003A0CCC" w:rsidRPr="003A0CCC" w:rsidRDefault="003A0CCC" w:rsidP="003A0CCC">
      <w:pPr>
        <w:jc w:val="both"/>
      </w:pPr>
      <w:r w:rsidRPr="003A0CCC">
        <w:t xml:space="preserve">Robinson, M. (2013). Understanding networks and their behaviors using sheaf theory. In </w:t>
      </w:r>
      <w:r w:rsidRPr="003A0CCC">
        <w:rPr>
          <w:i/>
          <w:iCs/>
        </w:rPr>
        <w:t>2013 IEEE Global Conference on Signal and Information Processing</w:t>
      </w:r>
      <w:r w:rsidRPr="003A0CCC">
        <w:t xml:space="preserve"> (pp. 911–914). IEEE. </w:t>
      </w:r>
      <w:hyperlink r:id="rId49" w:history="1">
        <w:r w:rsidRPr="003A0CCC">
          <w:rPr>
            <w:rStyle w:val="Hyperlink"/>
          </w:rPr>
          <w:t>https://doi.org/10.1109/GlobalSIP.2013.6737040</w:t>
        </w:r>
      </w:hyperlink>
      <w:r w:rsidR="00055D9C">
        <w:t xml:space="preserve">, </w:t>
      </w:r>
      <w:r w:rsidR="00055D9C" w:rsidRPr="00BA2B87">
        <w:t>(The consistency radius — a mathematical cousin of ε(Π).)</w:t>
      </w:r>
      <w:r w:rsidR="00055D9C">
        <w:t xml:space="preserve"> </w:t>
      </w:r>
      <w:r w:rsidRPr="003A0CCC">
        <w:t xml:space="preserve">arXiv: </w:t>
      </w:r>
      <w:hyperlink r:id="rId50" w:history="1">
        <w:r w:rsidRPr="003A0CCC">
          <w:rPr>
            <w:rStyle w:val="Hyperlink"/>
          </w:rPr>
          <w:t>https://arxiv.org/abs/1308.4621</w:t>
        </w:r>
      </w:hyperlink>
    </w:p>
    <w:p w14:paraId="254040DC" w14:textId="77777777" w:rsidR="003A0CCC" w:rsidRPr="003A0CCC" w:rsidRDefault="003A0CCC" w:rsidP="003A0CCC">
      <w:pPr>
        <w:jc w:val="both"/>
      </w:pPr>
      <w:r w:rsidRPr="003A0CCC">
        <w:lastRenderedPageBreak/>
        <w:t xml:space="preserve">Robinson, M. (2014). </w:t>
      </w:r>
      <w:r w:rsidRPr="003A0CCC">
        <w:rPr>
          <w:i/>
          <w:iCs/>
        </w:rPr>
        <w:t>Topological signal processing</w:t>
      </w:r>
      <w:r w:rsidRPr="003A0CCC">
        <w:t xml:space="preserve">. Springer. </w:t>
      </w:r>
      <w:hyperlink r:id="rId51" w:history="1">
        <w:r w:rsidRPr="003A0CCC">
          <w:rPr>
            <w:rStyle w:val="Hyperlink"/>
          </w:rPr>
          <w:t>https://doi.org/10.1007/978-3-642-36104-3</w:t>
        </w:r>
      </w:hyperlink>
    </w:p>
    <w:p w14:paraId="2D04FAE9" w14:textId="77777777" w:rsidR="003A0CCC" w:rsidRPr="003A0CCC" w:rsidRDefault="003A0CCC" w:rsidP="003A0CCC">
      <w:pPr>
        <w:jc w:val="both"/>
      </w:pPr>
      <w:r w:rsidRPr="003A0CCC">
        <w:t xml:space="preserve">Weibel, C. A. (1994). </w:t>
      </w:r>
      <w:r w:rsidRPr="003A0CCC">
        <w:rPr>
          <w:i/>
          <w:iCs/>
        </w:rPr>
        <w:t>An introduction to homological algebra</w:t>
      </w:r>
      <w:r w:rsidRPr="003A0CCC">
        <w:t xml:space="preserve">. Cambridge University Press. </w:t>
      </w:r>
      <w:hyperlink r:id="rId52" w:history="1">
        <w:r w:rsidRPr="003A0CCC">
          <w:rPr>
            <w:rStyle w:val="Hyperlink"/>
          </w:rPr>
          <w:t>https://doi.org/10.1017/CBO9781139644136</w:t>
        </w:r>
      </w:hyperlink>
    </w:p>
    <w:p w14:paraId="331A7EF5" w14:textId="77777777" w:rsidR="003A0CCC" w:rsidRPr="003A0CCC" w:rsidRDefault="003A0CCC" w:rsidP="003A0CCC">
      <w:pPr>
        <w:pStyle w:val="Heading2"/>
      </w:pPr>
      <w:r w:rsidRPr="003A0CCC">
        <w:t>Artificial Intelligence</w:t>
      </w:r>
    </w:p>
    <w:p w14:paraId="1A854D54" w14:textId="77777777" w:rsidR="003A0CCC" w:rsidRPr="003A0CCC" w:rsidRDefault="003A0CCC" w:rsidP="003A0CCC">
      <w:pPr>
        <w:jc w:val="both"/>
      </w:pPr>
      <w:r w:rsidRPr="003A0CCC">
        <w:t xml:space="preserve">Vaswani, A., Shazeer, N., Parmar, N., Uszkoreit, J., Jones, L., Gomez, A. N., Kaiser, Ł., &amp; Polosukhin, I. (2017). Attention is all you need. </w:t>
      </w:r>
      <w:r w:rsidRPr="003A0CCC">
        <w:rPr>
          <w:i/>
          <w:iCs/>
        </w:rPr>
        <w:t>Advances in Neural Information Processing Systems, 30</w:t>
      </w:r>
      <w:r w:rsidRPr="003A0CCC">
        <w:t xml:space="preserve">. </w:t>
      </w:r>
      <w:hyperlink r:id="rId53" w:history="1">
        <w:r w:rsidRPr="003A0CCC">
          <w:rPr>
            <w:rStyle w:val="Hyperlink"/>
          </w:rPr>
          <w:t>https://arxiv.org/abs/1706.03762</w:t>
        </w:r>
      </w:hyperlink>
      <w:r w:rsidRPr="003A0CCC">
        <w:br/>
        <w:t xml:space="preserve">NeurIPS version: </w:t>
      </w:r>
      <w:hyperlink r:id="rId54" w:history="1">
        <w:r w:rsidRPr="003A0CCC">
          <w:rPr>
            <w:rStyle w:val="Hyperlink"/>
          </w:rPr>
          <w:t>https://papers.neurips.cc/paper/7181-attention-is-all-you-need</w:t>
        </w:r>
      </w:hyperlink>
    </w:p>
    <w:p w14:paraId="06F45E92" w14:textId="77777777" w:rsidR="003A0CCC" w:rsidRPr="003A0CCC" w:rsidRDefault="003A0CCC" w:rsidP="003A0CCC">
      <w:pPr>
        <w:pStyle w:val="Heading2"/>
      </w:pPr>
      <w:r w:rsidRPr="003A0CCC">
        <w:t>Neuroscience</w:t>
      </w:r>
    </w:p>
    <w:p w14:paraId="67DCAC5A" w14:textId="77777777" w:rsidR="003A0CCC" w:rsidRPr="003A0CCC" w:rsidRDefault="003A0CCC" w:rsidP="003A0CCC">
      <w:pPr>
        <w:jc w:val="both"/>
      </w:pPr>
      <w:r w:rsidRPr="003A0CCC">
        <w:t xml:space="preserve">Bolkan, S. S., Stujenske, J. M., Parnaudeau, S., Spellman, T. J., Rauffenbart, C., Abbas, A. I., Harris, A. Z., Gordon, J. A., &amp; Kellendonk, C. (2017). Thalamic projections sustain prefrontal activity during working memory maintenance. </w:t>
      </w:r>
      <w:r w:rsidRPr="003A0CCC">
        <w:rPr>
          <w:i/>
          <w:iCs/>
        </w:rPr>
        <w:t>Nature Neuroscience, 20</w:t>
      </w:r>
      <w:r w:rsidRPr="003A0CCC">
        <w:t xml:space="preserve">(7), 987–996. </w:t>
      </w:r>
      <w:hyperlink r:id="rId55" w:history="1">
        <w:r w:rsidRPr="003A0CCC">
          <w:rPr>
            <w:rStyle w:val="Hyperlink"/>
          </w:rPr>
          <w:t>https://doi.org/10.1038/nn.4568</w:t>
        </w:r>
      </w:hyperlink>
    </w:p>
    <w:p w14:paraId="17CCE412" w14:textId="67D35ED3" w:rsidR="003A0CCC" w:rsidRPr="003A0CCC" w:rsidRDefault="003A0CCC" w:rsidP="003A0CCC">
      <w:pPr>
        <w:jc w:val="both"/>
      </w:pPr>
      <w:r w:rsidRPr="003A0CCC">
        <w:t xml:space="preserve">Larkum, M. (2013). A cellular mechanism for cortical associations: An organizing principle for the cerebral cortex. </w:t>
      </w:r>
      <w:r w:rsidRPr="003A0CCC">
        <w:rPr>
          <w:i/>
          <w:iCs/>
        </w:rPr>
        <w:t>Trends in Neurosciences, 36</w:t>
      </w:r>
      <w:r w:rsidRPr="003A0CCC">
        <w:t xml:space="preserve">(3), 141–151. </w:t>
      </w:r>
      <w:hyperlink r:id="rId56" w:history="1">
        <w:r w:rsidRPr="003A0CCC">
          <w:rPr>
            <w:rStyle w:val="Hyperlink"/>
          </w:rPr>
          <w:t>https://doi.org/10.1016/j.tins.2012.11.006</w:t>
        </w:r>
      </w:hyperlink>
      <w:r w:rsidR="00055D9C">
        <w:t xml:space="preserve">, </w:t>
      </w:r>
      <w:r w:rsidR="00055D9C" w:rsidRPr="00BA2B87">
        <w:t>(The L5 apical/basal coincidence — the physical comparison of §15.)</w:t>
      </w:r>
    </w:p>
    <w:p w14:paraId="2A56452E" w14:textId="77777777" w:rsidR="003A0CCC" w:rsidRPr="003A0CCC" w:rsidRDefault="003A0CCC" w:rsidP="003A0CCC">
      <w:pPr>
        <w:jc w:val="both"/>
      </w:pPr>
      <w:r w:rsidRPr="003A0CCC">
        <w:t xml:space="preserve">Miller, E. K., &amp; Cohen, J. D. (2001). An integrative theory of prefrontal cortex function. </w:t>
      </w:r>
      <w:r w:rsidRPr="003A0CCC">
        <w:rPr>
          <w:i/>
          <w:iCs/>
        </w:rPr>
        <w:t>Annual Review of Neuroscience, 24</w:t>
      </w:r>
      <w:r w:rsidRPr="003A0CCC">
        <w:t xml:space="preserve">, 167–202. </w:t>
      </w:r>
      <w:hyperlink r:id="rId57" w:history="1">
        <w:r w:rsidRPr="003A0CCC">
          <w:rPr>
            <w:rStyle w:val="Hyperlink"/>
          </w:rPr>
          <w:t>https://doi.org/10.1146/annurev.neuro.24.1.167</w:t>
        </w:r>
      </w:hyperlink>
    </w:p>
    <w:p w14:paraId="4AA8C9DB" w14:textId="77777777" w:rsidR="003A0CCC" w:rsidRPr="003A0CCC" w:rsidRDefault="003A0CCC" w:rsidP="003A0CCC">
      <w:pPr>
        <w:jc w:val="both"/>
      </w:pPr>
      <w:r w:rsidRPr="003A0CCC">
        <w:t xml:space="preserve">Parnaudeau, S., O’Neill, P.-K., Bolkan, S. S., Ward, R. D., Abbas, A. I., Roth, B. L., Balsam, P. D., Gordon, J. A., &amp; Kellendonk, C. (2013). Inhibition of mediodorsal thalamus disrupts thalamofrontal connectivity and cognition. </w:t>
      </w:r>
      <w:r w:rsidRPr="003A0CCC">
        <w:rPr>
          <w:i/>
          <w:iCs/>
        </w:rPr>
        <w:t>Neuron, 77</w:t>
      </w:r>
      <w:r w:rsidRPr="003A0CCC">
        <w:t xml:space="preserve">(6), 1151–1162. </w:t>
      </w:r>
      <w:hyperlink r:id="rId58" w:history="1">
        <w:r w:rsidRPr="003A0CCC">
          <w:rPr>
            <w:rStyle w:val="Hyperlink"/>
          </w:rPr>
          <w:t>https://doi.org/10.1016/j.neuron.2013.01.038</w:t>
        </w:r>
      </w:hyperlink>
    </w:p>
    <w:p w14:paraId="4854AFB9" w14:textId="77777777" w:rsidR="003A0CCC" w:rsidRPr="003A0CCC" w:rsidRDefault="003A0CCC" w:rsidP="003A0CCC">
      <w:pPr>
        <w:jc w:val="both"/>
      </w:pPr>
      <w:r w:rsidRPr="003A0CCC">
        <w:t xml:space="preserve">Schmitt, L. I., Wimmer, R. D., Nakajima, M., Happ, M., Mofakham, S., &amp; Halassa, M. M. (2017). Thalamic amplification of cortical connectivity sustains attentional control. </w:t>
      </w:r>
      <w:r w:rsidRPr="003A0CCC">
        <w:rPr>
          <w:i/>
          <w:iCs/>
        </w:rPr>
        <w:t>Nature, 545</w:t>
      </w:r>
      <w:r w:rsidRPr="003A0CCC">
        <w:t xml:space="preserve">(7653), 219–223. </w:t>
      </w:r>
      <w:hyperlink r:id="rId59" w:history="1">
        <w:r w:rsidRPr="003A0CCC">
          <w:rPr>
            <w:rStyle w:val="Hyperlink"/>
          </w:rPr>
          <w:t>https://doi.org/10.1038/nature22073</w:t>
        </w:r>
      </w:hyperlink>
    </w:p>
    <w:p w14:paraId="73E62BE3" w14:textId="77777777" w:rsidR="003A0CCC" w:rsidRPr="003A0CCC" w:rsidRDefault="003A0CCC" w:rsidP="003A0CCC">
      <w:pPr>
        <w:pStyle w:val="Heading2"/>
      </w:pPr>
      <w:r w:rsidRPr="003A0CCC">
        <w:t>Framework References</w:t>
      </w:r>
    </w:p>
    <w:p w14:paraId="78078BC4" w14:textId="6175DBB3" w:rsidR="003A0CCC" w:rsidRPr="003A0CCC" w:rsidRDefault="003A0CCC" w:rsidP="003A0CCC">
      <w:pPr>
        <w:jc w:val="both"/>
      </w:pPr>
      <w:r w:rsidRPr="003A0CCC">
        <w:t>Ghosh, D. P. (2026</w:t>
      </w:r>
      <w:r w:rsidR="00055D9C">
        <w:t>b</w:t>
      </w:r>
      <w:r w:rsidRPr="003A0CCC">
        <w:t xml:space="preserve">). </w:t>
      </w:r>
      <w:r w:rsidRPr="003A0CCC">
        <w:rPr>
          <w:i/>
          <w:iCs/>
        </w:rPr>
        <w:t>The Direct and Indirect Axes and the Construction AGI Island</w:t>
      </w:r>
      <w:r w:rsidRPr="003A0CCC">
        <w:t xml:space="preserve">. Defensible Intelligence Series. </w:t>
      </w:r>
      <w:hyperlink r:id="rId60" w:history="1">
        <w:r w:rsidRPr="003A0CCC">
          <w:rPr>
            <w:rStyle w:val="Hyperlink"/>
          </w:rPr>
          <w:t>https://doi.org/10.13140/RG.2.2.26647.53922</w:t>
        </w:r>
      </w:hyperlink>
      <w:r w:rsidR="00055D9C">
        <w:t xml:space="preserve">, </w:t>
      </w:r>
      <w:r w:rsidR="00055D9C" w:rsidRPr="00BA2B87">
        <w:t>(The three audit coordinates; this paper is the restriction vertex.)</w:t>
      </w:r>
    </w:p>
    <w:p w14:paraId="5489C9A6" w14:textId="27692AA9" w:rsidR="003A0CCC" w:rsidRPr="003A0CCC" w:rsidRDefault="003A0CCC" w:rsidP="003A0CCC">
      <w:pPr>
        <w:jc w:val="both"/>
      </w:pPr>
      <w:r w:rsidRPr="003A0CCC">
        <w:t>Ghosh, D. P. (2026</w:t>
      </w:r>
      <w:r w:rsidR="00055D9C">
        <w:t>c</w:t>
      </w:r>
      <w:r w:rsidRPr="003A0CCC">
        <w:t xml:space="preserve">). </w:t>
      </w:r>
      <w:r w:rsidRPr="003A0CCC">
        <w:rPr>
          <w:i/>
          <w:iCs/>
        </w:rPr>
        <w:t>Nerve-Attention: The Simplicial Domain of Audit</w:t>
      </w:r>
      <w:r w:rsidRPr="003A0CCC">
        <w:t xml:space="preserve">. Defensible Intelligence Series. </w:t>
      </w:r>
      <w:hyperlink r:id="rId61" w:history="1">
        <w:r w:rsidRPr="003A0CCC">
          <w:rPr>
            <w:rStyle w:val="Hyperlink"/>
          </w:rPr>
          <w:t>https://doi.org/10.13140/RG.2.2.27630.57925</w:t>
        </w:r>
      </w:hyperlink>
      <w:r w:rsidR="005925BA">
        <w:t xml:space="preserve">, </w:t>
      </w:r>
      <w:r w:rsidR="005925BA" w:rsidRPr="00BA2B87">
        <w:t>(The domain vertex — the genuine simplices the gate of Part IV presupposes.)</w:t>
      </w:r>
      <w:r w:rsidR="005925BA">
        <w:t xml:space="preserve"> </w:t>
      </w:r>
    </w:p>
    <w:p w14:paraId="4509D16D" w14:textId="792F5871" w:rsidR="003A0CCC" w:rsidRPr="003A0CCC" w:rsidRDefault="003A0CCC" w:rsidP="003A0CCC">
      <w:pPr>
        <w:jc w:val="both"/>
      </w:pPr>
      <w:r w:rsidRPr="003A0CCC">
        <w:t>Ghosh, D. P. (2026</w:t>
      </w:r>
      <w:r w:rsidR="00055D9C">
        <w:t>d</w:t>
      </w:r>
      <w:r w:rsidRPr="003A0CCC">
        <w:t xml:space="preserve">). </w:t>
      </w:r>
      <w:r w:rsidRPr="003A0CCC">
        <w:rPr>
          <w:i/>
          <w:iCs/>
        </w:rPr>
        <w:t>Hypercovering and Descent</w:t>
      </w:r>
      <w:r w:rsidRPr="003A0CCC">
        <w:t xml:space="preserve">. Defensible Intelligence Series. </w:t>
      </w:r>
      <w:hyperlink r:id="rId62" w:history="1">
        <w:r w:rsidRPr="003A0CCC">
          <w:rPr>
            <w:rStyle w:val="Hyperlink"/>
          </w:rPr>
          <w:t>https://doi.org/10.13140/RG.2.2.31337.45929</w:t>
        </w:r>
      </w:hyperlink>
      <w:r w:rsidR="005925BA">
        <w:t xml:space="preserve">, </w:t>
      </w:r>
      <w:r w:rsidR="005925BA" w:rsidRPr="00BA2B87">
        <w:t>(The resolution vertex — the Leray cover the gate of Part IV presupposes; the false-zero case of §3.)</w:t>
      </w:r>
    </w:p>
    <w:p w14:paraId="24B4208F" w14:textId="38F03503" w:rsidR="003A0CCC" w:rsidRPr="003A0CCC" w:rsidRDefault="003A0CCC" w:rsidP="003A0CCC">
      <w:pPr>
        <w:jc w:val="both"/>
      </w:pPr>
      <w:r w:rsidRPr="003A0CCC">
        <w:t>Ghosh, D. P. (2026</w:t>
      </w:r>
      <w:r w:rsidR="00055D9C">
        <w:t>e</w:t>
      </w:r>
      <w:r w:rsidRPr="003A0CCC">
        <w:t xml:space="preserve">). </w:t>
      </w:r>
      <w:r w:rsidRPr="003A0CCC">
        <w:rPr>
          <w:i/>
          <w:iCs/>
        </w:rPr>
        <w:t>The Algorithm of the 3→6-Layer Cortex</w:t>
      </w:r>
      <w:r w:rsidRPr="003A0CCC">
        <w:t xml:space="preserve">. Defensible Intelligence Series. </w:t>
      </w:r>
      <w:hyperlink r:id="rId63" w:history="1">
        <w:r w:rsidRPr="003A0CCC">
          <w:rPr>
            <w:rStyle w:val="Hyperlink"/>
          </w:rPr>
          <w:t>https://doi.org/10.13140/RG.2.2.14232.56328</w:t>
        </w:r>
      </w:hyperlink>
      <w:r w:rsidR="005925BA">
        <w:t xml:space="preserve">, </w:t>
      </w:r>
      <w:r w:rsidR="005925BA" w:rsidRPr="00BA2B87">
        <w:t>(The cup-product H² gate of §13; the deposited L5/L6 readings of §8 and §15.)</w:t>
      </w:r>
    </w:p>
    <w:p w14:paraId="2D51DF3F" w14:textId="5ECC720C" w:rsidR="003A0CCC" w:rsidRPr="003A0CCC" w:rsidRDefault="003A0CCC" w:rsidP="003A0CCC">
      <w:pPr>
        <w:jc w:val="both"/>
      </w:pPr>
      <w:r w:rsidRPr="003A0CCC">
        <w:lastRenderedPageBreak/>
        <w:t>Ghosh, D. P. (2026</w:t>
      </w:r>
      <w:r w:rsidR="00055D9C">
        <w:t>f</w:t>
      </w:r>
      <w:r w:rsidRPr="003A0CCC">
        <w:t xml:space="preserve">). </w:t>
      </w:r>
      <w:r w:rsidRPr="003A0CCC">
        <w:rPr>
          <w:i/>
          <w:iCs/>
        </w:rPr>
        <w:t>Dynamic Predictive Gluing</w:t>
      </w:r>
      <w:r w:rsidRPr="003A0CCC">
        <w:t xml:space="preserve">. Defensible Intelligence Series. </w:t>
      </w:r>
      <w:hyperlink r:id="rId64" w:history="1">
        <w:r w:rsidRPr="003A0CCC">
          <w:rPr>
            <w:rStyle w:val="Hyperlink"/>
          </w:rPr>
          <w:t>https://doi.org/10.13140/RG.2.2.19848.99846</w:t>
        </w:r>
      </w:hyperlink>
      <w:r w:rsidR="005925BA">
        <w:t xml:space="preserve">, </w:t>
      </w:r>
      <w:r w:rsidR="005925BA" w:rsidRPr="00BA2B87">
        <w:t>(The left-/right-exactness asymmetry of §4; prediction-error-as-obstruction; the online/offline regimes of §5.)</w:t>
      </w:r>
    </w:p>
    <w:p w14:paraId="38EE50CC" w14:textId="634C6383" w:rsidR="003A0CCC" w:rsidRPr="003A0CCC" w:rsidRDefault="003A0CCC" w:rsidP="003A0CCC">
      <w:pPr>
        <w:jc w:val="both"/>
      </w:pPr>
      <w:r w:rsidRPr="003A0CCC">
        <w:t>Ghosh, D. P. (2026</w:t>
      </w:r>
      <w:r w:rsidR="00055D9C">
        <w:t>g</w:t>
      </w:r>
      <w:r w:rsidRPr="003A0CCC">
        <w:t xml:space="preserve">). </w:t>
      </w:r>
      <w:r w:rsidRPr="003A0CCC">
        <w:rPr>
          <w:i/>
          <w:iCs/>
        </w:rPr>
        <w:t>AI is Pretrain → Finetune; Defensible AGI is Audit → Lift</w:t>
      </w:r>
      <w:r w:rsidRPr="003A0CCC">
        <w:t xml:space="preserve">. Defensible Intelligence Series. </w:t>
      </w:r>
      <w:hyperlink r:id="rId65" w:history="1">
        <w:r w:rsidRPr="003A0CCC">
          <w:rPr>
            <w:rStyle w:val="Hyperlink"/>
          </w:rPr>
          <w:t>https://doi.org/10.13140/RG.2.2.20183.23205</w:t>
        </w:r>
      </w:hyperlink>
      <w:r w:rsidR="00D60216">
        <w:t xml:space="preserve">, </w:t>
      </w:r>
      <w:r w:rsidR="00D60216" w:rsidRPr="00BA2B87">
        <w:t>(The offline lift of §5; the presheaf-auditor reading of the loop.)</w:t>
      </w:r>
    </w:p>
    <w:p w14:paraId="299E84F1" w14:textId="6D7101B6" w:rsidR="003A0CCC" w:rsidRPr="003A0CCC" w:rsidRDefault="003A0CCC" w:rsidP="003A0CCC">
      <w:pPr>
        <w:jc w:val="both"/>
      </w:pPr>
      <w:r w:rsidRPr="003A0CCC">
        <w:t>Ghosh, D. P. (2026</w:t>
      </w:r>
      <w:r w:rsidR="00055D9C">
        <w:t>h</w:t>
      </w:r>
      <w:r w:rsidRPr="003A0CCC">
        <w:t xml:space="preserve">). </w:t>
      </w:r>
      <w:r w:rsidRPr="003A0CCC">
        <w:rPr>
          <w:i/>
          <w:iCs/>
        </w:rPr>
        <w:t>The Hierarchy of Binding</w:t>
      </w:r>
      <w:r w:rsidRPr="003A0CCC">
        <w:t xml:space="preserve">. Defensible Intelligence Series. </w:t>
      </w:r>
      <w:hyperlink r:id="rId66" w:history="1">
        <w:r w:rsidRPr="003A0CCC">
          <w:rPr>
            <w:rStyle w:val="Hyperlink"/>
          </w:rPr>
          <w:t>https://doi.org/10.13140/RG.2.2.34889.51044</w:t>
        </w:r>
      </w:hyperlink>
      <w:r w:rsidR="00D60216">
        <w:t xml:space="preserve">, </w:t>
      </w:r>
      <w:r w:rsidR="00D60216" w:rsidRPr="00BA2B87">
        <w:t>(Modality-specific routing — the fiber product of §9, not a single shared projection.)</w:t>
      </w:r>
    </w:p>
    <w:p w14:paraId="415EDB6E" w14:textId="1CF4D285" w:rsidR="003A0CCC" w:rsidRPr="003A0CCC" w:rsidRDefault="003A0CCC" w:rsidP="003A0CCC">
      <w:pPr>
        <w:jc w:val="both"/>
      </w:pPr>
      <w:r w:rsidRPr="003A0CCC">
        <w:t>Ghosh, D. P. (2026</w:t>
      </w:r>
      <w:r w:rsidR="00055D9C">
        <w:t>i</w:t>
      </w:r>
      <w:r w:rsidRPr="003A0CCC">
        <w:t xml:space="preserve">). </w:t>
      </w:r>
      <w:r w:rsidRPr="003A0CCC">
        <w:rPr>
          <w:i/>
          <w:iCs/>
        </w:rPr>
        <w:t>The Transformer as a Sheaf-Gluing Engine with the Obstruction Gate Removed</w:t>
      </w:r>
      <w:r w:rsidRPr="003A0CCC">
        <w:t xml:space="preserve">. Defensible Intelligence Series. </w:t>
      </w:r>
      <w:hyperlink r:id="rId67" w:history="1">
        <w:r w:rsidRPr="003A0CCC">
          <w:rPr>
            <w:rStyle w:val="Hyperlink"/>
          </w:rPr>
          <w:t>https://doi.org/10.13140/RG.2.2.22726.02889</w:t>
        </w:r>
      </w:hyperlink>
      <w:r w:rsidR="00D60216">
        <w:t xml:space="preserve">, </w:t>
      </w:r>
      <w:r w:rsidR="00D60216" w:rsidRPr="003A0CCC">
        <w:rPr>
          <w:i/>
          <w:iCs/>
        </w:rPr>
        <w:t>(The vacuous-obstruction diagnosis of §6 this paper refines, not replaces.)</w:t>
      </w:r>
    </w:p>
    <w:p w14:paraId="6F14E88B" w14:textId="385BA1DA" w:rsidR="003A0CCC" w:rsidRPr="003A0CCC" w:rsidRDefault="003A0CCC" w:rsidP="003A0CCC">
      <w:pPr>
        <w:jc w:val="both"/>
      </w:pPr>
      <w:r w:rsidRPr="003A0CCC">
        <w:t>Ghosh, D. P. (2026</w:t>
      </w:r>
      <w:r w:rsidR="00055D9C">
        <w:t>j</w:t>
      </w:r>
      <w:r w:rsidRPr="003A0CCC">
        <w:t xml:space="preserve">). </w:t>
      </w:r>
      <w:r w:rsidRPr="003A0CCC">
        <w:rPr>
          <w:i/>
          <w:iCs/>
        </w:rPr>
        <w:t>The Geometry of Defensible Action</w:t>
      </w:r>
      <w:r w:rsidRPr="003A0CCC">
        <w:t xml:space="preserve">. Defensible Intelligence Series. </w:t>
      </w:r>
      <w:hyperlink r:id="rId68" w:history="1">
        <w:r w:rsidRPr="003A0CCC">
          <w:rPr>
            <w:rStyle w:val="Hyperlink"/>
          </w:rPr>
          <w:t>https://doi.org/10.13140/RG.2.2.24454.54080</w:t>
        </w:r>
      </w:hyperlink>
      <w:r w:rsidR="00D60216">
        <w:t xml:space="preserve">, </w:t>
      </w:r>
      <w:r w:rsidR="00D60216" w:rsidRPr="003A0CCC">
        <w:rPr>
          <w:i/>
          <w:iCs/>
        </w:rPr>
        <w:t>(The enrichment ladder whose inner-product rung the tensor algebra runs on.)</w:t>
      </w:r>
    </w:p>
    <w:p w14:paraId="102A17AE" w14:textId="7D848B13" w:rsidR="003A0CCC" w:rsidRPr="003A0CCC" w:rsidRDefault="003A0CCC" w:rsidP="003A0CCC">
      <w:pPr>
        <w:jc w:val="both"/>
      </w:pPr>
      <w:r w:rsidRPr="003A0CCC">
        <w:t xml:space="preserve">Ghosh, D. P. (2026). </w:t>
      </w:r>
      <w:r w:rsidRPr="003A0CCC">
        <w:rPr>
          <w:i/>
          <w:iCs/>
        </w:rPr>
        <w:t>Language as the Apex Proposer</w:t>
      </w:r>
      <w:r w:rsidRPr="003A0CCC">
        <w:t>. Defensible Intelligence Series. Manuscript.</w:t>
      </w:r>
      <w:r w:rsidR="00D60216">
        <w:t xml:space="preserve"> </w:t>
      </w:r>
      <w:r w:rsidR="00D60216" w:rsidRPr="003A0CCC">
        <w:rPr>
          <w:i/>
          <w:iCs/>
        </w:rPr>
        <w:t>(The downward restriction of an apex proposal — the connecting homomorphism ∂(s″) of §3.1 as its exact algebraic form.)</w:t>
      </w:r>
    </w:p>
    <w:p w14:paraId="39DB395D" w14:textId="2AA36EEF" w:rsidR="003A0CCC" w:rsidRPr="003A0CCC" w:rsidRDefault="003A0CCC" w:rsidP="003A0CCC">
      <w:pPr>
        <w:jc w:val="both"/>
      </w:pPr>
      <w:r w:rsidRPr="003A0CCC">
        <w:t xml:space="preserve">Ghosh, D. P. (2026). </w:t>
      </w:r>
      <w:r w:rsidRPr="003A0CCC">
        <w:rPr>
          <w:i/>
          <w:iCs/>
        </w:rPr>
        <w:t>The Amygdala as Melt-Trigger</w:t>
      </w:r>
      <w:r w:rsidRPr="003A0CCC">
        <w:t>. Defensible Intelligence Series. Manuscript.</w:t>
      </w:r>
      <w:r w:rsidR="00D60216">
        <w:t xml:space="preserve"> </w:t>
      </w:r>
      <w:r w:rsidR="00D60216" w:rsidRPr="003A0CCC">
        <w:rPr>
          <w:i/>
          <w:iCs/>
        </w:rPr>
        <w:t>(H^{&gt;0}(</w:t>
      </w:r>
      <w:r w:rsidR="00D60216" w:rsidRPr="003A0CCC">
        <w:rPr>
          <w:rFonts w:ascii="Cambria Math" w:hAnsi="Cambria Math" w:cs="Cambria Math"/>
          <w:i/>
          <w:iCs/>
        </w:rPr>
        <w:t>𝒦</w:t>
      </w:r>
      <w:r w:rsidR="00D60216" w:rsidRPr="003A0CCC">
        <w:rPr>
          <w:i/>
          <w:iCs/>
        </w:rPr>
        <w:t xml:space="preserve">) ≠ 0 </w:t>
      </w:r>
      <w:r w:rsidR="00D60216" w:rsidRPr="003A0CCC">
        <w:rPr>
          <w:rFonts w:ascii="Cambria Math" w:hAnsi="Cambria Math" w:cs="Cambria Math"/>
          <w:i/>
          <w:iCs/>
        </w:rPr>
        <w:t>⟺</w:t>
      </w:r>
      <w:r w:rsidR="00D60216" w:rsidRPr="003A0CCC">
        <w:rPr>
          <w:i/>
          <w:iCs/>
        </w:rPr>
        <w:t xml:space="preserve"> no partitions of unity </w:t>
      </w:r>
      <w:r w:rsidR="00D60216" w:rsidRPr="003A0CCC">
        <w:rPr>
          <w:rFonts w:ascii="Cambria Math" w:hAnsi="Cambria Math" w:cs="Cambria Math"/>
          <w:i/>
          <w:iCs/>
        </w:rPr>
        <w:t>⟺</w:t>
      </w:r>
      <w:r w:rsidR="00D60216" w:rsidRPr="003A0CCC">
        <w:rPr>
          <w:i/>
          <w:iCs/>
        </w:rPr>
        <w:t xml:space="preserve"> rigidity — the deposited form of §1's core.)</w:t>
      </w:r>
    </w:p>
    <w:p w14:paraId="0DD5850D" w14:textId="14E5DDEE" w:rsidR="003A0CCC" w:rsidRPr="003A0CCC" w:rsidRDefault="003A0CCC" w:rsidP="003A0CCC">
      <w:pPr>
        <w:pStyle w:val="Heading1"/>
      </w:pPr>
      <w:r>
        <w:t xml:space="preserve">Appendix A: </w:t>
      </w:r>
      <w:r w:rsidRPr="003A0CCC">
        <w:rPr>
          <w:sz w:val="28"/>
          <w:szCs w:val="28"/>
        </w:rPr>
        <w:t xml:space="preserve">A Five-Level </w:t>
      </w:r>
      <w:r w:rsidRPr="003A0CCC">
        <w:rPr>
          <w:sz w:val="24"/>
          <w:szCs w:val="24"/>
        </w:rPr>
        <w:t xml:space="preserve">Complexity </w:t>
      </w:r>
      <w:r w:rsidRPr="003A0CCC">
        <w:rPr>
          <w:sz w:val="28"/>
          <w:szCs w:val="28"/>
        </w:rPr>
        <w:t>Explanation of “The Restriction Vertex”</w:t>
      </w:r>
    </w:p>
    <w:p w14:paraId="535DE930" w14:textId="77777777" w:rsidR="003A0CCC" w:rsidRPr="003A0CCC" w:rsidRDefault="003A0CCC" w:rsidP="003A0CCC">
      <w:pPr>
        <w:pStyle w:val="Heading2"/>
      </w:pPr>
      <w:r w:rsidRPr="003A0CCC">
        <w:t>Level 1 — Common Reader: Why a good idea still needs permission</w:t>
      </w:r>
    </w:p>
    <w:p w14:paraId="54C7A962" w14:textId="77777777" w:rsidR="003A0CCC" w:rsidRPr="003A0CCC" w:rsidRDefault="003A0CCC" w:rsidP="003A0CCC">
      <w:pPr>
        <w:jc w:val="both"/>
      </w:pPr>
      <w:r w:rsidRPr="003A0CCC">
        <w:t>Imagine someone proposes an action: “Go ahead with this design,” “Release this report,” “Approve this construction sequence,” or “Send this answer to the client.” The proposal may sound correct. It may be fluent, confident, and based on many useful signals. But before it can be trusted, one question must be asked: has the proposal been checked against the evidence it would otherwise forget?</w:t>
      </w:r>
    </w:p>
    <w:p w14:paraId="0AB9F15E" w14:textId="77777777" w:rsidR="003A0CCC" w:rsidRPr="003A0CCC" w:rsidRDefault="003A0CCC" w:rsidP="003A0CCC">
      <w:pPr>
        <w:jc w:val="both"/>
      </w:pPr>
      <w:r w:rsidRPr="003A0CCC">
        <w:t>This paper is about that missing check. It says intelligence is not just the ability to propose. It is the ability to bring a proposal back down to its evidence, test whether the hidden constraints still agree, and refuse release when they do not. In ordinary terms: a system must not only say what it wants to claim; it must show what it has checked before the claim is allowed to stand.</w:t>
      </w:r>
    </w:p>
    <w:p w14:paraId="1A6D51AE" w14:textId="77777777" w:rsidR="003A0CCC" w:rsidRPr="003A0CCC" w:rsidRDefault="003A0CCC" w:rsidP="003A0CCC">
      <w:pPr>
        <w:jc w:val="both"/>
      </w:pPr>
      <w:r w:rsidRPr="003A0CCC">
        <w:t xml:space="preserve">This is especially important in high-stakes domains. In construction, a drawing may look valid, but it must still agree with site conditions, material availability, safety rules, design codes, schedule, method statement, and contractual constraints. A proposal that forgets these constraints may be elegant but unsafe. The paper calls the act of bringing the high-level proposal back to its hidden evidence </w:t>
      </w:r>
      <w:r w:rsidRPr="003A0CCC">
        <w:rPr>
          <w:b/>
          <w:bCs/>
        </w:rPr>
        <w:t>restriction</w:t>
      </w:r>
      <w:r w:rsidRPr="003A0CCC">
        <w:t>.</w:t>
      </w:r>
    </w:p>
    <w:p w14:paraId="6EE35254" w14:textId="77777777" w:rsidR="003A0CCC" w:rsidRPr="003A0CCC" w:rsidRDefault="003A0CCC" w:rsidP="003A0CCC">
      <w:pPr>
        <w:jc w:val="both"/>
      </w:pPr>
      <w:r w:rsidRPr="003A0CCC">
        <w:t>The main idea is simple:</w:t>
      </w:r>
    </w:p>
    <w:p w14:paraId="21DA63B8" w14:textId="77777777" w:rsidR="003A0CCC" w:rsidRPr="003A0CCC" w:rsidRDefault="003A0CCC" w:rsidP="003A0CCC">
      <w:pPr>
        <w:ind w:left="2880"/>
        <w:jc w:val="both"/>
      </w:pPr>
      <w:r w:rsidRPr="003A0CCC">
        <w:rPr>
          <w:b/>
          <w:bCs/>
        </w:rPr>
        <w:t>A proposal is not permission. A proposal becomes defensible only after it survives restriction against the evidence it presupposes.</w:t>
      </w:r>
    </w:p>
    <w:p w14:paraId="1FFDC0D8" w14:textId="77777777" w:rsidR="003A0CCC" w:rsidRPr="003A0CCC" w:rsidRDefault="003A0CCC" w:rsidP="003A0CCC">
      <w:pPr>
        <w:pStyle w:val="Heading2"/>
        <w:rPr>
          <w:sz w:val="24"/>
          <w:szCs w:val="24"/>
        </w:rPr>
      </w:pPr>
      <w:r w:rsidRPr="003A0CCC">
        <w:lastRenderedPageBreak/>
        <w:t xml:space="preserve">Level 2 — Engineering </w:t>
      </w:r>
      <w:r w:rsidRPr="003A0CCC">
        <w:rPr>
          <w:sz w:val="36"/>
          <w:szCs w:val="36"/>
        </w:rPr>
        <w:t xml:space="preserve">and </w:t>
      </w:r>
      <w:r w:rsidRPr="003A0CCC">
        <w:t xml:space="preserve">AI Reader: </w:t>
      </w:r>
      <w:r w:rsidRPr="003A0CCC">
        <w:rPr>
          <w:sz w:val="24"/>
          <w:szCs w:val="24"/>
        </w:rPr>
        <w:t>From output generation to release gating</w:t>
      </w:r>
    </w:p>
    <w:p w14:paraId="64DBD131" w14:textId="77777777" w:rsidR="003A0CCC" w:rsidRPr="003A0CCC" w:rsidRDefault="003A0CCC" w:rsidP="003A0CCC">
      <w:pPr>
        <w:jc w:val="both"/>
      </w:pPr>
      <w:r w:rsidRPr="003A0CCC">
        <w:t>Most AI systems are proposal engines. They generate text, summarize documents, draft designs, suggest actions, or rank alternatives. But generating a proposal is not the same as certifying it. A model may produce a plausible output without checking whether that output still agrees with lower-level evidence.</w:t>
      </w:r>
    </w:p>
    <w:p w14:paraId="5FF543E1" w14:textId="77777777" w:rsidR="003A0CCC" w:rsidRPr="003A0CCC" w:rsidRDefault="003A0CCC" w:rsidP="003A0CCC">
      <w:pPr>
        <w:jc w:val="both"/>
      </w:pPr>
      <w:r w:rsidRPr="003A0CCC">
        <w:t>The Restriction Vertex paper says that defensible AI needs a runtime loop:</w:t>
      </w:r>
    </w:p>
    <w:p w14:paraId="5F39EAF9" w14:textId="77777777" w:rsidR="003A0CCC" w:rsidRPr="003A0CCC" w:rsidRDefault="003A0CCC" w:rsidP="003A0CCC">
      <w:pPr>
        <w:jc w:val="center"/>
      </w:pPr>
      <w:r w:rsidRPr="003A0CCC">
        <w:rPr>
          <w:b/>
          <w:bCs/>
        </w:rPr>
        <w:t>propose → restrict → audit → release or refuse → repair or refine</w:t>
      </w:r>
    </w:p>
    <w:p w14:paraId="4BF8434C" w14:textId="77777777" w:rsidR="003A0CCC" w:rsidRPr="003A0CCC" w:rsidRDefault="003A0CCC" w:rsidP="003A0CCC">
      <w:pPr>
        <w:jc w:val="both"/>
      </w:pPr>
      <w:r w:rsidRPr="003A0CCC">
        <w:t>The proposal stage creates a candidate global claim. The restriction stage carries that claim downward to the local domains it depends on. The audit stage checks whether the local evidence still glues. If the mismatch is locally repairable, the system repairs it. If the mismatch requires re-coordination, the system withholds and sends it to offline lift. If the mismatch is irreducible, the system refuses. If the apparent agreement is only a false zero caused by a coarse cover, the system refines the cover.</w:t>
      </w:r>
    </w:p>
    <w:p w14:paraId="0E3AA995" w14:textId="77777777" w:rsidR="003A0CCC" w:rsidRPr="003A0CCC" w:rsidRDefault="003A0CCC" w:rsidP="003A0CCC">
      <w:pPr>
        <w:jc w:val="both"/>
      </w:pPr>
      <w:r w:rsidRPr="003A0CCC">
        <w:t>This changes the role of AI. A Transformer may produce a strong candidate answer by attention-based contextual mixing, but the paper argues that this is only the proposal side. The defensible system must add a restriction-and-test channel. The system must ask: when this high-level answer is pushed back down to the drawing, code, schedule, safety rule, and site observation, does it still hold?</w:t>
      </w:r>
    </w:p>
    <w:p w14:paraId="7B886CFA" w14:textId="77777777" w:rsidR="003A0CCC" w:rsidRPr="003A0CCC" w:rsidRDefault="003A0CCC" w:rsidP="003A0CCC">
      <w:pPr>
        <w:jc w:val="both"/>
      </w:pPr>
      <w:r w:rsidRPr="003A0CCC">
        <w:t>The practical engineering slogan is:</w:t>
      </w:r>
    </w:p>
    <w:p w14:paraId="3BC9A756" w14:textId="77777777" w:rsidR="003A0CCC" w:rsidRPr="003A0CCC" w:rsidRDefault="003A0CCC" w:rsidP="003A0CCC">
      <w:pPr>
        <w:jc w:val="both"/>
      </w:pPr>
      <w:r w:rsidRPr="003A0CCC">
        <w:rPr>
          <w:b/>
          <w:bCs/>
        </w:rPr>
        <w:t>Do not release what has merely been proposed; release only what survives downward restriction.</w:t>
      </w:r>
    </w:p>
    <w:p w14:paraId="2CF1E383" w14:textId="77777777" w:rsidR="003A0CCC" w:rsidRPr="003A0CCC" w:rsidRDefault="003A0CCC" w:rsidP="003A0CCC">
      <w:pPr>
        <w:pStyle w:val="Heading2"/>
        <w:rPr>
          <w:sz w:val="28"/>
          <w:szCs w:val="28"/>
        </w:rPr>
      </w:pPr>
      <w:r w:rsidRPr="003A0CCC">
        <w:t xml:space="preserve">Level 3 — Mathematical Reader: </w:t>
      </w:r>
      <w:r w:rsidRPr="003A0CCC">
        <w:rPr>
          <w:sz w:val="28"/>
          <w:szCs w:val="28"/>
        </w:rPr>
        <w:t>The connecting homomorphism as veto</w:t>
      </w:r>
    </w:p>
    <w:p w14:paraId="56B1F4FA" w14:textId="77777777" w:rsidR="003A0CCC" w:rsidRPr="003A0CCC" w:rsidRDefault="003A0CCC" w:rsidP="003A0CCC">
      <w:pPr>
        <w:jc w:val="both"/>
      </w:pPr>
      <w:r w:rsidRPr="003A0CCC">
        <w:t>At the mathematical level, the paper reads a proposed claim as a quotient of a richer state. The full state contains more information than the report or action will express. When a system releases a claim, it compresses: it selects a quotient and forgets hidden constraints. The forgotten constraints are not irrelevant; they become the kernel. The question is whether the quotient claim can be lifted back into the full state without contradiction.</w:t>
      </w:r>
    </w:p>
    <w:p w14:paraId="040FF33D" w14:textId="77777777" w:rsidR="003A0CCC" w:rsidRPr="003A0CCC" w:rsidRDefault="003A0CCC" w:rsidP="003A0CCC">
      <w:pPr>
        <w:jc w:val="both"/>
      </w:pPr>
      <w:r w:rsidRPr="003A0CCC">
        <w:t xml:space="preserve">The paper’s central algebraic object is the </w:t>
      </w:r>
      <w:r w:rsidRPr="003A0CCC">
        <w:rPr>
          <w:b/>
          <w:bCs/>
        </w:rPr>
        <w:t>connecting homomorphism</w:t>
      </w:r>
      <w:r w:rsidRPr="003A0CCC">
        <w:t xml:space="preserve"> from a proposed quotient section to a first cohomology class of the hidden-constraint sheaf. This is the exact algebraic form of veto. If the connecting homomorphism sends the proposed claim to zero, the proposal lifts successfully and may be released. If it sends the proposal to a nonzero class, the claim carries an obstruction and must be withheld.</w:t>
      </w:r>
    </w:p>
    <w:p w14:paraId="72F32B85" w14:textId="77777777" w:rsidR="003A0CCC" w:rsidRPr="003A0CCC" w:rsidRDefault="003A0CCC" w:rsidP="003A0CCC">
      <w:pPr>
        <w:jc w:val="both"/>
      </w:pPr>
      <w:r w:rsidRPr="003A0CCC">
        <w:t>This is stronger than saying “the prediction error is large.” A scalar error only tells how wrong something is in magnitude. The cohomological audit tells what kind of failure occurred. The paper identifies four cases: a repairable coboundary, a liftable obstruction, an irreducible obstruction, and a false zero caused by a cover that is too coarse. Each case has a different remedy.</w:t>
      </w:r>
    </w:p>
    <w:p w14:paraId="75D98EA4" w14:textId="77777777" w:rsidR="003A0CCC" w:rsidRPr="003A0CCC" w:rsidRDefault="003A0CCC" w:rsidP="003A0CCC">
      <w:pPr>
        <w:jc w:val="both"/>
      </w:pPr>
      <w:r w:rsidRPr="003A0CCC">
        <w:t>This is why the paper insists that the audit is not the forward pass. The forward pass assembles a candidate. The cochain audit interrogates whether that candidate is legitimate. Producing a representation and certifying that it glues are different acts.</w:t>
      </w:r>
    </w:p>
    <w:p w14:paraId="36421733" w14:textId="77777777" w:rsidR="003A0CCC" w:rsidRPr="003A0CCC" w:rsidRDefault="003A0CCC" w:rsidP="003A0CCC">
      <w:pPr>
        <w:jc w:val="both"/>
      </w:pPr>
      <w:r w:rsidRPr="003A0CCC">
        <w:t>The mathematical sentence is:</w:t>
      </w:r>
    </w:p>
    <w:p w14:paraId="2080CF7A" w14:textId="77777777" w:rsidR="003A0CCC" w:rsidRPr="003A0CCC" w:rsidRDefault="003A0CCC" w:rsidP="003A0CCC">
      <w:pPr>
        <w:ind w:left="1440"/>
        <w:jc w:val="both"/>
      </w:pPr>
      <w:r w:rsidRPr="003A0CCC">
        <w:rPr>
          <w:b/>
          <w:bCs/>
        </w:rPr>
        <w:t>The veto is not a feeling of uncertainty; it is the obstruction produced when a proposed quotient fails to lift through the hidden constraints it tried to forget.</w:t>
      </w:r>
    </w:p>
    <w:p w14:paraId="224D041D" w14:textId="77777777" w:rsidR="003A0CCC" w:rsidRPr="003A0CCC" w:rsidRDefault="003A0CCC" w:rsidP="003A0CCC">
      <w:pPr>
        <w:pStyle w:val="Heading2"/>
        <w:rPr>
          <w:sz w:val="24"/>
          <w:szCs w:val="24"/>
        </w:rPr>
      </w:pPr>
      <w:r w:rsidRPr="003A0CCC">
        <w:lastRenderedPageBreak/>
        <w:t xml:space="preserve">Level 4 — Neuroscience Reader: </w:t>
      </w:r>
      <w:r w:rsidRPr="003A0CCC">
        <w:rPr>
          <w:sz w:val="24"/>
          <w:szCs w:val="24"/>
        </w:rPr>
        <w:t>Feedback as the physical direction of restriction</w:t>
      </w:r>
    </w:p>
    <w:p w14:paraId="7FA38FAB" w14:textId="77777777" w:rsidR="003A0CCC" w:rsidRPr="003A0CCC" w:rsidRDefault="003A0CCC" w:rsidP="003A0CCC">
      <w:pPr>
        <w:jc w:val="both"/>
      </w:pPr>
      <w:r w:rsidRPr="003A0CCC">
        <w:t>The neuroscience claim is structural, not literal. The paper does not say that the cortex symbolically computes sheaf cohomology. It says that cortical organization has the physical ingredients required by the restriction operation.</w:t>
      </w:r>
    </w:p>
    <w:p w14:paraId="40CB89BC" w14:textId="77777777" w:rsidR="003A0CCC" w:rsidRPr="003A0CCC" w:rsidRDefault="003A0CCC" w:rsidP="003A0CCC">
      <w:pPr>
        <w:jc w:val="both"/>
      </w:pPr>
      <w:r w:rsidRPr="003A0CCC">
        <w:t>The cortex is not purely feedforward. Higher areas send feedback to lower areas. This feedback can carry a high-level proposal back to the local evidence it presupposes. In the paper’s reading, feedback realizes the direction of restriction: broad claims are returned to narrower domains where sensory, motor, contextual, and bodily evidence can test them.</w:t>
      </w:r>
    </w:p>
    <w:p w14:paraId="5B6FB974" w14:textId="77777777" w:rsidR="003A0CCC" w:rsidRPr="003A0CCC" w:rsidRDefault="003A0CCC" w:rsidP="003A0CCC">
      <w:pPr>
        <w:jc w:val="both"/>
      </w:pPr>
      <w:r w:rsidRPr="003A0CCC">
        <w:t>The laminar reading gives this structure a candidate circuit form. Layer 5 is read as the output quotient and release gate. It is the layer whose activity can drive report or action. Layer 6 is read as the corticothalamic audit channel that restricts the proposed quotient back toward local domains. Layer 1 supplies apical context and precision. The basal and apical streams meet in Layer 5, making release dependent on both bottom-up evidence and top-down context.</w:t>
      </w:r>
    </w:p>
    <w:p w14:paraId="682A6DE8" w14:textId="77777777" w:rsidR="003A0CCC" w:rsidRPr="003A0CCC" w:rsidRDefault="003A0CCC" w:rsidP="003A0CCC">
      <w:pPr>
        <w:jc w:val="both"/>
      </w:pPr>
      <w:r w:rsidRPr="003A0CCC">
        <w:t>The prefrontal–mediodorsal loop gives an executive version of the same idea. Prefrontal cortex represents rules, goals, and possible actions. Mediodorsal thalamus helps sustain and amplify these representations across delay and uncertainty. But availability is not permission. A rule/action can be active, maintained, and ready, yet still vetoed if hidden contextual constraints do not glue. The mediodorsal thalamus keeps the proposal alive; the restriction audit decides whether it may be released.</w:t>
      </w:r>
    </w:p>
    <w:p w14:paraId="3EC74428" w14:textId="77777777" w:rsidR="003A0CCC" w:rsidRPr="003A0CCC" w:rsidRDefault="003A0CCC" w:rsidP="003A0CCC">
      <w:pPr>
        <w:jc w:val="both"/>
      </w:pPr>
      <w:r w:rsidRPr="003A0CCC">
        <w:t>The neuroscience sentence is:</w:t>
      </w:r>
    </w:p>
    <w:p w14:paraId="7D8E9B6D" w14:textId="77777777" w:rsidR="003A0CCC" w:rsidRPr="003A0CCC" w:rsidRDefault="003A0CCC" w:rsidP="003A0CCC">
      <w:pPr>
        <w:ind w:left="2160"/>
        <w:jc w:val="both"/>
      </w:pPr>
      <w:r w:rsidRPr="003A0CCC">
        <w:rPr>
          <w:b/>
          <w:bCs/>
        </w:rPr>
        <w:t>The brain does not merely amplify the winning proposal; it appears to maintain, restrict, test, and gate proposals before release.</w:t>
      </w:r>
    </w:p>
    <w:p w14:paraId="538D0A90" w14:textId="77777777" w:rsidR="003A0CCC" w:rsidRPr="003A0CCC" w:rsidRDefault="003A0CCC" w:rsidP="003A0CCC">
      <w:pPr>
        <w:pStyle w:val="Heading2"/>
      </w:pPr>
      <w:r w:rsidRPr="003A0CCC">
        <w:t xml:space="preserve">Level 5 — Framework </w:t>
      </w:r>
      <w:r w:rsidRPr="003A0CCC">
        <w:rPr>
          <w:sz w:val="28"/>
          <w:szCs w:val="28"/>
        </w:rPr>
        <w:t xml:space="preserve">and AGI Architect: </w:t>
      </w:r>
      <w:r w:rsidRPr="003A0CCC">
        <w:rPr>
          <w:sz w:val="24"/>
          <w:szCs w:val="24"/>
        </w:rPr>
        <w:t>The third coordinate of defensible audit</w:t>
      </w:r>
    </w:p>
    <w:p w14:paraId="64DB0A15" w14:textId="77777777" w:rsidR="003A0CCC" w:rsidRPr="003A0CCC" w:rsidRDefault="003A0CCC" w:rsidP="003A0CCC">
      <w:pPr>
        <w:jc w:val="both"/>
      </w:pPr>
      <w:r w:rsidRPr="003A0CCC">
        <w:t>At the highest level, this paper completes the three-coordinate audit basis of the Defensible Intelligence framework.</w:t>
      </w:r>
    </w:p>
    <w:p w14:paraId="421EA451" w14:textId="77777777" w:rsidR="003A0CCC" w:rsidRPr="003A0CCC" w:rsidRDefault="003A0CCC" w:rsidP="003A0CCC">
      <w:pPr>
        <w:jc w:val="both"/>
      </w:pPr>
      <w:r w:rsidRPr="003A0CCC">
        <w:t xml:space="preserve">The first coordinate is </w:t>
      </w:r>
      <w:r w:rsidRPr="003A0CCC">
        <w:rPr>
          <w:b/>
          <w:bCs/>
        </w:rPr>
        <w:t>domain</w:t>
      </w:r>
      <w:r w:rsidRPr="003A0CCC">
        <w:t>. Nerve-Attention certifies that the simplices exist. Without genuine higher overlaps, the gate has no meaningful domain on which to compute. This prevents missing-simplex failure.</w:t>
      </w:r>
    </w:p>
    <w:p w14:paraId="2C92855A" w14:textId="77777777" w:rsidR="003A0CCC" w:rsidRPr="003A0CCC" w:rsidRDefault="003A0CCC" w:rsidP="003A0CCC">
      <w:pPr>
        <w:jc w:val="both"/>
      </w:pPr>
      <w:r w:rsidRPr="003A0CCC">
        <w:t xml:space="preserve">The second coordinate is </w:t>
      </w:r>
      <w:r w:rsidRPr="003A0CCC">
        <w:rPr>
          <w:b/>
          <w:bCs/>
        </w:rPr>
        <w:t>resolution</w:t>
      </w:r>
      <w:r w:rsidRPr="003A0CCC">
        <w:t>. Hypercovering and Descent refine the cover when a real overlap is too coarse and hides an obstruction. This prevents false-zero failure.</w:t>
      </w:r>
    </w:p>
    <w:p w14:paraId="0C12A3F1" w14:textId="77777777" w:rsidR="003A0CCC" w:rsidRPr="003A0CCC" w:rsidRDefault="003A0CCC" w:rsidP="003A0CCC">
      <w:pPr>
        <w:jc w:val="both"/>
      </w:pPr>
      <w:r w:rsidRPr="003A0CCC">
        <w:t xml:space="preserve">The third coordinate is </w:t>
      </w:r>
      <w:r w:rsidRPr="003A0CCC">
        <w:rPr>
          <w:b/>
          <w:bCs/>
        </w:rPr>
        <w:t>restriction</w:t>
      </w:r>
      <w:r w:rsidRPr="003A0CCC">
        <w:t>. The Restriction Vertex forces high-level proposals downward against the evidence and hidden constraints they presuppose. This prevents restriction failure.</w:t>
      </w:r>
    </w:p>
    <w:p w14:paraId="42280AA6" w14:textId="77777777" w:rsidR="003A0CCC" w:rsidRPr="003A0CCC" w:rsidRDefault="003A0CCC" w:rsidP="003A0CCC">
      <w:pPr>
        <w:jc w:val="both"/>
      </w:pPr>
      <w:r w:rsidRPr="003A0CCC">
        <w:t>The important point is that the gate depends on the other two coordinates but does not replace them. The restriction gate computes the obstruction only when the domain is real and the cover is faithful. If the simplices are fake, the gate has no proper domain. If the cover is too coarse, the gate may read a false zero. If feedback restriction is absent, the high-level proposal may never meet the evidence it would forget.</w:t>
      </w:r>
    </w:p>
    <w:p w14:paraId="152D61B1" w14:textId="77777777" w:rsidR="003A0CCC" w:rsidRPr="003A0CCC" w:rsidRDefault="003A0CCC" w:rsidP="003A0CCC">
      <w:pPr>
        <w:jc w:val="both"/>
      </w:pPr>
      <w:r w:rsidRPr="003A0CCC">
        <w:t>This gives the full architecture:</w:t>
      </w:r>
    </w:p>
    <w:p w14:paraId="09097F8C" w14:textId="77777777" w:rsidR="003A0CCC" w:rsidRPr="003A0CCC" w:rsidRDefault="003A0CCC" w:rsidP="003A0CCC">
      <w:pPr>
        <w:ind w:left="1440"/>
        <w:jc w:val="both"/>
      </w:pPr>
      <w:r w:rsidRPr="003A0CCC">
        <w:rPr>
          <w:b/>
          <w:bCs/>
        </w:rPr>
        <w:t>Nerve-Attention certifies the faces. Hypercovering refines the cover. The restriction gate carries the proposal downward and computes whether it may be released.</w:t>
      </w:r>
    </w:p>
    <w:p w14:paraId="4C6ED2D5" w14:textId="77777777" w:rsidR="003A0CCC" w:rsidRPr="003A0CCC" w:rsidRDefault="003A0CCC" w:rsidP="003A0CCC">
      <w:pPr>
        <w:jc w:val="both"/>
      </w:pPr>
      <w:r w:rsidRPr="003A0CCC">
        <w:lastRenderedPageBreak/>
        <w:t>In AGI terms, this moves intelligence from fluent output to licensed release. A scalable model may generate impressive proposals, but Defensible Intelligence requires a runtime restriction-and-test channel with nontrivial transition structure. The paper is refutable in a strong way: if a scaled pure-proposal engine, without such a runtime restriction channel, proves equally defensible on difficult edge cases at matched capacity, then the restriction vertex becomes unnecessary. But if edge-case defensibility requires runtime restriction, then this paper identifies one of the core architectural differences between ordinary AI and defensible AGI.</w:t>
      </w:r>
    </w:p>
    <w:p w14:paraId="529B1F54" w14:textId="77777777" w:rsidR="003A0CCC" w:rsidRPr="003A0CCC" w:rsidRDefault="003A0CCC" w:rsidP="003A0CCC">
      <w:pPr>
        <w:jc w:val="both"/>
      </w:pPr>
      <w:r w:rsidRPr="003A0CCC">
        <w:t>The final governing rule is:</w:t>
      </w:r>
    </w:p>
    <w:p w14:paraId="0AEA7724" w14:textId="0C59D485" w:rsidR="003A0CCC" w:rsidRDefault="003A0CCC" w:rsidP="003A0CCC">
      <w:pPr>
        <w:ind w:left="720"/>
        <w:jc w:val="both"/>
      </w:pPr>
      <w:r w:rsidRPr="003A0CCC">
        <w:rPr>
          <w:b/>
          <w:bCs/>
        </w:rPr>
        <w:t>Defensible intelligence is not the amplification of the strongest proposal; it is the licensed release of what survives restriction against the hidden constraints it would otherwise forget.</w:t>
      </w:r>
    </w:p>
    <w:sectPr w:rsidR="003A0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69C8"/>
    <w:multiLevelType w:val="multilevel"/>
    <w:tmpl w:val="DFD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E2E18"/>
    <w:multiLevelType w:val="multilevel"/>
    <w:tmpl w:val="2D825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4C5F3F"/>
    <w:multiLevelType w:val="multilevel"/>
    <w:tmpl w:val="A13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A703C"/>
    <w:multiLevelType w:val="multilevel"/>
    <w:tmpl w:val="12F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00C82"/>
    <w:multiLevelType w:val="multilevel"/>
    <w:tmpl w:val="284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957BA"/>
    <w:multiLevelType w:val="multilevel"/>
    <w:tmpl w:val="8E7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70BD6"/>
    <w:multiLevelType w:val="multilevel"/>
    <w:tmpl w:val="6B5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2306">
    <w:abstractNumId w:val="0"/>
  </w:num>
  <w:num w:numId="2" w16cid:durableId="891885861">
    <w:abstractNumId w:val="1"/>
  </w:num>
  <w:num w:numId="3" w16cid:durableId="2070372587">
    <w:abstractNumId w:val="4"/>
  </w:num>
  <w:num w:numId="4" w16cid:durableId="57363709">
    <w:abstractNumId w:val="5"/>
  </w:num>
  <w:num w:numId="5" w16cid:durableId="734166623">
    <w:abstractNumId w:val="2"/>
  </w:num>
  <w:num w:numId="6" w16cid:durableId="1810053730">
    <w:abstractNumId w:val="3"/>
  </w:num>
  <w:num w:numId="7" w16cid:durableId="2132898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135"/>
    <w:rsid w:val="0000368B"/>
    <w:rsid w:val="00023C00"/>
    <w:rsid w:val="00055D9C"/>
    <w:rsid w:val="00101418"/>
    <w:rsid w:val="0019563A"/>
    <w:rsid w:val="002949ED"/>
    <w:rsid w:val="002C3F9C"/>
    <w:rsid w:val="003A0CCC"/>
    <w:rsid w:val="00591135"/>
    <w:rsid w:val="005925BA"/>
    <w:rsid w:val="00737817"/>
    <w:rsid w:val="008A259C"/>
    <w:rsid w:val="008B08B7"/>
    <w:rsid w:val="00941954"/>
    <w:rsid w:val="00997E89"/>
    <w:rsid w:val="00BA2B87"/>
    <w:rsid w:val="00BB130E"/>
    <w:rsid w:val="00C24516"/>
    <w:rsid w:val="00CB5B18"/>
    <w:rsid w:val="00D60216"/>
    <w:rsid w:val="00DC1523"/>
    <w:rsid w:val="00E24F7E"/>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5E90"/>
  <w15:chartTrackingRefBased/>
  <w15:docId w15:val="{41CA968B-6E4C-49DD-A08E-2EDB6AEDD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135"/>
    <w:rPr>
      <w:rFonts w:eastAsiaTheme="majorEastAsia" w:cstheme="majorBidi"/>
      <w:color w:val="272727" w:themeColor="text1" w:themeTint="D8"/>
    </w:rPr>
  </w:style>
  <w:style w:type="paragraph" w:styleId="Title">
    <w:name w:val="Title"/>
    <w:basedOn w:val="Normal"/>
    <w:next w:val="Normal"/>
    <w:link w:val="TitleChar"/>
    <w:uiPriority w:val="10"/>
    <w:qFormat/>
    <w:rsid w:val="00591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135"/>
    <w:pPr>
      <w:spacing w:before="160"/>
      <w:jc w:val="center"/>
    </w:pPr>
    <w:rPr>
      <w:i/>
      <w:iCs/>
      <w:color w:val="404040" w:themeColor="text1" w:themeTint="BF"/>
    </w:rPr>
  </w:style>
  <w:style w:type="character" w:customStyle="1" w:styleId="QuoteChar">
    <w:name w:val="Quote Char"/>
    <w:basedOn w:val="DefaultParagraphFont"/>
    <w:link w:val="Quote"/>
    <w:uiPriority w:val="29"/>
    <w:rsid w:val="00591135"/>
    <w:rPr>
      <w:i/>
      <w:iCs/>
      <w:color w:val="404040" w:themeColor="text1" w:themeTint="BF"/>
    </w:rPr>
  </w:style>
  <w:style w:type="paragraph" w:styleId="ListParagraph">
    <w:name w:val="List Paragraph"/>
    <w:basedOn w:val="Normal"/>
    <w:uiPriority w:val="34"/>
    <w:qFormat/>
    <w:rsid w:val="00591135"/>
    <w:pPr>
      <w:ind w:left="720"/>
      <w:contextualSpacing/>
    </w:pPr>
  </w:style>
  <w:style w:type="character" w:styleId="IntenseEmphasis">
    <w:name w:val="Intense Emphasis"/>
    <w:basedOn w:val="DefaultParagraphFont"/>
    <w:uiPriority w:val="21"/>
    <w:qFormat/>
    <w:rsid w:val="00591135"/>
    <w:rPr>
      <w:i/>
      <w:iCs/>
      <w:color w:val="2F5496" w:themeColor="accent1" w:themeShade="BF"/>
    </w:rPr>
  </w:style>
  <w:style w:type="paragraph" w:styleId="IntenseQuote">
    <w:name w:val="Intense Quote"/>
    <w:basedOn w:val="Normal"/>
    <w:next w:val="Normal"/>
    <w:link w:val="IntenseQuoteChar"/>
    <w:uiPriority w:val="30"/>
    <w:qFormat/>
    <w:rsid w:val="00591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135"/>
    <w:rPr>
      <w:i/>
      <w:iCs/>
      <w:color w:val="2F5496" w:themeColor="accent1" w:themeShade="BF"/>
    </w:rPr>
  </w:style>
  <w:style w:type="character" w:styleId="IntenseReference">
    <w:name w:val="Intense Reference"/>
    <w:basedOn w:val="DefaultParagraphFont"/>
    <w:uiPriority w:val="32"/>
    <w:qFormat/>
    <w:rsid w:val="00591135"/>
    <w:rPr>
      <w:b/>
      <w:bCs/>
      <w:smallCaps/>
      <w:color w:val="2F5496" w:themeColor="accent1" w:themeShade="BF"/>
      <w:spacing w:val="5"/>
    </w:rPr>
  </w:style>
  <w:style w:type="character" w:styleId="Hyperlink">
    <w:name w:val="Hyperlink"/>
    <w:basedOn w:val="DefaultParagraphFont"/>
    <w:uiPriority w:val="99"/>
    <w:unhideWhenUsed/>
    <w:rsid w:val="008A259C"/>
    <w:rPr>
      <w:color w:val="0563C1" w:themeColor="hyperlink"/>
      <w:u w:val="single"/>
    </w:rPr>
  </w:style>
  <w:style w:type="character" w:styleId="UnresolvedMention">
    <w:name w:val="Unresolved Mention"/>
    <w:basedOn w:val="DefaultParagraphFont"/>
    <w:uiPriority w:val="99"/>
    <w:semiHidden/>
    <w:unhideWhenUsed/>
    <w:rsid w:val="003A0CCC"/>
    <w:rPr>
      <w:color w:val="605E5C"/>
      <w:shd w:val="clear" w:color="auto" w:fill="E1DFDD"/>
    </w:rPr>
  </w:style>
  <w:style w:type="character" w:styleId="FollowedHyperlink">
    <w:name w:val="FollowedHyperlink"/>
    <w:basedOn w:val="DefaultParagraphFont"/>
    <w:uiPriority w:val="99"/>
    <w:semiHidden/>
    <w:unhideWhenUsed/>
    <w:rsid w:val="000036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3140/RG.2.2.27630.57925" TargetMode="External"/><Relationship Id="rId21" Type="http://schemas.openxmlformats.org/officeDocument/2006/relationships/hyperlink" Target="https://doi.org/10.1038/nature22073" TargetMode="External"/><Relationship Id="rId42" Type="http://schemas.openxmlformats.org/officeDocument/2006/relationships/hyperlink" Target="https://search.worldcat.org/title/1935048" TargetMode="External"/><Relationship Id="rId47" Type="http://schemas.openxmlformats.org/officeDocument/2006/relationships/hyperlink" Target="https://doi.org/10.1007/978-3-662-02661-8" TargetMode="External"/><Relationship Id="rId63" Type="http://schemas.openxmlformats.org/officeDocument/2006/relationships/hyperlink" Target="https://doi.org/10.13140/RG.2.2.14232.56328" TargetMode="External"/><Relationship Id="rId68" Type="http://schemas.openxmlformats.org/officeDocument/2006/relationships/hyperlink" Target="https://doi.org/10.13140/RG.2.2.24454.54080"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rxiv.org/abs/1308.4621" TargetMode="External"/><Relationship Id="rId29" Type="http://schemas.openxmlformats.org/officeDocument/2006/relationships/hyperlink" Target="https://doi.org/10.13140/RG.2.2.14232.56328" TargetMode="External"/><Relationship Id="rId11" Type="http://schemas.openxmlformats.org/officeDocument/2006/relationships/hyperlink" Target="https://doi.org/10.1007/978-3-642-82783-9" TargetMode="External"/><Relationship Id="rId24" Type="http://schemas.openxmlformats.org/officeDocument/2006/relationships/hyperlink" Target="https://doi.org/10.1016/j.tins.2012.11.006" TargetMode="External"/><Relationship Id="rId32" Type="http://schemas.openxmlformats.org/officeDocument/2006/relationships/hyperlink" Target="https://doi.org/10.1038/nature22073" TargetMode="External"/><Relationship Id="rId37" Type="http://schemas.openxmlformats.org/officeDocument/2006/relationships/hyperlink" Target="https://doi.org/10.1016/j.neuron.2013.01.038" TargetMode="External"/><Relationship Id="rId40" Type="http://schemas.openxmlformats.org/officeDocument/2006/relationships/hyperlink" Target="https://doi.org/10.1007/978-1-4757-3951-0" TargetMode="External"/><Relationship Id="rId45" Type="http://schemas.openxmlformats.org/officeDocument/2006/relationships/hyperlink" Target="https://arxiv.org/abs/1808.01513" TargetMode="External"/><Relationship Id="rId53" Type="http://schemas.openxmlformats.org/officeDocument/2006/relationships/hyperlink" Target="https://arxiv.org/abs/1706.03762" TargetMode="External"/><Relationship Id="rId58" Type="http://schemas.openxmlformats.org/officeDocument/2006/relationships/hyperlink" Target="https://doi.org/10.1016/j.neuron.2013.01.038" TargetMode="External"/><Relationship Id="rId66" Type="http://schemas.openxmlformats.org/officeDocument/2006/relationships/hyperlink" Target="https://doi.org/10.13140/RG.2.2.34889.51044" TargetMode="External"/><Relationship Id="rId5" Type="http://schemas.openxmlformats.org/officeDocument/2006/relationships/hyperlink" Target="mailto:debiprasadghosh@lntecc.com" TargetMode="External"/><Relationship Id="rId61" Type="http://schemas.openxmlformats.org/officeDocument/2006/relationships/hyperlink" Target="https://doi.org/10.13140/RG.2.2.27630.57925" TargetMode="External"/><Relationship Id="rId19" Type="http://schemas.openxmlformats.org/officeDocument/2006/relationships/hyperlink" Target="https://arxiv.org/abs/1706.03762" TargetMode="External"/><Relationship Id="rId14" Type="http://schemas.openxmlformats.org/officeDocument/2006/relationships/hyperlink" Target="https://ncatlab.org/nlab/files/Godement-TopologieAlgebrique.pdf" TargetMode="External"/><Relationship Id="rId22" Type="http://schemas.openxmlformats.org/officeDocument/2006/relationships/hyperlink" Target="https://doi.org/10.1038/nn.4568" TargetMode="External"/><Relationship Id="rId27" Type="http://schemas.openxmlformats.org/officeDocument/2006/relationships/hyperlink" Target="https://doi.org/10.13140/RG.2.2.31337.45929" TargetMode="External"/><Relationship Id="rId30" Type="http://schemas.openxmlformats.org/officeDocument/2006/relationships/hyperlink" Target="https://doi.org/10.13140/RG.2.2.19848.99846" TargetMode="External"/><Relationship Id="rId35" Type="http://schemas.openxmlformats.org/officeDocument/2006/relationships/hyperlink" Target="https://doi.org/10.1038/nature22073" TargetMode="External"/><Relationship Id="rId43" Type="http://schemas.openxmlformats.org/officeDocument/2006/relationships/hyperlink" Target="https://ncatlab.org/nlab/files/Godement-TopologieAlgebrique.pdf" TargetMode="External"/><Relationship Id="rId48" Type="http://schemas.openxmlformats.org/officeDocument/2006/relationships/hyperlink" Target="https://doi.org/10.1007/978-1-4612-0927-0" TargetMode="External"/><Relationship Id="rId56" Type="http://schemas.openxmlformats.org/officeDocument/2006/relationships/hyperlink" Target="https://doi.org/10.1016/j.tins.2012.11.006" TargetMode="External"/><Relationship Id="rId64" Type="http://schemas.openxmlformats.org/officeDocument/2006/relationships/hyperlink" Target="https://doi.org/10.13140/RG.2.2.19848.99846" TargetMode="External"/><Relationship Id="rId69" Type="http://schemas.openxmlformats.org/officeDocument/2006/relationships/fontTable" Target="fontTable.xml"/><Relationship Id="rId8" Type="http://schemas.openxmlformats.org/officeDocument/2006/relationships/hyperlink" Target="https://doi.org/10.13140/RG.2.2.18717.68323" TargetMode="External"/><Relationship Id="rId51" Type="http://schemas.openxmlformats.org/officeDocument/2006/relationships/hyperlink" Target="https://doi.org/10.1007/978-3-642-36104-3" TargetMode="External"/><Relationship Id="rId3" Type="http://schemas.openxmlformats.org/officeDocument/2006/relationships/settings" Target="settings.xml"/><Relationship Id="rId12" Type="http://schemas.openxmlformats.org/officeDocument/2006/relationships/hyperlink" Target="https://doi.org/10.1007/978-3-662-02661-8" TargetMode="External"/><Relationship Id="rId17" Type="http://schemas.openxmlformats.org/officeDocument/2006/relationships/hyperlink" Target="https://doi.org/10.1007/978-3-642-36104-3" TargetMode="External"/><Relationship Id="rId25" Type="http://schemas.openxmlformats.org/officeDocument/2006/relationships/hyperlink" Target="https://doi.org/10.13140/RG.2.2.26647.53922" TargetMode="External"/><Relationship Id="rId33" Type="http://schemas.openxmlformats.org/officeDocument/2006/relationships/hyperlink" Target="https://doi.org/10.1038/nn.4568" TargetMode="External"/><Relationship Id="rId38" Type="http://schemas.openxmlformats.org/officeDocument/2006/relationships/hyperlink" Target="https://doi.org/10.1146/annurev.neuro.24.1.167" TargetMode="External"/><Relationship Id="rId46" Type="http://schemas.openxmlformats.org/officeDocument/2006/relationships/hyperlink" Target="https://doi.org/10.1007/978-3-642-82783-9" TargetMode="External"/><Relationship Id="rId59" Type="http://schemas.openxmlformats.org/officeDocument/2006/relationships/hyperlink" Target="https://doi.org/10.1038/nature22073" TargetMode="External"/><Relationship Id="rId67" Type="http://schemas.openxmlformats.org/officeDocument/2006/relationships/hyperlink" Target="https://doi.org/10.13140/RG.2.2.22726.02889" TargetMode="External"/><Relationship Id="rId20" Type="http://schemas.openxmlformats.org/officeDocument/2006/relationships/hyperlink" Target="https://doi.org/10.1146/annurev.neuro.24.1.167" TargetMode="External"/><Relationship Id="rId41" Type="http://schemas.openxmlformats.org/officeDocument/2006/relationships/hyperlink" Target="https://doi.org/10.1007/978-1-4612-0647-7" TargetMode="External"/><Relationship Id="rId54" Type="http://schemas.openxmlformats.org/officeDocument/2006/relationships/hyperlink" Target="https://papers.neurips.cc/paper/7181-attention-is-all-you-need" TargetMode="External"/><Relationship Id="rId62" Type="http://schemas.openxmlformats.org/officeDocument/2006/relationships/hyperlink" Target="https://doi.org/10.13140/RG.2.2.31337.45929"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5" Type="http://schemas.openxmlformats.org/officeDocument/2006/relationships/hyperlink" Target="https://doi.org/10.1007/978-1-4757-3951-0" TargetMode="External"/><Relationship Id="rId23" Type="http://schemas.openxmlformats.org/officeDocument/2006/relationships/hyperlink" Target="https://doi.org/10.1016/j.neuron.2013.01.038" TargetMode="External"/><Relationship Id="rId28" Type="http://schemas.openxmlformats.org/officeDocument/2006/relationships/hyperlink" Target="https://doi.org/10.13140/RG.2.2.22726.02889" TargetMode="External"/><Relationship Id="rId36" Type="http://schemas.openxmlformats.org/officeDocument/2006/relationships/hyperlink" Target="https://doi.org/10.1038/nn.4568" TargetMode="External"/><Relationship Id="rId49" Type="http://schemas.openxmlformats.org/officeDocument/2006/relationships/hyperlink" Target="https://doi.org/10.1109/GlobalSIP.2013.6737040" TargetMode="External"/><Relationship Id="rId57" Type="http://schemas.openxmlformats.org/officeDocument/2006/relationships/hyperlink" Target="https://doi.org/10.1146/annurev.neuro.24.1.167" TargetMode="External"/><Relationship Id="rId10" Type="http://schemas.openxmlformats.org/officeDocument/2006/relationships/hyperlink" Target="https://doi.org/10.1007/978-1-4612-0647-7" TargetMode="External"/><Relationship Id="rId31" Type="http://schemas.openxmlformats.org/officeDocument/2006/relationships/hyperlink" Target="https://doi.org/10.1146/annurev.neuro.24.1.167" TargetMode="External"/><Relationship Id="rId44" Type="http://schemas.openxmlformats.org/officeDocument/2006/relationships/hyperlink" Target="https://doi.org/10.1007/s41468-019-00038-7" TargetMode="External"/><Relationship Id="rId52" Type="http://schemas.openxmlformats.org/officeDocument/2006/relationships/hyperlink" Target="https://doi.org/10.1017/CBO9781139644136" TargetMode="External"/><Relationship Id="rId60" Type="http://schemas.openxmlformats.org/officeDocument/2006/relationships/hyperlink" Target="https://doi.org/10.13140/RG.2.2.26647.53922" TargetMode="External"/><Relationship Id="rId65" Type="http://schemas.openxmlformats.org/officeDocument/2006/relationships/hyperlink" Target="https://doi.org/10.13140/RG.2.2.20183.23205" TargetMode="External"/><Relationship Id="rId4" Type="http://schemas.openxmlformats.org/officeDocument/2006/relationships/webSettings" Target="webSettings.xml"/><Relationship Id="rId9" Type="http://schemas.openxmlformats.org/officeDocument/2006/relationships/hyperlink" Target="https://doi.org/10.1017/CBO9781139644136" TargetMode="External"/><Relationship Id="rId13" Type="http://schemas.openxmlformats.org/officeDocument/2006/relationships/hyperlink" Target="https://doi.org/10.1007/978-1-4612-0927-0" TargetMode="External"/><Relationship Id="rId18" Type="http://schemas.openxmlformats.org/officeDocument/2006/relationships/hyperlink" Target="https://arxiv.org/abs/1808.01513" TargetMode="External"/><Relationship Id="rId39" Type="http://schemas.openxmlformats.org/officeDocument/2006/relationships/hyperlink" Target="https://doi.org/10.1016/j.tins.2012.11.006" TargetMode="External"/><Relationship Id="rId34" Type="http://schemas.openxmlformats.org/officeDocument/2006/relationships/hyperlink" Target="https://doi.org/10.1016/j.neuron.2013.01.038" TargetMode="External"/><Relationship Id="rId50" Type="http://schemas.openxmlformats.org/officeDocument/2006/relationships/hyperlink" Target="https://arxiv.org/abs/1308.4621" TargetMode="External"/><Relationship Id="rId55" Type="http://schemas.openxmlformats.org/officeDocument/2006/relationships/hyperlink" Target="https://doi.org/10.1038/nn.4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18</Pages>
  <Words>9442</Words>
  <Characters>53821</Characters>
  <Application>Microsoft Office Word</Application>
  <DocSecurity>0</DocSecurity>
  <Lines>448</Lines>
  <Paragraphs>126</Paragraphs>
  <ScaleCrop>false</ScaleCrop>
  <Company/>
  <LinksUpToDate>false</LinksUpToDate>
  <CharactersWithSpaces>63137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13</cp:revision>
  <cp:lastPrinted>2026-06-22T02:02:00Z</cp:lastPrinted>
  <dcterms:created xsi:type="dcterms:W3CDTF">2026-06-21T17:12:00Z</dcterms:created>
  <dcterms:modified xsi:type="dcterms:W3CDTF">2026-06-22T02:04:00Z</dcterms:modified>
</cp:coreProperties>
</file>