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B4EC4" w14:textId="26D16AB5" w:rsidR="00A01C48" w:rsidRPr="006B4CC5" w:rsidRDefault="00A01C48" w:rsidP="00A01C48">
      <w:pPr>
        <w:pStyle w:val="Title"/>
        <w:pBdr>
          <w:bottom w:val="single" w:sz="6" w:space="1" w:color="auto"/>
        </w:pBdr>
        <w:rPr>
          <w:rFonts w:asciiTheme="minorHAnsi" w:hAnsiTheme="minorHAnsi"/>
          <w:sz w:val="22"/>
          <w:szCs w:val="22"/>
        </w:rPr>
      </w:pPr>
      <w:r w:rsidRPr="006B4CC5">
        <w:rPr>
          <w:rFonts w:asciiTheme="minorHAnsi" w:hAnsiTheme="minorHAnsi"/>
          <w:sz w:val="22"/>
          <w:szCs w:val="22"/>
        </w:rPr>
        <w:t xml:space="preserve">Manuscript as of </w:t>
      </w:r>
      <w:r>
        <w:rPr>
          <w:rFonts w:asciiTheme="minorHAnsi" w:hAnsiTheme="minorHAnsi"/>
          <w:sz w:val="22"/>
          <w:szCs w:val="22"/>
        </w:rPr>
        <w:t>June 1</w:t>
      </w:r>
      <w:r w:rsidR="00BE0578">
        <w:rPr>
          <w:rFonts w:asciiTheme="minorHAnsi" w:hAnsiTheme="minorHAnsi"/>
          <w:sz w:val="22"/>
          <w:szCs w:val="22"/>
        </w:rPr>
        <w:t>9</w:t>
      </w:r>
      <w:r w:rsidRPr="006B4CC5">
        <w:rPr>
          <w:rFonts w:asciiTheme="minorHAnsi" w:hAnsiTheme="minorHAnsi"/>
          <w:sz w:val="22"/>
          <w:szCs w:val="22"/>
        </w:rPr>
        <w:t>, 202</w:t>
      </w:r>
      <w:r>
        <w:rPr>
          <w:rFonts w:asciiTheme="minorHAnsi" w:hAnsiTheme="minorHAnsi"/>
          <w:sz w:val="22"/>
          <w:szCs w:val="22"/>
        </w:rPr>
        <w:t>6.</w:t>
      </w:r>
    </w:p>
    <w:p w14:paraId="6B7CF418" w14:textId="7FC58956" w:rsidR="00A01C48" w:rsidRDefault="00A01C48" w:rsidP="00A01C48">
      <w:pPr>
        <w:pStyle w:val="Title"/>
        <w:jc w:val="center"/>
        <w:rPr>
          <w:sz w:val="44"/>
          <w:szCs w:val="44"/>
        </w:rPr>
      </w:pPr>
      <w:r w:rsidRPr="00A01C48">
        <w:rPr>
          <w:sz w:val="46"/>
          <w:szCs w:val="46"/>
        </w:rPr>
        <w:t>The Separation Hierarchy</w:t>
      </w:r>
      <w:r w:rsidRPr="00A01C48">
        <w:rPr>
          <w:sz w:val="44"/>
          <w:szCs w:val="44"/>
        </w:rPr>
        <w:t>: Axis 3 as the T₀–T₄ ladder, and where the architecture's operators sit on it</w:t>
      </w:r>
    </w:p>
    <w:p w14:paraId="1DCB6C47" w14:textId="77777777" w:rsidR="00A01C48" w:rsidRDefault="00A01C48" w:rsidP="00A01C48">
      <w:pPr>
        <w:jc w:val="center"/>
      </w:pPr>
      <w:r w:rsidRPr="006B4CC5">
        <w:t xml:space="preserve">Debi Prasad Ghosh, </w:t>
      </w:r>
      <w:hyperlink r:id="rId5" w:history="1">
        <w:r w:rsidRPr="006B4CC5">
          <w:rPr>
            <w:rStyle w:val="Hyperlink"/>
          </w:rPr>
          <w:t>debiprasadghosh@lntecc.com</w:t>
        </w:r>
      </w:hyperlink>
      <w:r>
        <w:t xml:space="preserve"> </w:t>
      </w:r>
      <w:r>
        <w:rPr>
          <w:noProof/>
        </w:rPr>
        <w:drawing>
          <wp:inline distT="0" distB="0" distL="0" distR="0" wp14:anchorId="39DCBFA4" wp14:editId="64B0DB6E">
            <wp:extent cx="133067" cy="133067"/>
            <wp:effectExtent l="0" t="0" r="635" b="635"/>
            <wp:docPr id="1305915393" name="Picture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20059020" w14:textId="77777777" w:rsidR="00A01C48" w:rsidRPr="006B4CC5" w:rsidRDefault="00A01C48" w:rsidP="00A01C48">
      <w:pPr>
        <w:jc w:val="center"/>
      </w:pPr>
      <w:r>
        <w:t>CTO, AI &amp;</w:t>
      </w:r>
      <w:r w:rsidRPr="006B4CC5">
        <w:t xml:space="preserve"> Automation</w:t>
      </w:r>
    </w:p>
    <w:p w14:paraId="1076D52C" w14:textId="77777777" w:rsidR="00A01C48" w:rsidRDefault="00A01C48" w:rsidP="00A01C48">
      <w:pPr>
        <w:jc w:val="center"/>
      </w:pPr>
      <w:r w:rsidRPr="00F5609C">
        <w:t>Engineering Design &amp; Research Center, Larsen &amp; Toubro Construction (M&amp;M) Kolkata, India</w:t>
      </w:r>
    </w:p>
    <w:p w14:paraId="15B3F62E" w14:textId="609D6AE1" w:rsidR="00A01C48" w:rsidRPr="00A01C48" w:rsidRDefault="00C0640B" w:rsidP="00C0640B">
      <w:pPr>
        <w:jc w:val="center"/>
      </w:pPr>
      <w:hyperlink r:id="rId8" w:history="1">
        <w:r w:rsidRPr="00C65A9A">
          <w:rPr>
            <w:rStyle w:val="Hyperlink"/>
          </w:rPr>
          <w:t>https://doi.org/10.13140/RG.2.2.28768.44809</w:t>
        </w:r>
      </w:hyperlink>
      <w:r>
        <w:t xml:space="preserve"> </w:t>
      </w:r>
    </w:p>
    <w:p w14:paraId="5DF69967" w14:textId="77777777" w:rsidR="00BE0578" w:rsidRDefault="002E4C41" w:rsidP="00A01C48">
      <w:pPr>
        <w:jc w:val="both"/>
        <w:rPr>
          <w:i/>
          <w:iCs/>
        </w:rPr>
      </w:pPr>
      <w:r w:rsidRPr="002E4C41">
        <w:rPr>
          <w:b/>
          <w:bCs/>
          <w:i/>
          <w:iCs/>
        </w:rPr>
        <w:t>Abstract</w:t>
      </w:r>
      <w:r>
        <w:rPr>
          <w:i/>
          <w:iCs/>
        </w:rPr>
        <w:t>:</w:t>
      </w:r>
      <w:r w:rsidR="00A01C48" w:rsidRPr="00A01C48">
        <w:rPr>
          <w:i/>
          <w:iCs/>
        </w:rPr>
        <w:t xml:space="preserve"> Axis 3 of the framework — representational separation — is not a single threshold but a graded hierarchy, the topological separation axioms T₀ through T₄. This note states the ladder, identifies the three rungs the framework actually uses as operational landmarks, and pins each deposited operator to its rung, so that "separation" is read everywhere in the series at a definite height rather than as a binary. The hierarchy is load-bearing mathematics; the placements are framework cross-references to results established elsewhere. </w:t>
      </w:r>
    </w:p>
    <w:p w14:paraId="5BB7D9FC" w14:textId="77777777" w:rsidR="00A01C48" w:rsidRPr="00A01C48" w:rsidRDefault="00A01C48" w:rsidP="00A01C48">
      <w:pPr>
        <w:pStyle w:val="Heading1"/>
      </w:pPr>
      <w:r w:rsidRPr="00A01C48">
        <w:t>1. Separation is graded, not binary</w:t>
      </w:r>
    </w:p>
    <w:p w14:paraId="373291DB" w14:textId="77777777" w:rsidR="00A01C48" w:rsidRDefault="00A01C48" w:rsidP="00A01C48">
      <w:pPr>
        <w:jc w:val="both"/>
      </w:pPr>
      <w:r w:rsidRPr="00A01C48">
        <w:t xml:space="preserve">The framework's first axis is the enrichment ladder (topological → … → inner-product); its third is </w:t>
      </w:r>
      <w:r w:rsidRPr="00A01C48">
        <w:rPr>
          <w:i/>
          <w:iCs/>
        </w:rPr>
        <w:t>separation</w:t>
      </w:r>
      <w:r w:rsidRPr="00A01C48">
        <w:t xml:space="preserve"> — the degree to which distinct concepts occupy distinct, non-confusable regions of the representation. It is tempting to treat separation as a switch (separated / not), but topology already supplies the correct object: a </w:t>
      </w:r>
      <w:r w:rsidRPr="00A01C48">
        <w:rPr>
          <w:b/>
          <w:bCs/>
        </w:rPr>
        <w:t>hierarchy</w:t>
      </w:r>
      <w:r w:rsidRPr="00A01C48">
        <w:t xml:space="preserve"> of separation strengths, the axioms T₀–T₄, each strictly stronger than the last. Reading Axis 3 as this ladder is what lets the framework say precisely </w:t>
      </w:r>
      <w:r w:rsidRPr="00A01C48">
        <w:rPr>
          <w:i/>
          <w:iCs/>
        </w:rPr>
        <w:t>how far</w:t>
      </w:r>
      <w:r w:rsidRPr="00A01C48">
        <w:t xml:space="preserve"> a representation has fallen when it fails, and </w:t>
      </w:r>
      <w:r w:rsidRPr="00A01C48">
        <w:rPr>
          <w:i/>
          <w:iCs/>
        </w:rPr>
        <w:t>how far</w:t>
      </w:r>
      <w:r w:rsidRPr="00A01C48">
        <w:t xml:space="preserve"> an operator must lift it to make it safe.</w:t>
      </w:r>
    </w:p>
    <w:p w14:paraId="16A80089" w14:textId="77777777" w:rsidR="00666D64" w:rsidRPr="00A01C48" w:rsidRDefault="00666D64" w:rsidP="00666D64">
      <w:pPr>
        <w:jc w:val="both"/>
      </w:pPr>
      <w:r w:rsidRPr="00A01C48">
        <w:rPr>
          <w:i/>
          <w:iCs/>
        </w:rPr>
        <w:t>Tiers: [LB] load-bearing mathematics, [F] framework cross-reference, [CAND] candidate.</w:t>
      </w:r>
    </w:p>
    <w:p w14:paraId="2A125B52" w14:textId="03910EE0" w:rsidR="00A01C48" w:rsidRPr="00A01C48" w:rsidRDefault="00A01C48" w:rsidP="00A01C48">
      <w:pPr>
        <w:pStyle w:val="Heading1"/>
      </w:pPr>
      <w:r w:rsidRPr="00A01C48">
        <w:t>2. The ladder, formally [LB]</w:t>
      </w:r>
      <w:r>
        <w:tab/>
      </w:r>
    </w:p>
    <w:p w14:paraId="1D462DAF" w14:textId="585641EB" w:rsidR="00A01C48" w:rsidRPr="00A01C48" w:rsidRDefault="00A01C48" w:rsidP="00A01C48">
      <w:pPr>
        <w:jc w:val="both"/>
      </w:pPr>
      <w:r w:rsidRPr="00A01C48">
        <w:t xml:space="preserve">For a topological space, the standard separation axioms form an increasing chain (using </w:t>
      </w:r>
      <w:r w:rsidR="00372A65" w:rsidRPr="00372A65">
        <w:t xml:space="preserve">the common convention that </w:t>
      </w:r>
      <m:oMath>
        <m:sSub>
          <m:sSubPr>
            <m:ctrlPr>
              <w:rPr>
                <w:rFonts w:ascii="Cambria Math" w:hAnsi="Cambria Math"/>
              </w:rPr>
            </m:ctrlPr>
          </m:sSubPr>
          <m:e>
            <m:r>
              <w:rPr>
                <w:rFonts w:ascii="Cambria Math" w:hAnsi="Cambria Math"/>
              </w:rPr>
              <m:t>T</m:t>
            </m:r>
          </m:e>
          <m:sub>
            <m:r>
              <w:rPr>
                <w:rFonts w:ascii="Cambria Math" w:hAnsi="Cambria Math"/>
              </w:rPr>
              <m:t>3</m:t>
            </m:r>
          </m:sub>
        </m:sSub>
      </m:oMath>
      <w:r w:rsidR="00372A65" w:rsidRPr="00372A65">
        <w:t xml:space="preserve">, </w:t>
      </w:r>
      <m:oMath>
        <m:sSub>
          <m:sSubPr>
            <m:ctrlPr>
              <w:rPr>
                <w:rFonts w:ascii="Cambria Math" w:hAnsi="Cambria Math"/>
              </w:rPr>
            </m:ctrlPr>
          </m:sSubPr>
          <m:e>
            <m:r>
              <w:rPr>
                <w:rFonts w:ascii="Cambria Math" w:hAnsi="Cambria Math"/>
              </w:rPr>
              <m:t>T</m:t>
            </m:r>
          </m:e>
          <m:sub>
            <m:r>
              <w:rPr>
                <w:rFonts w:ascii="Cambria Math" w:hAnsi="Cambria Math"/>
              </w:rPr>
              <m:t>3.5</m:t>
            </m:r>
          </m:sub>
        </m:sSub>
      </m:oMath>
      <w:r w:rsidR="00372A65" w:rsidRPr="00372A65">
        <w:t xml:space="preserve">, and </w:t>
      </w:r>
      <m:oMath>
        <m:sSub>
          <m:sSubPr>
            <m:ctrlPr>
              <w:rPr>
                <w:rFonts w:ascii="Cambria Math" w:hAnsi="Cambria Math"/>
              </w:rPr>
            </m:ctrlPr>
          </m:sSubPr>
          <m:e>
            <m:r>
              <w:rPr>
                <w:rFonts w:ascii="Cambria Math" w:hAnsi="Cambria Math"/>
              </w:rPr>
              <m:t>T</m:t>
            </m:r>
          </m:e>
          <m:sub>
            <m:r>
              <w:rPr>
                <w:rFonts w:ascii="Cambria Math" w:hAnsi="Cambria Math"/>
              </w:rPr>
              <m:t>4</m:t>
            </m:r>
          </m:sub>
        </m:sSub>
      </m:oMath>
      <w:r w:rsidR="00372A65" w:rsidRPr="00372A65">
        <w:t>include the appropriate Hausdorff/</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00372A65" w:rsidRPr="00372A65">
        <w:t xml:space="preserve"> assumptions</w:t>
      </w:r>
      <w:r w:rsidRPr="00A01C48">
        <w:t>):</w:t>
      </w:r>
    </w:p>
    <w:p w14:paraId="327CC171" w14:textId="4093C778" w:rsidR="0058688F" w:rsidRPr="0058688F" w:rsidRDefault="0058688F" w:rsidP="00A01C48">
      <w:pPr>
        <w:numPr>
          <w:ilvl w:val="0"/>
          <w:numId w:val="1"/>
        </w:numPr>
        <w:jc w:val="both"/>
      </w:pPr>
      <w:r w:rsidRPr="0058688F">
        <w:rPr>
          <w:b/>
          <w:bCs/>
        </w:rPr>
        <w:t xml:space="preserve">Failure of </w:t>
      </w:r>
      <w:r w:rsidRPr="00A01C48">
        <w:rPr>
          <w:b/>
          <w:bCs/>
        </w:rPr>
        <w:t>T₀</w:t>
      </w:r>
      <w:r w:rsidRPr="0058688F">
        <w:rPr>
          <w:b/>
          <w:bCs/>
        </w:rPr>
        <w:t>:</w:t>
      </w:r>
      <w:r w:rsidRPr="0058688F">
        <w:t xml:space="preserve"> Indiscrete spaces (with more than one point) are strictly </w:t>
      </w:r>
      <w:r w:rsidRPr="0058688F">
        <w:rPr>
          <w:b/>
          <w:bCs/>
        </w:rPr>
        <w:t>non</w:t>
      </w:r>
      <w:r>
        <w:rPr>
          <w:b/>
          <w:bCs/>
        </w:rPr>
        <w:t>-</w:t>
      </w:r>
      <w:r w:rsidRPr="00A01C48">
        <w:rPr>
          <w:b/>
          <w:bCs/>
        </w:rPr>
        <w:t>T₀</w:t>
      </w:r>
      <w:r w:rsidRPr="0058688F">
        <w:t>, as no open set can distinguish between distinct points.</w:t>
      </w:r>
    </w:p>
    <w:p w14:paraId="285364B3" w14:textId="5294D358" w:rsidR="00A01C48" w:rsidRPr="00A01C48" w:rsidRDefault="00A01C48" w:rsidP="00A01C48">
      <w:pPr>
        <w:numPr>
          <w:ilvl w:val="0"/>
          <w:numId w:val="1"/>
        </w:numPr>
        <w:jc w:val="both"/>
      </w:pPr>
      <w:r w:rsidRPr="00A01C48">
        <w:rPr>
          <w:b/>
          <w:bCs/>
        </w:rPr>
        <w:t>T₀ (Kolmogorov)</w:t>
      </w:r>
      <w:r w:rsidRPr="00A01C48">
        <w:t xml:space="preserve"> — for any two distinct points, some open set contains one but not the other. The weakest distinguishability; points are </w:t>
      </w:r>
      <w:r w:rsidRPr="00A01C48">
        <w:rPr>
          <w:i/>
          <w:iCs/>
        </w:rPr>
        <w:t>telling-apart-able in principle</w:t>
      </w:r>
      <w:r w:rsidRPr="00A01C48">
        <w:t>.</w:t>
      </w:r>
    </w:p>
    <w:p w14:paraId="224ADD81" w14:textId="77777777" w:rsidR="00A01C48" w:rsidRPr="00A01C48" w:rsidRDefault="00A01C48" w:rsidP="00A01C48">
      <w:pPr>
        <w:numPr>
          <w:ilvl w:val="0"/>
          <w:numId w:val="1"/>
        </w:numPr>
        <w:jc w:val="both"/>
      </w:pPr>
      <w:r w:rsidRPr="00A01C48">
        <w:rPr>
          <w:b/>
          <w:bCs/>
        </w:rPr>
        <w:t>T₁ (Fréchet)</w:t>
      </w:r>
      <w:r w:rsidRPr="00A01C48">
        <w:t xml:space="preserve"> — every singleton is closed; each of two points has a neighbourhood excluding the other.</w:t>
      </w:r>
    </w:p>
    <w:p w14:paraId="2D20535D" w14:textId="77777777" w:rsidR="00A01C48" w:rsidRPr="00A01C48" w:rsidRDefault="00A01C48" w:rsidP="00A01C48">
      <w:pPr>
        <w:numPr>
          <w:ilvl w:val="0"/>
          <w:numId w:val="1"/>
        </w:numPr>
        <w:jc w:val="both"/>
      </w:pPr>
      <w:r w:rsidRPr="00A01C48">
        <w:rPr>
          <w:b/>
          <w:bCs/>
        </w:rPr>
        <w:t>T₂ (Hausdorff)</w:t>
      </w:r>
      <w:r w:rsidRPr="00A01C48">
        <w:t xml:space="preserve"> — distinct points have </w:t>
      </w:r>
      <w:r w:rsidRPr="00A01C48">
        <w:rPr>
          <w:i/>
          <w:iCs/>
        </w:rPr>
        <w:t>disjoint</w:t>
      </w:r>
      <w:r w:rsidRPr="00A01C48">
        <w:t xml:space="preserve"> neighbourhoods. This is the level of genuine </w:t>
      </w:r>
      <w:r w:rsidRPr="00A01C48">
        <w:rPr>
          <w:b/>
          <w:bCs/>
        </w:rPr>
        <w:t>discrimination</w:t>
      </w:r>
      <w:r w:rsidRPr="00A01C48">
        <w:t>: two concepts can be surrounded by non-overlapping regions.</w:t>
      </w:r>
    </w:p>
    <w:p w14:paraId="4C2AE4C9" w14:textId="77777777" w:rsidR="00A01C48" w:rsidRPr="00A01C48" w:rsidRDefault="00A01C48" w:rsidP="00A01C48">
      <w:pPr>
        <w:numPr>
          <w:ilvl w:val="0"/>
          <w:numId w:val="1"/>
        </w:numPr>
        <w:jc w:val="both"/>
      </w:pPr>
      <w:r w:rsidRPr="00A01C48">
        <w:rPr>
          <w:b/>
          <w:bCs/>
        </w:rPr>
        <w:t>T₂.₅ (Urysohn)</w:t>
      </w:r>
      <w:r w:rsidRPr="00A01C48">
        <w:t xml:space="preserve"> — distinct points have neighbourhoods with disjoint closures.</w:t>
      </w:r>
    </w:p>
    <w:p w14:paraId="2497D03B" w14:textId="77777777" w:rsidR="00A01C48" w:rsidRPr="00A01C48" w:rsidRDefault="00A01C48" w:rsidP="00A01C48">
      <w:pPr>
        <w:numPr>
          <w:ilvl w:val="0"/>
          <w:numId w:val="1"/>
        </w:numPr>
        <w:jc w:val="both"/>
      </w:pPr>
      <w:r w:rsidRPr="00A01C48">
        <w:rPr>
          <w:b/>
          <w:bCs/>
        </w:rPr>
        <w:t>T₃ (regular Hausdorff)</w:t>
      </w:r>
      <w:r w:rsidRPr="00A01C48">
        <w:t xml:space="preserve"> — a point and a disjoint closed set have disjoint neighbourhoods.</w:t>
      </w:r>
    </w:p>
    <w:p w14:paraId="6F1C3FC6" w14:textId="77777777" w:rsidR="00A01C48" w:rsidRPr="00A01C48" w:rsidRDefault="00A01C48" w:rsidP="00A01C48">
      <w:pPr>
        <w:numPr>
          <w:ilvl w:val="0"/>
          <w:numId w:val="1"/>
        </w:numPr>
        <w:jc w:val="both"/>
      </w:pPr>
      <w:r w:rsidRPr="00A01C48">
        <w:rPr>
          <w:b/>
          <w:bCs/>
        </w:rPr>
        <w:lastRenderedPageBreak/>
        <w:t>T₃.₅ (Tychonoff / completely regular)</w:t>
      </w:r>
      <w:r w:rsidRPr="00A01C48">
        <w:t xml:space="preserve"> — a point and a disjoint closed set are separated by a continuous </w:t>
      </w:r>
      <w:r w:rsidRPr="00A01C48">
        <w:rPr>
          <w:i/>
          <w:iCs/>
        </w:rPr>
        <w:t>function</w:t>
      </w:r>
      <w:r w:rsidRPr="00A01C48">
        <w:t xml:space="preserve"> to [0,1].</w:t>
      </w:r>
    </w:p>
    <w:p w14:paraId="29C76EB1" w14:textId="2F1521BB" w:rsidR="00A01C48" w:rsidRPr="00A01C48" w:rsidRDefault="00A01C48" w:rsidP="00A01C48">
      <w:pPr>
        <w:numPr>
          <w:ilvl w:val="0"/>
          <w:numId w:val="1"/>
        </w:numPr>
        <w:jc w:val="both"/>
      </w:pPr>
      <w:r w:rsidRPr="00A01C48">
        <w:rPr>
          <w:b/>
          <w:bCs/>
        </w:rPr>
        <w:t>T₄ (normal Hausdorff)</w:t>
      </w:r>
      <w:r w:rsidRPr="00A01C48">
        <w:t xml:space="preserve"> — two disjoint </w:t>
      </w:r>
      <w:r w:rsidRPr="00A01C48">
        <w:rPr>
          <w:i/>
          <w:iCs/>
        </w:rPr>
        <w:t>closed sets</w:t>
      </w:r>
      <w:r w:rsidRPr="00A01C48">
        <w:t xml:space="preserve"> have disjoint neighbourhoods; equivalently (Urysohn's lemma) they are separated by a continuous function. This is the level at which </w:t>
      </w:r>
      <w:r w:rsidRPr="00A01C48">
        <w:rPr>
          <w:b/>
          <w:bCs/>
        </w:rPr>
        <w:t>separating functions exist for whole regions</w:t>
      </w:r>
      <w:r w:rsidRPr="00A01C48">
        <w:t>, not just points.</w:t>
      </w:r>
      <w:r w:rsidR="00372A65">
        <w:t xml:space="preserve"> A</w:t>
      </w:r>
      <w:r w:rsidR="00372A65" w:rsidRPr="00372A65">
        <w:t xml:space="preserve">ny two disjoint closed sets have disjoint open neighborhoods; by Urysohn’s lemma, they can also be separated by a continuous function into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00372A65" w:rsidRPr="00372A65">
        <w:t>.</w:t>
      </w:r>
    </w:p>
    <w:p w14:paraId="62EE352B" w14:textId="77777777" w:rsidR="00A01C48" w:rsidRPr="00A01C48" w:rsidRDefault="00A01C48" w:rsidP="00A01C48">
      <w:pPr>
        <w:jc w:val="both"/>
      </w:pPr>
      <w:r w:rsidRPr="00A01C48">
        <w:t xml:space="preserve">The single fact that ties this ladder to the rest of the framework: </w:t>
      </w:r>
      <w:r w:rsidRPr="00A01C48">
        <w:rPr>
          <w:b/>
          <w:bCs/>
        </w:rPr>
        <w:t>every metric space is T₄</w:t>
      </w:r>
      <w:r w:rsidRPr="00A01C48">
        <w:t xml:space="preserve"> (normal and Hausdorff), so it satisfies the entire chain at once. A metric grants the full separation hierarchy for free — the load-bearing observation the basal-ganglia junction is built to police.</w:t>
      </w:r>
    </w:p>
    <w:p w14:paraId="677AADA7" w14:textId="77777777" w:rsidR="00A01C48" w:rsidRPr="00A01C48" w:rsidRDefault="00A01C48" w:rsidP="00A01C48">
      <w:pPr>
        <w:pStyle w:val="Heading1"/>
      </w:pPr>
      <w:r w:rsidRPr="00A01C48">
        <w:t>3. The three rungs the framework actually uses [F]</w:t>
      </w:r>
    </w:p>
    <w:p w14:paraId="6864C33F" w14:textId="77777777" w:rsidR="00A01C48" w:rsidRPr="00A01C48" w:rsidRDefault="00A01C48" w:rsidP="00A01C48">
      <w:pPr>
        <w:jc w:val="both"/>
      </w:pPr>
      <w:r w:rsidRPr="00A01C48">
        <w:t>The mathematical ladder has eight rungs; the framework uses three of them as operational landmarks, and treats the rest as scaffold the system passes through without stopping at.</w:t>
      </w:r>
    </w:p>
    <w:p w14:paraId="7CA33115" w14:textId="2CE138AD" w:rsidR="00A01C48" w:rsidRPr="00A01C48" w:rsidRDefault="00A01C48" w:rsidP="00A01C48">
      <w:pPr>
        <w:numPr>
          <w:ilvl w:val="0"/>
          <w:numId w:val="2"/>
        </w:numPr>
        <w:jc w:val="both"/>
      </w:pPr>
      <w:r w:rsidRPr="00A01C48">
        <w:rPr>
          <w:b/>
          <w:bCs/>
        </w:rPr>
        <w:t>T₀ — the floor.</w:t>
      </w:r>
      <w:r w:rsidRPr="00A01C48">
        <w:t xml:space="preserve"> </w:t>
      </w:r>
      <w:r w:rsidR="0058688F" w:rsidRPr="0058688F">
        <w:t>represents the minimum standard of spatial distinguishability: for any two distinct points, there is at least one open set containing one but not the other. This means no two distinct points are topologically identical</w:t>
      </w:r>
      <w:r w:rsidRPr="00A01C48">
        <w:t>: This is where the amygdala melt drives the representation under threat — the flattened generalization gradient</w:t>
      </w:r>
      <w:r w:rsidR="00BC6EF0">
        <w:t xml:space="preserve">, </w:t>
      </w:r>
      <w:r w:rsidR="00BC6EF0" w:rsidRPr="00BC6EF0">
        <w:t>and in extreme collapse may enter non-</w:t>
      </w:r>
      <w:r w:rsidR="00BC6EF0" w:rsidRPr="00A01C48">
        <w:rPr>
          <w:b/>
          <w:bCs/>
        </w:rPr>
        <w:t xml:space="preserve">T₀ </w:t>
      </w:r>
      <w:r w:rsidR="00BC6EF0" w:rsidRPr="00BC6EF0">
        <w:t>lumping</w:t>
      </w:r>
      <w:r w:rsidRPr="00A01C48">
        <w:t>.</w:t>
      </w:r>
    </w:p>
    <w:p w14:paraId="1B9EF3BC" w14:textId="77777777" w:rsidR="00A01C48" w:rsidRPr="00A01C48" w:rsidRDefault="00A01C48" w:rsidP="00A01C48">
      <w:pPr>
        <w:numPr>
          <w:ilvl w:val="0"/>
          <w:numId w:val="2"/>
        </w:numPr>
        <w:jc w:val="both"/>
      </w:pPr>
      <w:r w:rsidRPr="00A01C48">
        <w:rPr>
          <w:b/>
          <w:bCs/>
        </w:rPr>
        <w:t>T₂ — the discrimination rung.</w:t>
      </w:r>
      <w:r w:rsidRPr="00A01C48">
        <w:t xml:space="preserve"> Hausdorff separation: distinct concepts in disjoint neighbourhoods. This is the level the cortex </w:t>
      </w:r>
      <w:r w:rsidRPr="00A01C48">
        <w:rPr>
          <w:i/>
          <w:iCs/>
        </w:rPr>
        <w:t>maintains</w:t>
      </w:r>
      <w:r w:rsidRPr="00A01C48">
        <w:t xml:space="preserve"> in normal operation, the height at which the system can tell a stick from a snake. It is the framework's working definition of "separated."</w:t>
      </w:r>
    </w:p>
    <w:p w14:paraId="3BF92593" w14:textId="77777777" w:rsidR="00A01C48" w:rsidRPr="00A01C48" w:rsidRDefault="00A01C48" w:rsidP="00A01C48">
      <w:pPr>
        <w:numPr>
          <w:ilvl w:val="0"/>
          <w:numId w:val="2"/>
        </w:numPr>
        <w:jc w:val="both"/>
      </w:pPr>
      <w:r w:rsidRPr="00A01C48">
        <w:rPr>
          <w:b/>
          <w:bCs/>
        </w:rPr>
        <w:t>T₄ — the grant rung.</w:t>
      </w:r>
      <w:r w:rsidRPr="00A01C48">
        <w:t xml:space="preserve"> Normal: separating functions exist for whole closed regions. This is the level a metric grants automatically, where the right to draw a confident boundary is cashed — and therefore the level whose unearned granting is the false-zero hazard.</w:t>
      </w:r>
    </w:p>
    <w:p w14:paraId="60234DAB" w14:textId="77777777" w:rsidR="00A01C48" w:rsidRPr="00A01C48" w:rsidRDefault="00A01C48" w:rsidP="00A01C48">
      <w:pPr>
        <w:jc w:val="both"/>
      </w:pPr>
      <w:r w:rsidRPr="00A01C48">
        <w:t>The intermediate rungs (T₁, T₂.₅, T₃, T₃.₅) are real and ordered, but the framework does not assign distinct operators to them; they are the mathematical staircase between the floor, the discrimination rung, and the grant rung. Claiming operational roles for them would be over-fitting the topology to the biology.</w:t>
      </w:r>
    </w:p>
    <w:p w14:paraId="45678E16" w14:textId="77777777" w:rsidR="00A01C48" w:rsidRPr="00A01C48" w:rsidRDefault="00A01C48" w:rsidP="00A01C48">
      <w:pPr>
        <w:pStyle w:val="Heading1"/>
      </w:pPr>
      <w:r w:rsidRPr="00A01C48">
        <w:t>4. Where the operators sit [F]</w:t>
      </w:r>
    </w:p>
    <w:p w14:paraId="30C2AA39" w14:textId="77777777" w:rsidR="00A01C48" w:rsidRPr="00A01C48" w:rsidRDefault="00A01C48" w:rsidP="00A01C48">
      <w:pPr>
        <w:jc w:val="both"/>
      </w:pPr>
      <w:r w:rsidRPr="00A01C48">
        <w:t>Each deposited operator can now be placed at a definite height, and the placements are mutually consistent across the papers:</w:t>
      </w:r>
    </w:p>
    <w:p w14:paraId="37092A71" w14:textId="77777777" w:rsidR="00A01C48" w:rsidRPr="00A01C48" w:rsidRDefault="00A01C48" w:rsidP="00A01C48">
      <w:pPr>
        <w:numPr>
          <w:ilvl w:val="0"/>
          <w:numId w:val="3"/>
        </w:numPr>
        <w:jc w:val="both"/>
      </w:pPr>
      <w:r w:rsidRPr="00A01C48">
        <w:rPr>
          <w:b/>
          <w:bCs/>
        </w:rPr>
        <w:t>The metric rung grants T₄ for free.</w:t>
      </w:r>
      <w:r w:rsidRPr="00A01C48">
        <w:t xml:space="preserve"> Every metric space is normal; the basal-ganglia junction exists to </w:t>
      </w:r>
      <w:r w:rsidRPr="00A01C48">
        <w:rPr>
          <w:i/>
          <w:iCs/>
        </w:rPr>
        <w:t>gate</w:t>
      </w:r>
      <w:r w:rsidRPr="00A01C48">
        <w:t xml:space="preserve"> this automatic grant rather than cash it on unearned ground (</w:t>
      </w:r>
      <w:r w:rsidRPr="00A01C48">
        <w:rPr>
          <w:i/>
          <w:iCs/>
        </w:rPr>
        <w:t>The Subthalamic Gate and the Pallidal Hub</w:t>
      </w:r>
      <w:r w:rsidRPr="00A01C48">
        <w:t>).</w:t>
      </w:r>
    </w:p>
    <w:p w14:paraId="75AE13CE" w14:textId="77777777" w:rsidR="00A01C48" w:rsidRPr="00A01C48" w:rsidRDefault="00A01C48" w:rsidP="00A01C48">
      <w:pPr>
        <w:numPr>
          <w:ilvl w:val="0"/>
          <w:numId w:val="3"/>
        </w:numPr>
        <w:jc w:val="both"/>
      </w:pPr>
      <w:r w:rsidRPr="00A01C48">
        <w:rPr>
          <w:b/>
          <w:bCs/>
        </w:rPr>
        <w:t xml:space="preserve">The dentate gyrus and the polarization lift push </w:t>
      </w:r>
      <w:r w:rsidRPr="00A01C48">
        <w:rPr>
          <w:b/>
          <w:bCs/>
          <w:i/>
          <w:iCs/>
        </w:rPr>
        <w:t>up</w:t>
      </w:r>
      <w:r w:rsidRPr="00A01C48">
        <w:rPr>
          <w:b/>
          <w:bCs/>
        </w:rPr>
        <w:t xml:space="preserve"> toward T₄.</w:t>
      </w:r>
      <w:r w:rsidRPr="00A01C48">
        <w:t xml:space="preserve"> Pattern separation is orthogonalization — raising the representations' mutual distinguishability — the online (dentate) and offline (lift) operators that earn height on this ladder (</w:t>
      </w:r>
      <w:r w:rsidRPr="00A01C48">
        <w:rPr>
          <w:i/>
          <w:iCs/>
        </w:rPr>
        <w:t>The Entorhinal–Hippocampal Confluence</w:t>
      </w:r>
      <w:r w:rsidRPr="00A01C48">
        <w:t>).</w:t>
      </w:r>
    </w:p>
    <w:p w14:paraId="323AAF1D" w14:textId="77777777" w:rsidR="00A01C48" w:rsidRPr="00A01C48" w:rsidRDefault="00A01C48" w:rsidP="00A01C48">
      <w:pPr>
        <w:numPr>
          <w:ilvl w:val="0"/>
          <w:numId w:val="3"/>
        </w:numPr>
        <w:jc w:val="both"/>
      </w:pPr>
      <w:r w:rsidRPr="00A01C48">
        <w:rPr>
          <w:b/>
          <w:bCs/>
        </w:rPr>
        <w:lastRenderedPageBreak/>
        <w:t>The subthalamic audit reads a band: sub-T₄ but ≥ T₂.</w:t>
      </w:r>
      <w:r w:rsidRPr="00A01C48">
        <w:t xml:space="preserve"> The cortical variance signal registers a fracture only where the space is still Hausdorff enough to </w:t>
      </w:r>
      <w:r w:rsidRPr="00A01C48">
        <w:rPr>
          <w:i/>
          <w:iCs/>
        </w:rPr>
        <w:t>have</w:t>
      </w:r>
      <w:r w:rsidRPr="00A01C48">
        <w:t xml:space="preserve"> a well-defined disagreement — below the grant rung but at or above discrimination. This is the online withhold's operating window (</w:t>
      </w:r>
      <w:r w:rsidRPr="00A01C48">
        <w:rPr>
          <w:i/>
          <w:iCs/>
        </w:rPr>
        <w:t>The Subthalamic Gate</w:t>
      </w:r>
      <w:r w:rsidRPr="00A01C48">
        <w:t>, §3).</w:t>
      </w:r>
    </w:p>
    <w:p w14:paraId="105CA6F5" w14:textId="765441CB" w:rsidR="00A01C48" w:rsidRPr="00A01C48" w:rsidRDefault="00A01C48" w:rsidP="00A01C48">
      <w:pPr>
        <w:numPr>
          <w:ilvl w:val="0"/>
          <w:numId w:val="3"/>
        </w:numPr>
        <w:jc w:val="both"/>
      </w:pPr>
      <w:r w:rsidRPr="00A01C48">
        <w:rPr>
          <w:b/>
          <w:bCs/>
        </w:rPr>
        <w:t xml:space="preserve">The false-zero is a collapse </w:t>
      </w:r>
      <w:r w:rsidRPr="00A01C48">
        <w:rPr>
          <w:b/>
          <w:bCs/>
          <w:i/>
          <w:iCs/>
        </w:rPr>
        <w:t>below</w:t>
      </w:r>
      <w:r w:rsidRPr="00A01C48">
        <w:rPr>
          <w:b/>
          <w:bCs/>
        </w:rPr>
        <w:t xml:space="preserve"> T₂.</w:t>
      </w:r>
      <w:r w:rsidRPr="00A01C48">
        <w:t xml:space="preserve"> A genuinely non-Hausdorff confusion — two distinct things sharing every neighbourhood — raises no variance and is invisible to the online audit; it is the </w:t>
      </w:r>
      <w:r w:rsidRPr="00A01C48">
        <w:rPr>
          <w:i/>
          <w:iCs/>
        </w:rPr>
        <w:t>offline</w:t>
      </w:r>
      <w:r w:rsidRPr="00A01C48">
        <w:t xml:space="preserve"> hypercover's blind-spot to surface (</w:t>
      </w:r>
      <w:r w:rsidRPr="00A01C48">
        <w:rPr>
          <w:i/>
          <w:iCs/>
        </w:rPr>
        <w:t>Hypercovering and Descent</w:t>
      </w:r>
      <w:r w:rsidRPr="00A01C48">
        <w:t xml:space="preserve">; </w:t>
      </w:r>
      <w:r w:rsidRPr="00A01C48">
        <w:rPr>
          <w:i/>
          <w:iCs/>
        </w:rPr>
        <w:t>The Subthalamic Gate</w:t>
      </w:r>
      <w:r w:rsidRPr="00A01C48">
        <w:t>).</w:t>
      </w:r>
      <w:r w:rsidR="00372A65">
        <w:t xml:space="preserve"> </w:t>
      </w:r>
      <w:r w:rsidR="00372A65" w:rsidRPr="00372A65">
        <w:t xml:space="preserve">False-zero may arise from a fall below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00372A65" w:rsidRPr="00372A65">
        <w:t>; the most severe case is non-</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00372A65" w:rsidRPr="00372A65">
        <w:t xml:space="preserve"> lumping, where distinct states share all neighborhoods and no variance-like disagreement is exposed</w:t>
      </w:r>
      <w:r w:rsidR="00372A65">
        <w:t>.</w:t>
      </w:r>
    </w:p>
    <w:p w14:paraId="4D7DBA0D" w14:textId="77777777" w:rsidR="00A01C48" w:rsidRPr="00A01C48" w:rsidRDefault="00A01C48" w:rsidP="00A01C48">
      <w:pPr>
        <w:numPr>
          <w:ilvl w:val="0"/>
          <w:numId w:val="3"/>
        </w:numPr>
        <w:jc w:val="both"/>
      </w:pPr>
      <w:r w:rsidRPr="00A01C48">
        <w:rPr>
          <w:b/>
          <w:bCs/>
        </w:rPr>
        <w:t>The amygdala melt is a deliberate collapse to T₀.</w:t>
      </w:r>
      <w:r w:rsidRPr="00A01C48">
        <w:t xml:space="preserve"> Under threat the noradrenaline flood overpowers lateral inhibition, dropping the representation from T₂ toward T₀ — trading discrimination for speed, on purpose (</w:t>
      </w:r>
      <w:r w:rsidRPr="00A01C48">
        <w:rPr>
          <w:i/>
          <w:iCs/>
        </w:rPr>
        <w:t>The Amygdala as Melt-Trigger</w:t>
      </w:r>
      <w:r w:rsidRPr="00A01C48">
        <w:t>).</w:t>
      </w:r>
    </w:p>
    <w:p w14:paraId="6B5775A3" w14:textId="77777777" w:rsidR="00A01C48" w:rsidRPr="00A01C48" w:rsidRDefault="00A01C48" w:rsidP="00A01C48">
      <w:pPr>
        <w:pStyle w:val="Heading1"/>
      </w:pPr>
      <w:r w:rsidRPr="00A01C48">
        <w:t>5. Directionality: earned upward, failing downward [F]</w:t>
      </w:r>
    </w:p>
    <w:p w14:paraId="1548E428" w14:textId="77777777" w:rsidR="00A01C48" w:rsidRPr="00A01C48" w:rsidRDefault="00A01C48" w:rsidP="00A01C48">
      <w:pPr>
        <w:jc w:val="both"/>
      </w:pPr>
      <w:r w:rsidRPr="00A01C48">
        <w:t xml:space="preserve">The ladder has an orientation, and it organizes the whole architecture's separation logic. The system's </w:t>
      </w:r>
      <w:r w:rsidRPr="00A01C48">
        <w:rPr>
          <w:i/>
          <w:iCs/>
        </w:rPr>
        <w:t>work</w:t>
      </w:r>
      <w:r w:rsidRPr="00A01C48">
        <w:t xml:space="preserve"> is to climb and hold height — the dentate and the lift orthogonalize to keep representations at or above T₂, and a metric, where earned, lifts to T₄. The system's </w:t>
      </w:r>
      <w:r w:rsidRPr="00A01C48">
        <w:rPr>
          <w:i/>
          <w:iCs/>
        </w:rPr>
        <w:t>failures</w:t>
      </w:r>
      <w:r w:rsidRPr="00A01C48">
        <w:t xml:space="preserve"> are collapses downward, and they come in two kinds at two depths: the </w:t>
      </w:r>
      <w:r w:rsidRPr="00A01C48">
        <w:rPr>
          <w:b/>
          <w:bCs/>
        </w:rPr>
        <w:t>false-zero</w:t>
      </w:r>
      <w:r w:rsidRPr="00A01C48">
        <w:t xml:space="preserve"> is an </w:t>
      </w:r>
      <w:r w:rsidRPr="00A01C48">
        <w:rPr>
          <w:i/>
          <w:iCs/>
        </w:rPr>
        <w:t>unnoticed</w:t>
      </w:r>
      <w:r w:rsidRPr="00A01C48">
        <w:t xml:space="preserve"> slip below T₂ (the space fell out of Hausdorff and the metric kept asserting T₄ anyway — confident error), while the </w:t>
      </w:r>
      <w:r w:rsidRPr="00A01C48">
        <w:rPr>
          <w:b/>
          <w:bCs/>
        </w:rPr>
        <w:t>melt</w:t>
      </w:r>
      <w:r w:rsidRPr="00A01C48">
        <w:t xml:space="preserve"> is a </w:t>
      </w:r>
      <w:r w:rsidRPr="00A01C48">
        <w:rPr>
          <w:i/>
          <w:iCs/>
        </w:rPr>
        <w:t>deliberate</w:t>
      </w:r>
      <w:r w:rsidRPr="00A01C48">
        <w:t xml:space="preserve"> drop to T₀ (separation sacrificed for survival speed). The grant rung (T₄) and the discrimination rung (T₂) are thus the two levels worth naming: T₄ is what a metric promises and must be made to earn; T₂ is the floor of competent discrimination, below which the two failure modes live. Reading any operator in the series as moving the representation </w:t>
      </w:r>
      <w:r w:rsidRPr="00A01C48">
        <w:rPr>
          <w:i/>
          <w:iCs/>
        </w:rPr>
        <w:t>up</w:t>
      </w:r>
      <w:r w:rsidRPr="00A01C48">
        <w:t xml:space="preserve"> or </w:t>
      </w:r>
      <w:r w:rsidRPr="00A01C48">
        <w:rPr>
          <w:i/>
          <w:iCs/>
        </w:rPr>
        <w:t>down</w:t>
      </w:r>
      <w:r w:rsidRPr="00A01C48">
        <w:t xml:space="preserve"> this ladder, between these landmarks, fixes its separation semantics exactly.</w:t>
      </w:r>
    </w:p>
    <w:p w14:paraId="2865826A" w14:textId="77777777" w:rsidR="00A01C48" w:rsidRPr="00A01C48" w:rsidRDefault="00A01C48" w:rsidP="00A01C48">
      <w:pPr>
        <w:pStyle w:val="Heading1"/>
      </w:pPr>
      <w:r w:rsidRPr="00A01C48">
        <w:t>6. Tiers, fences, refutation</w:t>
      </w:r>
    </w:p>
    <w:p w14:paraId="5948D29B" w14:textId="77777777" w:rsidR="00A01C48" w:rsidRPr="00A01C48" w:rsidRDefault="00A01C48" w:rsidP="00A01C48">
      <w:pPr>
        <w:jc w:val="both"/>
      </w:pPr>
      <w:r w:rsidRPr="00A01C48">
        <w:t xml:space="preserve">[LB] — the separation-axiom hierarchy T₀–T₄ and the theorem that every metric space is normal (T₄). [F] — the placement of the metric grant, the dentate/lift ascent, the subthalamic audit band, the false-zero collapse, and the amygdala melt at their respective rungs, each established in the cited papers. [CAND] — the claim that </w:t>
      </w:r>
      <w:r w:rsidRPr="00A01C48">
        <w:rPr>
          <w:i/>
          <w:iCs/>
        </w:rPr>
        <w:t>exactly</w:t>
      </w:r>
      <w:r w:rsidRPr="00A01C48">
        <w:t xml:space="preserve"> T₀, T₂, T₄ are the operationally distinct rungs and the intermediates are scaffold; a future result could give an intermediate rung (e.g. regularity, T₃) a distinct operational role, which would extend rather than overturn this note.</w:t>
      </w:r>
    </w:p>
    <w:p w14:paraId="59C463B1" w14:textId="77777777" w:rsidR="00A01C48" w:rsidRPr="00A01C48" w:rsidRDefault="00A01C48" w:rsidP="00A01C48">
      <w:pPr>
        <w:jc w:val="both"/>
      </w:pPr>
      <w:r w:rsidRPr="00A01C48">
        <w:t xml:space="preserve">Fence. The hierarchy is the separation structure of the </w:t>
      </w:r>
      <w:r w:rsidRPr="00A01C48">
        <w:rPr>
          <w:i/>
          <w:iCs/>
        </w:rPr>
        <w:t>representation's own topology</w:t>
      </w:r>
      <w:r w:rsidRPr="00A01C48">
        <w:t xml:space="preserve"> — the distinguishability of concepts. It is not the separation of any spatial or positional code (the grid torus's holes are a different object, fenced in the confluence paper), and "T₄" here is normality of the concept space, not a level in any unrelated indexing. The note formalizes Axis 3 and nothing else.</w:t>
      </w:r>
    </w:p>
    <w:p w14:paraId="5E315FE8" w14:textId="77777777" w:rsidR="00A01C48" w:rsidRPr="00A01C48" w:rsidRDefault="00A01C48" w:rsidP="00A01C48">
      <w:pPr>
        <w:jc w:val="both"/>
      </w:pPr>
      <w:r w:rsidRPr="00A01C48">
        <w:t>Refutation. If representational failure does not in fact stratify — if there is no distinguishable difference between an unnoticed below-T₂ collapse (false-zero) and a maintained-T₂-but-sub-T₄ state (audited fracture) in system behaviour — then reading Axis 3 as a graded ladder buys nothing over a binary, and the hierarchy is decoration. The framework's wager is that the two failure depths predict different behavioural signatures: confident error from the former, withholding from the latter.</w:t>
      </w:r>
    </w:p>
    <w:p w14:paraId="55F1F159" w14:textId="77777777" w:rsidR="00A01C48" w:rsidRPr="00A01C48" w:rsidRDefault="00A01C48" w:rsidP="00A01C48">
      <w:pPr>
        <w:pStyle w:val="Heading1"/>
      </w:pPr>
      <w:r w:rsidRPr="00A01C48">
        <w:lastRenderedPageBreak/>
        <w:t>Bibliography</w:t>
      </w:r>
    </w:p>
    <w:p w14:paraId="3DC4B707" w14:textId="3F4A5DB7" w:rsidR="00A01C48" w:rsidRPr="00272337" w:rsidRDefault="00A01C48" w:rsidP="00A01C48">
      <w:pPr>
        <w:numPr>
          <w:ilvl w:val="0"/>
          <w:numId w:val="4"/>
        </w:numPr>
        <w:jc w:val="both"/>
      </w:pPr>
      <w:r w:rsidRPr="00A01C48">
        <w:t xml:space="preserve">Separation axioms and the chain T₀–T₄; every metric space is normal: Munkres, </w:t>
      </w:r>
      <w:r w:rsidRPr="00A01C48">
        <w:rPr>
          <w:i/>
          <w:iCs/>
        </w:rPr>
        <w:t>Topology</w:t>
      </w:r>
      <w:r w:rsidRPr="00A01C48">
        <w:t xml:space="preserve"> (2nd ed.), ch. 4; </w:t>
      </w:r>
      <w:hyperlink r:id="rId9" w:history="1">
        <w:r w:rsidRPr="00A778F2">
          <w:rPr>
            <w:rStyle w:val="Hyperlink"/>
          </w:rPr>
          <w:t xml:space="preserve">Willard, </w:t>
        </w:r>
        <w:r w:rsidRPr="00A778F2">
          <w:rPr>
            <w:rStyle w:val="Hyperlink"/>
            <w:i/>
            <w:iCs/>
          </w:rPr>
          <w:t>General Topology</w:t>
        </w:r>
      </w:hyperlink>
      <w:r w:rsidRPr="00A01C48">
        <w:t xml:space="preserve">. </w:t>
      </w:r>
      <w:r w:rsidRPr="00A01C48">
        <w:rPr>
          <w:b/>
          <w:bCs/>
        </w:rPr>
        <w:t>[LB]</w:t>
      </w:r>
    </w:p>
    <w:p w14:paraId="2DC013A8" w14:textId="0EC0A7E1" w:rsidR="00272337" w:rsidRPr="007308BA" w:rsidRDefault="00272337" w:rsidP="00272337">
      <w:pPr>
        <w:numPr>
          <w:ilvl w:val="0"/>
          <w:numId w:val="4"/>
        </w:numPr>
        <w:jc w:val="both"/>
      </w:pPr>
      <w:r w:rsidRPr="00A01C48">
        <w:t xml:space="preserve">Ghosh, D. P. </w:t>
      </w:r>
      <w:r w:rsidRPr="00272337">
        <w:t xml:space="preserve">Analysis, </w:t>
      </w:r>
      <w:r w:rsidRPr="00272337">
        <w:rPr>
          <w:i/>
          <w:iCs/>
        </w:rPr>
        <w:t>Algebra, and Topology of the Brain to AGI: A capstone summary of the Defensible Intelligence series</w:t>
      </w:r>
      <w:r>
        <w:rPr>
          <w:i/>
          <w:iCs/>
        </w:rPr>
        <w:t xml:space="preserve"> (</w:t>
      </w:r>
      <w:hyperlink r:id="rId10" w:history="1">
        <w:r w:rsidRPr="00C65A9A">
          <w:rPr>
            <w:rStyle w:val="Hyperlink"/>
          </w:rPr>
          <w:t>https://doi.org/10.13140/RG.2.2.12594.16323</w:t>
        </w:r>
      </w:hyperlink>
      <w:r>
        <w:rPr>
          <w:i/>
          <w:iCs/>
        </w:rPr>
        <w:t>)</w:t>
      </w:r>
      <w:r w:rsidRPr="00A01C48">
        <w:t xml:space="preserve">— </w:t>
      </w:r>
      <w:r w:rsidRPr="00A01C48">
        <w:rPr>
          <w:b/>
          <w:bCs/>
        </w:rPr>
        <w:t>[F]</w:t>
      </w:r>
    </w:p>
    <w:p w14:paraId="0C85F9F1" w14:textId="318C0198" w:rsidR="007308BA" w:rsidRPr="00A01C48" w:rsidRDefault="007308BA" w:rsidP="007308BA">
      <w:pPr>
        <w:numPr>
          <w:ilvl w:val="0"/>
          <w:numId w:val="4"/>
        </w:numPr>
        <w:jc w:val="both"/>
      </w:pPr>
      <w:r w:rsidRPr="00A01C48">
        <w:t xml:space="preserve">Ghosh, D. P. </w:t>
      </w:r>
      <w:r w:rsidRPr="00272337">
        <w:t xml:space="preserve">Analysis, </w:t>
      </w:r>
      <w:r w:rsidRPr="007308BA">
        <w:rPr>
          <w:i/>
          <w:iCs/>
        </w:rPr>
        <w:t>The Consolidation Engine and the Two Ascents</w:t>
      </w:r>
      <w:r>
        <w:rPr>
          <w:i/>
          <w:iCs/>
        </w:rPr>
        <w:t xml:space="preserve"> (</w:t>
      </w:r>
      <w:hyperlink r:id="rId11" w:history="1">
        <w:r w:rsidRPr="00C65A9A">
          <w:rPr>
            <w:rStyle w:val="Hyperlink"/>
            <w:i/>
            <w:iCs/>
          </w:rPr>
          <w:t>https://doi.org/10.13140/RG.2.2.23446.92484</w:t>
        </w:r>
      </w:hyperlink>
      <w:r>
        <w:rPr>
          <w:i/>
          <w:iCs/>
        </w:rPr>
        <w:t>)</w:t>
      </w:r>
      <w:r w:rsidRPr="00A01C48">
        <w:t xml:space="preserve">— </w:t>
      </w:r>
      <w:r w:rsidRPr="00A01C48">
        <w:rPr>
          <w:b/>
          <w:bCs/>
        </w:rPr>
        <w:t>[F]</w:t>
      </w:r>
    </w:p>
    <w:p w14:paraId="0AD24E59" w14:textId="2C9F57B9" w:rsidR="007308BA" w:rsidRPr="00A01C48" w:rsidRDefault="007308BA" w:rsidP="007308BA">
      <w:pPr>
        <w:numPr>
          <w:ilvl w:val="0"/>
          <w:numId w:val="4"/>
        </w:numPr>
        <w:jc w:val="both"/>
      </w:pPr>
      <w:r w:rsidRPr="00A01C48">
        <w:t xml:space="preserve">Ghosh, D. P. </w:t>
      </w:r>
      <w:r w:rsidRPr="00272337">
        <w:t xml:space="preserve">Analysis, </w:t>
      </w:r>
      <w:r w:rsidR="004B4187" w:rsidRPr="004B4187">
        <w:rPr>
          <w:i/>
          <w:iCs/>
        </w:rPr>
        <w:t>From Proximity to Uniformity: A Topological Framework for Automated Interface Enrichment and POSET-Driven Execution</w:t>
      </w:r>
      <w:r>
        <w:rPr>
          <w:i/>
          <w:iCs/>
        </w:rPr>
        <w:t xml:space="preserve"> </w:t>
      </w:r>
      <w:r w:rsidRPr="004B4187">
        <w:t>(</w:t>
      </w:r>
      <w:hyperlink r:id="rId12" w:history="1">
        <w:r w:rsidR="004B4187" w:rsidRPr="00C65A9A">
          <w:rPr>
            <w:rStyle w:val="Hyperlink"/>
          </w:rPr>
          <w:t>https://doi.org/10.13140/RG.2.2.21729.88162</w:t>
        </w:r>
      </w:hyperlink>
      <w:r w:rsidRPr="004B4187">
        <w:t>)</w:t>
      </w:r>
      <w:r w:rsidRPr="00A01C48">
        <w:t xml:space="preserve">— </w:t>
      </w:r>
      <w:r w:rsidRPr="00A01C48">
        <w:rPr>
          <w:b/>
          <w:bCs/>
        </w:rPr>
        <w:t>[F]</w:t>
      </w:r>
    </w:p>
    <w:p w14:paraId="3EAE5D43" w14:textId="5E7C551F" w:rsidR="00A01C48" w:rsidRPr="00A01C48" w:rsidRDefault="00A01C48" w:rsidP="00A01C48">
      <w:pPr>
        <w:numPr>
          <w:ilvl w:val="0"/>
          <w:numId w:val="4"/>
        </w:numPr>
        <w:jc w:val="both"/>
      </w:pPr>
      <w:r w:rsidRPr="00A01C48">
        <w:t xml:space="preserve">Ghosh, D. P. </w:t>
      </w:r>
      <w:r w:rsidRPr="00A01C48">
        <w:rPr>
          <w:i/>
          <w:iCs/>
        </w:rPr>
        <w:t>Building, Holding, and Keeping the Ladder</w:t>
      </w:r>
      <w:r w:rsidRPr="00A01C48">
        <w:t xml:space="preserve"> (</w:t>
      </w:r>
      <w:hyperlink r:id="rId13" w:history="1">
        <w:r w:rsidR="00A778F2" w:rsidRPr="00C65A9A">
          <w:rPr>
            <w:rStyle w:val="Hyperlink"/>
          </w:rPr>
          <w:t>https://doi.org/</w:t>
        </w:r>
        <w:r w:rsidR="00A778F2" w:rsidRPr="00C65A9A">
          <w:rPr>
            <w:rStyle w:val="Hyperlink"/>
          </w:rPr>
          <w:t>10.13140/RG.2.2.18367.88483</w:t>
        </w:r>
      </w:hyperlink>
      <w:r w:rsidRPr="00A01C48">
        <w:t>)</w:t>
      </w:r>
      <w:r w:rsidR="00A778F2">
        <w:t xml:space="preserve"> </w:t>
      </w:r>
      <w:r w:rsidRPr="00A01C48">
        <w:t xml:space="preserve">— the three axes, of which separation is the third. </w:t>
      </w:r>
      <w:r w:rsidRPr="00A01C48">
        <w:rPr>
          <w:b/>
          <w:bCs/>
        </w:rPr>
        <w:t>[F]</w:t>
      </w:r>
    </w:p>
    <w:p w14:paraId="423CA563" w14:textId="100A590E" w:rsidR="00A01C48" w:rsidRPr="00A01C48" w:rsidRDefault="00A01C48" w:rsidP="00A01C48">
      <w:pPr>
        <w:numPr>
          <w:ilvl w:val="0"/>
          <w:numId w:val="4"/>
        </w:numPr>
        <w:jc w:val="both"/>
      </w:pPr>
      <w:r w:rsidRPr="00A01C48">
        <w:t xml:space="preserve">Ghosh, D. P. </w:t>
      </w:r>
      <w:r w:rsidRPr="00A01C48">
        <w:rPr>
          <w:i/>
          <w:iCs/>
        </w:rPr>
        <w:t>The Subthalamic Gate and the Pallidal Hub</w:t>
      </w:r>
      <w:r w:rsidRPr="00A01C48">
        <w:t xml:space="preserve"> — metric </w:t>
      </w:r>
      <w:r w:rsidRPr="00A01C48">
        <w:rPr>
          <w:rFonts w:ascii="Cambria Math" w:hAnsi="Cambria Math" w:cs="Cambria Math"/>
        </w:rPr>
        <w:t>⟹</w:t>
      </w:r>
      <w:r w:rsidRPr="00A01C48">
        <w:t xml:space="preserve"> T₄ free; the audit band sub-T₄ ≥ T₂; the false-zero below T₂. </w:t>
      </w:r>
      <w:hyperlink r:id="rId14" w:history="1">
        <w:r w:rsidR="00A778F2" w:rsidRPr="00C65A9A">
          <w:rPr>
            <w:rStyle w:val="Hyperlink"/>
          </w:rPr>
          <w:t>https://doi.org/10.13140/RG.2.2.14219.45604</w:t>
        </w:r>
      </w:hyperlink>
      <w:r w:rsidR="00A778F2">
        <w:t xml:space="preserve">. </w:t>
      </w:r>
      <w:r w:rsidRPr="00A01C48">
        <w:rPr>
          <w:b/>
          <w:bCs/>
        </w:rPr>
        <w:t>[F]</w:t>
      </w:r>
    </w:p>
    <w:p w14:paraId="2BA19CD6" w14:textId="77777777" w:rsidR="00A01C48" w:rsidRPr="00A01C48" w:rsidRDefault="00A01C48" w:rsidP="00A01C48">
      <w:pPr>
        <w:numPr>
          <w:ilvl w:val="0"/>
          <w:numId w:val="4"/>
        </w:numPr>
        <w:jc w:val="both"/>
      </w:pPr>
      <w:r w:rsidRPr="00A01C48">
        <w:t xml:space="preserve">Ghosh, D. P. </w:t>
      </w:r>
      <w:r w:rsidRPr="00A01C48">
        <w:rPr>
          <w:i/>
          <w:iCs/>
        </w:rPr>
        <w:t>The Entorhinal–Hippocampal Confluence</w:t>
      </w:r>
      <w:r w:rsidRPr="00A01C48">
        <w:t xml:space="preserve"> — the dentate/lift orthogonalization as the ascent toward T₄. </w:t>
      </w:r>
      <w:r w:rsidRPr="00A01C48">
        <w:rPr>
          <w:b/>
          <w:bCs/>
        </w:rPr>
        <w:t>[F]</w:t>
      </w:r>
    </w:p>
    <w:p w14:paraId="720A775C" w14:textId="1FB45AC4" w:rsidR="00A01C48" w:rsidRPr="00A01C48" w:rsidRDefault="00A01C48" w:rsidP="00A01C48">
      <w:pPr>
        <w:numPr>
          <w:ilvl w:val="0"/>
          <w:numId w:val="4"/>
        </w:numPr>
        <w:jc w:val="both"/>
      </w:pPr>
      <w:r w:rsidRPr="00A01C48">
        <w:t xml:space="preserve">Ghosh, D. P. </w:t>
      </w:r>
      <w:r w:rsidRPr="00A01C48">
        <w:rPr>
          <w:i/>
          <w:iCs/>
        </w:rPr>
        <w:t>Hypercovering and Descent: A Thalamo-Cortical Algorithm</w:t>
      </w:r>
      <w:r w:rsidRPr="00A01C48">
        <w:t xml:space="preserve"> — the false-zero blind-spot below T₂ as the offline operator's target.</w:t>
      </w:r>
      <w:r w:rsidR="00A778F2">
        <w:t xml:space="preserve"> </w:t>
      </w:r>
      <w:hyperlink r:id="rId15" w:history="1">
        <w:r w:rsidR="00A778F2" w:rsidRPr="00C65A9A">
          <w:rPr>
            <w:rStyle w:val="Hyperlink"/>
          </w:rPr>
          <w:t>https://doi.org/10.13140/RG.2.2.31337.45929</w:t>
        </w:r>
      </w:hyperlink>
      <w:r w:rsidR="00A778F2">
        <w:t xml:space="preserve"> </w:t>
      </w:r>
      <w:r w:rsidRPr="00A01C48">
        <w:rPr>
          <w:b/>
          <w:bCs/>
        </w:rPr>
        <w:t>[F]</w:t>
      </w:r>
    </w:p>
    <w:p w14:paraId="1691F86A" w14:textId="7F6899B8" w:rsidR="00A01C48" w:rsidRPr="00A778F2" w:rsidRDefault="00A01C48" w:rsidP="00A01C48">
      <w:pPr>
        <w:numPr>
          <w:ilvl w:val="0"/>
          <w:numId w:val="4"/>
        </w:numPr>
        <w:jc w:val="both"/>
      </w:pPr>
      <w:r w:rsidRPr="00A01C48">
        <w:t xml:space="preserve">Ghosh, D. P. </w:t>
      </w:r>
      <w:r w:rsidRPr="00A01C48">
        <w:rPr>
          <w:i/>
          <w:iCs/>
        </w:rPr>
        <w:t>The Amygdala as Melt-Trigger</w:t>
      </w:r>
      <w:r w:rsidRPr="00A01C48">
        <w:t xml:space="preserve"> — the deliberate T₂ → T₀ collapse; the flattened generalization gradient. </w:t>
      </w:r>
      <w:r w:rsidRPr="00A01C48">
        <w:rPr>
          <w:b/>
          <w:bCs/>
        </w:rPr>
        <w:t>[F]</w:t>
      </w:r>
    </w:p>
    <w:p w14:paraId="76A6CC9A" w14:textId="106FCA22" w:rsidR="00A778F2" w:rsidRDefault="00A778F2" w:rsidP="00A01C48">
      <w:pPr>
        <w:numPr>
          <w:ilvl w:val="0"/>
          <w:numId w:val="4"/>
        </w:numPr>
        <w:jc w:val="both"/>
      </w:pPr>
      <w:r w:rsidRPr="00A778F2">
        <w:t xml:space="preserve">Likhtik, Ekaterina, and Rony Paz. "Amygdala-prefrontal Interactions in (Mal)Adaptive Learning." Trends in Neurosciences, vol. 38, no. 3, 2015, p. 158,  </w:t>
      </w:r>
      <w:hyperlink r:id="rId16" w:history="1">
        <w:r w:rsidRPr="00C65A9A">
          <w:rPr>
            <w:rStyle w:val="Hyperlink"/>
          </w:rPr>
          <w:t>https://doi.org/10.1016/j.tins.2014.12.007</w:t>
        </w:r>
      </w:hyperlink>
      <w:r w:rsidRPr="00A778F2">
        <w:t>.</w:t>
      </w:r>
    </w:p>
    <w:p w14:paraId="7C36B2FE" w14:textId="439F0670" w:rsidR="00A778F2" w:rsidRPr="00A01C48" w:rsidRDefault="00A778F2" w:rsidP="00A01C48">
      <w:pPr>
        <w:numPr>
          <w:ilvl w:val="0"/>
          <w:numId w:val="4"/>
        </w:numPr>
        <w:jc w:val="both"/>
      </w:pPr>
      <w:r w:rsidRPr="00A778F2">
        <w:t xml:space="preserve">Lissek, Shmuel, et al. "Overgeneralization of Conditioned Fear As a Pathogenic Marker of Panic Disorder." The American Journal of Psychiatry, vol. 167, no. 1, 2009, p. 47,  </w:t>
      </w:r>
      <w:hyperlink r:id="rId17" w:history="1">
        <w:r w:rsidRPr="00C65A9A">
          <w:rPr>
            <w:rStyle w:val="Hyperlink"/>
          </w:rPr>
          <w:t>https://doi.org/10.1176/appi.ajp.2009.09030410</w:t>
        </w:r>
      </w:hyperlink>
      <w:r w:rsidRPr="00A778F2">
        <w:t>.</w:t>
      </w:r>
    </w:p>
    <w:p w14:paraId="288C9A80" w14:textId="77777777" w:rsidR="00DC1523" w:rsidRDefault="00DC1523" w:rsidP="00A01C48">
      <w:pPr>
        <w:jc w:val="both"/>
      </w:pPr>
    </w:p>
    <w:sectPr w:rsidR="00DC1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305D"/>
    <w:multiLevelType w:val="multilevel"/>
    <w:tmpl w:val="1B04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645BD"/>
    <w:multiLevelType w:val="multilevel"/>
    <w:tmpl w:val="2C96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0199C"/>
    <w:multiLevelType w:val="multilevel"/>
    <w:tmpl w:val="7BA8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214BA9"/>
    <w:multiLevelType w:val="multilevel"/>
    <w:tmpl w:val="AE12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531062">
    <w:abstractNumId w:val="0"/>
  </w:num>
  <w:num w:numId="2" w16cid:durableId="1478913365">
    <w:abstractNumId w:val="1"/>
  </w:num>
  <w:num w:numId="3" w16cid:durableId="641345200">
    <w:abstractNumId w:val="2"/>
  </w:num>
  <w:num w:numId="4" w16cid:durableId="6312539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BA5"/>
    <w:rsid w:val="000F3BA5"/>
    <w:rsid w:val="00272337"/>
    <w:rsid w:val="002C3F9C"/>
    <w:rsid w:val="002E4C41"/>
    <w:rsid w:val="00372A65"/>
    <w:rsid w:val="004B4187"/>
    <w:rsid w:val="0058688F"/>
    <w:rsid w:val="00666D64"/>
    <w:rsid w:val="007308BA"/>
    <w:rsid w:val="008B08B7"/>
    <w:rsid w:val="00997E89"/>
    <w:rsid w:val="00A01C48"/>
    <w:rsid w:val="00A778F2"/>
    <w:rsid w:val="00A830BF"/>
    <w:rsid w:val="00B07785"/>
    <w:rsid w:val="00B3623C"/>
    <w:rsid w:val="00BC6EF0"/>
    <w:rsid w:val="00BE0578"/>
    <w:rsid w:val="00C00DAC"/>
    <w:rsid w:val="00C0640B"/>
    <w:rsid w:val="00C24516"/>
    <w:rsid w:val="00DC1523"/>
    <w:rsid w:val="00F008CA"/>
    <w:rsid w:val="00F404CD"/>
    <w:rsid w:val="00F63D12"/>
    <w:rsid w:val="00FA1709"/>
    <w:rsid w:val="00FB4308"/>
    <w:rsid w:val="00FF0203"/>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72F70"/>
  <w15:chartTrackingRefBased/>
  <w15:docId w15:val="{9703E5B0-E91E-4D60-A622-A8F470CC0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B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3B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B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3B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B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B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B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BA5"/>
    <w:rPr>
      <w:rFonts w:eastAsiaTheme="majorEastAsia" w:cstheme="majorBidi"/>
      <w:color w:val="272727" w:themeColor="text1" w:themeTint="D8"/>
    </w:rPr>
  </w:style>
  <w:style w:type="paragraph" w:styleId="Title">
    <w:name w:val="Title"/>
    <w:basedOn w:val="Normal"/>
    <w:next w:val="Normal"/>
    <w:link w:val="TitleChar"/>
    <w:uiPriority w:val="10"/>
    <w:qFormat/>
    <w:rsid w:val="000F3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BA5"/>
    <w:pPr>
      <w:spacing w:before="160"/>
      <w:jc w:val="center"/>
    </w:pPr>
    <w:rPr>
      <w:i/>
      <w:iCs/>
      <w:color w:val="404040" w:themeColor="text1" w:themeTint="BF"/>
    </w:rPr>
  </w:style>
  <w:style w:type="character" w:customStyle="1" w:styleId="QuoteChar">
    <w:name w:val="Quote Char"/>
    <w:basedOn w:val="DefaultParagraphFont"/>
    <w:link w:val="Quote"/>
    <w:uiPriority w:val="29"/>
    <w:rsid w:val="000F3BA5"/>
    <w:rPr>
      <w:i/>
      <w:iCs/>
      <w:color w:val="404040" w:themeColor="text1" w:themeTint="BF"/>
    </w:rPr>
  </w:style>
  <w:style w:type="paragraph" w:styleId="ListParagraph">
    <w:name w:val="List Paragraph"/>
    <w:basedOn w:val="Normal"/>
    <w:uiPriority w:val="34"/>
    <w:qFormat/>
    <w:rsid w:val="000F3BA5"/>
    <w:pPr>
      <w:ind w:left="720"/>
      <w:contextualSpacing/>
    </w:pPr>
  </w:style>
  <w:style w:type="character" w:styleId="IntenseEmphasis">
    <w:name w:val="Intense Emphasis"/>
    <w:basedOn w:val="DefaultParagraphFont"/>
    <w:uiPriority w:val="21"/>
    <w:qFormat/>
    <w:rsid w:val="000F3BA5"/>
    <w:rPr>
      <w:i/>
      <w:iCs/>
      <w:color w:val="2F5496" w:themeColor="accent1" w:themeShade="BF"/>
    </w:rPr>
  </w:style>
  <w:style w:type="paragraph" w:styleId="IntenseQuote">
    <w:name w:val="Intense Quote"/>
    <w:basedOn w:val="Normal"/>
    <w:next w:val="Normal"/>
    <w:link w:val="IntenseQuoteChar"/>
    <w:uiPriority w:val="30"/>
    <w:qFormat/>
    <w:rsid w:val="000F3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BA5"/>
    <w:rPr>
      <w:i/>
      <w:iCs/>
      <w:color w:val="2F5496" w:themeColor="accent1" w:themeShade="BF"/>
    </w:rPr>
  </w:style>
  <w:style w:type="character" w:styleId="IntenseReference">
    <w:name w:val="Intense Reference"/>
    <w:basedOn w:val="DefaultParagraphFont"/>
    <w:uiPriority w:val="32"/>
    <w:qFormat/>
    <w:rsid w:val="000F3BA5"/>
    <w:rPr>
      <w:b/>
      <w:bCs/>
      <w:smallCaps/>
      <w:color w:val="2F5496" w:themeColor="accent1" w:themeShade="BF"/>
      <w:spacing w:val="5"/>
    </w:rPr>
  </w:style>
  <w:style w:type="character" w:styleId="Hyperlink">
    <w:name w:val="Hyperlink"/>
    <w:basedOn w:val="DefaultParagraphFont"/>
    <w:uiPriority w:val="99"/>
    <w:unhideWhenUsed/>
    <w:rsid w:val="00A01C48"/>
    <w:rPr>
      <w:color w:val="0563C1" w:themeColor="hyperlink"/>
      <w:u w:val="single"/>
    </w:rPr>
  </w:style>
  <w:style w:type="character" w:styleId="UnresolvedMention">
    <w:name w:val="Unresolved Mention"/>
    <w:basedOn w:val="DefaultParagraphFont"/>
    <w:uiPriority w:val="99"/>
    <w:semiHidden/>
    <w:unhideWhenUsed/>
    <w:rsid w:val="005868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28768.44809" TargetMode="External"/><Relationship Id="rId13" Type="http://schemas.openxmlformats.org/officeDocument/2006/relationships/hyperlink" Target="https://doi.org/10.13140/RG.2.2.18367.8848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3140/RG.2.2.21729.88162" TargetMode="External"/><Relationship Id="rId17" Type="http://schemas.openxmlformats.org/officeDocument/2006/relationships/hyperlink" Target="https://doi.org/10.1176/appi.ajp.2009.09030410" TargetMode="External"/><Relationship Id="rId2" Type="http://schemas.openxmlformats.org/officeDocument/2006/relationships/styles" Target="styles.xml"/><Relationship Id="rId16" Type="http://schemas.openxmlformats.org/officeDocument/2006/relationships/hyperlink" Target="https://doi.org/10.1016/j.tins.2014.12.007" TargetMode="External"/><Relationship Id="rId1" Type="http://schemas.openxmlformats.org/officeDocument/2006/relationships/numbering" Target="numbering.xml"/><Relationship Id="rId6" Type="http://schemas.openxmlformats.org/officeDocument/2006/relationships/hyperlink" Target="https://orcid.org/0000-0001-7393-2907" TargetMode="External"/><Relationship Id="rId11" Type="http://schemas.openxmlformats.org/officeDocument/2006/relationships/hyperlink" Target="https://doi.org/10.13140/RG.2.2.23446.92484" TargetMode="External"/><Relationship Id="rId5" Type="http://schemas.openxmlformats.org/officeDocument/2006/relationships/hyperlink" Target="mailto:debiprasadghosh@lntecc.com" TargetMode="External"/><Relationship Id="rId15" Type="http://schemas.openxmlformats.org/officeDocument/2006/relationships/hyperlink" Target="https://doi.org/10.13140/RG.2.2.31337.45929" TargetMode="External"/><Relationship Id="rId10" Type="http://schemas.openxmlformats.org/officeDocument/2006/relationships/hyperlink" Target="https://doi.org/10.13140/RG.2.2.12594.1632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class.uoa.gr/modules/document/file.php/MATH707/James%20R.%20Munkres%20Topology%20%20Prentice%20Hall%2C%20Incorporated%2C%202000%20by%20James%20R.%20Munkres%20%28z-lib.org%29.pdf" TargetMode="External"/><Relationship Id="rId14" Type="http://schemas.openxmlformats.org/officeDocument/2006/relationships/hyperlink" Target="https://doi.org/10.13140/RG.2.2.14219.456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1736</Words>
  <Characters>9901</Characters>
  <Application>Microsoft Office Word</Application>
  <DocSecurity>0</DocSecurity>
  <Lines>82</Lines>
  <Paragraphs>23</Paragraphs>
  <ScaleCrop>false</ScaleCrop>
  <Company/>
  <LinksUpToDate>false</LinksUpToDate>
  <CharactersWithSpaces>11614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22</cp:revision>
  <cp:lastPrinted>2026-06-19T02:19:00Z</cp:lastPrinted>
  <dcterms:created xsi:type="dcterms:W3CDTF">2026-06-17T18:06:00Z</dcterms:created>
  <dcterms:modified xsi:type="dcterms:W3CDTF">2026-06-19T02:23:00Z</dcterms:modified>
</cp:coreProperties>
</file>