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38E35" w14:textId="77777777" w:rsidR="00646E4E" w:rsidRPr="006B4CC5" w:rsidRDefault="00646E4E" w:rsidP="00646E4E">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 14</w:t>
      </w:r>
      <w:r w:rsidRPr="006B4CC5">
        <w:rPr>
          <w:rFonts w:asciiTheme="minorHAnsi" w:hAnsiTheme="minorHAnsi"/>
          <w:sz w:val="22"/>
          <w:szCs w:val="22"/>
        </w:rPr>
        <w:t>, 202</w:t>
      </w:r>
      <w:r>
        <w:rPr>
          <w:rFonts w:asciiTheme="minorHAnsi" w:hAnsiTheme="minorHAnsi"/>
          <w:sz w:val="22"/>
          <w:szCs w:val="22"/>
        </w:rPr>
        <w:t>6.</w:t>
      </w:r>
    </w:p>
    <w:p w14:paraId="545572C2" w14:textId="79850E16" w:rsidR="000C5C4C" w:rsidRDefault="000C5C4C" w:rsidP="000C5C4C">
      <w:pPr>
        <w:pStyle w:val="Title"/>
        <w:jc w:val="center"/>
        <w:rPr>
          <w:sz w:val="30"/>
          <w:szCs w:val="30"/>
        </w:rPr>
      </w:pPr>
      <w:r w:rsidRPr="000C5C4C">
        <w:rPr>
          <w:sz w:val="32"/>
          <w:szCs w:val="32"/>
        </w:rPr>
        <w:t>The Subthalamic Gate and the Pallidal Hub</w:t>
      </w:r>
      <w:r w:rsidRPr="000C5C4C">
        <w:rPr>
          <w:sz w:val="30"/>
          <w:szCs w:val="30"/>
        </w:rPr>
        <w:t xml:space="preserve">: </w:t>
      </w:r>
      <w:r w:rsidRPr="000C5C4C">
        <w:rPr>
          <w:sz w:val="30"/>
          <w:szCs w:val="30"/>
        </w:rPr>
        <w:t>The Basal Ganglia as the metric–separation junction: enforcing that the right to separate is earned, not granted</w:t>
      </w:r>
    </w:p>
    <w:p w14:paraId="61A75F6A" w14:textId="77777777" w:rsidR="00646E4E" w:rsidRDefault="00646E4E" w:rsidP="00646E4E">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36B00F09" wp14:editId="1B3DA73C">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6D0441E4" w14:textId="77777777" w:rsidR="00646E4E" w:rsidRPr="006B4CC5" w:rsidRDefault="00646E4E" w:rsidP="00646E4E">
      <w:pPr>
        <w:jc w:val="center"/>
      </w:pPr>
      <w:r>
        <w:t>CTO, AI &amp;</w:t>
      </w:r>
      <w:r w:rsidRPr="006B4CC5">
        <w:t xml:space="preserve"> Automation</w:t>
      </w:r>
    </w:p>
    <w:p w14:paraId="5760C69B" w14:textId="77777777" w:rsidR="00646E4E" w:rsidRDefault="00646E4E" w:rsidP="00646E4E">
      <w:pPr>
        <w:jc w:val="center"/>
      </w:pPr>
      <w:r w:rsidRPr="00F5609C">
        <w:t>Engineering Design &amp; Research Center, Larsen &amp; Toubro Construction (M&amp;M) Kolkata, India</w:t>
      </w:r>
    </w:p>
    <w:p w14:paraId="68740DFB" w14:textId="56C0751E" w:rsidR="000C5C4C" w:rsidRPr="000C5C4C" w:rsidRDefault="00544AA2" w:rsidP="00ED6174">
      <w:pPr>
        <w:jc w:val="center"/>
      </w:pPr>
      <w:hyperlink r:id="rId8" w:history="1">
        <w:r w:rsidRPr="00DD5619">
          <w:rPr>
            <w:rStyle w:val="Hyperlink"/>
          </w:rPr>
          <w:t>https://doi.org/10.13140/RG.2.2.14219.45604</w:t>
        </w:r>
      </w:hyperlink>
      <w:r>
        <w:t xml:space="preserve"> </w:t>
      </w:r>
    </w:p>
    <w:p w14:paraId="639524DC" w14:textId="7CEB59BD" w:rsidR="000C5C4C" w:rsidRDefault="000C5C4C" w:rsidP="000C5C4C">
      <w:pPr>
        <w:jc w:val="both"/>
      </w:pPr>
      <w:r w:rsidRPr="000C5C4C">
        <w:rPr>
          <w:b/>
          <w:bCs/>
        </w:rPr>
        <w:t>Abstract</w:t>
      </w:r>
      <w:r w:rsidR="00646E4E">
        <w:rPr>
          <w:b/>
          <w:bCs/>
        </w:rPr>
        <w:t xml:space="preserve">: </w:t>
      </w:r>
      <w:r w:rsidRPr="000C5C4C">
        <w:t xml:space="preserve">In the enrichment ladder, the metric rung sits at a distinguished junction: every metric space is automatically normal (T₄), so the metric rung </w:t>
      </w:r>
      <w:r w:rsidRPr="000C5C4C">
        <w:rPr>
          <w:i/>
          <w:iCs/>
        </w:rPr>
        <w:t>grants the right to separate for free</w:t>
      </w:r>
      <w:r w:rsidRPr="000C5C4C">
        <w:t xml:space="preserve">. This automatic grant is the mechanism of false-zero gluing — a system that has forced data into a metric embedding reads "cleanly separable" whether or not the underlying structure earned it. A defensible architecture must therefore </w:t>
      </w:r>
      <w:r w:rsidRPr="000C5C4C">
        <w:rPr>
          <w:i/>
          <w:iCs/>
        </w:rPr>
        <w:t>gate</w:t>
      </w:r>
      <w:r w:rsidRPr="000C5C4C">
        <w:t xml:space="preserve"> the metric </w:t>
      </w:r>
      <w:r w:rsidRPr="000C5C4C">
        <w:rPr>
          <w:rFonts w:ascii="Cambria Math" w:hAnsi="Cambria Math" w:cs="Cambria Math"/>
        </w:rPr>
        <w:t>⟹</w:t>
      </w:r>
      <w:r w:rsidRPr="000C5C4C">
        <w:t xml:space="preserve"> T₄ grant rather than cash it blindly, and must </w:t>
      </w:r>
      <w:r w:rsidRPr="000C5C4C">
        <w:rPr>
          <w:i/>
          <w:iCs/>
        </w:rPr>
        <w:t>earn</w:t>
      </w:r>
      <w:r w:rsidRPr="000C5C4C">
        <w:t xml:space="preserve"> the converse — recovering a metric from genuine separation, which is not automatic and requires a coordinatizing embedding (Urysohn metrization). This paper reads the basal ganglia as the circuit that does both. The striatum consumes the cortical metric and proposes a separation; the subthalamic nucleus, via the hyperdirect pathway, is the fast trigger that vetoes the grant when the cortical audit detects an obstruction; the external pallidum contributes a second, ascending cancellation route; the internal pallidum/SNr is the output gate that either releases the separation to the VA/VL thalamus — where the earned up-recovery (metrization) occurs — or clamps it shut; and the mesocortical dopamine projection writes the routing tag that hands a vetoed representation to the offline lift for permanent repair. The result is a circuit-level account of a single principle — </w:t>
      </w:r>
      <w:r w:rsidRPr="000C5C4C">
        <w:rPr>
          <w:i/>
          <w:iCs/>
        </w:rPr>
        <w:t>topology precedes metric; the right to separate is earned, not granted</w:t>
      </w:r>
      <w:r w:rsidRPr="000C5C4C">
        <w:t xml:space="preserve"> — with the action-selection function of the basal ganglia recovered as a special case. The component mapping is offered at the candidate tier; the mathematics of the junction is load-bearing; and the account makes the falsifiable claim that an action stage lacking the gate (a reinforcement-style striatal optimizer with no subthalamic veto) is structurally subject to confident false-zero failure.</w:t>
      </w:r>
    </w:p>
    <w:p w14:paraId="6E6DEFA7" w14:textId="77777777" w:rsidR="00ED6174" w:rsidRPr="000C5C4C" w:rsidRDefault="00ED6174" w:rsidP="00ED6174">
      <w:pPr>
        <w:jc w:val="both"/>
      </w:pPr>
      <w:r w:rsidRPr="000C5C4C">
        <w:rPr>
          <w:i/>
          <w:iCs/>
        </w:rPr>
        <w:t xml:space="preserve">A framework extension in the construction-AGI line. It reads the basal ganglia not as a generic action-selection loop but as the circuit that arbitrates the junction between the metric rung of the enrichment ladder and the separation axis (T₀–T₄) — the place where "I have a metric, therefore I may separate" becomes automatic and must be policed. The conceptual frame is the Metric–Separation Junction horizon note and the published axis-space (Building, Holding, and Keeping the Ladder, Appendix A, </w:t>
      </w:r>
      <w:hyperlink r:id="rId9" w:history="1">
        <w:r w:rsidRPr="000C5C4C">
          <w:rPr>
            <w:rStyle w:val="Hyperlink"/>
            <w:i/>
            <w:iCs/>
          </w:rPr>
          <w:t>doi.org/10.13140/RG.2.2.18367.88483</w:t>
        </w:r>
      </w:hyperlink>
      <w:r w:rsidRPr="000C5C4C">
        <w:rPr>
          <w:i/>
          <w:iCs/>
        </w:rPr>
        <w:t>). One element is load-bearing mathematics — the metrization results of §2; the per-nucleus circuit reading is a structural isomorphism offered as a falsifiable candidate, and the anatomy it rests on is cited and, where the current literature is unsettled, flagged as such. Tiers: [LB] load-bearing mathematics, [SUP] cited empirical support, [CAND] falsifiable candidate / structural isomorphism, [HOR] quarantined horizon.</w:t>
      </w:r>
    </w:p>
    <w:p w14:paraId="717C24BF" w14:textId="77777777" w:rsidR="000C5C4C" w:rsidRPr="000C5C4C" w:rsidRDefault="000C5C4C" w:rsidP="00ED6174">
      <w:pPr>
        <w:pStyle w:val="Heading1"/>
      </w:pPr>
      <w:r w:rsidRPr="000C5C4C">
        <w:t>1. The junction, and why the basal ganglia sit on it</w:t>
      </w:r>
    </w:p>
    <w:p w14:paraId="429AB6E3" w14:textId="77777777" w:rsidR="000C5C4C" w:rsidRPr="000C5C4C" w:rsidRDefault="000C5C4C" w:rsidP="000C5C4C">
      <w:pPr>
        <w:jc w:val="both"/>
      </w:pPr>
      <w:r w:rsidRPr="000C5C4C">
        <w:t xml:space="preserve">The enrichment ladder — topological → proximity → uniform → metric → normed → inner-product — is the framework's first axis, and the separation axioms T₀–T₄ are its third. These are not independent. Separation is a property of a topology, and at the metric rung it becomes </w:t>
      </w:r>
      <w:r w:rsidRPr="000C5C4C">
        <w:rPr>
          <w:i/>
          <w:iCs/>
        </w:rPr>
        <w:t>automatic</w:t>
      </w:r>
      <w:r w:rsidRPr="000C5C4C">
        <w:t xml:space="preserve">: every metric space is normal and Hausdorff, so a metric structure grants the full separation hierarchy for nothing. The metric rung is therefore the precise place where the first axis begins implying the third </w:t>
      </w:r>
      <w:r w:rsidRPr="000C5C4C">
        <w:lastRenderedPageBreak/>
        <w:t>— a junction the framework must treat with care, because the free grant is the mathematical form of the architecture's signature failure.</w:t>
      </w:r>
    </w:p>
    <w:p w14:paraId="4466F3E9" w14:textId="77777777" w:rsidR="000C5C4C" w:rsidRPr="000C5C4C" w:rsidRDefault="000C5C4C" w:rsidP="000C5C4C">
      <w:pPr>
        <w:jc w:val="both"/>
      </w:pPr>
      <w:r w:rsidRPr="000C5C4C">
        <w:t>The failure is false-zero gluing. A system that forces its data into a metric embedding (</w:t>
      </w:r>
      <w:r w:rsidRPr="000C5C4C">
        <w:rPr>
          <w:rFonts w:ascii="Cambria Math" w:hAnsi="Cambria Math" w:cs="Cambria Math"/>
        </w:rPr>
        <w:t>ℝ</w:t>
      </w:r>
      <w:r w:rsidRPr="000C5C4C">
        <w:rPr>
          <w:rFonts w:ascii="Calibri" w:hAnsi="Calibri" w:cs="Calibri"/>
        </w:rPr>
        <w:t>ⁿ</w:t>
      </w:r>
      <w:r w:rsidRPr="000C5C4C">
        <w:t>) inherits T</w:t>
      </w:r>
      <w:r w:rsidRPr="000C5C4C">
        <w:rPr>
          <w:rFonts w:ascii="Calibri" w:hAnsi="Calibri" w:cs="Calibri"/>
        </w:rPr>
        <w:t>₄</w:t>
      </w:r>
      <w:r w:rsidRPr="000C5C4C">
        <w:t xml:space="preserve"> for free and reads any two regions as cleanly separable, whether or not the underlying structure earned the separation </w:t>
      </w:r>
      <w:r w:rsidRPr="000C5C4C">
        <w:rPr>
          <w:rFonts w:ascii="Calibri" w:hAnsi="Calibri" w:cs="Calibri"/>
        </w:rPr>
        <w:t>—</w:t>
      </w:r>
      <w:r w:rsidRPr="000C5C4C">
        <w:t xml:space="preserve"> drawing a confident boundary across an overlap that, topologically, should have blocked it. Defensibility at this junction means refusing to cash the automatic grant on unearned ground: gating the metric </w:t>
      </w:r>
      <w:r w:rsidRPr="000C5C4C">
        <w:rPr>
          <w:rFonts w:ascii="Cambria Math" w:hAnsi="Cambria Math" w:cs="Cambria Math"/>
        </w:rPr>
        <w:t>⟹</w:t>
      </w:r>
      <w:r w:rsidRPr="000C5C4C">
        <w:t xml:space="preserve"> T₄ implication, and earning the separation rather than assuming it.</w:t>
      </w:r>
    </w:p>
    <w:p w14:paraId="3CA81C7E" w14:textId="77777777" w:rsidR="000C5C4C" w:rsidRPr="000C5C4C" w:rsidRDefault="000C5C4C" w:rsidP="000C5C4C">
      <w:pPr>
        <w:jc w:val="both"/>
      </w:pPr>
      <w:r w:rsidRPr="000C5C4C">
        <w:t xml:space="preserve">The claim of this paper is that the basal ganglia are the circuit built to arbitrate exactly this junction. Read this way, their familiar action-selection function is recovered as a special case — selecting an action </w:t>
      </w:r>
      <w:r w:rsidRPr="000C5C4C">
        <w:rPr>
          <w:i/>
          <w:iCs/>
        </w:rPr>
        <w:t>is</w:t>
      </w:r>
      <w:r w:rsidRPr="000C5C4C">
        <w:t xml:space="preserve"> isolating one option from its competitors, a separation operation — but the deeper description is that the basal ganglia stand between the cortical metric representation and the motor output and decide, per action, whether the separation the metric proposes is structurally licensed. The reframing matters because it predicts a failure mode (confident action over an unearned boundary) and a design requirement (an engineered equivalent between any representation space and any actuator) that the action-selection framing alone does not.</w:t>
      </w:r>
    </w:p>
    <w:p w14:paraId="1859E85D" w14:textId="77777777" w:rsidR="000C5C4C" w:rsidRPr="000C5C4C" w:rsidRDefault="000C5C4C" w:rsidP="00ED6174">
      <w:pPr>
        <w:pStyle w:val="Heading1"/>
      </w:pPr>
      <w:r w:rsidRPr="000C5C4C">
        <w:t>2. The mathematics the junction enforces [LB]</w:t>
      </w:r>
    </w:p>
    <w:p w14:paraId="4C34026A" w14:textId="77777777" w:rsidR="000C5C4C" w:rsidRPr="000C5C4C" w:rsidRDefault="000C5C4C" w:rsidP="000C5C4C">
      <w:pPr>
        <w:jc w:val="both"/>
      </w:pPr>
      <w:r w:rsidRPr="000C5C4C">
        <w:t>Three standard results fix what the circuit must respect, and the asymmetry between them is the whole point.</w:t>
      </w:r>
    </w:p>
    <w:p w14:paraId="024D730E" w14:textId="77777777" w:rsidR="000C5C4C" w:rsidRPr="000C5C4C" w:rsidRDefault="000C5C4C" w:rsidP="000C5C4C">
      <w:pPr>
        <w:jc w:val="both"/>
      </w:pPr>
      <w:r w:rsidRPr="000C5C4C">
        <w:rPr>
          <w:b/>
          <w:bCs/>
        </w:rPr>
        <w:t xml:space="preserve">Down — metric </w:t>
      </w:r>
      <w:r w:rsidRPr="000C5C4C">
        <w:rPr>
          <w:rFonts w:ascii="Cambria Math" w:hAnsi="Cambria Math" w:cs="Cambria Math"/>
          <w:b/>
          <w:bCs/>
        </w:rPr>
        <w:t>⟹</w:t>
      </w:r>
      <w:r w:rsidRPr="000C5C4C">
        <w:rPr>
          <w:b/>
          <w:bCs/>
        </w:rPr>
        <w:t xml:space="preserve"> T₄ — is free.</w:t>
      </w:r>
      <w:r w:rsidRPr="000C5C4C">
        <w:t xml:space="preserve"> Every metric space is normal (T₄) and Hausdorff (T₂). The implication is automatic and costs nothing; it is the grant the gate must police.</w:t>
      </w:r>
    </w:p>
    <w:p w14:paraId="70438BB1" w14:textId="77777777" w:rsidR="000C5C4C" w:rsidRPr="000C5C4C" w:rsidRDefault="000C5C4C" w:rsidP="000C5C4C">
      <w:pPr>
        <w:jc w:val="both"/>
      </w:pPr>
      <w:r w:rsidRPr="000C5C4C">
        <w:rPr>
          <w:b/>
          <w:bCs/>
        </w:rPr>
        <w:t>The separation alone does not return a metric.</w:t>
      </w:r>
      <w:r w:rsidRPr="000C5C4C">
        <w:t xml:space="preserve"> Urysohn's </w:t>
      </w:r>
      <w:r w:rsidRPr="000C5C4C">
        <w:rPr>
          <w:i/>
          <w:iCs/>
        </w:rPr>
        <w:t>lemma</w:t>
      </w:r>
      <w:r w:rsidRPr="000C5C4C">
        <w:t xml:space="preserve"> states that a normal space admits, for any two disjoint closed sets, a continuous separating function to [0,1] — separating functions, not distances. T₄ is strictly weaker than metrizability: there are normal Hausdorff spaces that are not metrizable at all (the long line; the ordinal space [0,ω₁]). So one cannot read a metric back off the separation structure.</w:t>
      </w:r>
    </w:p>
    <w:p w14:paraId="6A52FA90" w14:textId="77777777" w:rsidR="000C5C4C" w:rsidRPr="000C5C4C" w:rsidRDefault="000C5C4C" w:rsidP="000C5C4C">
      <w:pPr>
        <w:jc w:val="both"/>
      </w:pPr>
      <w:r w:rsidRPr="000C5C4C">
        <w:rPr>
          <w:b/>
          <w:bCs/>
        </w:rPr>
        <w:t>Up — recovering a metric — is earned, by embedding.</w:t>
      </w:r>
      <w:r w:rsidRPr="000C5C4C">
        <w:t xml:space="preserve"> Urysohn's </w:t>
      </w:r>
      <w:r w:rsidRPr="000C5C4C">
        <w:rPr>
          <w:i/>
          <w:iCs/>
        </w:rPr>
        <w:t>metrization theorem</w:t>
      </w:r>
      <w:r w:rsidRPr="000C5C4C">
        <w:t>: a second-countable regular Hausdorff space embeds into the Hilbert cube [0,1]^</w:t>
      </w:r>
      <w:r w:rsidRPr="000C5C4C">
        <w:rPr>
          <w:rFonts w:ascii="Cambria Math" w:hAnsi="Cambria Math" w:cs="Cambria Math"/>
        </w:rPr>
        <w:t>ℕ</w:t>
      </w:r>
      <w:r w:rsidRPr="000C5C4C">
        <w:t xml:space="preserve"> via a countable family of separating functions and inherits a metric from that external target. The metric is not regenerated from the separation; it is inherited from an already-metric space through a coordinatizing embedding, and it requires both enough separating functions to coordinatize and a metric space to embed into.</w:t>
      </w:r>
    </w:p>
    <w:p w14:paraId="0C63616C" w14:textId="77777777" w:rsidR="000C5C4C" w:rsidRPr="000C5C4C" w:rsidRDefault="000C5C4C" w:rsidP="000C5C4C">
      <w:pPr>
        <w:jc w:val="both"/>
      </w:pPr>
      <w:r w:rsidRPr="000C5C4C">
        <w:t>So the two directions across the junction are asymmetric: down is a free implication, up is earned work requiring an external metric target and a coordinatization. A defensible circuit at this junction must (i) refuse the free down-grant when the separation is not genuine, and (ii) provide the embedding that earns the up-recovery when it is. The sections that follow read the basal-ganglia nuclei as doing exactly these two jobs.</w:t>
      </w:r>
    </w:p>
    <w:p w14:paraId="5B9D306B" w14:textId="77777777" w:rsidR="000C5C4C" w:rsidRPr="000C5C4C" w:rsidRDefault="000C5C4C" w:rsidP="00ED6174">
      <w:pPr>
        <w:pStyle w:val="Heading1"/>
      </w:pPr>
      <w:r w:rsidRPr="000C5C4C">
        <w:t>3. The circuit distribution</w:t>
      </w:r>
      <w:r w:rsidRPr="00ED6174">
        <w:rPr>
          <w:sz w:val="36"/>
          <w:szCs w:val="36"/>
        </w:rPr>
        <w:t xml:space="preserve"> [SUP anatomy / CAND reading]</w:t>
      </w:r>
    </w:p>
    <w:p w14:paraId="38575DF3" w14:textId="77777777" w:rsidR="000C5C4C" w:rsidRPr="000C5C4C" w:rsidRDefault="000C5C4C" w:rsidP="000C5C4C">
      <w:pPr>
        <w:jc w:val="both"/>
      </w:pPr>
      <w:r w:rsidRPr="000C5C4C">
        <w:t>The mapping below is offered at the candidate tier; the anatomy is cited, and the two places the current literature is unsettled are flagged rather than smoothed over.</w:t>
      </w:r>
    </w:p>
    <w:p w14:paraId="0ABC0E65" w14:textId="77777777" w:rsidR="000C5C4C" w:rsidRPr="000C5C4C" w:rsidRDefault="000C5C4C" w:rsidP="000C5C4C">
      <w:pPr>
        <w:jc w:val="both"/>
      </w:pPr>
      <w:r w:rsidRPr="000C5C4C">
        <w:rPr>
          <w:b/>
          <w:bCs/>
        </w:rPr>
        <w:lastRenderedPageBreak/>
        <w:t>The striatum — metric consumer and down-grant proposer.</w:t>
      </w:r>
      <w:r w:rsidRPr="000C5C4C">
        <w:t xml:space="preserve"> The principal input nucleus receives massive cortico-striatal projections from the inner-product representation and computes scalar action values — metric magnitudes. Its two efferent systems are </w:t>
      </w:r>
      <w:r w:rsidRPr="000C5C4C">
        <w:rPr>
          <w:b/>
          <w:bCs/>
        </w:rPr>
        <w:t>co-active, not antagonistic</w:t>
      </w:r>
      <w:r w:rsidRPr="000C5C4C">
        <w:t xml:space="preserve">: in-vivo recording shows the direct (D1) and indirect (D2) pathways activating </w:t>
      </w:r>
      <w:r w:rsidRPr="000C5C4C">
        <w:rPr>
          <w:i/>
          <w:iCs/>
        </w:rPr>
        <w:t>together</w:t>
      </w:r>
      <w:r w:rsidRPr="000C5C4C">
        <w:t xml:space="preserve"> at action initiation (Cui et al. 2013), in the center–surround arrangement of focused selection (Mink 1996) — the direct pathway facilitating the selected program (the center), the indirect pathway simultaneously suppressing competing, neighbouring programs (the surround). The obsolete reading, in which the indirect pathway is a separate "No-Go" that stops movement, is dropped; both pathways are driven by the </w:t>
      </w:r>
      <w:r w:rsidRPr="000C5C4C">
        <w:rPr>
          <w:b/>
          <w:bCs/>
        </w:rPr>
        <w:t>same</w:t>
      </w:r>
      <w:r w:rsidRPr="000C5C4C">
        <w:t xml:space="preserve"> cortical metric input and together perform one operation. Read through the junction, that center–surround </w:t>
      </w:r>
      <w:r w:rsidRPr="000C5C4C">
        <w:rPr>
          <w:i/>
          <w:iCs/>
        </w:rPr>
        <w:t>is</w:t>
      </w:r>
      <w:r w:rsidRPr="000C5C4C">
        <w:t xml:space="preserve"> the metric proposal: it draws the candidate separation the way a metric draws a margin — pushing one program toward selection and its neighbours toward suppression — the circuit form of the Urysohn separating function the metric </w:t>
      </w:r>
      <w:r w:rsidRPr="000C5C4C">
        <w:rPr>
          <w:i/>
          <w:iCs/>
        </w:rPr>
        <w:t>would</w:t>
      </w:r>
      <w:r w:rsidRPr="000C5C4C">
        <w:t xml:space="preserve"> license. The decisive point for the architecture follows: </w:t>
      </w:r>
      <w:r w:rsidRPr="000C5C4C">
        <w:rPr>
          <w:b/>
          <w:bCs/>
        </w:rPr>
        <w:t>the indirect pathway carries no separate topological read.</w:t>
      </w:r>
      <w:r w:rsidRPr="000C5C4C">
        <w:t xml:space="preserve"> It is the surround half of a single metric proposal, not a veto, and the only separate topological read entering the basal ganglia is the hyperdirect route to the subthalamic nucleus (below). The striatum — both pathways together — is therefore the complete first-axis proposer: it consumes the metric and draws a candidate separation, and it is the mechanical source of the free down-grant, assuming the space is T₄ because the metric says so and, left unchecked, turning a marginal value advantage into a confident separation across a topological hole. What it cannot do is verify the structural ground beneath the margin.</w:t>
      </w:r>
    </w:p>
    <w:p w14:paraId="6B80E75F" w14:textId="77777777" w:rsidR="000C5C4C" w:rsidRPr="000C5C4C" w:rsidRDefault="000C5C4C" w:rsidP="000C5C4C">
      <w:pPr>
        <w:jc w:val="both"/>
      </w:pPr>
      <w:r w:rsidRPr="000C5C4C">
        <w:rPr>
          <w:b/>
          <w:bCs/>
        </w:rPr>
        <w:t>The subthalamic nucleus — the fast veto trigger.</w:t>
      </w:r>
      <w:r w:rsidRPr="000C5C4C">
        <w:t xml:space="preserve"> Layer-5 cortical collaterals project, via the hyperdirect pathway, directly to the subthalamic nucleus, bypassing the striatum (Frank 2006; Aron &amp; Poldrack 2006). When the cortical audit detects an obstruction — restriction-map variance non-trivial at resolution ε(Π) (the cortex paper §5.3) — this route fires fast and excites the output nuclei, raising the release threshold before the striatal value computation can commit. In the junction reading the subthalamic nucleus is the trigger that refuses the free down-grant: when the separation the striatum proposes is not licensed, it interrupts. Two honesty constraints apply. First, the band: the audit detects obstructions that are sub-T₄ but still Hausdorff (≥ T₂) — variance can register only where the space is still separated enough to have a well-defined disagreement. Below that band lie </w:t>
      </w:r>
      <w:r w:rsidRPr="000C5C4C">
        <w:rPr>
          <w:i/>
          <w:iCs/>
        </w:rPr>
        <w:t>two distinct</w:t>
      </w:r>
      <w:r w:rsidRPr="000C5C4C">
        <w:t xml:space="preserve"> blind-spots the online veto cannot see, and they must not be conflated. The </w:t>
      </w:r>
      <w:r w:rsidRPr="000C5C4C">
        <w:rPr>
          <w:b/>
          <w:bCs/>
        </w:rPr>
        <w:t>false-zero</w:t>
      </w:r>
      <w:r w:rsidRPr="000C5C4C">
        <w:t xml:space="preserve"> proper, in the sense the hypercovering paper defines and owns, is a </w:t>
      </w:r>
      <w:r w:rsidRPr="000C5C4C">
        <w:rPr>
          <w:i/>
          <w:iCs/>
        </w:rPr>
        <w:t>resolution</w:t>
      </w:r>
      <w:r w:rsidRPr="000C5C4C">
        <w:t xml:space="preserve"> failure: the cover is too coarse — non-Leray — to expose the overlap where the obstruction lives, so the Čech computation over it returns zero, and it is the </w:t>
      </w:r>
      <w:r w:rsidRPr="000C5C4C">
        <w:rPr>
          <w:i/>
          <w:iCs/>
        </w:rPr>
        <w:t>offline</w:t>
      </w:r>
      <w:r w:rsidRPr="000C5C4C">
        <w:t xml:space="preserve"> hypercover's cover-refinement that surfaces it, not the subthalamic veto. A </w:t>
      </w:r>
      <w:r w:rsidRPr="000C5C4C">
        <w:rPr>
          <w:b/>
          <w:bCs/>
        </w:rPr>
        <w:t>separation collapse below T₂</w:t>
      </w:r>
      <w:r w:rsidRPr="000C5C4C">
        <w:t xml:space="preserve"> (genuinely non-Hausdorff — two things sharing every neighbourhood, with no disagreement to measure) is a </w:t>
      </w:r>
      <w:r w:rsidRPr="000C5C4C">
        <w:rPr>
          <w:i/>
          <w:iCs/>
        </w:rPr>
        <w:t>different</w:t>
      </w:r>
      <w:r w:rsidRPr="000C5C4C">
        <w:t xml:space="preserve"> failure: it also raises no variance, but it is not a resolution problem and cover refinement does not repair it — it is the deeper de-separation the offline lift must re-separate. The online audit misses both, for different reasons; the term </w:t>
      </w:r>
      <w:r w:rsidRPr="000C5C4C">
        <w:rPr>
          <w:i/>
          <w:iCs/>
        </w:rPr>
        <w:t>false-zero</w:t>
      </w:r>
      <w:r w:rsidRPr="000C5C4C">
        <w:t xml:space="preserve"> names the first, and the canonical characterization is the hypercovering paper's resolution one. Second, the execution: recent work shows the subthalamic stop-burst </w:t>
      </w:r>
      <w:r w:rsidRPr="000C5C4C">
        <w:rPr>
          <w:i/>
          <w:iCs/>
        </w:rPr>
        <w:t>precedes but does not coincide with</w:t>
      </w:r>
      <w:r w:rsidRPr="000C5C4C">
        <w:t xml:space="preserve"> the output suppression, and that reactive cancellation is </w:t>
      </w:r>
      <w:r w:rsidRPr="000C5C4C">
        <w:rPr>
          <w:b/>
          <w:bCs/>
        </w:rPr>
        <w:t>distributed</w:t>
      </w:r>
      <w:r w:rsidRPr="000C5C4C">
        <w:t xml:space="preserve"> across the subthalamic nucleus, the external pallidum, and the indirect-pathway striatum rather than executed by the subthalamic nucleus alone (the CBGT modelling of Vich et al. 2024; Mallet et al. 2016). So the subthalamic nucleus is read as the fast </w:t>
      </w:r>
      <w:r w:rsidRPr="000C5C4C">
        <w:rPr>
          <w:i/>
          <w:iCs/>
        </w:rPr>
        <w:t>trigger</w:t>
      </w:r>
      <w:r w:rsidRPr="000C5C4C">
        <w:t xml:space="preserve"> of the veto and the framework's primary online withhold initiator, not as the sole brake — a correction the framework adopts rather than resists.</w:t>
      </w:r>
    </w:p>
    <w:p w14:paraId="4B390792" w14:textId="77777777" w:rsidR="000C5C4C" w:rsidRPr="000C5C4C" w:rsidRDefault="000C5C4C" w:rsidP="000C5C4C">
      <w:pPr>
        <w:jc w:val="both"/>
      </w:pPr>
      <w:r w:rsidRPr="000C5C4C">
        <w:rPr>
          <w:b/>
          <w:bCs/>
        </w:rPr>
        <w:t>The external pallidum — the integrative hub and the second, ascending cancellation route.</w:t>
      </w:r>
      <w:r w:rsidRPr="000C5C4C">
        <w:t xml:space="preserve"> The draft architecture's reading of the external pallidum as a "negative-margin keeper" is not supported and is dropped. The verified picture is richer: the external pallidum is an integrative hub connected to every other basal-ganglia nucleus, with two projection classes — </w:t>
      </w:r>
      <w:r w:rsidRPr="000C5C4C">
        <w:rPr>
          <w:i/>
          <w:iCs/>
        </w:rPr>
        <w:t>prototypic</w:t>
      </w:r>
      <w:r w:rsidRPr="000C5C4C">
        <w:t xml:space="preserve"> neurons (descending, to the </w:t>
      </w:r>
      <w:r w:rsidRPr="000C5C4C">
        <w:lastRenderedPageBreak/>
        <w:t xml:space="preserve">internal pallidum and subthalamic nucleus) and </w:t>
      </w:r>
      <w:r w:rsidRPr="000C5C4C">
        <w:rPr>
          <w:i/>
          <w:iCs/>
        </w:rPr>
        <w:t>arkypallidal</w:t>
      </w:r>
      <w:r w:rsidRPr="000C5C4C">
        <w:t xml:space="preserve"> neurons (ascending, back to the striatum) (Mallet et al. 2012; 2016). The arkypallidal pathway mediates action cancellation by altering competition within the striatum, and it </w:t>
      </w:r>
      <w:r w:rsidRPr="000C5C4C">
        <w:rPr>
          <w:i/>
          <w:iCs/>
        </w:rPr>
        <w:t>assists</w:t>
      </w:r>
      <w:r w:rsidRPr="000C5C4C">
        <w:t xml:space="preserve"> the subthalamic veto rather than duplicating it (Vich et al. 2024). In the junction reading, the external pallidum supplies a </w:t>
      </w:r>
      <w:r w:rsidRPr="000C5C4C">
        <w:rPr>
          <w:b/>
          <w:bCs/>
        </w:rPr>
        <w:t>second withhold route</w:t>
      </w:r>
      <w:r w:rsidRPr="000C5C4C">
        <w:t xml:space="preserve"> — ascending and striatum-targeting, complementary to the subthalamic nucleus's descending one — so that cancellation of an unlicensed separation is a distributed operation with both a fast descending trigger and an ascending competition-reshaping arm. The two cell classes split along the axis division: the </w:t>
      </w:r>
      <w:r w:rsidRPr="000C5C4C">
        <w:rPr>
          <w:i/>
          <w:iCs/>
        </w:rPr>
        <w:t>prototypic</w:t>
      </w:r>
      <w:r w:rsidRPr="000C5C4C">
        <w:t xml:space="preserve"> neurons sit in the indirect pathway and belong to the striatum's metric center–surround (the surround-suppression arm of the first-axis proposal, §striatum), while the </w:t>
      </w:r>
      <w:r w:rsidRPr="000C5C4C">
        <w:rPr>
          <w:i/>
          <w:iCs/>
        </w:rPr>
        <w:t>arkypallidal</w:t>
      </w:r>
      <w:r w:rsidRPr="000C5C4C">
        <w:t xml:space="preserve"> neurons are the cancellation route that assists the third-axis veto. The external pallidum thus straddles both axes by cell type — one population helping draw the metric proposal, the other helping withdraw it when the topological read demands. This is read at the supported tier for the anatomy and the candidate tier for the topological role.</w:t>
      </w:r>
    </w:p>
    <w:p w14:paraId="65E440C8" w14:textId="77777777" w:rsidR="000C5C4C" w:rsidRPr="000C5C4C" w:rsidRDefault="000C5C4C" w:rsidP="000C5C4C">
      <w:pPr>
        <w:jc w:val="both"/>
      </w:pPr>
      <w:r w:rsidRPr="000C5C4C">
        <w:rPr>
          <w:b/>
          <w:bCs/>
        </w:rPr>
        <w:t>The internal pallidum / SNr — the T₄ output gate.</w:t>
      </w:r>
      <w:r w:rsidRPr="000C5C4C">
        <w:t xml:space="preserve"> The output nuclei hold a tonic inhibitory clamp on the VA/VL motor thalamus by default. The striatal direct pathway </w:t>
      </w:r>
      <w:r w:rsidRPr="000C5C4C">
        <w:rPr>
          <w:i/>
          <w:iCs/>
        </w:rPr>
        <w:t>inhibits</w:t>
      </w:r>
      <w:r w:rsidRPr="000C5C4C">
        <w:t xml:space="preserve"> them (releasing the clamp); the subthalamic and pallidal routes </w:t>
      </w:r>
      <w:r w:rsidRPr="000C5C4C">
        <w:rPr>
          <w:i/>
          <w:iCs/>
        </w:rPr>
        <w:t>excite</w:t>
      </w:r>
      <w:r w:rsidRPr="000C5C4C">
        <w:t xml:space="preserve"> them (hardening it). This is the physical locus of the separation gate, and it is the spine of the circuit reading. When the striatal proposal is licensed, the output nuclei are inhibited and </w:t>
      </w:r>
      <w:r w:rsidRPr="000C5C4C">
        <w:rPr>
          <w:i/>
          <w:iCs/>
        </w:rPr>
        <w:t>release</w:t>
      </w:r>
      <w:r w:rsidRPr="000C5C4C">
        <w:t xml:space="preserve"> the separation to VA/VL, where the earned up-recovery occurs. When the veto fires, the output nuclei are excited and </w:t>
      </w:r>
      <w:r w:rsidRPr="000C5C4C">
        <w:rPr>
          <w:i/>
          <w:iCs/>
        </w:rPr>
        <w:t>clamp</w:t>
      </w:r>
      <w:r w:rsidRPr="000C5C4C">
        <w:t xml:space="preserve"> VA/VL shut, and the unearned separation is denied before it can be embedded back into cortex and acted on. The gate's two states are the two directions of §2: release licenses the down-grant and opens the path to the up-recovery; clamp refuses the down-grant.</w:t>
      </w:r>
    </w:p>
    <w:p w14:paraId="00962335" w14:textId="77777777" w:rsidR="000C5C4C" w:rsidRPr="000C5C4C" w:rsidRDefault="000C5C4C" w:rsidP="000C5C4C">
      <w:pPr>
        <w:jc w:val="both"/>
      </w:pPr>
      <w:r w:rsidRPr="000C5C4C">
        <w:rPr>
          <w:b/>
          <w:bCs/>
        </w:rPr>
        <w:t>The VA/VL relay — where the up-recovery happens.</w:t>
      </w:r>
      <w:r w:rsidRPr="000C5C4C">
        <w:t xml:space="preserve"> The released separation reaches frontal cortex through the VA/VL thalamus, embedding the basal-ganglia selection back into the cortical inner-product space. This is Urysohn metrization realized as a circuit: the relay channels are the coordinatizing family, the cortical inner-product space the metric target, and the recovered metric is loop-resident and inherited, not held in the basal-ganglia nuclei. (Loop-specificity caveat: VA/VL is the </w:t>
      </w:r>
      <w:r w:rsidRPr="000C5C4C">
        <w:rPr>
          <w:i/>
          <w:iCs/>
        </w:rPr>
        <w:t>motor</w:t>
      </w:r>
      <w:r w:rsidRPr="000C5C4C">
        <w:t xml:space="preserve"> relay; the associative and limbic loops relay through VA and MD, so the motor statement here generalizes to those loops only with the relay substituted.)</w:t>
      </w:r>
    </w:p>
    <w:p w14:paraId="1AD166F9" w14:textId="77777777" w:rsidR="000C5C4C" w:rsidRPr="000C5C4C" w:rsidRDefault="000C5C4C" w:rsidP="000C5C4C">
      <w:pPr>
        <w:jc w:val="both"/>
      </w:pPr>
      <w:r w:rsidRPr="000C5C4C">
        <w:rPr>
          <w:b/>
          <w:bCs/>
        </w:rPr>
        <w:t>The mesocortical dopamine projection — the online-to-offline translator.</w:t>
      </w:r>
      <w:r w:rsidRPr="000C5C4C">
        <w:t xml:space="preserve"> When a representation is vetoed, the resulting prediction error drives a dopamine response that writes the routing tag onto the implicated cortical synapses — the local inductive bias the offline lift needs (the AGI lifecycle paper; the Paper 2 addendum). Three constraints, two of them from verification. The tag fires on the </w:t>
      </w:r>
      <w:r w:rsidRPr="000C5C4C">
        <w:rPr>
          <w:i/>
          <w:iCs/>
        </w:rPr>
        <w:t>magnitude</w:t>
      </w:r>
      <w:r w:rsidRPr="000C5C4C">
        <w:t xml:space="preserve"> of the surprise and is sign-symmetric — an unexpected success tags as strongly as an unexpected failure — so it is a surprise router, not a reward signal, and it is a routing weight, never a tolerance or learning-rate term. The projection that writes the </w:t>
      </w:r>
      <w:r w:rsidRPr="000C5C4C">
        <w:rPr>
          <w:i/>
          <w:iCs/>
        </w:rPr>
        <w:t>cortical</w:t>
      </w:r>
      <w:r w:rsidRPr="000C5C4C">
        <w:t xml:space="preserve"> tag is mesocortical and predominantly ventral-tegmental; the textbook split — substantia nigra pars compacta to dorsal striatum, ventral tegmental area to cortex and limbic targets — has long been recognized as an oversimplification, the cells of origin being intermixed within the SN–VTA complex and both nuclei contributing to striatal </w:t>
      </w:r>
      <w:r w:rsidRPr="000C5C4C">
        <w:rPr>
          <w:i/>
          <w:iCs/>
        </w:rPr>
        <w:t>and</w:t>
      </w:r>
      <w:r w:rsidRPr="000C5C4C">
        <w:t xml:space="preserve"> cortical innervation (Björklund &amp; Dunnett 2007; Ikemoto 2007). So the cortical tag is ventral-tegmental-</w:t>
      </w:r>
      <w:r w:rsidRPr="000C5C4C">
        <w:rPr>
          <w:i/>
          <w:iCs/>
        </w:rPr>
        <w:t>dominant</w:t>
      </w:r>
      <w:r w:rsidRPr="000C5C4C">
        <w:t xml:space="preserve"> rather than exclusively so. The nigrostriatal substantia-nigra projection to the dorsal striatum is the basal ganglia's </w:t>
      </w:r>
      <w:r w:rsidRPr="000C5C4C">
        <w:rPr>
          <w:i/>
          <w:iCs/>
        </w:rPr>
        <w:t>internal</w:t>
      </w:r>
      <w:r w:rsidRPr="000C5C4C">
        <w:t xml:space="preserve"> reward-prediction-error learning signal — a different projection to a different target — and is not the cortical tag.</w:t>
      </w:r>
    </w:p>
    <w:p w14:paraId="6E681335" w14:textId="77777777" w:rsidR="000C5C4C" w:rsidRPr="000C5C4C" w:rsidRDefault="000C5C4C" w:rsidP="00ED6174">
      <w:pPr>
        <w:pStyle w:val="Heading1"/>
      </w:pPr>
      <w:r w:rsidRPr="000C5C4C">
        <w:lastRenderedPageBreak/>
        <w:t>4. The runtime of a single action</w:t>
      </w:r>
    </w:p>
    <w:p w14:paraId="29B5B8CD" w14:textId="77777777" w:rsidR="000C5C4C" w:rsidRPr="000C5C4C" w:rsidRDefault="000C5C4C" w:rsidP="000C5C4C">
      <w:pPr>
        <w:jc w:val="both"/>
      </w:pPr>
      <w:r w:rsidRPr="000C5C4C">
        <w:t xml:space="preserve">The components compose into two paths, and the runtime guarantees that the metric </w:t>
      </w:r>
      <w:r w:rsidRPr="000C5C4C">
        <w:rPr>
          <w:rFonts w:ascii="Cambria Math" w:hAnsi="Cambria Math" w:cs="Cambria Math"/>
        </w:rPr>
        <w:t>⟹</w:t>
      </w:r>
      <w:r w:rsidRPr="000C5C4C">
        <w:t xml:space="preserve"> T₄ grant is never cashed on unearned ground.</w:t>
      </w:r>
    </w:p>
    <w:p w14:paraId="3B7F58EE" w14:textId="77777777" w:rsidR="000C5C4C" w:rsidRPr="000C5C4C" w:rsidRDefault="000C5C4C" w:rsidP="000C5C4C">
      <w:pPr>
        <w:jc w:val="both"/>
      </w:pPr>
      <w:r w:rsidRPr="000C5C4C">
        <w:rPr>
          <w:b/>
          <w:bCs/>
        </w:rPr>
        <w:t>Path A — the legitimate release.</w:t>
      </w:r>
      <w:r w:rsidRPr="000C5C4C">
        <w:t xml:space="preserve"> The cortex sends the inner-product metric to the striatum; the layer-5 audit finds the local cover adequate (no obstruction non-trivial at resolution ε(Π)). The subthalamic and pallidal veto routes stay quiet; the striatal direct pathway inhibits the output nuclei; the output gate releases the separation; VA/VL embeds it back into frontal cortex, completing the earned up-recovery; the action is driven. The down-grant was licensed because the separation was genuine, and the up-recovery metrizes it.</w:t>
      </w:r>
    </w:p>
    <w:p w14:paraId="1F836EBE" w14:textId="77777777" w:rsidR="000C5C4C" w:rsidRPr="000C5C4C" w:rsidRDefault="000C5C4C" w:rsidP="000C5C4C">
      <w:pPr>
        <w:jc w:val="both"/>
      </w:pPr>
      <w:r w:rsidRPr="000C5C4C">
        <w:rPr>
          <w:b/>
          <w:bCs/>
        </w:rPr>
        <w:t>Path B — the veto.</w:t>
      </w:r>
      <w:r w:rsidRPr="000C5C4C">
        <w:t xml:space="preserve"> The cortex sends the metric, but the layer-5 audit detects a non-trivial obstruction at resolution ε(Π). The subthalamic nucleus fires the fast trigger and the pallidal arkypallidal route reshapes striatal competition; together they excite the output nuclei, which clamp VA/VL shut. The separation is denied its free down-grant; the actuator holds. The prediction error drives the mesocortical tag onto the implicated cortical parameters, scheduling the representation for the offline lift that will attempt to earn the separation permanently. The waking system has audited and deferred, without updating weights in real time.</w:t>
      </w:r>
    </w:p>
    <w:p w14:paraId="103C1F0E" w14:textId="77777777" w:rsidR="000C5C4C" w:rsidRPr="000C5C4C" w:rsidRDefault="000C5C4C" w:rsidP="000C5C4C">
      <w:pPr>
        <w:jc w:val="both"/>
      </w:pPr>
      <w:r w:rsidRPr="000C5C4C">
        <w:t xml:space="preserve">The asymmetry of the two paths is the asymmetry of §2: Path A both licenses the down-grant and completes the up-recovery; Path B refuses the down-grant and hands the repair offline. And the "topology precedes metric" priority is physical in the trigger — the hyperdirect route reaches the output nuclei fast, ahead of the slower striatal value computation, so the </w:t>
      </w:r>
      <w:r w:rsidRPr="000C5C4C">
        <w:rPr>
          <w:i/>
          <w:iCs/>
        </w:rPr>
        <w:t>initiation</w:t>
      </w:r>
      <w:r w:rsidRPr="000C5C4C">
        <w:t xml:space="preserve"> of the veto can precede commitment even though its full execution is distributed.</w:t>
      </w:r>
    </w:p>
    <w:p w14:paraId="6D80201E" w14:textId="77777777" w:rsidR="000C5C4C" w:rsidRPr="000C5C4C" w:rsidRDefault="000C5C4C" w:rsidP="00ED6174">
      <w:pPr>
        <w:pStyle w:val="Heading1"/>
      </w:pPr>
      <w:r w:rsidRPr="000C5C4C">
        <w:t>5. The online/offline coupling</w:t>
      </w:r>
    </w:p>
    <w:p w14:paraId="675D1C67" w14:textId="77777777" w:rsidR="000C5C4C" w:rsidRPr="000C5C4C" w:rsidRDefault="000C5C4C" w:rsidP="000C5C4C">
      <w:pPr>
        <w:jc w:val="both"/>
      </w:pPr>
      <w:r w:rsidRPr="000C5C4C">
        <w:t xml:space="preserve">The up-recovery of §3 (VA/VL) and the offline lift that Path B schedules are two distinct operations that must be reconciled, not one operation at two timescales. VA/VL is a real-time </w:t>
      </w:r>
      <w:r w:rsidRPr="000C5C4C">
        <w:rPr>
          <w:i/>
          <w:iCs/>
        </w:rPr>
        <w:t>read</w:t>
      </w:r>
      <w:r w:rsidRPr="000C5C4C">
        <w:t xml:space="preserve"> of the current metric; the offline lift is an offline </w:t>
      </w:r>
      <w:r w:rsidRPr="000C5C4C">
        <w:rPr>
          <w:i/>
          <w:iCs/>
        </w:rPr>
        <w:t>write</w:t>
      </w:r>
      <w:r w:rsidRPr="000C5C4C">
        <w:t xml:space="preserve"> of a new one, and the online/offline irreducibility of Dynamic Predictive Gluing is the wall between them: a base cannot be re-coordinatized while it is being read in real time to drive an actuator. The basal ganglia operate on the moving base because they only read and gate; the lift operates on a frozen base because it writes.</w:t>
      </w:r>
    </w:p>
    <w:p w14:paraId="7A177ED8" w14:textId="77777777" w:rsidR="000C5C4C" w:rsidRPr="000C5C4C" w:rsidRDefault="000C5C4C" w:rsidP="000C5C4C">
      <w:pPr>
        <w:jc w:val="both"/>
      </w:pPr>
      <w:r w:rsidRPr="000C5C4C">
        <w:t xml:space="preserve">The two are coupled by a one-cycle exchange. The offline lift produces the earned, re-coordinatized metric that VA/VL embeds into — it paves the road the loop then drives on — and the waking veto writes the tags that tell the lift where to repair — it flags the breaks. So the basal ganglia consume last cycle's lifted metric and produce this cycle's tags; the lift consumes this cycle's tags and produces next cycle's metric. The fuller treatment of this read–write coupling is the Metric–Separation Junction note and the cortex paper's nightly cycle (§5.5); the point for this paper is that the basal ganglia are the </w:t>
      </w:r>
      <w:r w:rsidRPr="000C5C4C">
        <w:rPr>
          <w:i/>
          <w:iCs/>
        </w:rPr>
        <w:t>online</w:t>
      </w:r>
      <w:r w:rsidRPr="000C5C4C">
        <w:t xml:space="preserve"> half — the gate and the tag-writer — and that their tags are budget-limited, since the offline lift halts at its compute budget (the Hypercovering paper's §8.5 terminus), leaving residual unrepaired overlaps. The road is never fully paved; the gate must therefore keep running, and a separation that survives repeated repair attempts is carried as an irreducible no-go region rather than forced.</w:t>
      </w:r>
    </w:p>
    <w:p w14:paraId="726A2618" w14:textId="77777777" w:rsidR="000C5C4C" w:rsidRPr="000C5C4C" w:rsidRDefault="000C5C4C" w:rsidP="00ED6174">
      <w:pPr>
        <w:pStyle w:val="Heading1"/>
      </w:pPr>
      <w:r w:rsidRPr="000C5C4C">
        <w:lastRenderedPageBreak/>
        <w:t>6. The design rule for artificial intelligence</w:t>
      </w:r>
    </w:p>
    <w:p w14:paraId="6D4449D9" w14:textId="77777777" w:rsidR="000C5C4C" w:rsidRPr="000C5C4C" w:rsidRDefault="000C5C4C" w:rsidP="000C5C4C">
      <w:pPr>
        <w:jc w:val="both"/>
      </w:pPr>
      <w:r w:rsidRPr="000C5C4C">
        <w:t xml:space="preserve">The architectural consequence is direct, and it is the construction-AGI form of the false-zero diagnosis. Current systems hook a representation space directly to an actuator (or a token generator) through a value or softmax head — a metric optimizer with no gate. In the present terms, this is a striatum with no subthalamic veto: it cashes the metric </w:t>
      </w:r>
      <w:r w:rsidRPr="000C5C4C">
        <w:rPr>
          <w:rFonts w:ascii="Cambria Math" w:hAnsi="Cambria Math" w:cs="Cambria Math"/>
        </w:rPr>
        <w:t>⟹</w:t>
      </w:r>
      <w:r w:rsidRPr="000C5C4C">
        <w:t xml:space="preserve"> T₄ grant automatically, drawing a confident separation wherever the value margin is largest, with no circuit that asks whether the separation was structurally earned. Reinforcement learning mimics the striatal value computation (the first axis) and supplies no equivalent of the gate (the third). It is, structurally, half a basal ganglia — optimizing magnitudes over topologies it never checked.</w:t>
      </w:r>
    </w:p>
    <w:p w14:paraId="6FD1EFA8" w14:textId="77777777" w:rsidR="000C5C4C" w:rsidRPr="000C5C4C" w:rsidRDefault="000C5C4C" w:rsidP="000C5C4C">
      <w:pPr>
        <w:jc w:val="both"/>
      </w:pPr>
      <w:r w:rsidRPr="000C5C4C">
        <w:t xml:space="preserve">A defensible agent therefore requires an engineered basal ganglia between its representation and its actuator: a stage that reads the internal variance of the transition maps, refuses to release an action when the representation is sub-T₄ at resolution ε(Π), writes a surprise-gated tag on the implicated parameters, and earns the metric for a licensed action by embedding the selection into a representation a prior offline lift made genuinely separable. The falsifiable claim is that an action stage built this way shows bounded, </w:t>
      </w:r>
      <w:r w:rsidRPr="000C5C4C">
        <w:rPr>
          <w:i/>
          <w:iCs/>
        </w:rPr>
        <w:t>withholding</w:t>
      </w:r>
      <w:r w:rsidRPr="000C5C4C">
        <w:t xml:space="preserve"> failure at the edges of its competence — halting and deferring where the separation is not earned — while a gate-free value head shows confident error there; and that the gate's benefit depends on the audit (the variance read), not on added capacity. If a metric optimizer with no gate separates as defensibly at the edges as a gated one, the account is refuted.</w:t>
      </w:r>
    </w:p>
    <w:p w14:paraId="63E3FA8A" w14:textId="77777777" w:rsidR="000C5C4C" w:rsidRPr="000C5C4C" w:rsidRDefault="000C5C4C" w:rsidP="00ED6174">
      <w:pPr>
        <w:pStyle w:val="Heading1"/>
      </w:pPr>
      <w:r w:rsidRPr="000C5C4C">
        <w:t>7. Scope, tiers, and refutation</w:t>
      </w:r>
    </w:p>
    <w:p w14:paraId="3C0F595F" w14:textId="77777777" w:rsidR="000C5C4C" w:rsidRPr="000C5C4C" w:rsidRDefault="000C5C4C" w:rsidP="000C5C4C">
      <w:pPr>
        <w:jc w:val="both"/>
      </w:pPr>
      <w:r w:rsidRPr="000C5C4C">
        <w:t xml:space="preserve">The load-bearing element is the mathematics of §2: that the metric rung grants T₄ for free, that T₄ alone does not return a metric, and that the up-recovery is Urysohn metrization through a coordinatizing embedding. These are standard theorems and make the down-free / up-earned asymmetry not a modelling choice. The per-nucleus circuit reading of §3 is [CAND] — a structural isomorphism between the junction's two jobs and the basal-ganglia architecture, offered as falsifiable and not asserted as identity — resting on [SUP] anatomy that is settled for the striatal input, the hyperdirect route, the output-gate clamp, and the VA/VL relay, and </w:t>
      </w:r>
      <w:r w:rsidRPr="000C5C4C">
        <w:rPr>
          <w:i/>
          <w:iCs/>
        </w:rPr>
        <w:t>unsettled, flagged as such</w:t>
      </w:r>
      <w:r w:rsidRPr="000C5C4C">
        <w:t>, for the distributed-cancellation timing and the external-pallidum cell-type roles, where the framework adopts the current corrections (distributed stopping; the arkypallidal ascending route; the broadened dopamine connectomics) rather than the tidier textbook story. The design rule of §6 is [CAND].</w:t>
      </w:r>
    </w:p>
    <w:p w14:paraId="33E4782A" w14:textId="77777777" w:rsidR="000C5C4C" w:rsidRPr="000C5C4C" w:rsidRDefault="000C5C4C" w:rsidP="000C5C4C">
      <w:pPr>
        <w:jc w:val="both"/>
      </w:pPr>
      <w:r w:rsidRPr="000C5C4C">
        <w:t>The account is refuted along three lines. If the earned/implied separation distinction makes no behavioral difference — if a forced metric embedding separates as defensibly as an earned one — the junction reading collapses. If the basal-ganglia veto proves unrelated to representational separation and is purely a motor-timing device, the topological mapping fails. And if an engineered gate confers no edge-case advantage over a gate-free value head at matched capacity, the design rule fails. Each is testable with current methods, and the framework stakes the extension on them.</w:t>
      </w:r>
    </w:p>
    <w:p w14:paraId="3A9D03D8" w14:textId="77777777" w:rsidR="000C5C4C" w:rsidRPr="000C5C4C" w:rsidRDefault="000C5C4C" w:rsidP="00ED6174">
      <w:pPr>
        <w:pStyle w:val="Heading1"/>
      </w:pPr>
      <w:r w:rsidRPr="000C5C4C">
        <w:t>Bibliography</w:t>
      </w:r>
    </w:p>
    <w:p w14:paraId="34A93708" w14:textId="77777777" w:rsidR="000C5C4C" w:rsidRPr="000C5C4C" w:rsidRDefault="000C5C4C" w:rsidP="00ED6174">
      <w:pPr>
        <w:pStyle w:val="Heading2"/>
      </w:pPr>
      <w:r w:rsidRPr="000C5C4C">
        <w:t>Mathematics [LB].</w:t>
      </w:r>
    </w:p>
    <w:p w14:paraId="5AB10545" w14:textId="77777777" w:rsidR="000C5C4C" w:rsidRPr="000C5C4C" w:rsidRDefault="000C5C4C" w:rsidP="000C5C4C">
      <w:pPr>
        <w:numPr>
          <w:ilvl w:val="0"/>
          <w:numId w:val="1"/>
        </w:numPr>
        <w:jc w:val="both"/>
      </w:pPr>
      <w:r w:rsidRPr="000C5C4C">
        <w:t xml:space="preserve">Separation axioms, metric </w:t>
      </w:r>
      <w:r w:rsidRPr="000C5C4C">
        <w:rPr>
          <w:rFonts w:ascii="Cambria Math" w:hAnsi="Cambria Math" w:cs="Cambria Math"/>
        </w:rPr>
        <w:t>⟹</w:t>
      </w:r>
      <w:r w:rsidRPr="000C5C4C">
        <w:t xml:space="preserve"> normal, and metrizability: Munkres, </w:t>
      </w:r>
      <w:r w:rsidRPr="000C5C4C">
        <w:rPr>
          <w:i/>
          <w:iCs/>
        </w:rPr>
        <w:t>Topology</w:t>
      </w:r>
      <w:r w:rsidRPr="000C5C4C">
        <w:t xml:space="preserve"> (2nd ed.), chs. 4 — every metric space is normal and Hausdorff; T₄ alone is not metrizable (the long line, [0,ω₁]); </w:t>
      </w:r>
      <w:r w:rsidRPr="000C5C4C">
        <w:lastRenderedPageBreak/>
        <w:t xml:space="preserve">Urysohn's lemma (separating functions) and the Urysohn metrization theorem (second-countable regular Hausdorff </w:t>
      </w:r>
      <w:r w:rsidRPr="000C5C4C">
        <w:rPr>
          <w:rFonts w:ascii="Cambria Math" w:hAnsi="Cambria Math" w:cs="Cambria Math"/>
        </w:rPr>
        <w:t>⟹</w:t>
      </w:r>
      <w:r w:rsidRPr="000C5C4C">
        <w:t xml:space="preserve"> embedding in the Hilbert cube </w:t>
      </w:r>
      <w:r w:rsidRPr="000C5C4C">
        <w:rPr>
          <w:rFonts w:ascii="Cambria Math" w:hAnsi="Cambria Math" w:cs="Cambria Math"/>
        </w:rPr>
        <w:t>⟹</w:t>
      </w:r>
      <w:r w:rsidRPr="000C5C4C">
        <w:t xml:space="preserve"> metrizable).</w:t>
      </w:r>
    </w:p>
    <w:p w14:paraId="54242053" w14:textId="77777777" w:rsidR="000C5C4C" w:rsidRPr="000C5C4C" w:rsidRDefault="000C5C4C" w:rsidP="00ED6174">
      <w:pPr>
        <w:pStyle w:val="Heading2"/>
      </w:pPr>
      <w:r w:rsidRPr="000C5C4C">
        <w:t>Basal-ganglia anatomy and physiology [SUP].</w:t>
      </w:r>
    </w:p>
    <w:p w14:paraId="08F8FE73" w14:textId="77777777" w:rsidR="000C5C4C" w:rsidRPr="000C5C4C" w:rsidRDefault="000C5C4C" w:rsidP="000C5C4C">
      <w:pPr>
        <w:numPr>
          <w:ilvl w:val="0"/>
          <w:numId w:val="2"/>
        </w:numPr>
        <w:jc w:val="both"/>
      </w:pPr>
      <w:r w:rsidRPr="000C5C4C">
        <w:t xml:space="preserve">Frank, M. J. (2006). Hold your horses: a dynamic computational role for the subthalamic nucleus in decision making. </w:t>
      </w:r>
      <w:r w:rsidRPr="000C5C4C">
        <w:rPr>
          <w:i/>
          <w:iCs/>
        </w:rPr>
        <w:t>Neural Networks</w:t>
      </w:r>
      <w:r w:rsidRPr="000C5C4C">
        <w:t xml:space="preserve"> 19(8), 1120–1136.</w:t>
      </w:r>
    </w:p>
    <w:p w14:paraId="534643A3" w14:textId="77777777" w:rsidR="000C5C4C" w:rsidRPr="000C5C4C" w:rsidRDefault="000C5C4C" w:rsidP="000C5C4C">
      <w:pPr>
        <w:numPr>
          <w:ilvl w:val="0"/>
          <w:numId w:val="2"/>
        </w:numPr>
        <w:jc w:val="both"/>
      </w:pPr>
      <w:r w:rsidRPr="000C5C4C">
        <w:t xml:space="preserve">Aron, A. R., &amp; Poldrack, R. A. (2006). Cortical and subcortical contributions to stop signal response inhibition: role of the subthalamic nucleus. </w:t>
      </w:r>
      <w:r w:rsidRPr="000C5C4C">
        <w:rPr>
          <w:i/>
          <w:iCs/>
        </w:rPr>
        <w:t>Journal of Neuroscience</w:t>
      </w:r>
      <w:r w:rsidRPr="000C5C4C">
        <w:t xml:space="preserve"> 26(9), 2424–2433.</w:t>
      </w:r>
    </w:p>
    <w:p w14:paraId="499DB774" w14:textId="77777777" w:rsidR="000C5C4C" w:rsidRPr="000C5C4C" w:rsidRDefault="000C5C4C" w:rsidP="000C5C4C">
      <w:pPr>
        <w:numPr>
          <w:ilvl w:val="0"/>
          <w:numId w:val="2"/>
        </w:numPr>
        <w:jc w:val="both"/>
      </w:pPr>
      <w:r w:rsidRPr="000C5C4C">
        <w:t xml:space="preserve">Mallet, N., et al. (2012). Dichotomous organization of the external globus pallidus. </w:t>
      </w:r>
      <w:r w:rsidRPr="000C5C4C">
        <w:rPr>
          <w:i/>
          <w:iCs/>
        </w:rPr>
        <w:t>Neuron</w:t>
      </w:r>
      <w:r w:rsidRPr="000C5C4C">
        <w:t xml:space="preserve"> 74(6), 1075–1086. (Prototypic and arkypallidal projection-neuron classes.)</w:t>
      </w:r>
    </w:p>
    <w:p w14:paraId="4293C4EB" w14:textId="77777777" w:rsidR="000C5C4C" w:rsidRPr="000C5C4C" w:rsidRDefault="000C5C4C" w:rsidP="000C5C4C">
      <w:pPr>
        <w:numPr>
          <w:ilvl w:val="0"/>
          <w:numId w:val="2"/>
        </w:numPr>
        <w:jc w:val="both"/>
      </w:pPr>
      <w:r w:rsidRPr="000C5C4C">
        <w:t xml:space="preserve">Mallet, N., et al. (2016). Arkypallidal cells send a stop signal to striatum. </w:t>
      </w:r>
      <w:r w:rsidRPr="000C5C4C">
        <w:rPr>
          <w:i/>
          <w:iCs/>
        </w:rPr>
        <w:t>Neuron</w:t>
      </w:r>
      <w:r w:rsidRPr="000C5C4C">
        <w:t xml:space="preserve"> 89(2), 308–316. (The ascending pallidostriatal cancellation route.)</w:t>
      </w:r>
    </w:p>
    <w:p w14:paraId="39F634CD" w14:textId="77777777" w:rsidR="000C5C4C" w:rsidRPr="000C5C4C" w:rsidRDefault="000C5C4C" w:rsidP="000C5C4C">
      <w:pPr>
        <w:numPr>
          <w:ilvl w:val="0"/>
          <w:numId w:val="2"/>
        </w:numPr>
        <w:jc w:val="both"/>
      </w:pPr>
      <w:r w:rsidRPr="000C5C4C">
        <w:t xml:space="preserve">Cui, G., Jun, S. B., Jin, X., Pham, M. D., Vogel, S. S., Lovinger, D. M., &amp; Costa, R. M. (2013). Concurrent activation of striatal direct and indirect pathways during action initiation. </w:t>
      </w:r>
      <w:r w:rsidRPr="000C5C4C">
        <w:rPr>
          <w:i/>
          <w:iCs/>
        </w:rPr>
        <w:t>Nature</w:t>
      </w:r>
      <w:r w:rsidRPr="000C5C4C">
        <w:t xml:space="preserve"> 494(7436), 238–242. doi:10.1038/nature11846. (The direct and indirect pathways are co-active at initiation, not antagonistic — the basis for reading the striatal output as one metric proposal rather than a Go/No-Go opposition.)</w:t>
      </w:r>
    </w:p>
    <w:p w14:paraId="3554769D" w14:textId="77777777" w:rsidR="000C5C4C" w:rsidRPr="000C5C4C" w:rsidRDefault="000C5C4C" w:rsidP="000C5C4C">
      <w:pPr>
        <w:numPr>
          <w:ilvl w:val="0"/>
          <w:numId w:val="2"/>
        </w:numPr>
        <w:jc w:val="both"/>
      </w:pPr>
      <w:r w:rsidRPr="000C5C4C">
        <w:t xml:space="preserve">Mink, J. W. (1996). The basal ganglia: focused selection and inhibition of competing motor programs. </w:t>
      </w:r>
      <w:r w:rsidRPr="000C5C4C">
        <w:rPr>
          <w:i/>
          <w:iCs/>
        </w:rPr>
        <w:t>Progress in Neurobiology</w:t>
      </w:r>
      <w:r w:rsidRPr="000C5C4C">
        <w:t xml:space="preserve"> 50(4), 381–425. (The center–surround / focused-selection model: facilitate the selected program, suppress competing neighbours — the metric form of drawing a separation.)</w:t>
      </w:r>
    </w:p>
    <w:p w14:paraId="04572C39" w14:textId="77777777" w:rsidR="000C5C4C" w:rsidRPr="000C5C4C" w:rsidRDefault="000C5C4C" w:rsidP="000C5C4C">
      <w:pPr>
        <w:numPr>
          <w:ilvl w:val="0"/>
          <w:numId w:val="2"/>
        </w:numPr>
        <w:jc w:val="both"/>
      </w:pPr>
      <w:r w:rsidRPr="000C5C4C">
        <w:t xml:space="preserve">Vich, C., et al. (2024). Arkypallidal neurons in the external globus pallidus can mediate inhibitory control by altering competition in the striatum. </w:t>
      </w:r>
      <w:r w:rsidRPr="000C5C4C">
        <w:rPr>
          <w:i/>
          <w:iCs/>
        </w:rPr>
        <w:t>PNAS</w:t>
      </w:r>
      <w:r w:rsidRPr="000C5C4C">
        <w:t xml:space="preserve"> 121 (doi:10.1073/pnas.2408505121). (Reactive inhibition as distributed across STN, arkypallidal GPe, and indirect-pathway striatum; the contested timing of the subthalamic stop-burst.)</w:t>
      </w:r>
    </w:p>
    <w:p w14:paraId="1F482940" w14:textId="77777777" w:rsidR="000C5C4C" w:rsidRPr="000C5C4C" w:rsidRDefault="000C5C4C" w:rsidP="000C5C4C">
      <w:pPr>
        <w:numPr>
          <w:ilvl w:val="0"/>
          <w:numId w:val="2"/>
        </w:numPr>
        <w:jc w:val="both"/>
      </w:pPr>
      <w:r w:rsidRPr="000C5C4C">
        <w:t xml:space="preserve">Björklund, A., &amp; Dunnett, S. B. (2007). Dopamine neuron systems in the brain: an update. </w:t>
      </w:r>
      <w:r w:rsidRPr="000C5C4C">
        <w:rPr>
          <w:i/>
          <w:iCs/>
        </w:rPr>
        <w:t>Trends in Neurosciences</w:t>
      </w:r>
      <w:r w:rsidRPr="000C5C4C">
        <w:t xml:space="preserve"> 30(5), 194–202. doi:10.1016/j.tins.2007.03.006. (The A9-nigrostriatal / A10-mesocortical heuristic is long recognized as an oversimplification; the three ascending pathways are distinct but their cells of origin are intermixed in the SN–VTA complex, both nuclei reaching striatum and cortex — the anchor for the VTA-dominant-not-exclusive reading of the cortical tag.)</w:t>
      </w:r>
    </w:p>
    <w:p w14:paraId="2E634BFA" w14:textId="77777777" w:rsidR="000C5C4C" w:rsidRPr="000C5C4C" w:rsidRDefault="000C5C4C" w:rsidP="000C5C4C">
      <w:pPr>
        <w:numPr>
          <w:ilvl w:val="0"/>
          <w:numId w:val="2"/>
        </w:numPr>
        <w:jc w:val="both"/>
      </w:pPr>
      <w:r w:rsidRPr="000C5C4C">
        <w:t xml:space="preserve">Ikemoto, S. (2007). Dopamine reward circuitry: two projection systems from the ventral midbrain to the nucleus accumbens–olfactory tubercle complex. </w:t>
      </w:r>
      <w:r w:rsidRPr="000C5C4C">
        <w:rPr>
          <w:i/>
          <w:iCs/>
        </w:rPr>
        <w:t>Brain Research Reviews</w:t>
      </w:r>
      <w:r w:rsidRPr="000C5C4C">
        <w:t xml:space="preserve"> 56(1), 27–78. (Companion evidence for the overlapping, gradient organization of ventral-midbrain dopamine projections.)</w:t>
      </w:r>
    </w:p>
    <w:p w14:paraId="3266737D" w14:textId="18D9DBA2" w:rsidR="000C5C4C" w:rsidRPr="000C5C4C" w:rsidRDefault="000C5C4C" w:rsidP="00ED6174">
      <w:pPr>
        <w:pStyle w:val="Heading2"/>
      </w:pPr>
      <w:r w:rsidRPr="000C5C4C">
        <w:t>This framework.</w:t>
      </w:r>
    </w:p>
    <w:p w14:paraId="1F6948B2" w14:textId="77777777" w:rsidR="000C5C4C" w:rsidRPr="000C5C4C" w:rsidRDefault="000C5C4C" w:rsidP="000C5C4C">
      <w:pPr>
        <w:numPr>
          <w:ilvl w:val="0"/>
          <w:numId w:val="3"/>
        </w:numPr>
        <w:jc w:val="both"/>
      </w:pPr>
      <w:r w:rsidRPr="000C5C4C">
        <w:t xml:space="preserve">Ghosh, D. P. (2026). </w:t>
      </w:r>
      <w:r w:rsidRPr="000C5C4C">
        <w:rPr>
          <w:i/>
          <w:iCs/>
        </w:rPr>
        <w:t>Building, Holding, and Keeping the Ladder.</w:t>
      </w:r>
      <w:r w:rsidRPr="000C5C4C">
        <w:t xml:space="preserve"> DOI 10.13140/RG.2.2.18367.88483. (The three axes and the axis-space; the metric rung this paper's junction sits on.)</w:t>
      </w:r>
    </w:p>
    <w:p w14:paraId="251696AE" w14:textId="77777777" w:rsidR="000C5C4C" w:rsidRPr="000C5C4C" w:rsidRDefault="000C5C4C" w:rsidP="000C5C4C">
      <w:pPr>
        <w:numPr>
          <w:ilvl w:val="0"/>
          <w:numId w:val="3"/>
        </w:numPr>
        <w:jc w:val="both"/>
      </w:pPr>
      <w:r w:rsidRPr="000C5C4C">
        <w:lastRenderedPageBreak/>
        <w:t xml:space="preserve">Ghosh, D. P. (2026). </w:t>
      </w:r>
      <w:r w:rsidRPr="000C5C4C">
        <w:rPr>
          <w:i/>
          <w:iCs/>
        </w:rPr>
        <w:t>Dynamic Predictive Gluing.</w:t>
      </w:r>
      <w:r w:rsidRPr="000C5C4C">
        <w:t xml:space="preserve"> DOI 10.13140/RG.2.2.19848.99846. (Online/offline irreducibility — the §5 read/write wall; the obstruction and the necessity of the offline lift.)</w:t>
      </w:r>
    </w:p>
    <w:p w14:paraId="6E9F45A9" w14:textId="77777777" w:rsidR="000C5C4C" w:rsidRPr="000C5C4C" w:rsidRDefault="000C5C4C" w:rsidP="000C5C4C">
      <w:pPr>
        <w:numPr>
          <w:ilvl w:val="0"/>
          <w:numId w:val="3"/>
        </w:numPr>
        <w:jc w:val="both"/>
      </w:pPr>
      <w:r w:rsidRPr="000C5C4C">
        <w:t xml:space="preserve">Ghosh, D. P. (2026). </w:t>
      </w:r>
      <w:r w:rsidRPr="000C5C4C">
        <w:rPr>
          <w:i/>
          <w:iCs/>
        </w:rPr>
        <w:t>AI is Pretrain → Finetune; Defensible AGI is Audit → Lift.</w:t>
      </w:r>
      <w:r w:rsidRPr="000C5C4C">
        <w:t xml:space="preserve"> DOI 10.13140/RG.2.2.20183.23205. (The capture-tag as local inductive bias; the false-zero design diagnosis of §6; the liftable–irreducible terminus.)</w:t>
      </w:r>
    </w:p>
    <w:p w14:paraId="6F4043ED" w14:textId="77777777" w:rsidR="000C5C4C" w:rsidRPr="000C5C4C" w:rsidRDefault="000C5C4C" w:rsidP="000C5C4C">
      <w:pPr>
        <w:numPr>
          <w:ilvl w:val="0"/>
          <w:numId w:val="3"/>
        </w:numPr>
        <w:jc w:val="both"/>
      </w:pPr>
      <w:r w:rsidRPr="000C5C4C">
        <w:t xml:space="preserve">Ghosh, D. P. </w:t>
      </w:r>
      <w:r w:rsidRPr="000C5C4C">
        <w:rPr>
          <w:i/>
          <w:iCs/>
        </w:rPr>
        <w:t>The Algorithm of the 3→6-Layer Cortex.</w:t>
      </w:r>
      <w:r w:rsidRPr="000C5C4C">
        <w:t xml:space="preserve"> doi:10.13140/RG.2.2.14232.56328. (The layer-5 audit and the STN withhold, §5.3; the resolution reading of ε(Π), §3.5; the nightly lift cycle, §5.5.)</w:t>
      </w:r>
    </w:p>
    <w:p w14:paraId="0F7ACBB8" w14:textId="77777777" w:rsidR="000C5C4C" w:rsidRPr="000C5C4C" w:rsidRDefault="000C5C4C" w:rsidP="000C5C4C">
      <w:pPr>
        <w:numPr>
          <w:ilvl w:val="0"/>
          <w:numId w:val="3"/>
        </w:numPr>
        <w:jc w:val="both"/>
      </w:pPr>
      <w:r w:rsidRPr="000C5C4C">
        <w:t xml:space="preserve">Ghosh, D. P. </w:t>
      </w:r>
      <w:r w:rsidRPr="000C5C4C">
        <w:rPr>
          <w:i/>
          <w:iCs/>
        </w:rPr>
        <w:t>Hypercovering and Descent: A Thalamo-Cortical Algorithm.</w:t>
      </w:r>
      <w:r w:rsidRPr="000C5C4C">
        <w:t xml:space="preserve"> (The false-zero as a </w:t>
      </w:r>
      <w:r w:rsidRPr="000C5C4C">
        <w:rPr>
          <w:i/>
          <w:iCs/>
        </w:rPr>
        <w:t>resolution</w:t>
      </w:r>
      <w:r w:rsidRPr="000C5C4C">
        <w:t xml:space="preserve"> failure — a non-Leray cover surfaced by cover refinement — the canonical sense §3 now distinguishes from a below-T₂ separation collapse; the budget-relative descent halt and the §8.5 terminus that makes the road never fully paved.)</w:t>
      </w:r>
    </w:p>
    <w:p w14:paraId="74E6059E" w14:textId="77777777" w:rsidR="000C5C4C" w:rsidRPr="000C5C4C" w:rsidRDefault="000C5C4C" w:rsidP="000C5C4C">
      <w:pPr>
        <w:numPr>
          <w:ilvl w:val="0"/>
          <w:numId w:val="3"/>
        </w:numPr>
        <w:jc w:val="both"/>
      </w:pPr>
      <w:r w:rsidRPr="000C5C4C">
        <w:t xml:space="preserve">Ghosh, D. P. </w:t>
      </w:r>
      <w:r w:rsidRPr="000C5C4C">
        <w:rPr>
          <w:i/>
          <w:iCs/>
        </w:rPr>
        <w:t>The Metric–Separation Junction</w:t>
      </w:r>
      <w:r w:rsidRPr="000C5C4C">
        <w:t xml:space="preserve"> (horizon note). (The conceptual frame: the junction, the down-free/up-earned asymmetry, the VA/VL read and N3 write — formalized here at the circuit level.)</w:t>
      </w:r>
    </w:p>
    <w:p w14:paraId="37726BF2" w14:textId="77777777" w:rsidR="000C5C4C" w:rsidRPr="000C5C4C" w:rsidRDefault="000C5C4C" w:rsidP="000C5C4C">
      <w:pPr>
        <w:numPr>
          <w:ilvl w:val="0"/>
          <w:numId w:val="3"/>
        </w:numPr>
        <w:jc w:val="both"/>
      </w:pPr>
      <w:r w:rsidRPr="000C5C4C">
        <w:t xml:space="preserve">Ghosh, D. P. </w:t>
      </w:r>
      <w:r w:rsidRPr="000C5C4C">
        <w:rPr>
          <w:i/>
          <w:iCs/>
        </w:rPr>
        <w:t>The Separation Hierarchy</w:t>
      </w:r>
      <w:r w:rsidRPr="000C5C4C">
        <w:t xml:space="preserve"> (horizon note). (Axis 3 as the T₀–T₄ ladder; the metric </w:t>
      </w:r>
      <w:r w:rsidRPr="000C5C4C">
        <w:rPr>
          <w:rFonts w:ascii="Cambria Math" w:hAnsi="Cambria Math" w:cs="Cambria Math"/>
        </w:rPr>
        <w:t>⟹</w:t>
      </w:r>
      <w:r w:rsidRPr="000C5C4C">
        <w:t xml:space="preserve"> T₄ grant, the subthalamic audit band (sub-T₄, ≥ T₂), and the resolution-vs-separation distinction §3 draws are placed there on the ladder.)</w:t>
      </w:r>
    </w:p>
    <w:p w14:paraId="3BA3EBF8" w14:textId="77777777" w:rsidR="000C5C4C" w:rsidRPr="000C5C4C" w:rsidRDefault="000C5C4C" w:rsidP="000C5C4C">
      <w:pPr>
        <w:numPr>
          <w:ilvl w:val="0"/>
          <w:numId w:val="3"/>
        </w:numPr>
        <w:jc w:val="both"/>
      </w:pPr>
      <w:r w:rsidRPr="000C5C4C">
        <w:t xml:space="preserve">Ghosh, D. P. </w:t>
      </w:r>
      <w:r w:rsidRPr="000C5C4C">
        <w:rPr>
          <w:i/>
          <w:iCs/>
        </w:rPr>
        <w:t>The Entorhinal–Hippocampal Confluence.</w:t>
      </w:r>
      <w:r w:rsidRPr="000C5C4C">
        <w:t xml:space="preserve"> (The structural-sibling junction: where the basal ganglia gate </w:t>
      </w:r>
      <w:r w:rsidRPr="000C5C4C">
        <w:rPr>
          <w:i/>
          <w:iCs/>
        </w:rPr>
        <w:t>separation before metric</w:t>
      </w:r>
      <w:r w:rsidRPr="000C5C4C">
        <w:t xml:space="preserve">, the confluence enforces </w:t>
      </w:r>
      <w:r w:rsidRPr="000C5C4C">
        <w:rPr>
          <w:i/>
          <w:iCs/>
        </w:rPr>
        <w:t>separation before binding</w:t>
      </w:r>
      <w:r w:rsidRPr="000C5C4C">
        <w:t xml:space="preserve"> — the same Axis-3-before-the-higher-operation discipline in a different circuit.)</w:t>
      </w:r>
    </w:p>
    <w:p w14:paraId="1692D5E7" w14:textId="76132999" w:rsidR="000C5C4C" w:rsidRPr="000C5C4C" w:rsidRDefault="000C5C4C" w:rsidP="000C5C4C">
      <w:pPr>
        <w:jc w:val="both"/>
      </w:pPr>
    </w:p>
    <w:p w14:paraId="5F4C56EB" w14:textId="77777777" w:rsidR="00DC1523" w:rsidRDefault="00DC1523" w:rsidP="000C5C4C">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F44B2"/>
    <w:multiLevelType w:val="multilevel"/>
    <w:tmpl w:val="592C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7337DF"/>
    <w:multiLevelType w:val="multilevel"/>
    <w:tmpl w:val="26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EA076E"/>
    <w:multiLevelType w:val="multilevel"/>
    <w:tmpl w:val="617C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100921">
    <w:abstractNumId w:val="2"/>
  </w:num>
  <w:num w:numId="2" w16cid:durableId="572547144">
    <w:abstractNumId w:val="0"/>
  </w:num>
  <w:num w:numId="3" w16cid:durableId="1761835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832"/>
    <w:rsid w:val="000C5C4C"/>
    <w:rsid w:val="002C3F9C"/>
    <w:rsid w:val="00544AA2"/>
    <w:rsid w:val="00646E4E"/>
    <w:rsid w:val="008B08B7"/>
    <w:rsid w:val="00997E89"/>
    <w:rsid w:val="00AF7832"/>
    <w:rsid w:val="00B41DE8"/>
    <w:rsid w:val="00BD2131"/>
    <w:rsid w:val="00C24516"/>
    <w:rsid w:val="00DC1523"/>
    <w:rsid w:val="00ED6174"/>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13BA8"/>
  <w15:chartTrackingRefBased/>
  <w15:docId w15:val="{91D4828A-ACAC-43E6-B674-19A997A2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7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7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832"/>
    <w:rPr>
      <w:rFonts w:eastAsiaTheme="majorEastAsia" w:cstheme="majorBidi"/>
      <w:color w:val="272727" w:themeColor="text1" w:themeTint="D8"/>
    </w:rPr>
  </w:style>
  <w:style w:type="paragraph" w:styleId="Title">
    <w:name w:val="Title"/>
    <w:basedOn w:val="Normal"/>
    <w:next w:val="Normal"/>
    <w:link w:val="TitleChar"/>
    <w:uiPriority w:val="10"/>
    <w:qFormat/>
    <w:rsid w:val="00AF7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832"/>
    <w:pPr>
      <w:spacing w:before="160"/>
      <w:jc w:val="center"/>
    </w:pPr>
    <w:rPr>
      <w:i/>
      <w:iCs/>
      <w:color w:val="404040" w:themeColor="text1" w:themeTint="BF"/>
    </w:rPr>
  </w:style>
  <w:style w:type="character" w:customStyle="1" w:styleId="QuoteChar">
    <w:name w:val="Quote Char"/>
    <w:basedOn w:val="DefaultParagraphFont"/>
    <w:link w:val="Quote"/>
    <w:uiPriority w:val="29"/>
    <w:rsid w:val="00AF7832"/>
    <w:rPr>
      <w:i/>
      <w:iCs/>
      <w:color w:val="404040" w:themeColor="text1" w:themeTint="BF"/>
    </w:rPr>
  </w:style>
  <w:style w:type="paragraph" w:styleId="ListParagraph">
    <w:name w:val="List Paragraph"/>
    <w:basedOn w:val="Normal"/>
    <w:uiPriority w:val="34"/>
    <w:qFormat/>
    <w:rsid w:val="00AF7832"/>
    <w:pPr>
      <w:ind w:left="720"/>
      <w:contextualSpacing/>
    </w:pPr>
  </w:style>
  <w:style w:type="character" w:styleId="IntenseEmphasis">
    <w:name w:val="Intense Emphasis"/>
    <w:basedOn w:val="DefaultParagraphFont"/>
    <w:uiPriority w:val="21"/>
    <w:qFormat/>
    <w:rsid w:val="00AF7832"/>
    <w:rPr>
      <w:i/>
      <w:iCs/>
      <w:color w:val="2F5496" w:themeColor="accent1" w:themeShade="BF"/>
    </w:rPr>
  </w:style>
  <w:style w:type="paragraph" w:styleId="IntenseQuote">
    <w:name w:val="Intense Quote"/>
    <w:basedOn w:val="Normal"/>
    <w:next w:val="Normal"/>
    <w:link w:val="IntenseQuoteChar"/>
    <w:uiPriority w:val="30"/>
    <w:qFormat/>
    <w:rsid w:val="00AF7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832"/>
    <w:rPr>
      <w:i/>
      <w:iCs/>
      <w:color w:val="2F5496" w:themeColor="accent1" w:themeShade="BF"/>
    </w:rPr>
  </w:style>
  <w:style w:type="character" w:styleId="IntenseReference">
    <w:name w:val="Intense Reference"/>
    <w:basedOn w:val="DefaultParagraphFont"/>
    <w:uiPriority w:val="32"/>
    <w:qFormat/>
    <w:rsid w:val="00AF7832"/>
    <w:rPr>
      <w:b/>
      <w:bCs/>
      <w:smallCaps/>
      <w:color w:val="2F5496" w:themeColor="accent1" w:themeShade="BF"/>
      <w:spacing w:val="5"/>
    </w:rPr>
  </w:style>
  <w:style w:type="character" w:styleId="Hyperlink">
    <w:name w:val="Hyperlink"/>
    <w:basedOn w:val="DefaultParagraphFont"/>
    <w:uiPriority w:val="99"/>
    <w:unhideWhenUsed/>
    <w:rsid w:val="000C5C4C"/>
    <w:rPr>
      <w:color w:val="0563C1" w:themeColor="hyperlink"/>
      <w:u w:val="single"/>
    </w:rPr>
  </w:style>
  <w:style w:type="character" w:styleId="UnresolvedMention">
    <w:name w:val="Unresolved Mention"/>
    <w:basedOn w:val="DefaultParagraphFont"/>
    <w:uiPriority w:val="99"/>
    <w:semiHidden/>
    <w:unhideWhenUsed/>
    <w:rsid w:val="000C5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14219.45604"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7393-2907" TargetMode="External"/><Relationship Id="rId11" Type="http://schemas.openxmlformats.org/officeDocument/2006/relationships/theme" Target="theme/theme1.xml"/><Relationship Id="rId5" Type="http://schemas.openxmlformats.org/officeDocument/2006/relationships/hyperlink" Target="mailto:debiprasadghosh@lntecc.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3140/RG.2.2.18367.884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4100</Words>
  <Characters>23374</Characters>
  <Application>Microsoft Office Word</Application>
  <DocSecurity>0</DocSecurity>
  <Lines>194</Lines>
  <Paragraphs>54</Paragraphs>
  <ScaleCrop>false</ScaleCrop>
  <Company/>
  <LinksUpToDate>false</LinksUpToDate>
  <CharactersWithSpaces>27420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7</cp:revision>
  <cp:lastPrinted>2026-06-17T14:31:00Z</cp:lastPrinted>
  <dcterms:created xsi:type="dcterms:W3CDTF">2026-06-17T14:21:00Z</dcterms:created>
  <dcterms:modified xsi:type="dcterms:W3CDTF">2026-06-17T14:35:00Z</dcterms:modified>
</cp:coreProperties>
</file>