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Cambria" w:hAnsi="Cambria"/>
          <w:b/>
          <w:color w:val="17365D"/>
          <w:sz w:val="42"/>
        </w:rPr>
        <w:t>Coherence That Cannot Be Compiled Away</w:t>
      </w:r>
    </w:p>
    <w:p>
      <w:pPr>
        <w:jc w:val="center"/>
      </w:pPr>
      <w:r>
        <w:rPr>
          <w:rFonts w:ascii="Cambria" w:hAnsi="Cambria"/>
          <w:i/>
          <w:color w:val="2F5597"/>
          <w:sz w:val="28"/>
        </w:rPr>
        <w:t>A Strictification Criterion for Post-Diffusion Architectures</w:t>
      </w:r>
    </w:p>
    <w:p>
      <w:pPr>
        <w:spacing w:before="440"/>
        <w:jc w:val="center"/>
      </w:pPr>
      <w:r>
        <w:rPr>
          <w:b/>
          <w:sz w:val="24"/>
        </w:rPr>
        <w:t>Debi Prasad Ghosh</w:t>
      </w:r>
    </w:p>
    <w:p>
      <w:pPr>
        <w:jc w:val="center"/>
      </w:pPr>
      <w:r>
        <w:rPr>
          <w:i/>
        </w:rPr>
        <w:t>Independent Research / Debias Parametric Guru</w:t>
      </w:r>
    </w:p>
    <w:p>
      <w:pPr>
        <w:spacing w:before="560"/>
        <w:jc w:val="center"/>
      </w:pPr>
      <w:r>
        <w:rPr>
          <w:color w:val="5A5A5A"/>
          <w:sz w:val="20"/>
        </w:rPr>
        <w:t>Preprint — August 2026</w:t>
      </w:r>
    </w:p>
    <w:p>
      <w:pPr>
        <w:spacing w:before="700"/>
        <w:ind w:left="792" w:right="792"/>
      </w:pPr>
      <w:r>
        <w:rPr>
          <w:b/>
        </w:rPr>
        <w:t xml:space="preserve">Abstract. </w:t>
      </w:r>
      <w:r>
        <w:t>Masked diffusion changed discrete generation by materializing partial states and making generation order latent. This paper asks what kind of successor architecture would constitute an equally structural transition rather than a regularization trick. We propose a strictification criterion: a genuinely post-diffusion architecture is justified only when the relevant coherence cannot be compiled into an equally efficient strict representation while preserving the task interface. We first evacuate order compatibility as architectural novelty, relating arbitrary-order masked denoising to the classical compatibility problem for conditionally specified distributions and to recent denoising-circulation analyses. We then construct graph-constrained collapse processes through bond lattices, which provide a closed corruption poset and a computable coherence budget given by the Möbius invariant, equivalently the linear coefficient of the graph chromatic polynomial for connected graphs. This separates multiplicity of coherence obligations from non-strictifiability. We show why contiguous-span collapse remains Boolean and therefore cannot isolate the proposed geometry. We introduce relative collapse diffusion over typed partial objects with an externally anchored semantic fiber, identify equivalence collapse as the characteristic failure mode, and derive a variational fiber-likelihood objective. Finally, we argue that the decisive theoretical target is computational non-strictifiability at dimension three: an explicit interchanger architecture must exhibit a resource or generalization separation from strictified alternatives on tasks whose sufficient representation carries essential higher coherence. We propose proof-DAG stratification, polygraphic rewriting curricula, and a three-dimensional-parity benchmark as falsifiable tests. The program survives only if explicit higher coherence is computationally cheaper than compiling it away.</w:t>
      </w:r>
    </w:p>
    <w:p>
      <w:pPr>
        <w:ind w:left="792" w:right="792"/>
      </w:pPr>
      <w:r>
        <w:rPr>
          <w:b/>
        </w:rPr>
        <w:t xml:space="preserve">Keywords: </w:t>
      </w:r>
      <w:r>
        <w:t>diffusion language models; masked diffusion; strictification; bicategories; tricategories; Gray categories; bond lattices; graphic matroids; chromatic polynomial; formal theorem proving; polygraphic rewriting; weak equivalence; coherence; Lean</w:t>
      </w:r>
    </w:p>
    <w:p>
      <w:r>
        <w:br w:type="page"/>
      </w:r>
    </w:p>
    <w:p>
      <w:pPr>
        <w:pStyle w:val="Heading1"/>
      </w:pPr>
      <w:r>
        <w:t>1. Introduction: from order freedom to coherence debt</w:t>
      </w:r>
    </w:p>
    <w:p>
      <w:r>
        <w:t>Modern generative architectures differ not only in their parameterization but in what they declare to be a state. Autoregressive (AR) language models work on complete prefixes and hard-wire one factorization order. Masked discrete diffusion enlarges the state space by admitting explicit partial states, represented by a mask symbol, and trains a reverse process over many subsets of revealed coordinates. This change is deeper than replacing one loss by another: it moves generation order from architectural commitment to a latent variable. Absorbing masked diffusion also preserves a monotone corruption structure and admits simplified likelihood bounds based on weighted masked cross-entropy objectives [1–3].</w:t>
      </w:r>
    </w:p>
    <w:p>
      <w:r>
        <w:t>The natural next question is therefore not whether topology, category theory, or graph structure can be added to a diffusion model. Almost any sufficiently expressive network can carry such annotations. The stronger question is architectural: which coherence obligations may be safely compiled into strict equality, and which require explicit representational degrees of freedom because strictification changes the task or imposes a prohibitive computational cost?</w:t>
      </w:r>
    </w:p>
    <w:p>
      <w:r>
        <w:t>This paper develops a criterion for answering that question. Its negative results are intentional. Order compatibility is classical probability theory in a modern mask-state geometry; local curvature or denoising circulation is a useful diagnostic and regularizer but not a new architecture. Likewise, the presence of non-Boolean collapse geometry multiplies compatibility obligations but does not by itself force higher cells. The case for a post-diffusion architecture begins only where an explicit higher-coherence representation can outperform all admissible strictifications under controlled capacity and interface constraints.</w:t>
      </w:r>
    </w:p>
    <w:p>
      <w:r>
        <w:t>The resulting program has two layers. The first is constructive: replace unconstrained collapse families by bond lattices generated from a dependency graph, thereby obtaining a closed, computable corruption geometry. The second is a strictification test: identify task families where the relevant three-dimensional coherence is essential and test whether an architecture carrying explicit interchangers enjoys a measurable complexity or compositional-generalization advantage. If no such separation exists, “Homotopic AI” is notation. If it does, the separation supplies an architectural reason for its existence.</w:t>
      </w:r>
    </w:p>
    <w:p>
      <w:pPr>
        <w:pStyle w:val="Caption"/>
        <w:keepNext/>
        <w:jc w:val="center"/>
      </w:pPr>
      <w:r>
        <w:rPr>
          <w:b/>
        </w:rPr>
        <w:t>Table 1. Architectural progression used in this paper.</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800"/>
            <w:shd w:fill="D9EAF7"/>
            <w:vAlign w:val="center"/>
            <w:tcMar>
              <w:top w:w="80" w:type="dxa"/>
              <w:start w:w="80" w:type="dxa"/>
              <w:bottom w:w="80" w:type="dxa"/>
              <w:end w:w="80" w:type="dxa"/>
            </w:tcMar>
          </w:tcPr>
          <w:p>
            <w:pPr>
              <w:jc w:val="center"/>
            </w:pPr>
            <w:r>
              <w:rPr>
                <w:b/>
                <w:sz w:val="18"/>
              </w:rPr>
              <w:t>Architecture</w:t>
            </w:r>
          </w:p>
        </w:tc>
        <w:tc>
          <w:tcPr>
            <w:tcW w:type="dxa" w:w="2304"/>
            <w:shd w:fill="D9EAF7"/>
            <w:vAlign w:val="center"/>
            <w:tcMar>
              <w:top w:w="80" w:type="dxa"/>
              <w:start w:w="80" w:type="dxa"/>
              <w:bottom w:w="80" w:type="dxa"/>
              <w:end w:w="80" w:type="dxa"/>
            </w:tcMar>
          </w:tcPr>
          <w:p>
            <w:pPr>
              <w:jc w:val="center"/>
            </w:pPr>
            <w:r>
              <w:rPr>
                <w:b/>
                <w:sz w:val="18"/>
              </w:rPr>
              <w:t>Materialized state</w:t>
            </w:r>
          </w:p>
        </w:tc>
        <w:tc>
          <w:tcPr>
            <w:tcW w:type="dxa" w:w="1944"/>
            <w:shd w:fill="D9EAF7"/>
            <w:vAlign w:val="center"/>
            <w:tcMar>
              <w:top w:w="80" w:type="dxa"/>
              <w:start w:w="80" w:type="dxa"/>
              <w:bottom w:w="80" w:type="dxa"/>
              <w:end w:w="80" w:type="dxa"/>
            </w:tcMar>
          </w:tcPr>
          <w:p>
            <w:pPr>
              <w:jc w:val="center"/>
            </w:pPr>
            <w:r>
              <w:rPr>
                <w:b/>
                <w:sz w:val="18"/>
              </w:rPr>
              <w:t>Latent freedom</w:t>
            </w:r>
          </w:p>
        </w:tc>
        <w:tc>
          <w:tcPr>
            <w:tcW w:type="dxa" w:w="2376"/>
            <w:shd w:fill="D9EAF7"/>
            <w:vAlign w:val="center"/>
            <w:tcMar>
              <w:top w:w="80" w:type="dxa"/>
              <w:start w:w="80" w:type="dxa"/>
              <w:bottom w:w="80" w:type="dxa"/>
              <w:end w:w="80" w:type="dxa"/>
            </w:tcMar>
          </w:tcPr>
          <w:p>
            <w:pPr>
              <w:jc w:val="center"/>
            </w:pPr>
            <w:r>
              <w:rPr>
                <w:b/>
                <w:sz w:val="18"/>
              </w:rPr>
              <w:t>Coherence status</w:t>
            </w:r>
          </w:p>
        </w:tc>
        <w:tc>
          <w:tcPr>
            <w:tcW w:type="dxa" w:w="1800"/>
            <w:shd w:fill="D9EAF7"/>
            <w:vAlign w:val="center"/>
            <w:tcMar>
              <w:top w:w="80" w:type="dxa"/>
              <w:start w:w="80" w:type="dxa"/>
              <w:bottom w:w="80" w:type="dxa"/>
              <w:end w:w="80" w:type="dxa"/>
            </w:tcMar>
          </w:tcPr>
          <w:p>
            <w:pPr>
              <w:jc w:val="center"/>
            </w:pPr>
            <w:r>
              <w:rPr>
                <w:b/>
                <w:sz w:val="18"/>
              </w:rPr>
              <w:t>Primitive query</w:t>
            </w:r>
          </w:p>
        </w:tc>
      </w:tr>
      <w:tr>
        <w:tc>
          <w:tcPr>
            <w:tcW w:type="dxa" w:w="1800"/>
            <w:vAlign w:val="center"/>
            <w:tcMar>
              <w:top w:w="80" w:type="dxa"/>
              <w:start w:w="80" w:type="dxa"/>
              <w:bottom w:w="80" w:type="dxa"/>
              <w:end w:w="80" w:type="dxa"/>
            </w:tcMar>
          </w:tcPr>
          <w:p>
            <w:r>
              <w:rPr>
                <w:sz w:val="17"/>
              </w:rPr>
              <w:t>Autoregressive</w:t>
            </w:r>
          </w:p>
        </w:tc>
        <w:tc>
          <w:tcPr>
            <w:tcW w:type="dxa" w:w="2304"/>
            <w:vAlign w:val="center"/>
            <w:tcMar>
              <w:top w:w="80" w:type="dxa"/>
              <w:start w:w="80" w:type="dxa"/>
              <w:bottom w:w="80" w:type="dxa"/>
              <w:end w:w="80" w:type="dxa"/>
            </w:tcMar>
          </w:tcPr>
          <w:p>
            <w:r>
              <w:rPr>
                <w:sz w:val="17"/>
              </w:rPr>
              <w:t>prefix / complete local state</w:t>
            </w:r>
          </w:p>
        </w:tc>
        <w:tc>
          <w:tcPr>
            <w:tcW w:type="dxa" w:w="1944"/>
            <w:vAlign w:val="center"/>
            <w:tcMar>
              <w:top w:w="80" w:type="dxa"/>
              <w:start w:w="80" w:type="dxa"/>
              <w:bottom w:w="80" w:type="dxa"/>
              <w:end w:w="80" w:type="dxa"/>
            </w:tcMar>
          </w:tcPr>
          <w:p>
            <w:r>
              <w:rPr>
                <w:sz w:val="17"/>
              </w:rPr>
              <w:t>none; order fixed</w:t>
            </w:r>
          </w:p>
        </w:tc>
        <w:tc>
          <w:tcPr>
            <w:tcW w:type="dxa" w:w="2376"/>
            <w:vAlign w:val="center"/>
            <w:tcMar>
              <w:top w:w="80" w:type="dxa"/>
              <w:start w:w="80" w:type="dxa"/>
              <w:bottom w:w="80" w:type="dxa"/>
              <w:end w:w="80" w:type="dxa"/>
            </w:tcMar>
          </w:tcPr>
          <w:p>
            <w:r>
              <w:rPr>
                <w:sz w:val="17"/>
              </w:rPr>
              <w:t>not represented</w:t>
            </w:r>
          </w:p>
        </w:tc>
        <w:tc>
          <w:tcPr>
            <w:tcW w:type="dxa" w:w="1800"/>
            <w:vAlign w:val="center"/>
            <w:tcMar>
              <w:top w:w="80" w:type="dxa"/>
              <w:start w:w="80" w:type="dxa"/>
              <w:bottom w:w="80" w:type="dxa"/>
              <w:end w:w="80" w:type="dxa"/>
            </w:tcMar>
          </w:tcPr>
          <w:p>
            <w:r>
              <w:rPr>
                <w:sz w:val="17"/>
              </w:rPr>
              <w:t>next token</w:t>
            </w:r>
          </w:p>
        </w:tc>
      </w:tr>
      <w:tr>
        <w:tc>
          <w:tcPr>
            <w:tcW w:type="dxa" w:w="1800"/>
            <w:vAlign w:val="center"/>
            <w:tcMar>
              <w:top w:w="80" w:type="dxa"/>
              <w:start w:w="80" w:type="dxa"/>
              <w:bottom w:w="80" w:type="dxa"/>
              <w:end w:w="80" w:type="dxa"/>
            </w:tcMar>
          </w:tcPr>
          <w:p>
            <w:r>
              <w:rPr>
                <w:sz w:val="17"/>
              </w:rPr>
              <w:t>Masked diffusion</w:t>
            </w:r>
          </w:p>
        </w:tc>
        <w:tc>
          <w:tcPr>
            <w:tcW w:type="dxa" w:w="2304"/>
            <w:vAlign w:val="center"/>
            <w:tcMar>
              <w:top w:w="80" w:type="dxa"/>
              <w:start w:w="80" w:type="dxa"/>
              <w:bottom w:w="80" w:type="dxa"/>
              <w:end w:w="80" w:type="dxa"/>
            </w:tcMar>
          </w:tcPr>
          <w:p>
            <w:r>
              <w:rPr>
                <w:sz w:val="17"/>
              </w:rPr>
              <w:t>Boolean partial state</w:t>
            </w:r>
          </w:p>
        </w:tc>
        <w:tc>
          <w:tcPr>
            <w:tcW w:type="dxa" w:w="1944"/>
            <w:vAlign w:val="center"/>
            <w:tcMar>
              <w:top w:w="80" w:type="dxa"/>
              <w:start w:w="80" w:type="dxa"/>
              <w:bottom w:w="80" w:type="dxa"/>
              <w:end w:w="80" w:type="dxa"/>
            </w:tcMar>
          </w:tcPr>
          <w:p>
            <w:r>
              <w:rPr>
                <w:sz w:val="17"/>
              </w:rPr>
              <w:t>generation order</w:t>
            </w:r>
          </w:p>
        </w:tc>
        <w:tc>
          <w:tcPr>
            <w:tcW w:type="dxa" w:w="2376"/>
            <w:vAlign w:val="center"/>
            <w:tcMar>
              <w:top w:w="80" w:type="dxa"/>
              <w:start w:w="80" w:type="dxa"/>
              <w:bottom w:w="80" w:type="dxa"/>
              <w:end w:w="80" w:type="dxa"/>
            </w:tcMar>
          </w:tcPr>
          <w:p>
            <w:r>
              <w:rPr>
                <w:sz w:val="17"/>
              </w:rPr>
              <w:t>local conditionals may be incompatible</w:t>
            </w:r>
          </w:p>
        </w:tc>
        <w:tc>
          <w:tcPr>
            <w:tcW w:type="dxa" w:w="1800"/>
            <w:vAlign w:val="center"/>
            <w:tcMar>
              <w:top w:w="80" w:type="dxa"/>
              <w:start w:w="80" w:type="dxa"/>
              <w:bottom w:w="80" w:type="dxa"/>
              <w:end w:w="80" w:type="dxa"/>
            </w:tcMar>
          </w:tcPr>
          <w:p>
            <w:r>
              <w:rPr>
                <w:sz w:val="17"/>
              </w:rPr>
              <w:t>missing value</w:t>
            </w:r>
          </w:p>
        </w:tc>
      </w:tr>
      <w:tr>
        <w:tc>
          <w:tcPr>
            <w:tcW w:type="dxa" w:w="1800"/>
            <w:vAlign w:val="center"/>
            <w:tcMar>
              <w:top w:w="80" w:type="dxa"/>
              <w:start w:w="80" w:type="dxa"/>
              <w:bottom w:w="80" w:type="dxa"/>
              <w:end w:w="80" w:type="dxa"/>
            </w:tcMar>
          </w:tcPr>
          <w:p>
            <w:r>
              <w:rPr>
                <w:sz w:val="17"/>
              </w:rPr>
              <w:t>Relative collapse diffusion</w:t>
            </w:r>
          </w:p>
        </w:tc>
        <w:tc>
          <w:tcPr>
            <w:tcW w:type="dxa" w:w="2304"/>
            <w:vAlign w:val="center"/>
            <w:tcMar>
              <w:top w:w="80" w:type="dxa"/>
              <w:start w:w="80" w:type="dxa"/>
              <w:bottom w:w="80" w:type="dxa"/>
              <w:end w:w="80" w:type="dxa"/>
            </w:tcMar>
          </w:tcPr>
          <w:p>
            <w:r>
              <w:rPr>
                <w:sz w:val="17"/>
              </w:rPr>
              <w:t>typed quotient / semantic hole</w:t>
            </w:r>
          </w:p>
        </w:tc>
        <w:tc>
          <w:tcPr>
            <w:tcW w:type="dxa" w:w="1944"/>
            <w:vAlign w:val="center"/>
            <w:tcMar>
              <w:top w:w="80" w:type="dxa"/>
              <w:start w:w="80" w:type="dxa"/>
              <w:bottom w:w="80" w:type="dxa"/>
              <w:end w:w="80" w:type="dxa"/>
            </w:tcMar>
          </w:tcPr>
          <w:p>
            <w:r>
              <w:rPr>
                <w:sz w:val="17"/>
              </w:rPr>
              <w:t>representative in a certified fiber</w:t>
            </w:r>
          </w:p>
        </w:tc>
        <w:tc>
          <w:tcPr>
            <w:tcW w:type="dxa" w:w="2376"/>
            <w:vAlign w:val="center"/>
            <w:tcMar>
              <w:top w:w="80" w:type="dxa"/>
              <w:start w:w="80" w:type="dxa"/>
              <w:bottom w:w="80" w:type="dxa"/>
              <w:end w:w="80" w:type="dxa"/>
            </w:tcMar>
          </w:tcPr>
          <w:p>
            <w:r>
              <w:rPr>
                <w:sz w:val="17"/>
              </w:rPr>
              <w:t>many local obligations</w:t>
            </w:r>
          </w:p>
        </w:tc>
        <w:tc>
          <w:tcPr>
            <w:tcW w:type="dxa" w:w="1800"/>
            <w:vAlign w:val="center"/>
            <w:tcMar>
              <w:top w:w="80" w:type="dxa"/>
              <w:start w:w="80" w:type="dxa"/>
              <w:bottom w:w="80" w:type="dxa"/>
              <w:end w:w="80" w:type="dxa"/>
            </w:tcMar>
          </w:tcPr>
          <w:p>
            <w:r>
              <w:rPr>
                <w:sz w:val="17"/>
              </w:rPr>
              <w:t>valid lift</w:t>
            </w:r>
          </w:p>
        </w:tc>
      </w:tr>
      <w:tr>
        <w:tc>
          <w:tcPr>
            <w:tcW w:type="dxa" w:w="1800"/>
            <w:vAlign w:val="center"/>
            <w:tcMar>
              <w:top w:w="80" w:type="dxa"/>
              <w:start w:w="80" w:type="dxa"/>
              <w:bottom w:w="80" w:type="dxa"/>
              <w:end w:w="80" w:type="dxa"/>
            </w:tcMar>
          </w:tcPr>
          <w:p>
            <w:r>
              <w:rPr>
                <w:sz w:val="17"/>
              </w:rPr>
              <w:t>Higher-coherent architecture</w:t>
            </w:r>
          </w:p>
        </w:tc>
        <w:tc>
          <w:tcPr>
            <w:tcW w:type="dxa" w:w="2304"/>
            <w:vAlign w:val="center"/>
            <w:tcMar>
              <w:top w:w="80" w:type="dxa"/>
              <w:start w:w="80" w:type="dxa"/>
              <w:bottom w:w="80" w:type="dxa"/>
              <w:end w:w="80" w:type="dxa"/>
            </w:tcMar>
          </w:tcPr>
          <w:p>
            <w:r>
              <w:rPr>
                <w:sz w:val="17"/>
              </w:rPr>
              <w:t>paths, witnesses, interchangers</w:t>
            </w:r>
          </w:p>
        </w:tc>
        <w:tc>
          <w:tcPr>
            <w:tcW w:type="dxa" w:w="1944"/>
            <w:vAlign w:val="center"/>
            <w:tcMar>
              <w:top w:w="80" w:type="dxa"/>
              <w:start w:w="80" w:type="dxa"/>
              <w:bottom w:w="80" w:type="dxa"/>
              <w:end w:w="80" w:type="dxa"/>
            </w:tcMar>
          </w:tcPr>
          <w:p>
            <w:r>
              <w:rPr>
                <w:sz w:val="17"/>
              </w:rPr>
              <w:t>composition of witnesses</w:t>
            </w:r>
          </w:p>
        </w:tc>
        <w:tc>
          <w:tcPr>
            <w:tcW w:type="dxa" w:w="2376"/>
            <w:vAlign w:val="center"/>
            <w:tcMar>
              <w:top w:w="80" w:type="dxa"/>
              <w:start w:w="80" w:type="dxa"/>
              <w:bottom w:w="80" w:type="dxa"/>
              <w:end w:w="80" w:type="dxa"/>
            </w:tcMar>
          </w:tcPr>
          <w:p>
            <w:r>
              <w:rPr>
                <w:sz w:val="17"/>
              </w:rPr>
              <w:t>explicit non-strictifiable coherence</w:t>
            </w:r>
          </w:p>
        </w:tc>
        <w:tc>
          <w:tcPr>
            <w:tcW w:type="dxa" w:w="1800"/>
            <w:vAlign w:val="center"/>
            <w:tcMar>
              <w:top w:w="80" w:type="dxa"/>
              <w:start w:w="80" w:type="dxa"/>
              <w:bottom w:w="80" w:type="dxa"/>
              <w:end w:w="80" w:type="dxa"/>
            </w:tcMar>
          </w:tcPr>
          <w:p>
            <w:r>
              <w:rPr>
                <w:sz w:val="17"/>
              </w:rPr>
              <w:t>higher filler / interchanger</w:t>
            </w:r>
          </w:p>
        </w:tc>
      </w:tr>
    </w:tbl>
    <w:p>
      <w:pPr>
        <w:spacing w:after="0"/>
      </w:pPr>
    </w:p>
    <w:p>
      <w:pPr>
        <w:pStyle w:val="Heading1"/>
      </w:pPr>
      <w:r>
        <w:t>2. What masking changed, stated as an operator</w:t>
      </w:r>
    </w:p>
    <w:p>
      <w:r>
        <w:t>Let the complete discrete state space be V^n. Introducing a distinguished mask symbol m gives an enlarged space (V ∪ {m})^n in which every subset S ⊆ [n] of revealed coordinates is representable. Ignoring token values, mask patterns are indexed by the Boolean lattice B_n = 2^[n]. Three structural effects follow.</w:t>
      </w:r>
    </w:p>
    <w:p>
      <w:pPr>
        <w:pStyle w:val="ListNumber"/>
        <w:spacing w:after="40"/>
      </w:pPr>
      <w:r>
        <w:t>Partiality is materialized: incomplete states are first-class model inputs rather than external bookkeeping.</w:t>
      </w:r>
    </w:p>
    <w:p>
      <w:pPr>
        <w:pStyle w:val="ListNumber"/>
        <w:spacing w:after="40"/>
      </w:pPr>
      <w:r>
        <w:t>Generation order is demoted to a latent factorization variable: an AR model follows one maximal chain in B_n, whereas masked diffusion trains across many mask patterns and can decode in different orders.</w:t>
      </w:r>
    </w:p>
    <w:p>
      <w:pPr>
        <w:pStyle w:val="ListNumber"/>
        <w:spacing w:after="40"/>
      </w:pPr>
      <w:r>
        <w:t>The absorbing forward corruption is monotone in revealed/masked information, enabling especially simple continuous-time variational objectives for masked diffusion [2].</w:t>
      </w:r>
    </w:p>
    <w:p>
      <w:r>
        <w:t>These observations define the comparison standard for any successor primitive. A post-diffusion corruption operator should specify (i) the enlarged state space, (ii) the latent degree of freedom created by that enlargement, and (iii) the algebraic or order structure that makes training and inference tractable.</w:t>
      </w:r>
    </w:p>
    <w:p>
      <w:pPr>
        <w:pStyle w:val="Heading1"/>
      </w:pPr>
      <w:r>
        <w:t>3. Negative result I: order compatibility is not the architectural novelty</w:t>
      </w:r>
    </w:p>
    <w:p>
      <w:r>
        <w:t>Fix a mask state S and, for i ∉ S, let the denoiser provide a local conditional p_θ(x_i | x_S). Assigning such conditionals to the directed edges S → S ∪ {i} of the Boolean cube gives a stochastic path model. Chaining along a permutation σ produces an order-induced pseudo-joint q_σ. Different orders need not agree.</w:t>
      </w:r>
    </w:p>
    <w:p>
      <w:pPr>
        <w:spacing w:before="60" w:after="60"/>
        <w:jc w:val="center"/>
      </w:pPr>
      <w:r>
        <w:drawing>
          <wp:inline xmlns:a="http://schemas.openxmlformats.org/drawingml/2006/main" xmlns:pic="http://schemas.openxmlformats.org/drawingml/2006/picture">
            <wp:extent cx="2369127" cy="540327"/>
            <wp:docPr id="1" name="Picture 1"/>
            <wp:cNvGraphicFramePr>
              <a:graphicFrameLocks noChangeAspect="1"/>
            </wp:cNvGraphicFramePr>
            <a:graphic>
              <a:graphicData uri="http://schemas.openxmlformats.org/drawingml/2006/picture">
                <pic:pic>
                  <pic:nvPicPr>
                    <pic:cNvPr id="0" name="eq_01.png"/>
                    <pic:cNvPicPr/>
                  </pic:nvPicPr>
                  <pic:blipFill>
                    <a:blip r:embed="rId11"/>
                    <a:stretch>
                      <a:fillRect/>
                    </a:stretch>
                  </pic:blipFill>
                  <pic:spPr>
                    <a:xfrm>
                      <a:off x="0" y="0"/>
                      <a:ext cx="2369127" cy="540327"/>
                    </a:xfrm>
                    <a:prstGeom prst="rect"/>
                  </pic:spPr>
                </pic:pic>
              </a:graphicData>
            </a:graphic>
          </wp:inline>
        </w:drawing>
      </w:r>
    </w:p>
    <w:p>
      <w:r>
        <w:t>The local compatibility defect on a square may be written pointwise as</w:t>
      </w:r>
    </w:p>
    <w:p>
      <w:pPr>
        <w:spacing w:before="60" w:after="60"/>
        <w:jc w:val="center"/>
      </w:pPr>
      <w:r>
        <w:drawing>
          <wp:inline xmlns:a="http://schemas.openxmlformats.org/drawingml/2006/main" xmlns:pic="http://schemas.openxmlformats.org/drawingml/2006/picture">
            <wp:extent cx="2651760" cy="403167"/>
            <wp:docPr id="2" name="Picture 2"/>
            <wp:cNvGraphicFramePr>
              <a:graphicFrameLocks noChangeAspect="1"/>
            </wp:cNvGraphicFramePr>
            <a:graphic>
              <a:graphicData uri="http://schemas.openxmlformats.org/drawingml/2006/picture">
                <pic:pic>
                  <pic:nvPicPr>
                    <pic:cNvPr id="0" name="eq_02.png"/>
                    <pic:cNvPicPr/>
                  </pic:nvPicPr>
                  <pic:blipFill>
                    <a:blip r:embed="rId12"/>
                    <a:stretch>
                      <a:fillRect/>
                    </a:stretch>
                  </pic:blipFill>
                  <pic:spPr>
                    <a:xfrm>
                      <a:off x="0" y="0"/>
                      <a:ext cx="2651760" cy="403167"/>
                    </a:xfrm>
                    <a:prstGeom prst="rect"/>
                  </pic:spPr>
                </pic:pic>
              </a:graphicData>
            </a:graphic>
          </wp:inline>
        </w:drawing>
      </w:r>
    </w:p>
    <w:p>
      <w:r>
        <w:t>Its expectation under one oriented two-step pseudo-joint is a Kullback–Leibler divergence between the two orders. Recent work calls the corresponding quantity denoising circulation and proves that global order gaps decompose along adjacent swaps [4]. The underlying problem is substantially older: compatibility of local or conditional specifications is central to Markov random fields, conditionally specified distributions, and dependency networks [5–7].</w:t>
      </w:r>
    </w:p>
    <w:p>
      <w:pPr>
        <w:pStyle w:val="Theorem"/>
      </w:pPr>
      <w:r>
        <w:rPr>
          <w:b/>
        </w:rPr>
        <w:t xml:space="preserve">Proposition 1 (Local square compatibility). </w:t>
      </w:r>
      <w:r>
        <w:t>Under positive support, vanishing of every elementary square defect is equivalent to path-independence of all maximal-chain products on the Boolean cube, hence to compatibility with a single joint distribution on V^n. The proof is the standard adjacent-transposition argument: any two permutations are connected by swaps, and each swap crosses one square.</w:t>
      </w:r>
    </w:p>
    <w:p>
      <w:r>
        <w:t>This result is valuable but not an architectural transition. It is a consistency condition on an already chosen state space.</w:t>
      </w:r>
    </w:p>
    <w:p>
      <w:pPr>
        <w:pStyle w:val="Heading1"/>
      </w:pPr>
      <w:r>
        <w:t>4. Negative result II: the compatibility redundancy is approximately linear in sequence length</w:t>
      </w:r>
    </w:p>
    <w:p>
      <w:r>
        <w:t>A direct degree-of-freedom count also limits the scale of the prize. Suppose every conditional p(x_i | x_S) is specified independently for every i, every S ⊆ [n] \ {i}, and every context x_S. For alphabet size v, the unconstrained family contains</w:t>
      </w:r>
    </w:p>
    <w:p>
      <w:pPr>
        <w:spacing w:before="60" w:after="60"/>
        <w:jc w:val="center"/>
      </w:pPr>
      <w:r>
        <w:drawing>
          <wp:inline xmlns:a="http://schemas.openxmlformats.org/drawingml/2006/main" xmlns:pic="http://schemas.openxmlformats.org/drawingml/2006/picture">
            <wp:extent cx="2614352" cy="290945"/>
            <wp:docPr id="3" name="Picture 3"/>
            <wp:cNvGraphicFramePr>
              <a:graphicFrameLocks noChangeAspect="1"/>
            </wp:cNvGraphicFramePr>
            <a:graphic>
              <a:graphicData uri="http://schemas.openxmlformats.org/drawingml/2006/picture">
                <pic:pic>
                  <pic:nvPicPr>
                    <pic:cNvPr id="0" name="eq_03.png"/>
                    <pic:cNvPicPr/>
                  </pic:nvPicPr>
                  <pic:blipFill>
                    <a:blip r:embed="rId13"/>
                    <a:stretch>
                      <a:fillRect/>
                    </a:stretch>
                  </pic:blipFill>
                  <pic:spPr>
                    <a:xfrm>
                      <a:off x="0" y="0"/>
                      <a:ext cx="2614352" cy="290945"/>
                    </a:xfrm>
                    <a:prstGeom prst="rect"/>
                  </pic:spPr>
                </pic:pic>
              </a:graphicData>
            </a:graphic>
          </wp:inline>
        </w:drawing>
      </w:r>
    </w:p>
    <w:p>
      <w:r>
        <w:t>free scalar conditional parameters. A strictly positive joint distribution over V^n has</w:t>
      </w:r>
    </w:p>
    <w:p>
      <w:pPr>
        <w:spacing w:before="60" w:after="60"/>
        <w:jc w:val="center"/>
      </w:pPr>
      <w:r>
        <w:drawing>
          <wp:inline xmlns:a="http://schemas.openxmlformats.org/drawingml/2006/main" xmlns:pic="http://schemas.openxmlformats.org/drawingml/2006/picture">
            <wp:extent cx="1579418" cy="303414"/>
            <wp:docPr id="4" name="Picture 4"/>
            <wp:cNvGraphicFramePr>
              <a:graphicFrameLocks noChangeAspect="1"/>
            </wp:cNvGraphicFramePr>
            <a:graphic>
              <a:graphicData uri="http://schemas.openxmlformats.org/drawingml/2006/picture">
                <pic:pic>
                  <pic:nvPicPr>
                    <pic:cNvPr id="0" name="eq_04.png"/>
                    <pic:cNvPicPr/>
                  </pic:nvPicPr>
                  <pic:blipFill>
                    <a:blip r:embed="rId14"/>
                    <a:stretch>
                      <a:fillRect/>
                    </a:stretch>
                  </pic:blipFill>
                  <pic:spPr>
                    <a:xfrm>
                      <a:off x="0" y="0"/>
                      <a:ext cx="1579418" cy="303414"/>
                    </a:xfrm>
                    <a:prstGeom prst="rect"/>
                  </pic:spPr>
                </pic:pic>
              </a:graphicData>
            </a:graphic>
          </wp:inline>
        </w:drawing>
      </w:r>
    </w:p>
    <w:p>
      <w:r>
        <w:t>Hence the nonparametric compatibility redundancy factor is</w:t>
      </w:r>
    </w:p>
    <w:p>
      <w:pPr>
        <w:spacing w:before="60" w:after="60"/>
        <w:jc w:val="center"/>
      </w:pPr>
      <w:r>
        <w:drawing>
          <wp:inline xmlns:a="http://schemas.openxmlformats.org/drawingml/2006/main" xmlns:pic="http://schemas.openxmlformats.org/drawingml/2006/picture">
            <wp:extent cx="3657600" cy="382385"/>
            <wp:docPr id="5" name="Picture 5"/>
            <wp:cNvGraphicFramePr>
              <a:graphicFrameLocks noChangeAspect="1"/>
            </wp:cNvGraphicFramePr>
            <a:graphic>
              <a:graphicData uri="http://schemas.openxmlformats.org/drawingml/2006/picture">
                <pic:pic>
                  <pic:nvPicPr>
                    <pic:cNvPr id="0" name="eq_05.png"/>
                    <pic:cNvPicPr/>
                  </pic:nvPicPr>
                  <pic:blipFill>
                    <a:blip r:embed="rId15"/>
                    <a:stretch>
                      <a:fillRect/>
                    </a:stretch>
                  </pic:blipFill>
                  <pic:spPr>
                    <a:xfrm>
                      <a:off x="0" y="0"/>
                      <a:ext cx="3657600" cy="382385"/>
                    </a:xfrm>
                    <a:prstGeom prst="rect"/>
                  </pic:spPr>
                </pic:pic>
              </a:graphicData>
            </a:graphic>
          </wp:inline>
        </w:drawing>
      </w:r>
    </w:p>
    <w:p>
      <w:r>
        <w:t>In the language-model regime v ≫ n, R(n,v) ≈ n. The redundancy becomes exponential only when n is comparable to or larger than v. Weight sharing in a Transformer already couples these local conditionals, so even the factor-n count is an upper-level nonparametric comparison rather than a literal parameter blow-up. The conclusion is deliberately modest: curvature regularization may deliver a meaningful constant-factor or sample-efficiency gain, but that is not yet a new generative architecture.</w:t>
      </w:r>
    </w:p>
    <w:p>
      <w:pPr>
        <w:pStyle w:val="Heading1"/>
      </w:pPr>
      <w:r>
        <w:t>5. The strictification criterion</w:t>
      </w:r>
    </w:p>
    <w:p>
      <w:r>
        <w:t>The central criterion is not “does the model contain higher-dimensional objects?” but “can the relevant coherence be compiled into a strict presentation without an unacceptable cost while preserving the task interface?” This requires careful dimensional accounting.</w:t>
      </w:r>
    </w:p>
    <w:p>
      <w:pPr>
        <w:pStyle w:val="Heading2"/>
      </w:pPr>
      <w:r>
        <w:t>5.1 What bicategorical strictification does and does not imply</w:t>
      </w:r>
    </w:p>
    <w:p>
      <w:r>
        <w:t>Every bicategory is biequivalent to a strict 2-category [8]. This is often summarized as saying that two-dimensional weakness can be strictified. The slogan must be used narrowly. Strictification makes structural associativity and unit coherence strict after passing to an equivalent presentation; it does not erase arbitrary substantive 2-morphisms, nor does it imply that every commutativity witness may be replaced by an identity without changing semantics. Therefore an explicit 2-cell is not automatically redundant, but its mere existence is insufficient evidence of architectural necessity.</w:t>
      </w:r>
    </w:p>
    <w:p>
      <w:pPr>
        <w:pStyle w:val="Note"/>
      </w:pPr>
      <w:r>
        <w:rPr>
          <w:b/>
        </w:rPr>
        <w:t xml:space="preserve">Strictification criterion at dimension two — </w:t>
      </w:r>
      <w:r>
        <w:t>A dimension-2 proposal must show either that the relevant witness is not merely structural coherence covered by strictification, or that compiling it away causes a measurable representation, sample, inference, or interface cost. Otherwise the explicit witness is a representational choice rather than a new paradigm.</w:t>
      </w:r>
    </w:p>
    <w:p>
      <w:pPr>
        <w:pStyle w:val="Heading2"/>
      </w:pPr>
      <w:r>
        <w:t>5.2 Why the first robust obstruction appears at dimension three</w:t>
      </w:r>
    </w:p>
    <w:p>
      <w:r>
        <w:t>Gordon, Power, and Street proved that every tricategory is triequivalent to a Gray-category, a semistrict rather than fully strict 3-category [9]. In general there is no corresponding reduction to strict 3-categories that preserves all homotopy types. Simpson showed that strict n-groupoids, n ≥ 3, cannot realize the n-type of S^2 under minimal compatibility requirements on realization [10]. This provides a canonical obstruction to full strictification in dimension three.</w:t>
      </w:r>
    </w:p>
    <w:p>
      <w:r>
        <w:t>A Gray-category retains an interchanger (or tensorator) mediating two ways of composing 2-cells. Schematically, for 2-cells α_1, α_2 and β_1, β_2,</w:t>
      </w:r>
    </w:p>
    <w:p>
      <w:pPr>
        <w:spacing w:before="60" w:after="60"/>
        <w:jc w:val="center"/>
      </w:pPr>
      <w:r>
        <w:drawing>
          <wp:inline xmlns:a="http://schemas.openxmlformats.org/drawingml/2006/main" xmlns:pic="http://schemas.openxmlformats.org/drawingml/2006/picture">
            <wp:extent cx="4035829" cy="282632"/>
            <wp:docPr id="6" name="Picture 6"/>
            <wp:cNvGraphicFramePr>
              <a:graphicFrameLocks noChangeAspect="1"/>
            </wp:cNvGraphicFramePr>
            <a:graphic>
              <a:graphicData uri="http://schemas.openxmlformats.org/drawingml/2006/picture">
                <pic:pic>
                  <pic:nvPicPr>
                    <pic:cNvPr id="0" name="eq_06.png"/>
                    <pic:cNvPicPr/>
                  </pic:nvPicPr>
                  <pic:blipFill>
                    <a:blip r:embed="rId16"/>
                    <a:stretch>
                      <a:fillRect/>
                    </a:stretch>
                  </pic:blipFill>
                  <pic:spPr>
                    <a:xfrm>
                      <a:off x="0" y="0"/>
                      <a:ext cx="4035829" cy="282632"/>
                    </a:xfrm>
                    <a:prstGeom prst="rect"/>
                  </pic:spPr>
                </pic:pic>
              </a:graphicData>
            </a:graphic>
          </wp:inline>
        </w:drawing>
      </w:r>
    </w:p>
    <w:p>
      <w:r>
        <w:t>Equation (6) is categorically one level above an ordinary square between state transitions. A mixed square such as “mask then collapse” versus “collapse then mask” is still a 2-cell. The candidate non-strictifiable object is coherence between compositions of such witnesses. This off-by-one distinction is decisive.</w:t>
      </w:r>
    </w:p>
    <w:p>
      <w:pPr>
        <w:pStyle w:val="Theorem"/>
      </w:pPr>
      <w:r>
        <w:rPr>
          <w:b/>
        </w:rPr>
        <w:t xml:space="preserve">Criterion 1 (Post-diffusion architectural necessity). </w:t>
      </w:r>
      <w:r>
        <w:t>A higher-coherent architecture earns a distinct architectural status only if there exists a task family whose sufficient representation carries coherence not eliminable by the admissible strictifications without superconstant computational or statistical cost, under a fixed external interface.</w:t>
      </w:r>
    </w:p>
    <w:p>
      <w:pPr>
        <w:pStyle w:val="Heading1"/>
      </w:pPr>
      <w:r>
        <w:t>6. Collapse by construction: bond lattices</w:t>
      </w:r>
    </w:p>
    <w:p>
      <w:r>
        <w:t>To define a structured corruption operator without assuming closure, assign the corruption atoms U(K) of an object K a dependency graph G_K = (V,E). An edge indicates that two atoms may participate in a common merge. Define the collapse state space as the bond lattice</w:t>
      </w:r>
    </w:p>
    <w:p>
      <w:pPr>
        <w:spacing w:before="60" w:after="60"/>
        <w:jc w:val="center"/>
      </w:pPr>
      <w:r>
        <w:drawing>
          <wp:inline xmlns:a="http://schemas.openxmlformats.org/drawingml/2006/main" xmlns:pic="http://schemas.openxmlformats.org/drawingml/2006/picture">
            <wp:extent cx="5403272" cy="282632"/>
            <wp:docPr id="7" name="Picture 7"/>
            <wp:cNvGraphicFramePr>
              <a:graphicFrameLocks noChangeAspect="1"/>
            </wp:cNvGraphicFramePr>
            <a:graphic>
              <a:graphicData uri="http://schemas.openxmlformats.org/drawingml/2006/picture">
                <pic:pic>
                  <pic:nvPicPr>
                    <pic:cNvPr id="0" name="eq_07.png"/>
                    <pic:cNvPicPr/>
                  </pic:nvPicPr>
                  <pic:blipFill>
                    <a:blip r:embed="rId17"/>
                    <a:stretch>
                      <a:fillRect/>
                    </a:stretch>
                  </pic:blipFill>
                  <pic:spPr>
                    <a:xfrm>
                      <a:off x="0" y="0"/>
                      <a:ext cx="5403272" cy="282632"/>
                    </a:xfrm>
                    <a:prstGeom prst="rect"/>
                  </pic:spPr>
                </pic:pic>
              </a:graphicData>
            </a:graphic>
          </wp:inline>
        </w:drawing>
      </w:r>
    </w:p>
    <w:p>
      <w:r>
        <w:t>ordered by refinement/coarsening. For a connected graph, L(G_K) is isomorphic to the lattice of flats of the graphic matroid, hence is a geometric lattice. Closure under meet and join is therefore designed into the corruption geometry rather than assumed after the fact [11–13].</w:t>
      </w:r>
    </w:p>
    <w:p>
      <w:r>
        <w:t>The graph is an engineering knob: it controls which non-contiguous atoms may be collapsed together while preserving dependency-connectedness. A path graph recovers contiguous spans. A tree permits dependency-connected merges but remains matroidally Boolean. Cycles introduce circuits and therefore non-Boolean flat-lattice structure.</w:t>
      </w:r>
    </w:p>
    <w:p>
      <w:pPr>
        <w:pStyle w:val="Heading1"/>
      </w:pPr>
      <w:r>
        <w:t>7. A computable coherence budget from the chromatic polynomial</w:t>
      </w:r>
    </w:p>
    <w:p>
      <w:r>
        <w:t>For a geometric lattice of rank r, the order complex of its proper part is homotopy equivalent to a wedge of |μ(0̂,1̂)| spheres of dimension r−2 [11]. For a connected graph G on m vertices, the characteristic polynomial of its graphic matroid satisfies χ_M(t)=χ_G(t)/t; consequently the top Möbius number is, up to sign, the coefficient of t in the graph chromatic polynomial. Define</w:t>
      </w:r>
    </w:p>
    <w:p>
      <w:pPr>
        <w:spacing w:before="60" w:after="60"/>
        <w:jc w:val="center"/>
      </w:pPr>
      <w:r>
        <w:drawing>
          <wp:inline xmlns:a="http://schemas.openxmlformats.org/drawingml/2006/main" xmlns:pic="http://schemas.openxmlformats.org/drawingml/2006/picture">
            <wp:extent cx="3079865" cy="336665"/>
            <wp:docPr id="8" name="Picture 8"/>
            <wp:cNvGraphicFramePr>
              <a:graphicFrameLocks noChangeAspect="1"/>
            </wp:cNvGraphicFramePr>
            <a:graphic>
              <a:graphicData uri="http://schemas.openxmlformats.org/drawingml/2006/picture">
                <pic:pic>
                  <pic:nvPicPr>
                    <pic:cNvPr id="0" name="eq_08.png"/>
                    <pic:cNvPicPr/>
                  </pic:nvPicPr>
                  <pic:blipFill>
                    <a:blip r:embed="rId18"/>
                    <a:stretch>
                      <a:fillRect/>
                    </a:stretch>
                  </pic:blipFill>
                  <pic:spPr>
                    <a:xfrm>
                      <a:off x="0" y="0"/>
                      <a:ext cx="3079865" cy="336665"/>
                    </a:xfrm>
                    <a:prstGeom prst="rect"/>
                  </pic:spPr>
                </pic:pic>
              </a:graphicData>
            </a:graphic>
          </wp:inline>
        </w:drawing>
      </w:r>
    </w:p>
    <w:p>
      <w:r>
        <w:t>We call B(G) the topological coherence budget of the collapse lattice. The term is deliberately structural: B(G) counts top homology generators of the proper order complex, not neural parameters or independent learnable variables. Any computational interpretation must be experimentally earned.</w:t>
      </w:r>
    </w:p>
    <w:p>
      <w:pPr>
        <w:pStyle w:val="Caption"/>
        <w:keepNext/>
        <w:jc w:val="center"/>
      </w:pPr>
      <w:r>
        <w:rPr>
          <w:b/>
        </w:rPr>
        <w:t>Table 2. Coherence-budget examples for connected bond lattices.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48"/>
            <w:shd w:fill="D9EAF7"/>
            <w:vAlign w:val="center"/>
            <w:tcMar>
              <w:top w:w="80" w:type="dxa"/>
              <w:start w:w="80" w:type="dxa"/>
              <w:bottom w:w="80" w:type="dxa"/>
              <w:end w:w="80" w:type="dxa"/>
            </w:tcMar>
          </w:tcPr>
          <w:p>
            <w:pPr>
              <w:jc w:val="center"/>
            </w:pPr>
            <w:r>
              <w:rPr>
                <w:b/>
                <w:sz w:val="18"/>
              </w:rPr>
              <w:t>Atom graph G (m vertices)</w:t>
            </w:r>
          </w:p>
        </w:tc>
        <w:tc>
          <w:tcPr>
            <w:tcW w:type="dxa" w:w="4032"/>
            <w:shd w:fill="D9EAF7"/>
            <w:vAlign w:val="center"/>
            <w:tcMar>
              <w:top w:w="80" w:type="dxa"/>
              <w:start w:w="80" w:type="dxa"/>
              <w:bottom w:w="80" w:type="dxa"/>
              <w:end w:w="80" w:type="dxa"/>
            </w:tcMar>
          </w:tcPr>
          <w:p>
            <w:pPr>
              <w:jc w:val="center"/>
            </w:pPr>
            <w:r>
              <w:rPr>
                <w:b/>
                <w:sz w:val="18"/>
              </w:rPr>
              <w:t>Chromatic polynomial χ_G(t)</w:t>
            </w:r>
          </w:p>
        </w:tc>
        <w:tc>
          <w:tcPr>
            <w:tcW w:type="dxa" w:w="1872"/>
            <w:shd w:fill="D9EAF7"/>
            <w:vAlign w:val="center"/>
            <w:tcMar>
              <w:top w:w="80" w:type="dxa"/>
              <w:start w:w="80" w:type="dxa"/>
              <w:bottom w:w="80" w:type="dxa"/>
              <w:end w:w="80" w:type="dxa"/>
            </w:tcMar>
          </w:tcPr>
          <w:p>
            <w:pPr>
              <w:jc w:val="center"/>
            </w:pPr>
            <w:r>
              <w:rPr>
                <w:b/>
                <w:sz w:val="18"/>
              </w:rPr>
              <w:t>B(G)=|[t]χ_G(t)|</w:t>
            </w:r>
          </w:p>
        </w:tc>
        <w:tc>
          <w:tcPr>
            <w:tcW w:type="dxa" w:w="2160"/>
            <w:shd w:fill="D9EAF7"/>
            <w:vAlign w:val="center"/>
            <w:tcMar>
              <w:top w:w="80" w:type="dxa"/>
              <w:start w:w="80" w:type="dxa"/>
              <w:bottom w:w="80" w:type="dxa"/>
              <w:end w:w="80" w:type="dxa"/>
            </w:tcMar>
          </w:tcPr>
          <w:p>
            <w:pPr>
              <w:jc w:val="center"/>
            </w:pPr>
            <w:r>
              <w:rPr>
                <w:b/>
                <w:sz w:val="18"/>
              </w:rPr>
              <w:t>Proper-order-complex dimension</w:t>
            </w:r>
          </w:p>
        </w:tc>
      </w:tr>
      <w:tr>
        <w:tc>
          <w:tcPr>
            <w:tcW w:type="dxa" w:w="2448"/>
            <w:vAlign w:val="center"/>
            <w:tcMar>
              <w:top w:w="80" w:type="dxa"/>
              <w:start w:w="80" w:type="dxa"/>
              <w:bottom w:w="80" w:type="dxa"/>
              <w:end w:w="80" w:type="dxa"/>
            </w:tcMar>
          </w:tcPr>
          <w:p>
            <w:r>
              <w:rPr>
                <w:sz w:val="17"/>
              </w:rPr>
              <w:t>Tree (including path)</w:t>
            </w:r>
          </w:p>
        </w:tc>
        <w:tc>
          <w:tcPr>
            <w:tcW w:type="dxa" w:w="4032"/>
            <w:vAlign w:val="center"/>
            <w:tcMar>
              <w:top w:w="80" w:type="dxa"/>
              <w:start w:w="80" w:type="dxa"/>
              <w:bottom w:w="80" w:type="dxa"/>
              <w:end w:w="80" w:type="dxa"/>
            </w:tcMar>
          </w:tcPr>
          <w:p>
            <w:r>
              <w:rPr>
                <w:sz w:val="17"/>
              </w:rPr>
              <w:t>t(t−1)^{m−1}</w:t>
            </w:r>
          </w:p>
        </w:tc>
        <w:tc>
          <w:tcPr>
            <w:tcW w:type="dxa" w:w="1872"/>
            <w:vAlign w:val="center"/>
            <w:tcMar>
              <w:top w:w="80" w:type="dxa"/>
              <w:start w:w="80" w:type="dxa"/>
              <w:bottom w:w="80" w:type="dxa"/>
              <w:end w:w="80" w:type="dxa"/>
            </w:tcMar>
          </w:tcPr>
          <w:p>
            <w:r>
              <w:rPr>
                <w:sz w:val="17"/>
              </w:rPr>
              <w:t>1</w:t>
            </w:r>
          </w:p>
        </w:tc>
        <w:tc>
          <w:tcPr>
            <w:tcW w:type="dxa" w:w="2160"/>
            <w:vAlign w:val="center"/>
            <w:tcMar>
              <w:top w:w="80" w:type="dxa"/>
              <w:start w:w="80" w:type="dxa"/>
              <w:bottom w:w="80" w:type="dxa"/>
              <w:end w:w="80" w:type="dxa"/>
            </w:tcMar>
          </w:tcPr>
          <w:p>
            <w:r>
              <w:rPr>
                <w:sz w:val="17"/>
              </w:rPr>
              <w:t>m−3</w:t>
            </w:r>
          </w:p>
        </w:tc>
      </w:tr>
      <w:tr>
        <w:tc>
          <w:tcPr>
            <w:tcW w:type="dxa" w:w="2448"/>
            <w:vAlign w:val="center"/>
            <w:tcMar>
              <w:top w:w="80" w:type="dxa"/>
              <w:start w:w="80" w:type="dxa"/>
              <w:bottom w:w="80" w:type="dxa"/>
              <w:end w:w="80" w:type="dxa"/>
            </w:tcMar>
          </w:tcPr>
          <w:p>
            <w:r>
              <w:rPr>
                <w:sz w:val="17"/>
              </w:rPr>
              <w:t>Cycle C_m</w:t>
            </w:r>
          </w:p>
        </w:tc>
        <w:tc>
          <w:tcPr>
            <w:tcW w:type="dxa" w:w="4032"/>
            <w:vAlign w:val="center"/>
            <w:tcMar>
              <w:top w:w="80" w:type="dxa"/>
              <w:start w:w="80" w:type="dxa"/>
              <w:bottom w:w="80" w:type="dxa"/>
              <w:end w:w="80" w:type="dxa"/>
            </w:tcMar>
          </w:tcPr>
          <w:p>
            <w:r>
              <w:rPr>
                <w:sz w:val="17"/>
              </w:rPr>
              <w:t>(t−1)^m + (−1)^m(t−1)</w:t>
            </w:r>
          </w:p>
        </w:tc>
        <w:tc>
          <w:tcPr>
            <w:tcW w:type="dxa" w:w="1872"/>
            <w:vAlign w:val="center"/>
            <w:tcMar>
              <w:top w:w="80" w:type="dxa"/>
              <w:start w:w="80" w:type="dxa"/>
              <w:bottom w:w="80" w:type="dxa"/>
              <w:end w:w="80" w:type="dxa"/>
            </w:tcMar>
          </w:tcPr>
          <w:p>
            <w:r>
              <w:rPr>
                <w:sz w:val="17"/>
              </w:rPr>
              <w:t>m−1</w:t>
            </w:r>
          </w:p>
        </w:tc>
        <w:tc>
          <w:tcPr>
            <w:tcW w:type="dxa" w:w="2160"/>
            <w:vAlign w:val="center"/>
            <w:tcMar>
              <w:top w:w="80" w:type="dxa"/>
              <w:start w:w="80" w:type="dxa"/>
              <w:bottom w:w="80" w:type="dxa"/>
              <w:end w:w="80" w:type="dxa"/>
            </w:tcMar>
          </w:tcPr>
          <w:p>
            <w:r>
              <w:rPr>
                <w:sz w:val="17"/>
              </w:rPr>
              <w:t>m−3</w:t>
            </w:r>
          </w:p>
        </w:tc>
      </w:tr>
      <w:tr>
        <w:tc>
          <w:tcPr>
            <w:tcW w:type="dxa" w:w="2448"/>
            <w:vAlign w:val="center"/>
            <w:tcMar>
              <w:top w:w="80" w:type="dxa"/>
              <w:start w:w="80" w:type="dxa"/>
              <w:bottom w:w="80" w:type="dxa"/>
              <w:end w:w="80" w:type="dxa"/>
            </w:tcMar>
          </w:tcPr>
          <w:p>
            <w:r>
              <w:rPr>
                <w:sz w:val="17"/>
              </w:rPr>
              <w:t>Complete graph K_m</w:t>
            </w:r>
          </w:p>
        </w:tc>
        <w:tc>
          <w:tcPr>
            <w:tcW w:type="dxa" w:w="4032"/>
            <w:vAlign w:val="center"/>
            <w:tcMar>
              <w:top w:w="80" w:type="dxa"/>
              <w:start w:w="80" w:type="dxa"/>
              <w:bottom w:w="80" w:type="dxa"/>
              <w:end w:w="80" w:type="dxa"/>
            </w:tcMar>
          </w:tcPr>
          <w:p>
            <w:r>
              <w:rPr>
                <w:sz w:val="17"/>
              </w:rPr>
              <w:t>t(t−1)…(t−m+1)</w:t>
            </w:r>
          </w:p>
        </w:tc>
        <w:tc>
          <w:tcPr>
            <w:tcW w:type="dxa" w:w="1872"/>
            <w:vAlign w:val="center"/>
            <w:tcMar>
              <w:top w:w="80" w:type="dxa"/>
              <w:start w:w="80" w:type="dxa"/>
              <w:bottom w:w="80" w:type="dxa"/>
              <w:end w:w="80" w:type="dxa"/>
            </w:tcMar>
          </w:tcPr>
          <w:p>
            <w:r>
              <w:rPr>
                <w:sz w:val="17"/>
              </w:rPr>
              <w:t>(m−1)!</w:t>
            </w:r>
          </w:p>
        </w:tc>
        <w:tc>
          <w:tcPr>
            <w:tcW w:type="dxa" w:w="2160"/>
            <w:vAlign w:val="center"/>
            <w:tcMar>
              <w:top w:w="80" w:type="dxa"/>
              <w:start w:w="80" w:type="dxa"/>
              <w:bottom w:w="80" w:type="dxa"/>
              <w:end w:w="80" w:type="dxa"/>
            </w:tcMar>
          </w:tcPr>
          <w:p>
            <w:r>
              <w:rPr>
                <w:sz w:val="17"/>
              </w:rPr>
              <w:t>m−3</w:t>
            </w:r>
          </w:p>
        </w:tc>
      </w:tr>
    </w:tbl>
    <w:p>
      <w:pPr>
        <w:spacing w:after="0"/>
      </w:pPr>
    </w:p>
    <w:p>
      <w:pPr>
        <w:pStyle w:val="Theorem"/>
      </w:pPr>
      <w:r>
        <w:rPr>
          <w:b/>
        </w:rPr>
        <w:t xml:space="preserve">Proposition 2 (Boolean span-collapse). </w:t>
      </w:r>
      <w:r>
        <w:t>The interval-partition poset of m linearly ordered atoms is isomorphic to B_{m−1}. Proof: every interval partition is uniquely specified by the subset of the m−1 gaps retained as cuts. Coarsening deletes cuts. Thus contiguous-span collapse changes granularity but not Boolean corruption geometry.</w:t>
      </w:r>
    </w:p>
    <w:p>
      <w:r>
        <w:t>The same conclusion holds for the bond lattice of any tree: the graphic matroid of a tree is free on m−1 edges, so its flat lattice is Boolean B_{m−1}. A cycle is therefore necessary for non-Boolean bond-lattice geometry. A triangle is the smallest rank-2 witness: its bond lattice contains the M_3 interval with three pairwise merges between the same endpoints.</w:t>
      </w:r>
    </w:p>
    <w:p>
      <w:pPr>
        <w:pStyle w:val="Heading1"/>
      </w:pPr>
      <w:r>
        <w:t>8. What changes topologically: multiplicity and dimension, not “appearance”</w:t>
      </w:r>
    </w:p>
    <w:p>
      <w:r>
        <w:t>The proper Boolean lattice already has topology. The order complex Δ(B̄_n) is the Coxeter complex of type A_{n−1}, hence a triangulated sphere S^{n−2}. Its chambers are maximal chains, indexed by the n! permutations. These same permutations index vertices of the permutohedron. For n=3 the two pictures are literally the same hexagon; in higher dimension the correct general statement is that the Coxeter complex is combinatorially dual to the boundary face structure of the permutohedron rather than identical to it [11,14].</w:t>
      </w:r>
    </w:p>
    <w:p>
      <w:r>
        <w:t>This repairs a tempting but false slogan that topology “appears” only after collapse. The honest comparison at fixed atom count m is</w:t>
      </w:r>
    </w:p>
    <w:p>
      <w:pPr>
        <w:spacing w:before="60" w:after="60"/>
        <w:jc w:val="center"/>
      </w:pPr>
      <w:r>
        <w:drawing>
          <wp:inline xmlns:a="http://schemas.openxmlformats.org/drawingml/2006/main" xmlns:pic="http://schemas.openxmlformats.org/drawingml/2006/picture">
            <wp:extent cx="5465618" cy="453043"/>
            <wp:docPr id="9" name="Picture 9"/>
            <wp:cNvGraphicFramePr>
              <a:graphicFrameLocks noChangeAspect="1"/>
            </wp:cNvGraphicFramePr>
            <a:graphic>
              <a:graphicData uri="http://schemas.openxmlformats.org/drawingml/2006/picture">
                <pic:pic>
                  <pic:nvPicPr>
                    <pic:cNvPr id="0" name="eq_09.png"/>
                    <pic:cNvPicPr/>
                  </pic:nvPicPr>
                  <pic:blipFill>
                    <a:blip r:embed="rId19"/>
                    <a:stretch>
                      <a:fillRect/>
                    </a:stretch>
                  </pic:blipFill>
                  <pic:spPr>
                    <a:xfrm>
                      <a:off x="0" y="0"/>
                      <a:ext cx="5465618" cy="453043"/>
                    </a:xfrm>
                    <a:prstGeom prst="rect"/>
                  </pic:spPr>
                </pic:pic>
              </a:graphicData>
            </a:graphic>
          </wp:inline>
        </w:drawing>
      </w:r>
    </w:p>
    <w:p>
      <w:r>
        <w:t>Thus graph collapse can replace a single top homology generator by B(G) generators and shifts the proper-order-complex sphere dimension by one because the rank of a connected graphic matroid on m vertices is m−1. For dense graphs B(G) can be factorial. This is a multiplicity statement, not yet a non-strictifiability statement.</w:t>
      </w:r>
    </w:p>
    <w:p>
      <w:pPr>
        <w:pStyle w:val="Heading1"/>
      </w:pPr>
      <w:r>
        <w:t>9. Multiplicity and non-strictifiability are independent axes</w:t>
      </w:r>
    </w:p>
    <w:p>
      <w:r>
        <w:t>The bond-lattice construction resolves an important ambiguity. Non-Boolean rank-2 intervals multiply local compatibility conditions, but they do not force explicit higher cells. In an M_3 interval, three maximal two-step composites P_ab, P_ac, P_bc may simply be required to satisfy P_ab=P_ac=P_bc. Equality is a perfectly ordinary coherence law.</w:t>
      </w:r>
    </w:p>
    <w:p>
      <w:r>
        <w:t>Accordingly, two sources of higher structure must be separated:</w:t>
      </w:r>
    </w:p>
    <w:p>
      <w:pPr>
        <w:pStyle w:val="ListBullet"/>
        <w:spacing w:after="40"/>
      </w:pPr>
      <w:r>
        <w:t>Multiplicity: the collapse geometry controls how many compatibility or coherence obligations arise. The invariant B(G) is a computable topological summary of this burden.</w:t>
      </w:r>
    </w:p>
    <w:p>
      <w:pPr>
        <w:pStyle w:val="ListBullet"/>
        <w:spacing w:after="40"/>
      </w:pPr>
      <w:r>
        <w:t>Non-strictifiability: higher categorical structure controls whether the relevant coherence can be represented as equality in an equivalent strict model without unacceptable cost.</w:t>
      </w:r>
    </w:p>
    <w:p>
      <w:r>
        <w:t>A dense atom graph with a single composition direction can create many but strictifiable obligations. Conversely, even a simple atom graph may support essential three-dimensional coherence if there are two independent composition operations on 2-cell witnesses. A post-diffusion architecture requires evidence on the second axis; the first supplies a controllable source of stress and stratification.</w:t>
      </w:r>
    </w:p>
    <w:p>
      <w:pPr>
        <w:pStyle w:val="Heading1"/>
      </w:pPr>
      <w:r>
        <w:t>10. Relative collapse diffusion: typed partial objects</w:t>
      </w:r>
    </w:p>
    <w:p>
      <w:r>
        <w:t>A collapse state should not merely be another complete quotient object. As masking enlarges V^n to include explicit absence, structured collapse should enlarge the object category C to a category of partial objects Ĉ. For a collapsed region A, define a state</w:t>
      </w:r>
    </w:p>
    <w:p>
      <w:pPr>
        <w:spacing w:before="60" w:after="60"/>
        <w:jc w:val="center"/>
      </w:pPr>
      <w:r>
        <w:drawing>
          <wp:inline xmlns:a="http://schemas.openxmlformats.org/drawingml/2006/main" xmlns:pic="http://schemas.openxmlformats.org/drawingml/2006/picture">
            <wp:extent cx="2464723" cy="290945"/>
            <wp:docPr id="10" name="Picture 10"/>
            <wp:cNvGraphicFramePr>
              <a:graphicFrameLocks noChangeAspect="1"/>
            </wp:cNvGraphicFramePr>
            <a:graphic>
              <a:graphicData uri="http://schemas.openxmlformats.org/drawingml/2006/picture">
                <pic:pic>
                  <pic:nvPicPr>
                    <pic:cNvPr id="0" name="eq_10.png"/>
                    <pic:cNvPicPr/>
                  </pic:nvPicPr>
                  <pic:blipFill>
                    <a:blip r:embed="rId20"/>
                    <a:stretch>
                      <a:fillRect/>
                    </a:stretch>
                  </pic:blipFill>
                  <pic:spPr>
                    <a:xfrm>
                      <a:off x="0" y="0"/>
                      <a:ext cx="2464723" cy="290945"/>
                    </a:xfrm>
                    <a:prstGeom prst="rect"/>
                  </pic:spPr>
                </pic:pic>
              </a:graphicData>
            </a:graphic>
          </wp:inline>
        </w:drawing>
      </w:r>
    </w:p>
    <w:p>
      <w:r>
        <w:t>where ∂A records the interface and τ_A is an explicit completion obligation. In a proof assistant the natural analogue of the mask symbol is not an untyped token but a typed hole</w:t>
      </w:r>
    </w:p>
    <w:p>
      <w:pPr>
        <w:spacing w:before="60" w:after="60"/>
        <w:jc w:val="center"/>
      </w:pPr>
      <w:r>
        <w:drawing>
          <wp:inline xmlns:a="http://schemas.openxmlformats.org/drawingml/2006/main" xmlns:pic="http://schemas.openxmlformats.org/drawingml/2006/picture">
            <wp:extent cx="1338349" cy="261850"/>
            <wp:docPr id="11" name="Picture 11"/>
            <wp:cNvGraphicFramePr>
              <a:graphicFrameLocks noChangeAspect="1"/>
            </wp:cNvGraphicFramePr>
            <a:graphic>
              <a:graphicData uri="http://schemas.openxmlformats.org/drawingml/2006/picture">
                <pic:pic>
                  <pic:nvPicPr>
                    <pic:cNvPr id="0" name="eq_11.png"/>
                    <pic:cNvPicPr/>
                  </pic:nvPicPr>
                  <pic:blipFill>
                    <a:blip r:embed="rId21"/>
                    <a:stretch>
                      <a:fillRect/>
                    </a:stretch>
                  </pic:blipFill>
                  <pic:spPr>
                    <a:xfrm>
                      <a:off x="0" y="0"/>
                      <a:ext cx="1338349" cy="261850"/>
                    </a:xfrm>
                    <a:prstGeom prst="rect"/>
                  </pic:spPr>
                </pic:pic>
              </a:graphicData>
            </a:graphic>
          </wp:inline>
        </w:drawing>
      </w:r>
    </w:p>
    <w:p>
      <w:r>
        <w:t>When A itself is a path or proof-transformation type, the hole may take the form ?h : Path(a,b). The essential point is that corruption carries a boundary and an obligation; the reverse model must produce a valid completion rather than reproduce a particular deleted string.</w:t>
      </w:r>
    </w:p>
    <w:p>
      <w:r>
        <w:t>A forward trajectory is a monotone chain π_0 ≼ π_1 ≼ … ≼ π_T in L(G_K). Coarsening is absorbing at the level of partition information: once atoms are identified into a block, later corruption may merge that block further but does not split it. This retains the monotone-poset advantage of absorbing masking while changing the index geometry.</w:t>
      </w:r>
    </w:p>
    <w:p>
      <w:pPr>
        <w:pStyle w:val="Heading1"/>
      </w:pPr>
      <w:r>
        <w:t>11. Exogenous semantics and the failure mode of equivalence collapse</w:t>
      </w:r>
    </w:p>
    <w:p>
      <w:r>
        <w:t>The reverse target “produce any equivalent realization” is underdetermined unless equivalence is fixed independently of the generator. If a generator p_θ and an equivalence model ≃_φ are jointly rewarded for successful fillers, a degenerate optimum may enlarge ≃_φ until almost every completion is accepted. Internal coherence metrics can improve while semantics disappears.</w:t>
      </w:r>
    </w:p>
    <w:p>
      <w:r>
        <w:t>The natural mathematical substrate is therefore a relative category (C,W), or more operationally a fixed semantic map</w:t>
      </w:r>
    </w:p>
    <w:p>
      <w:pPr>
        <w:spacing w:before="60" w:after="60"/>
        <w:jc w:val="center"/>
      </w:pPr>
      <w:r>
        <w:drawing>
          <wp:inline xmlns:a="http://schemas.openxmlformats.org/drawingml/2006/main" xmlns:pic="http://schemas.openxmlformats.org/drawingml/2006/picture">
            <wp:extent cx="1280160" cy="262814"/>
            <wp:docPr id="12" name="Picture 12"/>
            <wp:cNvGraphicFramePr>
              <a:graphicFrameLocks noChangeAspect="1"/>
            </wp:cNvGraphicFramePr>
            <a:graphic>
              <a:graphicData uri="http://schemas.openxmlformats.org/drawingml/2006/picture">
                <pic:pic>
                  <pic:nvPicPr>
                    <pic:cNvPr id="0" name="eq_12.png"/>
                    <pic:cNvPicPr/>
                  </pic:nvPicPr>
                  <pic:blipFill>
                    <a:blip r:embed="rId22"/>
                    <a:stretch>
                      <a:fillRect/>
                    </a:stretch>
                  </pic:blipFill>
                  <pic:spPr>
                    <a:xfrm>
                      <a:off x="0" y="0"/>
                      <a:ext cx="1280160" cy="262814"/>
                    </a:xfrm>
                    <a:prstGeom prst="rect"/>
                  </pic:spPr>
                </pic:pic>
              </a:graphicData>
            </a:graphic>
          </wp:inline>
        </w:drawing>
      </w:r>
    </w:p>
    <w:p>
      <w:r>
        <w:t>with weak equivalence defined by equality or certified equivalence in Y. The generator may learn to navigate fibers but may not redefine the semantic map that determines them. For Lean, S can be the proposition certified by the kernel; for verified program transformations, S is the external behavioral specification; for test suites, S is only the observed test behavior and should be described as weak supervision rather than full semantic equivalence.</w:t>
      </w:r>
    </w:p>
    <w:p>
      <w:pPr>
        <w:pStyle w:val="Note"/>
      </w:pPr>
      <w:r>
        <w:rPr>
          <w:b/>
        </w:rPr>
        <w:t xml:space="preserve">Instrument condition — </w:t>
      </w:r>
      <w:r>
        <w:t>The generator must not be able to improve its objective merely by expanding the acceptance relation. A learned equivalence critic may be used for efficiency only if its acceptance boundary is continuously audited against an independent verifier.</w:t>
      </w:r>
    </w:p>
    <w:p>
      <w:pPr>
        <w:pStyle w:val="Heading1"/>
      </w:pPr>
      <w:r>
        <w:t>12. Fiber likelihood and the representative-prior problem</w:t>
      </w:r>
    </w:p>
    <w:p>
      <w:r>
        <w:t>Given a corrupted state C(X), the natural relative-collapse target is the total probability assigned to the externally certified semantic fiber S^{-1}(S(X)):</w:t>
      </w:r>
    </w:p>
    <w:p>
      <w:pPr>
        <w:spacing w:before="60" w:after="60"/>
        <w:jc w:val="center"/>
      </w:pPr>
      <w:r>
        <w:drawing>
          <wp:inline xmlns:a="http://schemas.openxmlformats.org/drawingml/2006/main" xmlns:pic="http://schemas.openxmlformats.org/drawingml/2006/picture">
            <wp:extent cx="3470563" cy="453043"/>
            <wp:docPr id="13" name="Picture 13"/>
            <wp:cNvGraphicFramePr>
              <a:graphicFrameLocks noChangeAspect="1"/>
            </wp:cNvGraphicFramePr>
            <a:graphic>
              <a:graphicData uri="http://schemas.openxmlformats.org/drawingml/2006/picture">
                <pic:pic>
                  <pic:nvPicPr>
                    <pic:cNvPr id="0" name="eq_13.png"/>
                    <pic:cNvPicPr/>
                  </pic:nvPicPr>
                  <pic:blipFill>
                    <a:blip r:embed="rId23"/>
                    <a:stretch>
                      <a:fillRect/>
                    </a:stretch>
                  </pic:blipFill>
                  <pic:spPr>
                    <a:xfrm>
                      <a:off x="0" y="0"/>
                      <a:ext cx="3470563" cy="453043"/>
                    </a:xfrm>
                    <a:prstGeom prst="rect"/>
                  </pic:spPr>
                </pic:pic>
              </a:graphicData>
            </a:graphic>
          </wp:inline>
        </w:drawing>
      </w:r>
    </w:p>
    <w:p>
      <w:r>
        <w:t>The exact sum is typically intractable. However, for any distribution q supported on the fiber, Jensen’s inequality gives</w:t>
      </w:r>
    </w:p>
    <w:p>
      <w:pPr>
        <w:spacing w:before="60" w:after="60"/>
        <w:jc w:val="center"/>
      </w:pPr>
      <w:r>
        <w:drawing>
          <wp:inline xmlns:a="http://schemas.openxmlformats.org/drawingml/2006/main" xmlns:pic="http://schemas.openxmlformats.org/drawingml/2006/picture">
            <wp:extent cx="4509654" cy="440574"/>
            <wp:docPr id="14" name="Picture 14"/>
            <wp:cNvGraphicFramePr>
              <a:graphicFrameLocks noChangeAspect="1"/>
            </wp:cNvGraphicFramePr>
            <a:graphic>
              <a:graphicData uri="http://schemas.openxmlformats.org/drawingml/2006/picture">
                <pic:pic>
                  <pic:nvPicPr>
                    <pic:cNvPr id="0" name="eq_14.png"/>
                    <pic:cNvPicPr/>
                  </pic:nvPicPr>
                  <pic:blipFill>
                    <a:blip r:embed="rId24"/>
                    <a:stretch>
                      <a:fillRect/>
                    </a:stretch>
                  </pic:blipFill>
                  <pic:spPr>
                    <a:xfrm>
                      <a:off x="0" y="0"/>
                      <a:ext cx="4509654" cy="440574"/>
                    </a:xfrm>
                    <a:prstGeom prst="rect"/>
                  </pic:spPr>
                </pic:pic>
              </a:graphicData>
            </a:graphic>
          </wp:inline>
        </w:drawing>
      </w:r>
    </w:p>
    <w:p>
      <w:r>
        <w:t>Thus multi-proof supervision, verifier-filtered sampling, and verifier-backed policy optimization should be viewed as alternative estimators or approximations to the same latent-representative objective rather than independent tricks.</w:t>
      </w:r>
    </w:p>
    <w:p>
      <w:r>
        <w:t>Equation (13) has a cost: it is indifferent among representatives within the semantic fiber. If downstream use values idiomatic Lean, canonical normal forms, maintainable code, or preferred proof style, pure fiber likelihood can erode those preferences. A practical objective therefore requires a representative prior r(Y|S(X),C), for example</w:t>
      </w:r>
    </w:p>
    <w:p>
      <w:pPr>
        <w:spacing w:before="60" w:after="60"/>
        <w:jc w:val="center"/>
      </w:pPr>
      <w:r>
        <w:drawing>
          <wp:inline xmlns:a="http://schemas.openxmlformats.org/drawingml/2006/main" xmlns:pic="http://schemas.openxmlformats.org/drawingml/2006/picture">
            <wp:extent cx="3911138" cy="282632"/>
            <wp:docPr id="15" name="Picture 15"/>
            <wp:cNvGraphicFramePr>
              <a:graphicFrameLocks noChangeAspect="1"/>
            </wp:cNvGraphicFramePr>
            <a:graphic>
              <a:graphicData uri="http://schemas.openxmlformats.org/drawingml/2006/picture">
                <pic:pic>
                  <pic:nvPicPr>
                    <pic:cNvPr id="0" name="eq_15.png"/>
                    <pic:cNvPicPr/>
                  </pic:nvPicPr>
                  <pic:blipFill>
                    <a:blip r:embed="rId25"/>
                    <a:stretch>
                      <a:fillRect/>
                    </a:stretch>
                  </pic:blipFill>
                  <pic:spPr>
                    <a:xfrm>
                      <a:off x="0" y="0"/>
                      <a:ext cx="3911138" cy="282632"/>
                    </a:xfrm>
                    <a:prstGeom prst="rect"/>
                  </pic:spPr>
                </pic:pic>
              </a:graphicData>
            </a:graphic>
          </wp:inline>
        </w:drawing>
      </w:r>
    </w:p>
    <w:p>
      <w:r>
        <w:t>with λ controlling semantic freedom versus canonical preference. No universal value of λ is implied by the theory; it becomes a domain-level design parameter.</w:t>
      </w:r>
    </w:p>
    <w:p>
      <w:pPr>
        <w:pStyle w:val="Heading1"/>
      </w:pPr>
      <w:r>
        <w:t>13. Identifiability as a rate: verifier information per unit generative freedom</w:t>
      </w:r>
    </w:p>
    <w:p>
      <w:r>
        <w:t>A frozen verifier is not by itself a sufficient operational description of exogeneity. As the generator discovers more valid representatives, the entropy of its conditional output can increase while the verifier-call budget remains fixed. Define an effective verification-information budget b as the information acquired from external verifier responses per generated instance (upper-bounded by the number of binary verifier calls), and define</w:t>
      </w:r>
    </w:p>
    <w:p>
      <w:pPr>
        <w:spacing w:before="60" w:after="60"/>
        <w:jc w:val="center"/>
      </w:pPr>
      <w:r>
        <w:drawing>
          <wp:inline xmlns:a="http://schemas.openxmlformats.org/drawingml/2006/main" xmlns:pic="http://schemas.openxmlformats.org/drawingml/2006/picture">
            <wp:extent cx="1500447" cy="374072"/>
            <wp:docPr id="16" name="Picture 16"/>
            <wp:cNvGraphicFramePr>
              <a:graphicFrameLocks noChangeAspect="1"/>
            </wp:cNvGraphicFramePr>
            <a:graphic>
              <a:graphicData uri="http://schemas.openxmlformats.org/drawingml/2006/picture">
                <pic:pic>
                  <pic:nvPicPr>
                    <pic:cNvPr id="0" name="eq_16.png"/>
                    <pic:cNvPicPr/>
                  </pic:nvPicPr>
                  <pic:blipFill>
                    <a:blip r:embed="rId26"/>
                    <a:stretch>
                      <a:fillRect/>
                    </a:stretch>
                  </pic:blipFill>
                  <pic:spPr>
                    <a:xfrm>
                      <a:off x="0" y="0"/>
                      <a:ext cx="1500447" cy="374072"/>
                    </a:xfrm>
                    <a:prstGeom prst="rect"/>
                  </pic:spPr>
                </pic:pic>
              </a:graphicData>
            </a:graphic>
          </wp:inline>
        </w:drawing>
      </w:r>
    </w:p>
    <w:p>
      <w:r>
        <w:t>We hypothesize that equivalence inflation becomes more likely as ρ_V falls. This is a falsifiable rate statement: hold the verifier fixed, vary only the call budget, and measure the onset of false acceptance or semantic drift as a function of b/H rather than training step alone.</w:t>
      </w:r>
    </w:p>
    <w:p>
      <w:pPr>
        <w:pStyle w:val="Heading2"/>
      </w:pPr>
      <w:r>
        <w:t>13.1 Accepted-distribution leak</w:t>
      </w:r>
    </w:p>
    <w:p>
      <w:r>
        <w:t>Let E_φ be a cheap learned equivalence critic and V an external verifier. Since equivalence inflation concentrates near the acceptance boundary, audit on the distribution conditioned on E_φ accepting:</w:t>
      </w:r>
    </w:p>
    <w:p>
      <w:pPr>
        <w:spacing w:before="60" w:after="60"/>
        <w:jc w:val="center"/>
      </w:pPr>
      <w:r>
        <w:drawing>
          <wp:inline xmlns:a="http://schemas.openxmlformats.org/drawingml/2006/main" xmlns:pic="http://schemas.openxmlformats.org/drawingml/2006/picture">
            <wp:extent cx="3537065" cy="303414"/>
            <wp:docPr id="17" name="Picture 17"/>
            <wp:cNvGraphicFramePr>
              <a:graphicFrameLocks noChangeAspect="1"/>
            </wp:cNvGraphicFramePr>
            <a:graphic>
              <a:graphicData uri="http://schemas.openxmlformats.org/drawingml/2006/picture">
                <pic:pic>
                  <pic:nvPicPr>
                    <pic:cNvPr id="0" name="eq_17.png"/>
                    <pic:cNvPicPr/>
                  </pic:nvPicPr>
                  <pic:blipFill>
                    <a:blip r:embed="rId27"/>
                    <a:stretch>
                      <a:fillRect/>
                    </a:stretch>
                  </pic:blipFill>
                  <pic:spPr>
                    <a:xfrm>
                      <a:off x="0" y="0"/>
                      <a:ext cx="3537065" cy="303414"/>
                    </a:xfrm>
                    <a:prstGeom prst="rect"/>
                  </pic:spPr>
                </pic:pic>
              </a:graphicData>
            </a:graphic>
          </wp:inline>
        </w:drawing>
      </w:r>
    </w:p>
    <w:p>
      <w:r>
        <w:t>This is the false-positive rate per accepted candidate and is naturally budget-efficient: expensive verifier calls are spent where the learned critic claims validity. Drift in Leak_acc is a direct alarm for equivalence inflation.</w:t>
      </w:r>
    </w:p>
    <w:p>
      <w:pPr>
        <w:pStyle w:val="Heading1"/>
      </w:pPr>
      <w:r>
        <w:t>14. Two-sided invariance error</w:t>
      </w:r>
    </w:p>
    <w:p>
      <w:r>
        <w:t>A related external diagnostic compares declared invariances with realized invariances. Let G_decl be a declared transformation family under which the task semantics should remain invariant, and let G_θ denote transformations empirically observed to leave the model’s semantic output invariant. Because group quotients need not be defined when these families are incomparable, use two directional set errors instead:</w:t>
      </w:r>
    </w:p>
    <w:p>
      <w:pPr>
        <w:spacing w:before="60" w:after="60"/>
        <w:jc w:val="center"/>
      </w:pPr>
      <w:r>
        <w:drawing>
          <wp:inline xmlns:a="http://schemas.openxmlformats.org/drawingml/2006/main" xmlns:pic="http://schemas.openxmlformats.org/drawingml/2006/picture">
            <wp:extent cx="3703320" cy="282632"/>
            <wp:docPr id="18" name="Picture 18"/>
            <wp:cNvGraphicFramePr>
              <a:graphicFrameLocks noChangeAspect="1"/>
            </wp:cNvGraphicFramePr>
            <a:graphic>
              <a:graphicData uri="http://schemas.openxmlformats.org/drawingml/2006/picture">
                <pic:pic>
                  <pic:nvPicPr>
                    <pic:cNvPr id="0" name="eq_18.png"/>
                    <pic:cNvPicPr/>
                  </pic:nvPicPr>
                  <pic:blipFill>
                    <a:blip r:embed="rId28"/>
                    <a:stretch>
                      <a:fillRect/>
                    </a:stretch>
                  </pic:blipFill>
                  <pic:spPr>
                    <a:xfrm>
                      <a:off x="0" y="0"/>
                      <a:ext cx="3703320" cy="282632"/>
                    </a:xfrm>
                    <a:prstGeom prst="rect"/>
                  </pic:spPr>
                </pic:pic>
              </a:graphicData>
            </a:graphic>
          </wp:inline>
        </w:drawing>
      </w:r>
    </w:p>
    <w:p>
      <w:r>
        <w:t>E_− measures failed invariance or representation lock-in; E_+ measures invented invariance or equivalence collapse. The same external instrument therefore exposes the two opposite failure modes. Internal filler entropy alone cannot distinguish them.</w:t>
      </w:r>
    </w:p>
    <w:p>
      <w:pPr>
        <w:pStyle w:val="Heading1"/>
      </w:pPr>
      <w:r>
        <w:t>15. Existing diffusion theorem provers sit mostly in the Boolean regime</w:t>
      </w:r>
    </w:p>
    <w:p>
      <w:r>
        <w:t>Formal theorem proving is the natural initial domain because completion validity is externally checkable. Recent systems already establish important baselines. Pythagoras-Prover includes a diffusion-based Lean prover and uses tactic-span masking: whole tactic spans, rather than independent tokens, are corrupted as units [18]. Diffusion-Proof uses block-diffusion proof generation and a large-block bidirectional corrector for local proof repair [19]. These works demonstrate that diffusion-style infilling is viable in formal mathematics.</w:t>
      </w:r>
    </w:p>
    <w:p>
      <w:r>
        <w:t>However, tactic-span masking by itself does not change the underlying Boolean geometry. If each tactic is independently kept or masked, the corruption patterns are again indexed by a Boolean lattice; if only contiguous tactic regions are collapsed, Proposition 2 gives B_{m−1}. Therefore a geometry-sensitive experiment must deliberately use non-contiguous but dependency-connected atom sets.</w:t>
      </w:r>
    </w:p>
    <w:p>
      <w:pPr>
        <w:pStyle w:val="Heading1"/>
      </w:pPr>
      <w:r>
        <w:t>16. Diffusion-side experiment: isolate geometry, not hole size</w:t>
      </w:r>
    </w:p>
    <w:p>
      <w:r>
        <w:t>For a Lean proof, construct a tactic dependency graph G from explicit hypothesis use, generated facts, or proof-state dependencies. The corruption atoms are tactics or verified proof steps. Compare three corruption geometries under matched model size, compute, and approximate conditional-information loss:</w:t>
      </w:r>
    </w:p>
    <w:p>
      <w:pPr>
        <w:pStyle w:val="Caption"/>
        <w:keepNext/>
        <w:jc w:val="center"/>
      </w:pPr>
      <w:r>
        <w:rPr>
          <w:b/>
        </w:rPr>
        <w:t>Table 3. Factorial design for isolating the interaction between collapse geometry and semantic-set targets.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4608"/>
            <w:shd w:fill="D9EAF7"/>
            <w:vAlign w:val="center"/>
            <w:tcMar>
              <w:top w:w="80" w:type="dxa"/>
              <w:start w:w="80" w:type="dxa"/>
              <w:bottom w:w="80" w:type="dxa"/>
              <w:end w:w="80" w:type="dxa"/>
            </w:tcMar>
          </w:tcPr>
          <w:p>
            <w:pPr>
              <w:jc w:val="center"/>
            </w:pPr>
            <w:r>
              <w:rPr>
                <w:b/>
                <w:sz w:val="18"/>
              </w:rPr>
              <w:t>Corruption family</w:t>
            </w:r>
          </w:p>
        </w:tc>
        <w:tc>
          <w:tcPr>
            <w:tcW w:type="dxa" w:w="3024"/>
            <w:shd w:fill="D9EAF7"/>
            <w:vAlign w:val="center"/>
            <w:tcMar>
              <w:top w:w="80" w:type="dxa"/>
              <w:start w:w="80" w:type="dxa"/>
              <w:bottom w:w="80" w:type="dxa"/>
              <w:end w:w="80" w:type="dxa"/>
            </w:tcMar>
          </w:tcPr>
          <w:p>
            <w:pPr>
              <w:jc w:val="center"/>
            </w:pPr>
            <w:r>
              <w:rPr>
                <w:b/>
                <w:sz w:val="18"/>
              </w:rPr>
              <w:t>Exact original target</w:t>
            </w:r>
          </w:p>
        </w:tc>
        <w:tc>
          <w:tcPr>
            <w:tcW w:type="dxa" w:w="3024"/>
            <w:shd w:fill="D9EAF7"/>
            <w:vAlign w:val="center"/>
            <w:tcMar>
              <w:top w:w="80" w:type="dxa"/>
              <w:start w:w="80" w:type="dxa"/>
              <w:bottom w:w="80" w:type="dxa"/>
              <w:end w:w="80" w:type="dxa"/>
            </w:tcMar>
          </w:tcPr>
          <w:p>
            <w:pPr>
              <w:jc w:val="center"/>
            </w:pPr>
            <w:r>
              <w:rPr>
                <w:b/>
                <w:sz w:val="18"/>
              </w:rPr>
              <w:t>Any kernel-accepted target</w:t>
            </w:r>
          </w:p>
        </w:tc>
      </w:tr>
      <w:tr>
        <w:tc>
          <w:tcPr>
            <w:tcW w:type="dxa" w:w="4608"/>
            <w:vAlign w:val="center"/>
            <w:tcMar>
              <w:top w:w="80" w:type="dxa"/>
              <w:start w:w="80" w:type="dxa"/>
              <w:bottom w:w="80" w:type="dxa"/>
              <w:end w:w="80" w:type="dxa"/>
            </w:tcMar>
          </w:tcPr>
          <w:p>
            <w:r>
              <w:rPr>
                <w:sz w:val="17"/>
              </w:rPr>
              <w:t>A. Token masking</w:t>
            </w:r>
          </w:p>
        </w:tc>
        <w:tc>
          <w:tcPr>
            <w:tcW w:type="dxa" w:w="3024"/>
            <w:vAlign w:val="center"/>
            <w:tcMar>
              <w:top w:w="80" w:type="dxa"/>
              <w:start w:w="80" w:type="dxa"/>
              <w:bottom w:w="80" w:type="dxa"/>
              <w:end w:w="80" w:type="dxa"/>
            </w:tcMar>
          </w:tcPr>
          <w:p>
            <w:r>
              <w:rPr>
                <w:sz w:val="17"/>
              </w:rPr>
              <w:t>A0</w:t>
            </w:r>
          </w:p>
        </w:tc>
        <w:tc>
          <w:tcPr>
            <w:tcW w:type="dxa" w:w="3024"/>
            <w:vAlign w:val="center"/>
            <w:tcMar>
              <w:top w:w="80" w:type="dxa"/>
              <w:start w:w="80" w:type="dxa"/>
              <w:bottom w:w="80" w:type="dxa"/>
              <w:end w:w="80" w:type="dxa"/>
            </w:tcMar>
          </w:tcPr>
          <w:p>
            <w:r>
              <w:rPr>
                <w:sz w:val="17"/>
              </w:rPr>
              <w:t>A1</w:t>
            </w:r>
          </w:p>
        </w:tc>
      </w:tr>
      <w:tr>
        <w:tc>
          <w:tcPr>
            <w:tcW w:type="dxa" w:w="4608"/>
            <w:vAlign w:val="center"/>
            <w:tcMar>
              <w:top w:w="80" w:type="dxa"/>
              <w:start w:w="80" w:type="dxa"/>
              <w:bottom w:w="80" w:type="dxa"/>
              <w:end w:w="80" w:type="dxa"/>
            </w:tcMar>
          </w:tcPr>
          <w:p>
            <w:r>
              <w:rPr>
                <w:sz w:val="17"/>
              </w:rPr>
              <w:t>B. Typed tactic/span holes (Boolean)</w:t>
            </w:r>
          </w:p>
        </w:tc>
        <w:tc>
          <w:tcPr>
            <w:tcW w:type="dxa" w:w="3024"/>
            <w:vAlign w:val="center"/>
            <w:tcMar>
              <w:top w:w="80" w:type="dxa"/>
              <w:start w:w="80" w:type="dxa"/>
              <w:bottom w:w="80" w:type="dxa"/>
              <w:end w:w="80" w:type="dxa"/>
            </w:tcMar>
          </w:tcPr>
          <w:p>
            <w:r>
              <w:rPr>
                <w:sz w:val="17"/>
              </w:rPr>
              <w:t>B0</w:t>
            </w:r>
          </w:p>
        </w:tc>
        <w:tc>
          <w:tcPr>
            <w:tcW w:type="dxa" w:w="3024"/>
            <w:vAlign w:val="center"/>
            <w:tcMar>
              <w:top w:w="80" w:type="dxa"/>
              <w:start w:w="80" w:type="dxa"/>
              <w:bottom w:w="80" w:type="dxa"/>
              <w:end w:w="80" w:type="dxa"/>
            </w:tcMar>
          </w:tcPr>
          <w:p>
            <w:r>
              <w:rPr>
                <w:sz w:val="17"/>
              </w:rPr>
              <w:t>B1</w:t>
            </w:r>
          </w:p>
        </w:tc>
      </w:tr>
      <w:tr>
        <w:tc>
          <w:tcPr>
            <w:tcW w:type="dxa" w:w="4608"/>
            <w:vAlign w:val="center"/>
            <w:tcMar>
              <w:top w:w="80" w:type="dxa"/>
              <w:start w:w="80" w:type="dxa"/>
              <w:bottom w:w="80" w:type="dxa"/>
              <w:end w:w="80" w:type="dxa"/>
            </w:tcMar>
          </w:tcPr>
          <w:p>
            <w:r>
              <w:rPr>
                <w:sz w:val="17"/>
              </w:rPr>
              <w:t>C. Dependency-connected bond-lattice collapse</w:t>
            </w:r>
          </w:p>
        </w:tc>
        <w:tc>
          <w:tcPr>
            <w:tcW w:type="dxa" w:w="3024"/>
            <w:vAlign w:val="center"/>
            <w:tcMar>
              <w:top w:w="80" w:type="dxa"/>
              <w:start w:w="80" w:type="dxa"/>
              <w:bottom w:w="80" w:type="dxa"/>
              <w:end w:w="80" w:type="dxa"/>
            </w:tcMar>
          </w:tcPr>
          <w:p>
            <w:r>
              <w:rPr>
                <w:sz w:val="17"/>
              </w:rPr>
              <w:t>C0</w:t>
            </w:r>
          </w:p>
        </w:tc>
        <w:tc>
          <w:tcPr>
            <w:tcW w:type="dxa" w:w="3024"/>
            <w:vAlign w:val="center"/>
            <w:tcMar>
              <w:top w:w="80" w:type="dxa"/>
              <w:start w:w="80" w:type="dxa"/>
              <w:bottom w:w="80" w:type="dxa"/>
              <w:end w:w="80" w:type="dxa"/>
            </w:tcMar>
          </w:tcPr>
          <w:p>
            <w:r>
              <w:rPr>
                <w:sz w:val="17"/>
              </w:rPr>
              <w:t>C1</w:t>
            </w:r>
          </w:p>
        </w:tc>
      </w:tr>
    </w:tbl>
    <w:p>
      <w:pPr>
        <w:spacing w:after="0"/>
      </w:pPr>
    </w:p>
    <w:p>
      <w:r>
        <w:t>The geometry-specific semantic interaction is</w:t>
      </w:r>
    </w:p>
    <w:p>
      <w:pPr>
        <w:spacing w:before="60" w:after="60"/>
        <w:jc w:val="center"/>
      </w:pPr>
      <w:r>
        <w:drawing>
          <wp:inline xmlns:a="http://schemas.openxmlformats.org/drawingml/2006/main" xmlns:pic="http://schemas.openxmlformats.org/drawingml/2006/picture">
            <wp:extent cx="2776450" cy="303414"/>
            <wp:docPr id="19" name="Picture 19"/>
            <wp:cNvGraphicFramePr>
              <a:graphicFrameLocks noChangeAspect="1"/>
            </wp:cNvGraphicFramePr>
            <a:graphic>
              <a:graphicData uri="http://schemas.openxmlformats.org/drawingml/2006/picture">
                <pic:pic>
                  <pic:nvPicPr>
                    <pic:cNvPr id="0" name="eq_19.png"/>
                    <pic:cNvPicPr/>
                  </pic:nvPicPr>
                  <pic:blipFill>
                    <a:blip r:embed="rId29"/>
                    <a:stretch>
                      <a:fillRect/>
                    </a:stretch>
                  </pic:blipFill>
                  <pic:spPr>
                    <a:xfrm>
                      <a:off x="0" y="0"/>
                      <a:ext cx="2776450" cy="303414"/>
                    </a:xfrm>
                    <a:prstGeom prst="rect"/>
                  </pic:spPr>
                </pic:pic>
              </a:graphicData>
            </a:graphic>
          </wp:inline>
        </w:drawing>
      </w:r>
    </w:p>
    <w:p>
      <w:r>
        <w:t>The critical stratification is by B(G)=|[t]χ_G(t)|. On proofs whose dependency graph is tree-like, B(G)=1 and C should reduce to Boolean-like geometry; the prediction is I_geom≈0 after information matching. On proofs with cycles, B(G)&gt;1; the hypothesis predicts a positive interaction that increases with a suitable function of B(G), after controlling for proof length, removed information, verifier compute, and graph density.</w:t>
      </w:r>
    </w:p>
    <w:p>
      <w:pPr>
        <w:pStyle w:val="Note"/>
      </w:pPr>
      <w:r>
        <w:rPr>
          <w:b/>
        </w:rPr>
        <w:t xml:space="preserve">Minimal non-Boolean instance — </w:t>
      </w:r>
      <w:r>
        <w:t>A triangle K_3 gives B(K_3)=2 and is the smallest bond-lattice example with a non-Boolean rank-2 interval. In Lean, one should search for three proof atoms whose dependency graph forms a triangle and for which each pairwise merge yields a well-typed intermediate collapse. These instances provide the first witness-prediction benchmark.</w:t>
      </w:r>
    </w:p>
    <w:p>
      <w:pPr>
        <w:pStyle w:val="Heading1"/>
      </w:pPr>
      <w:r>
        <w:t>17. From relative collapse to explicit higher coherence</w:t>
      </w:r>
    </w:p>
    <w:p>
      <w:r>
        <w:t>Relative collapse diffusion still need not be “homotopic” in an architectural sense. Its reverse process can select valid representatives without representing transformations between representatives. The next level materializes those transformations as 1-cells or proof paths p,q, and equivalences between paths as 2-cells H:p⇒q. Yet, by itself, this still does not establish non-strictifiable necessity.</w:t>
      </w:r>
    </w:p>
    <w:p>
      <w:r>
        <w:t>The architectural boundary is crossed only when the model must compose 2-cell witnesses in two independent ways and retain the coherence between those compositions as a 3-cell Ω. The relevant operations may arise from two monotone filtrations (e.g., structural resolution and semantic certification), from spatial versus derivational composition, or from other domain-specific independent compositions. Non-monotone remasking is one possible engineering source of a second direction, but it is not required by the mathematics.</w:t>
      </w:r>
    </w:p>
    <w:p>
      <w:pPr>
        <w:spacing w:before="60" w:after="60"/>
        <w:jc w:val="center"/>
      </w:pPr>
      <w:r>
        <w:drawing>
          <wp:inline xmlns:a="http://schemas.openxmlformats.org/drawingml/2006/main" xmlns:pic="http://schemas.openxmlformats.org/drawingml/2006/picture">
            <wp:extent cx="4547061" cy="299258"/>
            <wp:docPr id="20" name="Picture 20"/>
            <wp:cNvGraphicFramePr>
              <a:graphicFrameLocks noChangeAspect="1"/>
            </wp:cNvGraphicFramePr>
            <a:graphic>
              <a:graphicData uri="http://schemas.openxmlformats.org/drawingml/2006/picture">
                <pic:pic>
                  <pic:nvPicPr>
                    <pic:cNvPr id="0" name="eq_20.png"/>
                    <pic:cNvPicPr/>
                  </pic:nvPicPr>
                  <pic:blipFill>
                    <a:blip r:embed="rId30"/>
                    <a:stretch>
                      <a:fillRect/>
                    </a:stretch>
                  </pic:blipFill>
                  <pic:spPr>
                    <a:xfrm>
                      <a:off x="0" y="0"/>
                      <a:ext cx="4547061" cy="299258"/>
                    </a:xfrm>
                    <a:prstGeom prst="rect"/>
                  </pic:spPr>
                </pic:pic>
              </a:graphicData>
            </a:graphic>
          </wp:inline>
        </w:drawing>
      </w:r>
    </w:p>
    <w:p>
      <w:r>
        <w:t>The proposal is therefore not “add a tensor for 3-cells.” It is to make Ω the output of a compositional query whose correctness affects downstream computation and cannot be reconstructed cheaply from a strict representation under the same interface.</w:t>
      </w:r>
    </w:p>
    <w:p>
      <w:pPr>
        <w:pStyle w:val="Heading1"/>
      </w:pPr>
      <w:r>
        <w:t>18. The real theoretical target: computational non-strictifiability</w:t>
      </w:r>
    </w:p>
    <w:p>
      <w:r>
        <w:t>Categorical non-strictifiability is not yet a neural-network lower bound. A wide ordinary Transformer can encode arbitrary invariants in unconstrained hidden vectors. Consequently, representation probes that merely ask whether a model distinguishes a Hopf-trivial from a Hopf-nontrivial example cannot establish architectural necessity.</w:t>
      </w:r>
    </w:p>
    <w:p>
      <w:pPr>
        <w:pStyle w:val="Theorem"/>
      </w:pPr>
      <w:r>
        <w:rPr>
          <w:b/>
        </w:rPr>
        <w:t xml:space="preserve">Conjecture 1 (Categorical depth separation). </w:t>
      </w:r>
      <w:r>
        <w:t>There exists a task family T_n and a fixed task interface such that an architecture with explicit interchanger composition represents or learns T_n with poly(n) resources, whereas every architecture constrained to an admissible strictified representation requires exp(Ω(n)) resources in at least one of width, state count, description length, samples, or inference steps.</w:t>
      </w:r>
    </w:p>
    <w:p>
      <w:r>
        <w:t>The conjecture is intentionally stronger than universality. Both model classes may be universal. The question is efficiency, analogous to classical depth-separation results for neural networks: does explicit categorical dimension match a compositional structure that becomes expensive when flattened?</w:t>
      </w:r>
    </w:p>
    <w:p>
      <w:r>
        <w:t>A proof would require (i) a formal architectural class for “strictified” models, (ii) a preserved interface so that strictification cannot hide complexity by changing the task, (iii) a task family whose 3-cell invariant is necessary for prediction, and (iv) a lower-bound technique. The current paper does not provide that theorem; it identifies it as the load-bearing target.</w:t>
      </w:r>
    </w:p>
    <w:p>
      <w:pPr>
        <w:pStyle w:val="Heading1"/>
      </w:pPr>
      <w:r>
        <w:t>19. Polygraphic rewriting as a ground-truth higher-coherence laboratory</w:t>
      </w:r>
    </w:p>
    <w:p>
      <w:r>
        <w:t>Term and string rewriting provide an unusual advantage: higher coherence data can be generated rather than curated. In a convergent presentation, critical branchings yield generating confluences; Squier’s theory relates these to homotopy bases and finite derivation type [15,20,21]. Higher-dimensional polygraphic resolutions continue the process with higher critical branchings and syzygies [16,17].</w:t>
      </w:r>
    </w:p>
    <w:p>
      <w:r>
        <w:t>This makes rewriting a controlled curriculum. Finite convergent systems are not trivial above the critical-pair level; rather, they provide finite generating data at the first coherence levels and, in many settings, computable polygraphic resolutions. They are therefore suitable for training explicit witness composition. Squier-type examples with decidable word problem but without finite derivation type or without finite convergent presentations provide harder out-of-distribution stress tests [15,20,21].</w:t>
      </w:r>
    </w:p>
    <w:p>
      <w:pPr>
        <w:pStyle w:val="Caption"/>
        <w:keepNext/>
        <w:jc w:val="center"/>
      </w:pPr>
      <w:r>
        <w:rPr>
          <w:b/>
        </w:rPr>
        <w:t>Table 4. Proposed polygraphic curriculum.</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864"/>
            <w:shd w:fill="D9EAF7"/>
            <w:vAlign w:val="center"/>
            <w:tcMar>
              <w:top w:w="80" w:type="dxa"/>
              <w:start w:w="80" w:type="dxa"/>
              <w:bottom w:w="80" w:type="dxa"/>
              <w:end w:w="80" w:type="dxa"/>
            </w:tcMar>
          </w:tcPr>
          <w:p>
            <w:pPr>
              <w:jc w:val="center"/>
            </w:pPr>
            <w:r>
              <w:rPr>
                <w:b/>
                <w:sz w:val="18"/>
              </w:rPr>
              <w:t>Stage</w:t>
            </w:r>
          </w:p>
        </w:tc>
        <w:tc>
          <w:tcPr>
            <w:tcW w:type="dxa" w:w="3168"/>
            <w:shd w:fill="D9EAF7"/>
            <w:vAlign w:val="center"/>
            <w:tcMar>
              <w:top w:w="80" w:type="dxa"/>
              <w:start w:w="80" w:type="dxa"/>
              <w:bottom w:w="80" w:type="dxa"/>
              <w:end w:w="80" w:type="dxa"/>
            </w:tcMar>
          </w:tcPr>
          <w:p>
            <w:pPr>
              <w:jc w:val="center"/>
            </w:pPr>
            <w:r>
              <w:rPr>
                <w:b/>
                <w:sz w:val="18"/>
              </w:rPr>
              <w:t>Supervision object</w:t>
            </w:r>
          </w:p>
        </w:tc>
        <w:tc>
          <w:tcPr>
            <w:tcW w:type="dxa" w:w="3528"/>
            <w:shd w:fill="D9EAF7"/>
            <w:vAlign w:val="center"/>
            <w:tcMar>
              <w:top w:w="80" w:type="dxa"/>
              <w:start w:w="80" w:type="dxa"/>
              <w:bottom w:w="80" w:type="dxa"/>
              <w:end w:w="80" w:type="dxa"/>
            </w:tcMar>
          </w:tcPr>
          <w:p>
            <w:pPr>
              <w:jc w:val="center"/>
            </w:pPr>
            <w:r>
              <w:rPr>
                <w:b/>
                <w:sz w:val="18"/>
              </w:rPr>
              <w:t>Model query</w:t>
            </w:r>
          </w:p>
        </w:tc>
        <w:tc>
          <w:tcPr>
            <w:tcW w:type="dxa" w:w="3600"/>
            <w:shd w:fill="D9EAF7"/>
            <w:vAlign w:val="center"/>
            <w:tcMar>
              <w:top w:w="80" w:type="dxa"/>
              <w:start w:w="80" w:type="dxa"/>
              <w:bottom w:w="80" w:type="dxa"/>
              <w:end w:w="80" w:type="dxa"/>
            </w:tcMar>
          </w:tcPr>
          <w:p>
            <w:pPr>
              <w:jc w:val="center"/>
            </w:pPr>
            <w:r>
              <w:rPr>
                <w:b/>
                <w:sz w:val="18"/>
              </w:rPr>
              <w:t>Purpose</w:t>
            </w:r>
          </w:p>
        </w:tc>
      </w:tr>
      <w:tr>
        <w:tc>
          <w:tcPr>
            <w:tcW w:type="dxa" w:w="864"/>
            <w:vAlign w:val="center"/>
            <w:tcMar>
              <w:top w:w="80" w:type="dxa"/>
              <w:start w:w="80" w:type="dxa"/>
              <w:bottom w:w="80" w:type="dxa"/>
              <w:end w:w="80" w:type="dxa"/>
            </w:tcMar>
          </w:tcPr>
          <w:p>
            <w:r>
              <w:rPr>
                <w:sz w:val="17"/>
              </w:rPr>
              <w:t>0</w:t>
            </w:r>
          </w:p>
        </w:tc>
        <w:tc>
          <w:tcPr>
            <w:tcW w:type="dxa" w:w="3168"/>
            <w:vAlign w:val="center"/>
            <w:tcMar>
              <w:top w:w="80" w:type="dxa"/>
              <w:start w:w="80" w:type="dxa"/>
              <w:bottom w:w="80" w:type="dxa"/>
              <w:end w:w="80" w:type="dxa"/>
            </w:tcMar>
          </w:tcPr>
          <w:p>
            <w:r>
              <w:rPr>
                <w:sz w:val="17"/>
              </w:rPr>
              <w:t>terms / normal forms</w:t>
            </w:r>
          </w:p>
        </w:tc>
        <w:tc>
          <w:tcPr>
            <w:tcW w:type="dxa" w:w="3528"/>
            <w:vAlign w:val="center"/>
            <w:tcMar>
              <w:top w:w="80" w:type="dxa"/>
              <w:start w:w="80" w:type="dxa"/>
              <w:bottom w:w="80" w:type="dxa"/>
              <w:end w:w="80" w:type="dxa"/>
            </w:tcMar>
          </w:tcPr>
          <w:p>
            <w:r>
              <w:rPr>
                <w:sz w:val="17"/>
              </w:rPr>
              <w:t>predict rewrite or normal form</w:t>
            </w:r>
          </w:p>
        </w:tc>
        <w:tc>
          <w:tcPr>
            <w:tcW w:type="dxa" w:w="3600"/>
            <w:vAlign w:val="center"/>
            <w:tcMar>
              <w:top w:w="80" w:type="dxa"/>
              <w:start w:w="80" w:type="dxa"/>
              <w:bottom w:w="80" w:type="dxa"/>
              <w:end w:w="80" w:type="dxa"/>
            </w:tcMar>
          </w:tcPr>
          <w:p>
            <w:r>
              <w:rPr>
                <w:sz w:val="17"/>
              </w:rPr>
              <w:t>ordinary reasoning baseline</w:t>
            </w:r>
          </w:p>
        </w:tc>
      </w:tr>
      <w:tr>
        <w:tc>
          <w:tcPr>
            <w:tcW w:type="dxa" w:w="864"/>
            <w:vAlign w:val="center"/>
            <w:tcMar>
              <w:top w:w="80" w:type="dxa"/>
              <w:start w:w="80" w:type="dxa"/>
              <w:bottom w:w="80" w:type="dxa"/>
              <w:end w:w="80" w:type="dxa"/>
            </w:tcMar>
          </w:tcPr>
          <w:p>
            <w:r>
              <w:rPr>
                <w:sz w:val="17"/>
              </w:rPr>
              <w:t>1</w:t>
            </w:r>
          </w:p>
        </w:tc>
        <w:tc>
          <w:tcPr>
            <w:tcW w:type="dxa" w:w="3168"/>
            <w:vAlign w:val="center"/>
            <w:tcMar>
              <w:top w:w="80" w:type="dxa"/>
              <w:start w:w="80" w:type="dxa"/>
              <w:bottom w:w="80" w:type="dxa"/>
              <w:end w:w="80" w:type="dxa"/>
            </w:tcMar>
          </w:tcPr>
          <w:p>
            <w:r>
              <w:rPr>
                <w:sz w:val="17"/>
              </w:rPr>
              <w:t>critical branchings</w:t>
            </w:r>
          </w:p>
        </w:tc>
        <w:tc>
          <w:tcPr>
            <w:tcW w:type="dxa" w:w="3528"/>
            <w:vAlign w:val="center"/>
            <w:tcMar>
              <w:top w:w="80" w:type="dxa"/>
              <w:start w:w="80" w:type="dxa"/>
              <w:bottom w:w="80" w:type="dxa"/>
              <w:end w:w="80" w:type="dxa"/>
            </w:tcMar>
          </w:tcPr>
          <w:p>
            <w:r>
              <w:rPr>
                <w:sz w:val="17"/>
              </w:rPr>
              <w:t>construct confluence witness</w:t>
            </w:r>
          </w:p>
        </w:tc>
        <w:tc>
          <w:tcPr>
            <w:tcW w:type="dxa" w:w="3600"/>
            <w:vAlign w:val="center"/>
            <w:tcMar>
              <w:top w:w="80" w:type="dxa"/>
              <w:start w:w="80" w:type="dxa"/>
              <w:bottom w:w="80" w:type="dxa"/>
              <w:end w:w="80" w:type="dxa"/>
            </w:tcMar>
          </w:tcPr>
          <w:p>
            <w:r>
              <w:rPr>
                <w:sz w:val="17"/>
              </w:rPr>
              <w:t>learn 2-cell structure</w:t>
            </w:r>
          </w:p>
        </w:tc>
      </w:tr>
      <w:tr>
        <w:tc>
          <w:tcPr>
            <w:tcW w:type="dxa" w:w="864"/>
            <w:vAlign w:val="center"/>
            <w:tcMar>
              <w:top w:w="80" w:type="dxa"/>
              <w:start w:w="80" w:type="dxa"/>
              <w:bottom w:w="80" w:type="dxa"/>
              <w:end w:w="80" w:type="dxa"/>
            </w:tcMar>
          </w:tcPr>
          <w:p>
            <w:r>
              <w:rPr>
                <w:sz w:val="17"/>
              </w:rPr>
              <w:t>2</w:t>
            </w:r>
          </w:p>
        </w:tc>
        <w:tc>
          <w:tcPr>
            <w:tcW w:type="dxa" w:w="3168"/>
            <w:vAlign w:val="center"/>
            <w:tcMar>
              <w:top w:w="80" w:type="dxa"/>
              <w:start w:w="80" w:type="dxa"/>
              <w:bottom w:w="80" w:type="dxa"/>
              <w:end w:w="80" w:type="dxa"/>
            </w:tcMar>
          </w:tcPr>
          <w:p>
            <w:r>
              <w:rPr>
                <w:sz w:val="17"/>
              </w:rPr>
              <w:t>compositions of confluences</w:t>
            </w:r>
          </w:p>
        </w:tc>
        <w:tc>
          <w:tcPr>
            <w:tcW w:type="dxa" w:w="3528"/>
            <w:vAlign w:val="center"/>
            <w:tcMar>
              <w:top w:w="80" w:type="dxa"/>
              <w:start w:w="80" w:type="dxa"/>
              <w:bottom w:w="80" w:type="dxa"/>
              <w:end w:w="80" w:type="dxa"/>
            </w:tcMar>
          </w:tcPr>
          <w:p>
            <w:r>
              <w:rPr>
                <w:sz w:val="17"/>
              </w:rPr>
              <w:t>predict interchanger / 3-cell class</w:t>
            </w:r>
          </w:p>
        </w:tc>
        <w:tc>
          <w:tcPr>
            <w:tcW w:type="dxa" w:w="3600"/>
            <w:vAlign w:val="center"/>
            <w:tcMar>
              <w:top w:w="80" w:type="dxa"/>
              <w:start w:w="80" w:type="dxa"/>
              <w:bottom w:w="80" w:type="dxa"/>
              <w:end w:w="80" w:type="dxa"/>
            </w:tcMar>
          </w:tcPr>
          <w:p>
            <w:r>
              <w:rPr>
                <w:sz w:val="17"/>
              </w:rPr>
              <w:t>test non-strictifiable coherence</w:t>
            </w:r>
          </w:p>
        </w:tc>
      </w:tr>
      <w:tr>
        <w:tc>
          <w:tcPr>
            <w:tcW w:type="dxa" w:w="864"/>
            <w:vAlign w:val="center"/>
            <w:tcMar>
              <w:top w:w="80" w:type="dxa"/>
              <w:start w:w="80" w:type="dxa"/>
              <w:bottom w:w="80" w:type="dxa"/>
              <w:end w:w="80" w:type="dxa"/>
            </w:tcMar>
          </w:tcPr>
          <w:p>
            <w:r>
              <w:rPr>
                <w:sz w:val="17"/>
              </w:rPr>
              <w:t>3</w:t>
            </w:r>
          </w:p>
        </w:tc>
        <w:tc>
          <w:tcPr>
            <w:tcW w:type="dxa" w:w="3168"/>
            <w:vAlign w:val="center"/>
            <w:tcMar>
              <w:top w:w="80" w:type="dxa"/>
              <w:start w:w="80" w:type="dxa"/>
              <w:bottom w:w="80" w:type="dxa"/>
              <w:end w:w="80" w:type="dxa"/>
            </w:tcMar>
          </w:tcPr>
          <w:p>
            <w:r>
              <w:rPr>
                <w:sz w:val="17"/>
              </w:rPr>
              <w:t>higher critical branchings / Squier-hard families</w:t>
            </w:r>
          </w:p>
        </w:tc>
        <w:tc>
          <w:tcPr>
            <w:tcW w:type="dxa" w:w="3528"/>
            <w:vAlign w:val="center"/>
            <w:tcMar>
              <w:top w:w="80" w:type="dxa"/>
              <w:start w:w="80" w:type="dxa"/>
              <w:bottom w:w="80" w:type="dxa"/>
              <w:end w:w="80" w:type="dxa"/>
            </w:tcMar>
          </w:tcPr>
          <w:p>
            <w:r>
              <w:rPr>
                <w:sz w:val="17"/>
              </w:rPr>
              <w:t>generalize to unseen coherence towers</w:t>
            </w:r>
          </w:p>
        </w:tc>
        <w:tc>
          <w:tcPr>
            <w:tcW w:type="dxa" w:w="3600"/>
            <w:vAlign w:val="center"/>
            <w:tcMar>
              <w:top w:w="80" w:type="dxa"/>
              <w:start w:w="80" w:type="dxa"/>
              <w:bottom w:w="80" w:type="dxa"/>
              <w:end w:w="80" w:type="dxa"/>
            </w:tcMar>
          </w:tcPr>
          <w:p>
            <w:r>
              <w:rPr>
                <w:sz w:val="17"/>
              </w:rPr>
              <w:t>stress compositional generalization</w:t>
            </w:r>
          </w:p>
        </w:tc>
      </w:tr>
    </w:tbl>
    <w:p>
      <w:pPr>
        <w:spacing w:after="0"/>
      </w:pPr>
    </w:p>
    <w:p>
      <w:pPr>
        <w:pStyle w:val="Heading1"/>
      </w:pPr>
      <w:r>
        <w:t>20. A three-dimensional-parity benchmark</w:t>
      </w:r>
    </w:p>
    <w:p>
      <w:r>
        <w:t>The decisive benchmark should prevent lower-dimensional statistics from explaining success. Construct paired families A_n and B_n with matched 0-cell, 1-cell, and 2-cell boundary statistics but differing in a prescribed 3-dimensional invariant I_3. This is the higher-dimensional analogue of XOR/parity, where all pairwise marginals can be uninformative while a higher-order interaction controls the label.</w:t>
      </w:r>
    </w:p>
    <w:p>
      <w:r>
        <w:t>Train only on elementary generators and short composites. Evaluate on unseen long compositions. Compare capacity-matched model families:</w:t>
      </w:r>
    </w:p>
    <w:p>
      <w:pPr>
        <w:pStyle w:val="ListBullet"/>
        <w:spacing w:after="40"/>
      </w:pPr>
      <w:r>
        <w:t>M1: states and 1-paths only;</w:t>
      </w:r>
    </w:p>
    <w:p>
      <w:pPr>
        <w:pStyle w:val="ListBullet"/>
        <w:spacing w:after="40"/>
      </w:pPr>
      <w:r>
        <w:t>M2: explicit 2-witnesses but strict interchange;</w:t>
      </w:r>
    </w:p>
    <w:p>
      <w:pPr>
        <w:pStyle w:val="ListBullet"/>
        <w:spacing w:after="40"/>
      </w:pPr>
      <w:r>
        <w:t>M3: explicit interchanger 3-cells with composition laws.</w:t>
      </w:r>
    </w:p>
    <w:p>
      <w:r>
        <w:t>A simple representation probe is insufficient because M1 or M2 could memorize I_3 in an unconstrained latent coordinate. The benchmark must make the downstream output depend compositionally on I_3 and reserve test composites that cannot be memorized. The strictification escape is the null result M2≈M3 under matched capacity. The program receives positive evidence only if M3 exhibits a robust generalization or resource advantage specifically on the 3-invariant task while matching lower-dimensional controls.</w:t>
      </w:r>
    </w:p>
    <w:p>
      <w:pPr>
        <w:pStyle w:val="Heading1"/>
      </w:pPr>
      <w:r>
        <w:t>21. Two-stage empirical program</w:t>
      </w:r>
    </w:p>
    <w:p>
      <w:r>
        <w:t>The diffusion-side and higher-coherence experiments answer different questions and should not be mixed.</w:t>
      </w:r>
    </w:p>
    <w:p>
      <w:pPr>
        <w:pStyle w:val="Heading2"/>
      </w:pPr>
      <w:r>
        <w:t>21.1 Stage A: does non-Boolean collapse geometry matter?</w:t>
      </w:r>
    </w:p>
    <w:p>
      <w:pPr>
        <w:spacing w:after="40"/>
        <w:ind w:left="259" w:hanging="259"/>
      </w:pPr>
      <w:r>
        <w:t xml:space="preserve">1.  </w:t>
      </w:r>
      <w:r>
        <w:t>Extract or construct a proof dependency graph G for each Lean example.</w:t>
      </w:r>
    </w:p>
    <w:p>
      <w:pPr>
        <w:spacing w:after="40"/>
        <w:ind w:left="259" w:hanging="259"/>
      </w:pPr>
      <w:r>
        <w:t xml:space="preserve">2.  </w:t>
      </w:r>
      <w:r>
        <w:t>Compute the bond-lattice coherence budget B(G)=|[t]χ_G(t)| or a scalable approximation for larger graphs.</w:t>
      </w:r>
    </w:p>
    <w:p>
      <w:pPr>
        <w:spacing w:after="40"/>
        <w:ind w:left="259" w:hanging="259"/>
      </w:pPr>
      <w:r>
        <w:t xml:space="preserve">3.  </w:t>
      </w:r>
      <w:r>
        <w:t>Run the 3×2 design in Table 3 with corruption-information matching and verifier-compute matching.</w:t>
      </w:r>
    </w:p>
    <w:p>
      <w:pPr>
        <w:spacing w:after="40"/>
        <w:ind w:left="259" w:hanging="259"/>
      </w:pPr>
      <w:r>
        <w:t xml:space="preserve">4.  </w:t>
      </w:r>
      <w:r>
        <w:t>Test the conditional prediction: the geometry interaction is null on tree-like B(G)=1 examples and positive only on cyclic B(G)&gt;1 examples.</w:t>
      </w:r>
    </w:p>
    <w:p>
      <w:pPr>
        <w:spacing w:after="40"/>
        <w:ind w:left="259" w:hanging="259"/>
      </w:pPr>
      <w:r>
        <w:t xml:space="preserve">5.  </w:t>
      </w:r>
      <w:r>
        <w:t>Audit semantic validity with Leak_acc and monitor representative quality separately.</w:t>
      </w:r>
    </w:p>
    <w:p>
      <w:pPr>
        <w:pStyle w:val="Heading2"/>
      </w:pPr>
      <w:r>
        <w:t>21.2 Stage B: does explicit dimension-three coherence matter?</w:t>
      </w:r>
    </w:p>
    <w:p>
      <w:pPr>
        <w:spacing w:after="40"/>
        <w:ind w:left="259" w:hanging="259"/>
      </w:pPr>
      <w:r>
        <w:t xml:space="preserve">1.  </w:t>
      </w:r>
      <w:r>
        <w:t>Move to synthetic/polygraphic data with ground-truth 2- and 3-cells.</w:t>
      </w:r>
    </w:p>
    <w:p>
      <w:pPr>
        <w:spacing w:after="40"/>
        <w:ind w:left="259" w:hanging="259"/>
      </w:pPr>
      <w:r>
        <w:t xml:space="preserve">2.  </w:t>
      </w:r>
      <w:r>
        <w:t>Match M1/M2/M3 model capacity and prohibit unrestricted side channels that can directly store the test invariant.</w:t>
      </w:r>
    </w:p>
    <w:p>
      <w:pPr>
        <w:spacing w:after="40"/>
        <w:ind w:left="259" w:hanging="259"/>
      </w:pPr>
      <w:r>
        <w:t xml:space="preserve">3.  </w:t>
      </w:r>
      <w:r>
        <w:t>Train on generators and bounded-length composites only.</w:t>
      </w:r>
    </w:p>
    <w:p>
      <w:pPr>
        <w:spacing w:after="40"/>
        <w:ind w:left="259" w:hanging="259"/>
      </w:pPr>
      <w:r>
        <w:t xml:space="preserve">4.  </w:t>
      </w:r>
      <w:r>
        <w:t>Evaluate unseen long compositions whose labels depend on the 3-cell class.</w:t>
      </w:r>
    </w:p>
    <w:p>
      <w:pPr>
        <w:spacing w:after="40"/>
        <w:ind w:left="259" w:hanging="259"/>
      </w:pPr>
      <w:r>
        <w:t xml:space="preserve">5.  </w:t>
      </w:r>
      <w:r>
        <w:t>Report accuracy/resource curves, not only probe separability. M2≈M3 falsifies the architectural claim at the tested scale.</w:t>
      </w:r>
    </w:p>
    <w:p>
      <w:pPr>
        <w:pStyle w:val="Heading1"/>
      </w:pPr>
      <w:r>
        <w:t>22. Scope and limitations</w:t>
      </w:r>
    </w:p>
    <w:p>
      <w:r>
        <w:t>First, the bond-lattice coherence budget B(G) is a topological invariant of the corruption poset, not a proven measure of learning difficulty. The proposed stratification is explicitly a hypothesis that can fail.</w:t>
      </w:r>
    </w:p>
    <w:p>
      <w:r>
        <w:t>Second, the strictification criterion must not be overgeneralized. Bicategorical strictification does not erase arbitrary semantic 2-cells; conversely, the existence of essential 3-dimensional homotopy in mathematics does not imply a neural complexity separation. The missing theorem is computational.</w:t>
      </w:r>
    </w:p>
    <w:p>
      <w:r>
        <w:t>Third, relative collapse requires externally certified semantic fibers. This makes Lean, verified rewriting, and specified code unusually favorable. Test-covered code supplies only partial behavioral equivalence. Open prose lacks a cheap, stable semantic quotient and is outside the initial scope.</w:t>
      </w:r>
    </w:p>
    <w:p>
      <w:r>
        <w:t>Fourth, representative-indifferent fiber likelihood may damage canonical or idiomatic outputs. A representative prior is therefore part of the practical architecture, and its trade-off parameter is not fixed by the theory.</w:t>
      </w:r>
    </w:p>
    <w:p>
      <w:r>
        <w:t>Fifth, higher-coherence labels are scarce in natural corpora. Polygraphic rewriting is attractive precisely because the supervision can be generated with known boundaries and compositions; success there would still need transfer evidence before broader claims are justified.</w:t>
      </w:r>
    </w:p>
    <w:p>
      <w:pPr>
        <w:pStyle w:val="Heading1"/>
      </w:pPr>
      <w:r>
        <w:t>23. Conclusion</w:t>
      </w:r>
    </w:p>
    <w:p>
      <w:r>
        <w:t>The route beyond masked diffusion is not “more topology” and not merely order invariance. Masking became architectural because it changed the state space and the forward process. A credible successor must do the same while surviving a strictification test.</w:t>
      </w:r>
    </w:p>
    <w:p>
      <w:r>
        <w:t>This paper proposes a staged answer. Bond-lattice collapse replaces ad hoc quotient families by a closed graph-generated coarsening geometry and yields a computable topological coherence budget from the chromatic polynomial. Typed collapse states turn missing regions into explicit completion obligations. External semantic fibers prevent equivalence collapse and lead to a fiber-likelihood objective. These ingredients define relative collapse diffusion, but they do not yet force a new categorical architecture.</w:t>
      </w:r>
    </w:p>
    <w:p>
      <w:r>
        <w:t>The architectural claim begins at the first place where coherence cannot be compiled away cheaply. Dimension-three strictification theory identifies the right mathematical boundary, but not the neural complexity result. The decisive question is therefore computational: can explicit interchanger composition deliver a polynomial or practically substantial advantage over strictified alternatives on capacity-matched compositional tasks?</w:t>
      </w:r>
    </w:p>
    <w:p>
      <w:pPr>
        <w:pStyle w:val="Theorem"/>
        <w:jc w:val="center"/>
      </w:pPr>
      <w:r>
        <w:rPr>
          <w:b/>
          <w:i w:val="0"/>
        </w:rPr>
        <w:t>If the answer is no, Homotopic AI is notation. If the answer is yes, the separation—not topology by itself—is the architectural reason it should exist.</w:t>
      </w:r>
    </w:p>
    <w:p>
      <w:r>
        <w:br w:type="page"/>
      </w:r>
    </w:p>
    <w:p>
      <w:pPr>
        <w:pStyle w:val="Heading1"/>
      </w:pPr>
      <w:r>
        <w:t>References</w:t>
      </w:r>
    </w:p>
    <w:p>
      <w:pPr>
        <w:spacing w:after="60"/>
        <w:ind w:hanging="317" w:left="317"/>
      </w:pPr>
      <w:r>
        <w:rPr>
          <w:sz w:val="18"/>
        </w:rPr>
        <w:t>[1] Austin, J., Johnson, D. D., Ho, J., Tarlow, D., &amp; van den Berg, R. (2021). Structured Denoising Diffusion Models in Discrete State-Spaces. Advances in Neural Information Processing Systems 34. arXiv:2107.03006.</w:t>
      </w:r>
    </w:p>
    <w:p>
      <w:pPr>
        <w:spacing w:after="60"/>
        <w:ind w:hanging="317" w:left="317"/>
      </w:pPr>
      <w:r>
        <w:rPr>
          <w:sz w:val="18"/>
        </w:rPr>
        <w:t>[2] Shi, J., Han, K., Wang, Z., Doucet, A., &amp; Titsias, M. K. (2024). Simplified and Generalized Masked Diffusion for Discrete Data. arXiv:2406.04329.</w:t>
      </w:r>
    </w:p>
    <w:p>
      <w:pPr>
        <w:spacing w:after="60"/>
        <w:ind w:hanging="317" w:left="317"/>
      </w:pPr>
      <w:r>
        <w:rPr>
          <w:sz w:val="18"/>
        </w:rPr>
        <w:t>[3] Nie, S., Zhu, F., You, Z., Zhang, X., Ou, J., Hu, J., Zhou, J., Lin, Y., Wen, J.-R., &amp; Li, C. (2025). Large Language Diffusion Models. arXiv:2502.09992.</w:t>
      </w:r>
    </w:p>
    <w:p>
      <w:pPr>
        <w:spacing w:after="60"/>
        <w:ind w:hanging="317" w:left="317"/>
      </w:pPr>
      <w:r>
        <w:rPr>
          <w:sz w:val="18"/>
        </w:rPr>
        <w:t>[4] Kim, J. (2026). Path-Dependent Denoising: A Non-Conservative Field Perspective on Order Collapse in Diffusion Language Models. arXiv:2605.09303.</w:t>
      </w:r>
    </w:p>
    <w:p>
      <w:pPr>
        <w:spacing w:after="60"/>
        <w:ind w:hanging="317" w:left="317"/>
      </w:pPr>
      <w:r>
        <w:rPr>
          <w:sz w:val="18"/>
        </w:rPr>
        <w:t>[5] Besag, J. (1974). Spatial Interaction and the Statistical Analysis of Lattice Systems. Journal of the Royal Statistical Society, Series B, 36(2), 192–236.</w:t>
      </w:r>
    </w:p>
    <w:p>
      <w:pPr>
        <w:spacing w:after="60"/>
        <w:ind w:hanging="317" w:left="317"/>
      </w:pPr>
      <w:r>
        <w:rPr>
          <w:sz w:val="18"/>
        </w:rPr>
        <w:t>[6] Arnold, B. C., &amp; Press, S. J. (1989). Compatible Conditional Distributions. Journal of the American Statistical Association, 84(405), 152–156.</w:t>
      </w:r>
    </w:p>
    <w:p>
      <w:pPr>
        <w:spacing w:after="60"/>
        <w:ind w:hanging="317" w:left="317"/>
      </w:pPr>
      <w:r>
        <w:rPr>
          <w:sz w:val="18"/>
        </w:rPr>
        <w:t>[7] Heckerman, D., Chickering, D. M., Meek, C., Rounthwaite, R., &amp; Kadie, C. (2000). Dependency Networks for Inference, Collaborative Filtering, and Data Visualization. Journal of Machine Learning Research, 1, 49–75.</w:t>
      </w:r>
    </w:p>
    <w:p>
      <w:pPr>
        <w:spacing w:after="60"/>
        <w:ind w:hanging="317" w:left="317"/>
      </w:pPr>
      <w:r>
        <w:rPr>
          <w:sz w:val="18"/>
        </w:rPr>
        <w:t>[8] Bénabou, J. (1967). Introduction to Bicategories. Reports of the Midwest Category Seminar. Lecture Notes in Mathematics 47, 1–77. Springer.</w:t>
      </w:r>
    </w:p>
    <w:p>
      <w:pPr>
        <w:spacing w:after="60"/>
        <w:ind w:hanging="317" w:left="317"/>
      </w:pPr>
      <w:r>
        <w:rPr>
          <w:sz w:val="18"/>
        </w:rPr>
        <w:t>[9] Gordon, R., Power, A. J., &amp; Street, R. (1995). Coherence for Tricategories. Memoirs of the American Mathematical Society, 117(558).</w:t>
      </w:r>
    </w:p>
    <w:p>
      <w:pPr>
        <w:spacing w:after="60"/>
        <w:ind w:hanging="317" w:left="317"/>
      </w:pPr>
      <w:r>
        <w:rPr>
          <w:sz w:val="18"/>
        </w:rPr>
        <w:t>[10] Simpson, C. (1998). Homotopy Types of Strict 3-Groupoids. arXiv:math/9810059.</w:t>
      </w:r>
    </w:p>
    <w:p>
      <w:pPr>
        <w:spacing w:after="60"/>
        <w:ind w:hanging="317" w:left="317"/>
      </w:pPr>
      <w:r>
        <w:rPr>
          <w:sz w:val="18"/>
        </w:rPr>
        <w:t>[11] Wachs, M. L. (2007). Poset Topology: Tools and Applications. In Geometric Combinatorics, IAS/Park City Mathematics Series 13. arXiv:math/0602226.</w:t>
      </w:r>
    </w:p>
    <w:p>
      <w:pPr>
        <w:spacing w:after="60"/>
        <w:ind w:hanging="317" w:left="317"/>
      </w:pPr>
      <w:r>
        <w:rPr>
          <w:sz w:val="18"/>
        </w:rPr>
        <w:t>[12] Rota, G.-C. (1964). On the Foundations of Combinatorial Theory I: Theory of Möbius Functions. Zeitschrift für Wahrscheinlichkeitstheorie und Verwandte Gebiete, 2, 340–368.</w:t>
      </w:r>
    </w:p>
    <w:p>
      <w:pPr>
        <w:spacing w:after="60"/>
        <w:ind w:hanging="317" w:left="317"/>
      </w:pPr>
      <w:r>
        <w:rPr>
          <w:sz w:val="18"/>
        </w:rPr>
        <w:t>[13] Oxley, J. (2011). Matroid Theory, 2nd ed. Oxford University Press.</w:t>
      </w:r>
    </w:p>
    <w:p>
      <w:pPr>
        <w:spacing w:after="60"/>
        <w:ind w:hanging="317" w:left="317"/>
      </w:pPr>
      <w:r>
        <w:rPr>
          <w:sz w:val="18"/>
        </w:rPr>
        <w:t>[14] Hetyei, G. (2020). The Type B Permutohedron and the Poset of Intervals as a Tchebyshev Transform. arXiv:2007.07362.</w:t>
      </w:r>
    </w:p>
    <w:p>
      <w:pPr>
        <w:spacing w:after="60"/>
        <w:ind w:hanging="317" w:left="317"/>
      </w:pPr>
      <w:r>
        <w:rPr>
          <w:sz w:val="18"/>
        </w:rPr>
        <w:t>[15] Guiraud, Y., &amp; Malbos, P. (2014). Polygraphs of Finite Derivation Type. arXiv:1402.2587.</w:t>
      </w:r>
    </w:p>
    <w:p>
      <w:pPr>
        <w:spacing w:after="60"/>
        <w:ind w:hanging="317" w:left="317"/>
      </w:pPr>
      <w:r>
        <w:rPr>
          <w:sz w:val="18"/>
        </w:rPr>
        <w:t>[16] Guiraud, Y., Hoffbeck, E., &amp; Malbos, P. (2014). Convergent Presentations and Polygraphic Resolutions of Associative Algebras. arXiv:1406.0815.</w:t>
      </w:r>
    </w:p>
    <w:p>
      <w:pPr>
        <w:spacing w:after="60"/>
        <w:ind w:hanging="317" w:left="317"/>
      </w:pPr>
      <w:r>
        <w:rPr>
          <w:sz w:val="18"/>
        </w:rPr>
        <w:t>[17] Chenavier, C. (2020). Confluence of Algebraic Rewriting Systems. arXiv:2004.14361.</w:t>
      </w:r>
    </w:p>
    <w:p>
      <w:pPr>
        <w:spacing w:after="60"/>
        <w:ind w:hanging="317" w:left="317"/>
      </w:pPr>
      <w:r>
        <w:rPr>
          <w:sz w:val="18"/>
        </w:rPr>
        <w:t>[18] Leang, J. O. J., Zhao, Z., Stoian, M. C., Xu, Q., Li, H., Li, W., Cohen, S. B., &amp; Giunchiglia, E. (2026). Pythagoras-Prover: Advancing Efficient Formal Proving via Augmented Lean Formalisation. arXiv:2606.12594.</w:t>
      </w:r>
    </w:p>
    <w:p>
      <w:pPr>
        <w:spacing w:after="60"/>
        <w:ind w:hanging="317" w:left="317"/>
      </w:pPr>
      <w:r>
        <w:rPr>
          <w:sz w:val="18"/>
        </w:rPr>
        <w:t>[19] Wang, R., Pan, R., Wang, P., Diao, S., &amp; Zhang, T. (2026). Diffusion-Proof: Recipe for Formal Theorem Proving Beyond Auto-Regressive Generation. arXiv:2606.19315.</w:t>
      </w:r>
    </w:p>
    <w:p>
      <w:pPr>
        <w:spacing w:after="60"/>
        <w:ind w:hanging="317" w:left="317"/>
      </w:pPr>
      <w:r>
        <w:rPr>
          <w:sz w:val="18"/>
        </w:rPr>
        <w:t>[20] Squier, C. C. (1987). Word Problems and a Homological Finiteness Condition for Monoids. Journal of Pure and Applied Algebra, 49, 201–217.</w:t>
      </w:r>
    </w:p>
    <w:p>
      <w:pPr>
        <w:spacing w:after="60"/>
        <w:ind w:hanging="317" w:left="317"/>
      </w:pPr>
      <w:r>
        <w:rPr>
          <w:sz w:val="18"/>
        </w:rPr>
        <w:t>[21] Squier, C. C., Otto, F., &amp; Kobayashi, Y. (1994). A Finiteness Condition for Rewriting Systems. Theoretical Computer Science, 131, 271–294.</w:t>
      </w:r>
    </w:p>
    <w:p>
      <w:pPr>
        <w:spacing w:after="60"/>
        <w:ind w:hanging="317" w:left="317"/>
      </w:pPr>
      <w:r>
        <w:rPr>
          <w:sz w:val="18"/>
        </w:rPr>
        <w:t>[22] Björner, A., &amp; Wachs, M. L. (2004). Geometrically Constructed Bases for Homology of Partition Lattices of Types A, B and D. arXiv:math/0401006.</w:t>
      </w:r>
    </w:p>
    <w:p>
      <w:pPr>
        <w:spacing w:after="60"/>
        <w:ind w:hanging="317" w:left="317"/>
      </w:pPr>
      <w:r>
        <w:rPr>
          <w:sz w:val="18"/>
        </w:rPr>
        <w:t>[23] Garg, P., Kohli, B., &amp; Sarawagi, S. (2025). Masked Diffusion Models are Secretly Learned-Order Autoregressive Models. arXiv:2511.19152.</w:t>
      </w:r>
    </w:p>
    <w:p>
      <w:pPr>
        <w:spacing w:before="160"/>
      </w:pPr>
      <w:r>
        <w:rPr>
          <w:b/>
        </w:rPr>
        <w:t xml:space="preserve">Author note. </w:t>
      </w:r>
      <w:r>
        <w:t>This manuscript is a theoretical architecture proposal. Statements labeled “Conjecture,” “Criterion,” “hypothesis,” or “prediction” are deliberately falsifiable research targets rather than established results.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646464"/>
        <w:sz w:val="16"/>
      </w:rPr>
      <w:t>COHERENCE THAT CANNOT BE COMPILED AWAY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mbria" w:hAnsi="Cambria" w:eastAsia="Cambria"/>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mbria" w:hAnsi="Cambria" w:eastAsia="Cambria"/>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mbria" w:hAnsi="Cambria" w:eastAsia="Cambria"/>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i/>
      <w:iCs/>
      <w:color w:val="4F81B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mbria" w:hAnsi="Cambri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orem">
    <w:name w:val="Theorem"/>
    <w:pPr>
      <w:spacing w:before="100" w:after="100"/>
      <w:ind w:left="259" w:right="259"/>
    </w:pPr>
    <w:rPr>
      <w:rFonts w:ascii="Cambria" w:hAnsi="Cambria"/>
      <w:i/>
      <w:sz w:val="20"/>
    </w:rPr>
  </w:style>
  <w:style w:type="paragraph" w:customStyle="1" w:styleId="Note">
    <w:name w:val="Note"/>
    <w:pPr>
      <w:spacing w:before="80" w:after="80"/>
      <w:ind w:left="259" w:right="259"/>
    </w:pPr>
    <w:rPr>
      <w:rFonts w:ascii="Cambria" w:hAnsi="Cambr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Coherence That Cannot Be Compiled Away: A Strictification Criterion for Post-Diffusion Architectures</dc:title>
  <dc:subject>Post-diffusion architectures, strictification, bond lattices, higher coherence</dc:subject>
  <dc:creator>Debi Prasad Ghosh</dc:creator>
  <cp:keywords>diffusion language models; strictification; bond lattices; formal theorem proving; higher category theory</cp:keywords>
  <dc:description>generated by python-docx</dc:description>
  <cp:lastModifiedBy/>
  <cp:revision>1</cp:revision>
  <dcterms:created xsi:type="dcterms:W3CDTF">2013-12-23T23:15:00Z</dcterms:created>
  <dcterms:modified xsi:type="dcterms:W3CDTF">2013-12-23T23:15:00Z</dcterms:modified>
  <cp:category/>
</cp:coreProperties>
</file>