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Forgetting</w:t>
      </w:r>
      <w:r>
        <w:t xml:space="preserve"> </w:t>
      </w:r>
      <w:r>
        <w:t>Is</w:t>
      </w:r>
      <w:r>
        <w:t xml:space="preserve"> </w:t>
      </w:r>
      <w:r>
        <w:t>a</w:t>
      </w:r>
      <w:r>
        <w:t xml:space="preserve"> </w:t>
      </w:r>
      <w:r>
        <w:t>Subgroup:</w:t>
      </w:r>
      <w:r>
        <w:t xml:space="preserve"> </w:t>
      </w:r>
      <w:r>
        <w:t>Coset</w:t>
      </w:r>
      <w:r>
        <w:t xml:space="preserve"> </w:t>
      </w:r>
      <w:r>
        <w:t>Registers</w:t>
      </w:r>
      <w:r>
        <w:t xml:space="preserve"> </w:t>
      </w:r>
      <w:r>
        <w:t>and</w:t>
      </w:r>
      <w:r>
        <w:t xml:space="preserve"> </w:t>
      </w:r>
      <w:r>
        <w:t>Finite-by-Unipotent</w:t>
      </w:r>
      <w:r>
        <w:t xml:space="preserve"> </w:t>
      </w:r>
      <w:r>
        <w:t>Recurrent</w:t>
      </w:r>
      <w:r>
        <w:t xml:space="preserve"> </w:t>
      </w:r>
      <w:r>
        <w:t>Memory</w:t>
      </w:r>
    </w:p>
    <w:p>
      <w:pPr>
        <w:pStyle w:val="Author"/>
      </w:pPr>
      <w:r>
        <w:t>Debi</w:t>
      </w:r>
      <w:r>
        <w:t xml:space="preserve"> </w:t>
      </w:r>
      <w:r>
        <w:t>Prasad</w:t>
      </w:r>
      <w:r>
        <w:t xml:space="preserve"> </w:t>
      </w:r>
      <w:r>
        <w:t>Ghosh</w:t>
      </w:r>
    </w:p>
    <w:p>
      <w:pPr>
        <w:spacing w:after="60"/>
        <w:jc w:val="center"/>
      </w:pPr>
      <w:r>
        <w:rPr>
          <w:rFonts w:ascii="Calibri" w:hAnsi="Calibri" w:eastAsia="Calibri"/>
          <w:i/>
          <w:color w:val="5C636E"/>
          <w:sz w:val="19"/>
        </w:rPr>
        <w:t>Debias Parametric Guru, Kolkata, India</w:t>
      </w:r>
    </w:p>
    <w:p>
      <w:pPr>
        <w:pStyle w:val="Date"/>
      </w:pPr>
      <w:r>
        <w:t>Draft</w:t>
      </w:r>
      <w:r>
        <w:t xml:space="preserve"> </w:t>
      </w:r>
      <w:r>
        <w:t>manuscript</w:t>
      </w:r>
      <w:r>
        <w:t xml:space="preserve"> </w:t>
      </w:r>
      <w:r>
        <w:t>-</w:t>
      </w:r>
      <w:r>
        <w:t xml:space="preserve"> </w:t>
      </w:r>
      <w:r>
        <w:t>August</w:t>
      </w:r>
      <w:r>
        <w:t xml:space="preserve"> </w:t>
      </w:r>
      <w:r>
        <w:t>2026</w:t>
      </w:r>
    </w:p>
    <w:p>
      <w:pPr>
        <w:pStyle w:val="AbstractTitle"/>
      </w:pPr>
      <w:r>
        <w:t>Abstract</w:t>
      </w:r>
    </w:p>
    <w:p>
      <w:pPr>
        <w:pStyle w:val="Abstract"/>
        <w:keepLines/>
        <w:spacing w:before="100" w:after="140"/>
        <w:jc w:val="center"/>
      </w:pPr>
      <w:r>
        <w:t>Recurrent</w:t>
      </w:r>
      <w:r>
        <w:t xml:space="preserve"> </w:t>
      </w:r>
      <w:r>
        <w:t>models</w:t>
      </w:r>
      <w:r>
        <w:t xml:space="preserve"> </w:t>
      </w:r>
      <w:r>
        <w:t>must</w:t>
      </w:r>
      <w:r>
        <w:t xml:space="preserve"> </w:t>
      </w:r>
      <w:r>
        <w:t>decide</w:t>
      </w:r>
      <w:r>
        <w:t xml:space="preserve"> </w:t>
      </w:r>
      <w:r>
        <w:t>which</w:t>
      </w:r>
      <w:r>
        <w:t xml:space="preserve"> </w:t>
      </w:r>
      <w:r>
        <w:t>distinctions</w:t>
      </w:r>
      <w:r>
        <w:t xml:space="preserve"> </w:t>
      </w:r>
      <w:r>
        <w:t>between</w:t>
      </w:r>
      <w:r>
        <w:t xml:space="preserve"> </w:t>
      </w:r>
      <w:r>
        <w:t>histories</w:t>
      </w:r>
      <w:r>
        <w:t xml:space="preserve"> </w:t>
      </w:r>
      <w:r>
        <w:t>to</w:t>
      </w:r>
      <w:r>
        <w:t xml:space="preserve"> </w:t>
      </w:r>
      <w:r>
        <w:t>preserve.</w:t>
      </w:r>
      <w:r>
        <w:t xml:space="preserve"> </w:t>
      </w:r>
      <w:r>
        <w:t>In</w:t>
      </w:r>
      <w:r>
        <w:t xml:space="preserve"> </w:t>
      </w:r>
      <w:r>
        <w:t>standard</w:t>
      </w:r>
      <w:r>
        <w:t xml:space="preserve"> </w:t>
      </w:r>
      <w:r>
        <w:t>architectures</w:t>
      </w:r>
      <w:r>
        <w:t xml:space="preserve"> </w:t>
      </w:r>
      <w:r>
        <w:t>that</w:t>
      </w:r>
      <w:r>
        <w:t xml:space="preserve"> </w:t>
      </w:r>
      <w:r>
        <w:t>decision</w:t>
      </w:r>
      <w:r>
        <w:t xml:space="preserve"> </w:t>
      </w:r>
      <w:r>
        <w:t>is</w:t>
      </w:r>
      <w:r>
        <w:t xml:space="preserve"> </w:t>
      </w:r>
      <w:r>
        <w:t>implicit</w:t>
      </w:r>
      <w:r>
        <w:t xml:space="preserve"> </w:t>
      </w:r>
      <w:r>
        <w:t>in</w:t>
      </w:r>
      <w:r>
        <w:t xml:space="preserve"> </w:t>
      </w:r>
      <w:r>
        <w:t>a</w:t>
      </w:r>
      <w:r>
        <w:t xml:space="preserve"> </w:t>
      </w:r>
      <w:r>
        <w:t>compressed</w:t>
      </w:r>
      <w:r>
        <w:t xml:space="preserve"> </w:t>
      </w:r>
      <w:r>
        <w:t>hidden</w:t>
      </w:r>
      <w:r>
        <w:t xml:space="preserve"> </w:t>
      </w:r>
      <w:r>
        <w:t>state,</w:t>
      </w:r>
      <w:r>
        <w:t xml:space="preserve"> </w:t>
      </w:r>
      <w:r>
        <w:t>so</w:t>
      </w:r>
      <w:r>
        <w:t xml:space="preserve"> </w:t>
      </w:r>
      <w:r>
        <w:t>it</w:t>
      </w:r>
      <w:r>
        <w:t xml:space="preserve"> </w:t>
      </w:r>
      <w:r>
        <w:t>cannot</w:t>
      </w:r>
      <w:r>
        <w:t xml:space="preserve"> </w:t>
      </w:r>
      <w:r>
        <w:t>be</w:t>
      </w:r>
      <w:r>
        <w:t xml:space="preserve"> </w:t>
      </w:r>
      <w:r>
        <w:t>inspected,</w:t>
      </w:r>
      <w:r>
        <w:t xml:space="preserve"> </w:t>
      </w:r>
      <w:r>
        <w:t>transferred,</w:t>
      </w:r>
      <w:r>
        <w:t xml:space="preserve"> </w:t>
      </w:r>
      <w:r>
        <w:t>or</w:t>
      </w:r>
      <w:r>
        <w:t xml:space="preserve"> </w:t>
      </w:r>
      <w:r>
        <w:t>changed</w:t>
      </w:r>
      <w:r>
        <w:t xml:space="preserve"> </w:t>
      </w:r>
      <w:r>
        <w:t>without</w:t>
      </w:r>
      <w:r>
        <w:t xml:space="preserve"> </w:t>
      </w:r>
      <w:r>
        <w:t>retraining.</w:t>
      </w:r>
      <w:r>
        <w:t xml:space="preserve"> </w:t>
      </w:r>
      <w:r>
        <w:t>We</w:t>
      </w:r>
      <w:r>
        <w:t xml:space="preserve"> </w:t>
      </w:r>
      <w:r>
        <w:t>make</w:t>
      </w:r>
      <w:r>
        <w:t xml:space="preserve"> </w:t>
      </w:r>
      <w:r>
        <w:t>forgetting</w:t>
      </w:r>
      <w:r>
        <w:t xml:space="preserve"> </w:t>
      </w:r>
      <w:r>
        <w:t>an</w:t>
      </w:r>
      <w:r>
        <w:t xml:space="preserve"> </w:t>
      </w:r>
      <w:r>
        <w:t>explicit</w:t>
      </w:r>
      <w:r>
        <w:t xml:space="preserve"> </w:t>
      </w:r>
      <w:r>
        <w:t>algebraic</w:t>
      </w:r>
      <w:r>
        <w:t xml:space="preserve"> </w:t>
      </w:r>
      <w:r>
        <w:t>object.</w:t>
      </w:r>
      <w:r>
        <w:t xml:space="preserve"> </w:t>
      </w:r>
      <w:r>
        <w:t>Transitions</w:t>
      </w:r>
      <w:r>
        <w:t xml:space="preserve"> </w:t>
      </w:r>
      <w:r>
        <w:t>over</w:t>
      </w:r>
      <w:r>
        <w:t xml:space="preserve"> </w:t>
      </w:r>
      <w:r>
        <w:t>a</w:t>
      </w:r>
      <w:r>
        <w:t xml:space="preserve"> </w:t>
      </w:r>
      <w:r>
        <w:t>semantic</w:t>
      </w:r>
      <w:r>
        <w:t xml:space="preserve"> </w:t>
      </w:r>
      <w:r>
        <w:t>graph</w:t>
      </w:r>
      <w:r>
        <w:t xml:space="preserve"> </w:t>
      </w:r>
      <w:r>
        <w:t>generate</w:t>
      </w:r>
      <w:r>
        <w:t xml:space="preserve"> </w:t>
      </w:r>
      <w:r>
        <w:t>a</w:t>
      </w:r>
      <w:r>
        <w:t xml:space="preserve"> </w:t>
      </w:r>
      <w:r>
        <w:t>path</w:t>
      </w:r>
      <w:r>
        <w:t xml:space="preserve"> </w:t>
      </w:r>
      <w:r>
        <w:t>groupoid;</w:t>
      </w:r>
      <w:r>
        <w:t xml:space="preserve"> </w:t>
      </w:r>
      <w:r>
        <w:t>after</w:t>
      </w:r>
      <w:r>
        <w:t xml:space="preserve"> </w:t>
      </w:r>
      <w:r>
        <w:t>choosing</w:t>
      </w:r>
      <w:r>
        <w:t xml:space="preserve"> </w:t>
      </w:r>
      <w:r>
        <w:t>a</w:t>
      </w:r>
      <w:r>
        <w:t xml:space="preserve"> </w:t>
      </w:r>
      <w:r>
        <w:t>base</w:t>
      </w:r>
      <w:r>
        <w:t xml:space="preserve"> </w:t>
      </w:r>
      <w:r>
        <w:t>object,</w:t>
      </w:r>
      <w:r>
        <w:t xml:space="preserve"> </w:t>
      </w:r>
      <w:r>
        <w:t>a</w:t>
      </w:r>
      <w:r>
        <w:t xml:space="preserve"> </w:t>
      </w:r>
      <w:r>
        <w:t>learned</w:t>
      </w:r>
      <w:r>
        <w:t xml:space="preserve"> </w:t>
      </w:r>
      <w:r>
        <w:t>finite</w:t>
      </w:r>
      <w:r>
        <w:t xml:space="preserve"> </w:t>
      </w:r>
      <w:r>
        <w:t>quotient</w:t>
      </w:r>
      <w:r>
        <w:t xml:space="preserve"> </w:t>
      </w:r>
      <m:oMath>
        <m:r>
          <m:t>Γ</m:t>
        </m:r>
      </m:oMath>
      <w:r>
        <w:t xml:space="preserve"> </w:t>
      </w:r>
      <w:r>
        <w:t>fixes</w:t>
      </w:r>
      <w:r>
        <w:t xml:space="preserve"> </w:t>
      </w:r>
      <w:r>
        <w:t>which</w:t>
      </w:r>
      <w:r>
        <w:t xml:space="preserve"> </w:t>
      </w:r>
      <w:r>
        <w:t>composite</w:t>
      </w:r>
      <w:r>
        <w:t xml:space="preserve"> </w:t>
      </w:r>
      <w:r>
        <w:t>routes</w:t>
      </w:r>
      <w:r>
        <w:t xml:space="preserve"> </w:t>
      </w:r>
      <w:r>
        <w:t>count</w:t>
      </w:r>
      <w:r>
        <w:t xml:space="preserve"> </w:t>
      </w:r>
      <w:r>
        <w:t>as</w:t>
      </w:r>
      <w:r>
        <w:t xml:space="preserve"> </w:t>
      </w:r>
      <w:r>
        <w:t>equal.</w:t>
      </w:r>
      <w:r>
        <w:t xml:space="preserve"> </w:t>
      </w:r>
      <w:r>
        <w:t>A</w:t>
      </w:r>
      <w:r>
        <w:t xml:space="preserve"> </w:t>
      </w:r>
      <w:r>
        <w:t>learned</w:t>
      </w:r>
      <w:r>
        <w:t xml:space="preserve"> </w:t>
      </w:r>
      <w:r>
        <w:t>orthogonal</w:t>
      </w:r>
      <w:r>
        <w:t xml:space="preserve"> </w:t>
      </w:r>
      <w:r>
        <w:t>representation</w:t>
      </w:r>
      <w:r>
        <w:t xml:space="preserve"> </w:t>
      </w:r>
      <m:oMath>
        <m:r>
          <m:t>τ</m:t>
        </m:r>
        <m:r>
          <m:rPr>
            <m:sty m:val="p"/>
          </m:rPr>
          <m:t>:</m:t>
        </m:r>
        <m:r>
          <m:t>Γ</m:t>
        </m:r>
        <m:r>
          <m:rPr>
            <m:sty m:val="p"/>
          </m:rPr>
          <m:t>→</m:t>
        </m:r>
        <m:r>
          <m:t>O</m:t>
        </m:r>
        <m:d>
          <m:dPr>
            <m:begChr m:val="("/>
            <m:endChr m:val=")"/>
            <m:sepChr m:val=""/>
            <m:grow/>
          </m:dPr>
          <m:e>
            <m:r>
              <m:t>d</m:t>
            </m:r>
          </m:e>
        </m:d>
      </m:oMath>
      <w:r>
        <w:t xml:space="preserve"> </w:t>
      </w:r>
      <w:r>
        <w:t>transports</w:t>
      </w:r>
      <w:r>
        <w:t xml:space="preserve"> </w:t>
      </w:r>
      <w:r>
        <w:t>features,</w:t>
      </w:r>
      <w:r>
        <w:t xml:space="preserve"> </w:t>
      </w:r>
      <w:r>
        <w:t>while</w:t>
      </w:r>
      <w:r>
        <w:t xml:space="preserve"> </w:t>
      </w:r>
      <w:r>
        <w:t>memory</w:t>
      </w:r>
      <w:r>
        <w:t xml:space="preserve"> </w:t>
      </w:r>
      <w:r>
        <w:t>is</w:t>
      </w:r>
      <w:r>
        <w:t xml:space="preserve"> </w:t>
      </w:r>
      <w:r>
        <w:t>a</w:t>
      </w:r>
      <w:r>
        <w:t xml:space="preserve"> </w:t>
      </w:r>
      <w:r>
        <w:t>right-updated</w:t>
      </w:r>
      <w:r>
        <w:t xml:space="preserve"> </w:t>
      </w:r>
      <w:r>
        <w:t>left-coset</w:t>
      </w:r>
      <w:r>
        <w:t xml:space="preserve"> </w:t>
      </w:r>
      <w:r>
        <w:t>register</w:t>
      </w:r>
      <w:r>
        <w:t xml:space="preserve"> </w:t>
      </w:r>
      <m:oMath>
        <m:r>
          <m:t>J</m:t>
        </m:r>
        <m:sSub>
          <m:e>
            <m:r>
              <m:t>γ</m:t>
            </m:r>
          </m:e>
          <m:sub>
            <m:r>
              <m:t>t</m:t>
            </m:r>
          </m:sub>
        </m:sSub>
        <m:r>
          <m:rPr>
            <m:sty m:val="p"/>
          </m:rPr>
          <m:t>∈</m:t>
        </m:r>
        <m:r>
          <m:t>J</m:t>
        </m:r>
        <m:r>
          <m:rPr>
            <m:sty m:val="p"/>
          </m:rPr>
          <m:t>∖</m:t>
        </m:r>
        <m:r>
          <m:t>Γ</m:t>
        </m:r>
      </m:oMath>
      <w:r>
        <w:t>.</w:t>
      </w:r>
      <w:r>
        <w:t xml:space="preserve"> </w:t>
      </w:r>
      <w:r>
        <w:t>The</w:t>
      </w:r>
      <w:r>
        <w:t xml:space="preserve"> </w:t>
      </w:r>
      <w:r>
        <w:t>subgroup</w:t>
      </w:r>
      <w:r>
        <w:t xml:space="preserve"> </w:t>
      </w:r>
      <m:oMath>
        <m:r>
          <m:t>J</m:t>
        </m:r>
      </m:oMath>
      <w:r>
        <w:t xml:space="preserve"> </w:t>
      </w:r>
      <w:r>
        <w:t>is</w:t>
      </w:r>
      <w:r>
        <w:t xml:space="preserve"> </w:t>
      </w:r>
      <w:r>
        <w:t>the</w:t>
      </w:r>
      <w:r>
        <w:t xml:space="preserve"> </w:t>
      </w:r>
      <w:r>
        <w:t>forgetting</w:t>
      </w:r>
      <w:r>
        <w:t xml:space="preserve"> </w:t>
      </w:r>
      <w:r>
        <w:t>policy.</w:t>
      </w:r>
      <w:r>
        <w:t xml:space="preserve"> </w:t>
      </w:r>
      <w:r>
        <w:t>The</w:t>
      </w:r>
      <w:r>
        <w:t xml:space="preserve"> </w:t>
      </w:r>
      <w:r>
        <w:t>associated</w:t>
      </w:r>
      <w:r>
        <w:t xml:space="preserve"> </w:t>
      </w:r>
      <w:r>
        <w:t>covering</w:t>
      </w:r>
      <w:r>
        <w:t xml:space="preserve"> </w:t>
      </w:r>
      <w:r>
        <w:t>graph</w:t>
      </w:r>
      <w:r>
        <w:t xml:space="preserve"> </w:t>
      </w:r>
      <w:r>
        <w:t>need</w:t>
      </w:r>
      <w:r>
        <w:t xml:space="preserve"> </w:t>
      </w:r>
      <w:r>
        <w:t>not</w:t>
      </w:r>
      <w:r>
        <w:t xml:space="preserve"> </w:t>
      </w:r>
      <w:r>
        <w:t>be</w:t>
      </w:r>
      <w:r>
        <w:t xml:space="preserve"> </w:t>
      </w:r>
      <w:r>
        <w:t>materialized:</w:t>
      </w:r>
      <w:r>
        <w:t xml:space="preserve"> </w:t>
      </w:r>
      <w:r>
        <w:t>its</w:t>
      </w:r>
      <w:r>
        <w:t xml:space="preserve"> </w:t>
      </w:r>
      <w:r>
        <w:t>cellular</w:t>
      </w:r>
      <w:r>
        <w:t xml:space="preserve"> </w:t>
      </w:r>
      <w:r>
        <w:t>cochain</w:t>
      </w:r>
      <w:r>
        <w:t xml:space="preserve"> </w:t>
      </w:r>
      <w:r>
        <w:t>complex</w:t>
      </w:r>
      <w:r>
        <w:t xml:space="preserve"> </w:t>
      </w:r>
      <w:r>
        <w:t>is</w:t>
      </w:r>
      <w:r>
        <w:t xml:space="preserve"> </w:t>
      </w:r>
      <w:r>
        <w:t>isomorphic</w:t>
      </w:r>
      <w:r>
        <w:t xml:space="preserve"> </w:t>
      </w:r>
      <w:r>
        <w:t>to</w:t>
      </w:r>
      <w:r>
        <w:t xml:space="preserve"> </w:t>
      </w:r>
      <w:r>
        <w:t>the</w:t>
      </w:r>
      <w:r>
        <w:t xml:space="preserve"> </w:t>
      </w:r>
      <w:r>
        <w:t>base</w:t>
      </w:r>
      <w:r>
        <w:t xml:space="preserve"> </w:t>
      </w:r>
      <w:r>
        <w:t>complex</w:t>
      </w:r>
      <w:r>
        <w:t xml:space="preserve"> </w:t>
      </w:r>
      <w:r>
        <w:t>with</w:t>
      </w:r>
      <w:r>
        <w:t xml:space="preserve"> </w:t>
      </w:r>
      <w:r>
        <w:t>stalks</w:t>
      </w:r>
      <w:r>
        <w:t xml:space="preserve"> </w:t>
      </w:r>
      <w:r>
        <w:t>tensored</w:t>
      </w:r>
      <w:r>
        <w:t xml:space="preserve"> </w:t>
      </w:r>
      <w:r>
        <w:t>by</w:t>
      </w:r>
      <w:r>
        <w:t xml:space="preserve"> </w:t>
      </w:r>
      <m:oMath>
        <m:r>
          <m:rPr>
            <m:sty m:val="p"/>
            <m:scr m:val="double-struck"/>
          </m:rPr>
          <m:t>R</m:t>
        </m:r>
        <m:d>
          <m:dPr>
            <m:begChr m:val="["/>
            <m:endChr m:val="]"/>
            <m:sepChr m:val=""/>
            <m:grow/>
          </m:dPr>
          <m:e>
            <m:r>
              <m:t>J</m:t>
            </m:r>
            <m:r>
              <m:rPr>
                <m:sty m:val="p"/>
              </m:rPr>
              <m:t>∖</m:t>
            </m:r>
            <m:r>
              <m:t>Γ</m:t>
            </m:r>
          </m:e>
        </m:d>
      </m:oMath>
      <w:r>
        <w:t xml:space="preserve"> </w:t>
      </w:r>
      <w:r>
        <w:t>and</w:t>
      </w:r>
      <w:r>
        <w:t xml:space="preserve"> </w:t>
      </w:r>
      <w:r>
        <w:t>edge</w:t>
      </w:r>
      <w:r>
        <w:t xml:space="preserve"> </w:t>
      </w:r>
      <w:r>
        <w:t>maps</w:t>
      </w:r>
      <w:r>
        <w:t xml:space="preserve"> </w:t>
      </w:r>
      <m:oMath>
        <m:sSub>
          <m:e>
            <m:r>
              <m:t>ρ</m:t>
            </m:r>
          </m:e>
          <m:sub>
            <m:r>
              <m:t>e</m:t>
            </m:r>
          </m:sub>
        </m:sSub>
        <m:r>
          <m:rPr>
            <m:sty m:val="p"/>
          </m:rPr>
          <m:t>⊗</m:t>
        </m:r>
        <m:sSub>
          <m:e>
            <m:r>
              <m:t>P</m:t>
            </m:r>
          </m:e>
          <m:sub>
            <m:r>
              <m:t>J</m:t>
            </m:r>
          </m:sub>
        </m:sSub>
        <m:d>
          <m:dPr>
            <m:begChr m:val="("/>
            <m:endChr m:val=")"/>
            <m:sepChr m:val=""/>
            <m:grow/>
          </m:dPr>
          <m:e>
            <m:sSub>
              <m:e>
                <m:r>
                  <m:t>g</m:t>
                </m:r>
              </m:e>
              <m:sub>
                <m:r>
                  <m:t>e</m:t>
                </m:r>
              </m:sub>
            </m:sSub>
          </m:e>
        </m:d>
      </m:oMath>
      <w:r>
        <w:t>,</w:t>
      </w:r>
      <w:r>
        <w:t xml:space="preserve"> </w:t>
      </w:r>
      <w:r>
        <w:t>giving</w:t>
      </w:r>
      <w:r>
        <w:t xml:space="preserve"> </w:t>
      </w:r>
      <w:r>
        <w:t>work</w:t>
      </w:r>
      <w:r>
        <w:t xml:space="preserve"> </w:t>
      </w:r>
      <w:r>
        <w:t>linear,</w:t>
      </w:r>
      <w:r>
        <w:t xml:space="preserve"> </w:t>
      </w:r>
      <w:r>
        <w:t>rather</w:t>
      </w:r>
      <w:r>
        <w:t xml:space="preserve"> </w:t>
      </w:r>
      <w:r>
        <w:t>than</w:t>
      </w:r>
      <w:r>
        <w:t xml:space="preserve"> </w:t>
      </w:r>
      <w:r>
        <w:t>quadratic,</w:t>
      </w:r>
      <w:r>
        <w:t xml:space="preserve"> </w:t>
      </w:r>
      <w:r>
        <w:t>in</w:t>
      </w:r>
      <w:r>
        <w:t xml:space="preserve"> </w:t>
      </w:r>
      <w:r>
        <w:t>sheet</w:t>
      </w:r>
      <w:r>
        <w:t xml:space="preserve"> </w:t>
      </w:r>
      <w:r>
        <w:t>count.</w:t>
      </w:r>
      <w:r>
        <w:t xml:space="preserve"> </w:t>
      </w:r>
      <w:r>
        <w:t>An</w:t>
      </w:r>
      <w:r>
        <w:t xml:space="preserve"> </w:t>
      </w:r>
      <w:r>
        <w:t>implicit</w:t>
      </w:r>
      <w:r>
        <w:t xml:space="preserve"> </w:t>
      </w:r>
      <w:r>
        <w:t>reconciliation</w:t>
      </w:r>
      <w:r>
        <w:t xml:space="preserve"> </w:t>
      </w:r>
      <w:r>
        <w:t>layer</w:t>
      </w:r>
      <w:r>
        <w:t xml:space="preserve"> </w:t>
      </w:r>
      <w:r>
        <w:t>uses</w:t>
      </w:r>
      <w:r>
        <w:t xml:space="preserve"> </w:t>
      </w:r>
      <m:oMath>
        <m:sSub>
          <m:e>
            <m:r>
              <m:t>L</m:t>
            </m:r>
          </m:e>
          <m:sub>
            <m:r>
              <m:t>J</m:t>
            </m:r>
          </m:sub>
        </m:sSub>
        <m:r>
          <m:rPr>
            <m:sty m:val="p"/>
          </m:rPr>
          <m:t>+</m:t>
        </m:r>
        <m:r>
          <m:t>μ</m:t>
        </m:r>
        <m:r>
          <m:t>I</m:t>
        </m:r>
      </m:oMath>
      <w:r>
        <w:t>,</w:t>
      </w:r>
      <w:r>
        <w:t xml:space="preserve"> </w:t>
      </w:r>
      <w:r>
        <w:t>so</w:t>
      </w:r>
      <w:r>
        <w:t xml:space="preserve"> </w:t>
      </w:r>
      <w:r>
        <w:t>forward</w:t>
      </w:r>
      <w:r>
        <w:t xml:space="preserve"> </w:t>
      </w:r>
      <w:r>
        <w:t>inference</w:t>
      </w:r>
      <w:r>
        <w:t xml:space="preserve"> </w:t>
      </w:r>
      <w:r>
        <w:t>and</w:t>
      </w:r>
      <w:r>
        <w:t xml:space="preserve"> </w:t>
      </w:r>
      <w:r>
        <w:t>adjoint</w:t>
      </w:r>
      <w:r>
        <w:t xml:space="preserve"> </w:t>
      </w:r>
      <w:r>
        <w:t>credit</w:t>
      </w:r>
      <w:r>
        <w:t xml:space="preserve"> </w:t>
      </w:r>
      <w:r>
        <w:t>assignment</w:t>
      </w:r>
      <w:r>
        <w:t xml:space="preserve"> </w:t>
      </w:r>
      <w:r>
        <w:t>solve</w:t>
      </w:r>
      <w:r>
        <w:t xml:space="preserve"> </w:t>
      </w:r>
      <w:r>
        <w:t>with</w:t>
      </w:r>
      <w:r>
        <w:t xml:space="preserve"> </w:t>
      </w:r>
      <w:r>
        <w:t>the</w:t>
      </w:r>
      <w:r>
        <w:t xml:space="preserve"> </w:t>
      </w:r>
      <w:r>
        <w:t>same</w:t>
      </w:r>
      <w:r>
        <w:t xml:space="preserve"> </w:t>
      </w:r>
      <w:r>
        <w:t>sparse</w:t>
      </w:r>
      <w:r>
        <w:t xml:space="preserve"> </w:t>
      </w:r>
      <w:r>
        <w:t>self-adjoint</w:t>
      </w:r>
      <w:r>
        <w:t xml:space="preserve"> </w:t>
      </w:r>
      <w:r>
        <w:t>operator.</w:t>
      </w:r>
      <w:r>
        <w:t xml:space="preserve"> </w:t>
      </w:r>
      <w:r>
        <w:t>Granularity</w:t>
      </w:r>
      <w:r>
        <w:t xml:space="preserve"> </w:t>
      </w:r>
      <w:r>
        <w:t>cannot</w:t>
      </w:r>
      <w:r>
        <w:t xml:space="preserve"> </w:t>
      </w:r>
      <w:r>
        <w:t>in</w:t>
      </w:r>
      <w:r>
        <w:t xml:space="preserve"> </w:t>
      </w:r>
      <w:r>
        <w:t>general</w:t>
      </w:r>
      <w:r>
        <w:t xml:space="preserve"> </w:t>
      </w:r>
      <w:r>
        <w:t>be</w:t>
      </w:r>
      <w:r>
        <w:t xml:space="preserve"> </w:t>
      </w:r>
      <w:r>
        <w:t>learned</w:t>
      </w:r>
      <w:r>
        <w:t xml:space="preserve"> </w:t>
      </w:r>
      <w:r>
        <w:t>as</w:t>
      </w:r>
      <w:r>
        <w:t xml:space="preserve"> </w:t>
      </w:r>
      <w:r>
        <w:t>the</w:t>
      </w:r>
      <w:r>
        <w:t xml:space="preserve"> </w:t>
      </w:r>
      <w:r>
        <w:t>stabilizer</w:t>
      </w:r>
      <w:r>
        <w:t xml:space="preserve"> </w:t>
      </w:r>
      <w:r>
        <w:t>of</w:t>
      </w:r>
      <w:r>
        <w:t xml:space="preserve"> </w:t>
      </w:r>
      <w:r>
        <w:t>a</w:t>
      </w:r>
      <w:r>
        <w:t xml:space="preserve"> </w:t>
      </w:r>
      <w:r>
        <w:t>continuously</w:t>
      </w:r>
      <w:r>
        <w:t xml:space="preserve"> </w:t>
      </w:r>
      <w:r>
        <w:t>optimized</w:t>
      </w:r>
      <w:r>
        <w:t xml:space="preserve"> </w:t>
      </w:r>
      <w:r>
        <w:t>task</w:t>
      </w:r>
      <w:r>
        <w:t xml:space="preserve"> </w:t>
      </w:r>
      <w:r>
        <w:t>vector:</w:t>
      </w:r>
      <w:r>
        <w:t xml:space="preserve"> </w:t>
      </w:r>
      <w:r>
        <w:t>under</w:t>
      </w:r>
      <w:r>
        <w:t xml:space="preserve"> </w:t>
      </w:r>
      <w:r>
        <w:t>a</w:t>
      </w:r>
      <w:r>
        <w:t xml:space="preserve"> </w:t>
      </w:r>
      <w:r>
        <w:t>faithful</w:t>
      </w:r>
      <w:r>
        <w:t xml:space="preserve"> </w:t>
      </w:r>
      <w:r>
        <w:t>finite-group</w:t>
      </w:r>
      <w:r>
        <w:t xml:space="preserve"> </w:t>
      </w:r>
      <w:r>
        <w:t>action,</w:t>
      </w:r>
      <w:r>
        <w:t xml:space="preserve"> </w:t>
      </w:r>
      <w:r>
        <w:t>nontrivial</w:t>
      </w:r>
      <w:r>
        <w:t xml:space="preserve"> </w:t>
      </w:r>
      <w:r>
        <w:t>stabilizers</w:t>
      </w:r>
      <w:r>
        <w:t xml:space="preserve"> </w:t>
      </w:r>
      <w:r>
        <w:t>occur</w:t>
      </w:r>
      <w:r>
        <w:t xml:space="preserve"> </w:t>
      </w:r>
      <w:r>
        <w:t>only</w:t>
      </w:r>
      <w:r>
        <w:t xml:space="preserve"> </w:t>
      </w:r>
      <w:r>
        <w:t>on</w:t>
      </w:r>
      <w:r>
        <w:t xml:space="preserve"> </w:t>
      </w:r>
      <w:r>
        <w:t>a</w:t>
      </w:r>
      <w:r>
        <w:t xml:space="preserve"> </w:t>
      </w:r>
      <w:r>
        <w:t>measure-zero</w:t>
      </w:r>
      <w:r>
        <w:t xml:space="preserve"> </w:t>
      </w:r>
      <w:r>
        <w:t>union</w:t>
      </w:r>
      <w:r>
        <w:t xml:space="preserve"> </w:t>
      </w:r>
      <w:r>
        <w:t>of</w:t>
      </w:r>
      <w:r>
        <w:t xml:space="preserve"> </w:t>
      </w:r>
      <w:r>
        <w:t>fixed</w:t>
      </w:r>
      <w:r>
        <w:t xml:space="preserve"> </w:t>
      </w:r>
      <w:r>
        <w:t>subspaces.</w:t>
      </w:r>
      <w:r>
        <w:t xml:space="preserve"> </w:t>
      </w:r>
      <w:r>
        <w:t>We</w:t>
      </w:r>
      <w:r>
        <w:t xml:space="preserve"> </w:t>
      </w:r>
      <w:r>
        <w:t>instead</w:t>
      </w:r>
      <w:r>
        <w:t xml:space="preserve"> </w:t>
      </w:r>
      <w:r>
        <w:t>select</w:t>
      </w:r>
      <w:r>
        <w:t xml:space="preserve"> </w:t>
      </w:r>
      <m:oMath>
        <m:r>
          <m:t>J</m:t>
        </m:r>
      </m:oMath>
      <w:r>
        <w:t xml:space="preserve"> </w:t>
      </w:r>
      <w:r>
        <w:t>by</w:t>
      </w:r>
      <w:r>
        <w:t xml:space="preserve"> </w:t>
      </w:r>
      <w:r>
        <w:t>closure-aware</w:t>
      </w:r>
      <w:r>
        <w:t xml:space="preserve"> </w:t>
      </w:r>
      <w:r>
        <w:t>task</w:t>
      </w:r>
      <w:r>
        <w:t xml:space="preserve"> </w:t>
      </w:r>
      <w:r>
        <w:t>risk</w:t>
      </w:r>
      <w:r>
        <w:t xml:space="preserve"> </w:t>
      </w:r>
      <w:r>
        <w:t>on</w:t>
      </w:r>
      <w:r>
        <w:t xml:space="preserve"> </w:t>
      </w:r>
      <w:r>
        <w:t>the</w:t>
      </w:r>
      <w:r>
        <w:t xml:space="preserve"> </w:t>
      </w:r>
      <w:r>
        <w:t>subgroup</w:t>
      </w:r>
      <w:r>
        <w:t xml:space="preserve"> </w:t>
      </w:r>
      <w:r>
        <w:t>lattice.</w:t>
      </w:r>
      <w:r>
        <w:t xml:space="preserve"> </w:t>
      </w:r>
      <w:r>
        <w:t>Any</w:t>
      </w:r>
      <w:r>
        <w:t xml:space="preserve"> </w:t>
      </w:r>
      <w:r>
        <w:t>nested</w:t>
      </w:r>
      <w:r>
        <w:t xml:space="preserve"> </w:t>
      </w:r>
      <w:r>
        <w:t>chain</w:t>
      </w:r>
      <w:r>
        <w:t xml:space="preserve"> </w:t>
      </w:r>
      <w:r>
        <w:t>has</w:t>
      </w:r>
      <w:r>
        <w:t xml:space="preserve"> </w:t>
      </w:r>
      <w:r>
        <w:t>at</w:t>
      </w:r>
      <w:r>
        <w:t xml:space="preserve"> </w:t>
      </w:r>
      <w:r>
        <w:t>most</w:t>
      </w:r>
      <w:r>
        <w:t xml:space="preserve"> </w:t>
      </w:r>
      <m:oMath>
        <m:r>
          <m:rPr>
            <m:sty m:val="p"/>
          </m:rPr>
          <m:t>⌊</m:t>
        </m:r>
        <m:sSub>
          <m:e>
            <m:r>
              <m:rPr>
                <m:sty m:val="p"/>
              </m:rPr>
              <m:t>log</m:t>
            </m:r>
          </m:e>
          <m:sub>
            <m:r>
              <m:t>2</m:t>
            </m:r>
          </m:sub>
        </m:sSub>
        <m:d>
          <m:dPr>
            <m:begChr m:val="["/>
            <m:endChr m:val="]"/>
            <m:sepChr m:val=""/>
            <m:grow/>
          </m:dPr>
          <m:e>
            <m:r>
              <m:t>Γ</m:t>
            </m:r>
            <m:r>
              <m:rPr>
                <m:sty m:val="p"/>
              </m:rPr>
              <m:t>:</m:t>
            </m:r>
            <m:sSub>
              <m:e>
                <m:r>
                  <m:t>J</m:t>
                </m:r>
              </m:e>
              <m:sub>
                <m:r>
                  <m:t>0</m:t>
                </m:r>
              </m:sub>
            </m:sSub>
          </m:e>
        </m:d>
        <m:r>
          <m:rPr>
            <m:sty m:val="p"/>
          </m:rPr>
          <m:t>⌋</m:t>
        </m:r>
      </m:oMath>
      <w:r>
        <w:t xml:space="preserve"> </w:t>
      </w:r>
      <w:r>
        <w:t>strict</w:t>
      </w:r>
      <w:r>
        <w:t xml:space="preserve"> </w:t>
      </w:r>
      <w:r>
        <w:t>refinements,</w:t>
      </w:r>
      <w:r>
        <w:t xml:space="preserve"> </w:t>
      </w:r>
      <w:r>
        <w:t>but</w:t>
      </w:r>
      <w:r>
        <w:t xml:space="preserve"> </w:t>
      </w:r>
      <w:r>
        <w:t>admissible</w:t>
      </w:r>
      <w:r>
        <w:t xml:space="preserve"> </w:t>
      </w:r>
      <w:r>
        <w:t>granularities</w:t>
      </w:r>
      <w:r>
        <w:t xml:space="preserve"> </w:t>
      </w:r>
      <w:r>
        <w:t>form</w:t>
      </w:r>
      <w:r>
        <w:t xml:space="preserve"> </w:t>
      </w:r>
      <w:r>
        <w:t>a</w:t>
      </w:r>
      <w:r>
        <w:t xml:space="preserve"> </w:t>
      </w:r>
      <w:r>
        <w:t>lattice</w:t>
      </w:r>
      <w:r>
        <w:t xml:space="preserve"> </w:t>
      </w:r>
      <w:r>
        <w:t>rather</w:t>
      </w:r>
      <w:r>
        <w:t xml:space="preserve"> </w:t>
      </w:r>
      <w:r>
        <w:t>than</w:t>
      </w:r>
      <w:r>
        <w:t xml:space="preserve"> </w:t>
      </w:r>
      <w:r>
        <w:t>a</w:t>
      </w:r>
      <w:r>
        <w:t xml:space="preserve"> </w:t>
      </w:r>
      <w:r>
        <w:t>single</w:t>
      </w:r>
      <w:r>
        <w:t xml:space="preserve"> </w:t>
      </w:r>
      <w:r>
        <w:t>chain.</w:t>
      </w:r>
      <w:r>
        <w:t xml:space="preserve"> </w:t>
      </w:r>
      <w:r>
        <w:t>Our</w:t>
      </w:r>
      <w:r>
        <w:t xml:space="preserve"> </w:t>
      </w:r>
      <w:r>
        <w:t>central</w:t>
      </w:r>
      <w:r>
        <w:t xml:space="preserve"> </w:t>
      </w:r>
      <w:r>
        <w:t>theorem</w:t>
      </w:r>
      <w:r>
        <w:t xml:space="preserve"> </w:t>
      </w:r>
      <w:r>
        <w:t>is</w:t>
      </w:r>
      <w:r>
        <w:t xml:space="preserve"> </w:t>
      </w:r>
      <w:r>
        <w:t>negative</w:t>
      </w:r>
      <w:r>
        <w:t xml:space="preserve"> </w:t>
      </w:r>
      <w:r>
        <w:t>and</w:t>
      </w:r>
      <w:r>
        <w:t xml:space="preserve"> </w:t>
      </w:r>
      <w:r>
        <w:t>exact:</w:t>
      </w:r>
      <w:r>
        <w:t xml:space="preserve"> </w:t>
      </w:r>
      <w:r>
        <w:t>for</w:t>
      </w:r>
      <w:r>
        <w:t xml:space="preserve"> </w:t>
      </w:r>
      <w:r>
        <w:t>a</w:t>
      </w:r>
      <w:r>
        <w:t xml:space="preserve"> </w:t>
      </w:r>
      <w:r>
        <w:t>finite</w:t>
      </w:r>
      <w:r>
        <w:t xml:space="preserve"> </w:t>
      </w:r>
      <m:oMath>
        <m:r>
          <m:t>m</m:t>
        </m:r>
      </m:oMath>
      <w:r>
        <w:t>-sheeted</w:t>
      </w:r>
      <w:r>
        <w:t xml:space="preserve"> </w:t>
      </w:r>
      <w:r>
        <w:t>cover,</w:t>
      </w:r>
      <w:r>
        <w:t xml:space="preserve"> </w:t>
      </w:r>
      <w:r>
        <w:t>normalized</w:t>
      </w:r>
      <w:r>
        <w:t xml:space="preserve"> </w:t>
      </w:r>
      <w:r>
        <w:t>pullback</w:t>
      </w:r>
      <w:r>
        <w:t xml:space="preserve"> </w:t>
      </w:r>
      <w:r>
        <w:t>is</w:t>
      </w:r>
      <w:r>
        <w:t xml:space="preserve"> </w:t>
      </w:r>
      <w:r>
        <w:t>an</w:t>
      </w:r>
      <w:r>
        <w:t xml:space="preserve"> </w:t>
      </w:r>
      <w:r>
        <w:t>isometry</w:t>
      </w:r>
      <w:r>
        <w:t xml:space="preserve"> </w:t>
      </w:r>
      <w:r>
        <w:t>onto</w:t>
      </w:r>
      <w:r>
        <w:t xml:space="preserve"> </w:t>
      </w:r>
      <w:r>
        <w:t>a</w:t>
      </w:r>
      <w:r>
        <w:t xml:space="preserve"> </w:t>
      </w:r>
      <w:r>
        <w:t>reducing</w:t>
      </w:r>
      <w:r>
        <w:t xml:space="preserve"> </w:t>
      </w:r>
      <w:r>
        <w:t>subspace</w:t>
      </w:r>
      <w:r>
        <w:t xml:space="preserve"> </w:t>
      </w:r>
      <w:r>
        <w:t>of</w:t>
      </w:r>
      <w:r>
        <w:t xml:space="preserve"> </w:t>
      </w:r>
      <w:r>
        <w:t>the</w:t>
      </w:r>
      <w:r>
        <w:t xml:space="preserve"> </w:t>
      </w:r>
      <w:r>
        <w:t>pulled-back</w:t>
      </w:r>
      <w:r>
        <w:t xml:space="preserve"> </w:t>
      </w:r>
      <w:r>
        <w:t>sheaf</w:t>
      </w:r>
      <w:r>
        <w:t xml:space="preserve"> </w:t>
      </w:r>
      <w:r>
        <w:t>Laplacian</w:t>
      </w:r>
      <w:r>
        <w:t xml:space="preserve"> </w:t>
      </w:r>
      <w:r>
        <w:t>and</w:t>
      </w:r>
      <w:r>
        <w:t xml:space="preserve"> </w:t>
      </w:r>
      <w:r>
        <w:t>commutes</w:t>
      </w:r>
      <w:r>
        <w:t xml:space="preserve"> </w:t>
      </w:r>
      <w:r>
        <w:t>with</w:t>
      </w:r>
      <w:r>
        <w:t xml:space="preserve"> </w:t>
      </w:r>
      <w:r>
        <w:t>the</w:t>
      </w:r>
      <w:r>
        <w:t xml:space="preserve"> </w:t>
      </w:r>
      <w:r>
        <w:t>connecting</w:t>
      </w:r>
      <w:r>
        <w:t xml:space="preserve"> </w:t>
      </w:r>
      <w:r>
        <w:t>morphism.</w:t>
      </w:r>
      <w:r>
        <w:t xml:space="preserve"> </w:t>
      </w:r>
      <w:r>
        <w:t>Consequently,</w:t>
      </w:r>
      <w:r>
        <w:t xml:space="preserve"> </w:t>
      </w:r>
      <w:r>
        <w:t>finite</w:t>
      </w:r>
      <w:r>
        <w:t xml:space="preserve"> </w:t>
      </w:r>
      <w:r>
        <w:t>refinement</w:t>
      </w:r>
      <w:r>
        <w:t xml:space="preserve"> </w:t>
      </w:r>
      <w:r>
        <w:t>conserves</w:t>
      </w:r>
      <w:r>
        <w:t xml:space="preserve"> </w:t>
      </w:r>
      <w:r>
        <w:t>the</w:t>
      </w:r>
      <w:r>
        <w:t xml:space="preserve"> </w:t>
      </w:r>
      <w:r>
        <w:t>harmonic</w:t>
      </w:r>
      <w:r>
        <w:t xml:space="preserve"> </w:t>
      </w:r>
      <w:r>
        <w:t>norm</w:t>
      </w:r>
      <w:r>
        <w:t xml:space="preserve"> </w:t>
      </w:r>
      <w:r>
        <w:t>of</w:t>
      </w:r>
      <w:r>
        <w:t xml:space="preserve"> </w:t>
      </w:r>
      <w:r>
        <w:t>every</w:t>
      </w:r>
      <w:r>
        <w:t xml:space="preserve"> </w:t>
      </w:r>
      <w:r>
        <w:t>inherited</w:t>
      </w:r>
      <w:r>
        <w:t xml:space="preserve"> </w:t>
      </w:r>
      <w:r>
        <w:t>lifting</w:t>
      </w:r>
      <w:r>
        <w:t xml:space="preserve"> </w:t>
      </w:r>
      <w:r>
        <w:t>obstruction;</w:t>
      </w:r>
      <w:r>
        <w:t xml:space="preserve"> </w:t>
      </w:r>
      <w:r>
        <w:t>branching</w:t>
      </w:r>
      <w:r>
        <w:t xml:space="preserve"> </w:t>
      </w:r>
      <w:r>
        <w:t>cannot</w:t>
      </w:r>
      <w:r>
        <w:t xml:space="preserve"> </w:t>
      </w:r>
      <w:r>
        <w:t>repair</w:t>
      </w:r>
      <w:r>
        <w:t xml:space="preserve"> </w:t>
      </w:r>
      <w:r>
        <w:t>an</w:t>
      </w:r>
      <w:r>
        <w:t xml:space="preserve"> </w:t>
      </w:r>
      <w:r>
        <w:t>inherited</w:t>
      </w:r>
      <w:r>
        <w:t xml:space="preserve"> </w:t>
      </w:r>
      <w:r>
        <w:t>interpretation,</w:t>
      </w:r>
      <w:r>
        <w:t xml:space="preserve"> </w:t>
      </w:r>
      <w:r>
        <w:t>only</w:t>
      </w:r>
      <w:r>
        <w:t xml:space="preserve"> </w:t>
      </w:r>
      <w:r>
        <w:t>supersede</w:t>
      </w:r>
      <w:r>
        <w:t xml:space="preserve"> </w:t>
      </w:r>
      <w:r>
        <w:t>it</w:t>
      </w:r>
      <w:r>
        <w:t xml:space="preserve"> </w:t>
      </w:r>
      <w:r>
        <w:t>with</w:t>
      </w:r>
      <w:r>
        <w:t xml:space="preserve"> </w:t>
      </w:r>
      <w:r>
        <w:t>a</w:t>
      </w:r>
      <w:r>
        <w:t xml:space="preserve"> </w:t>
      </w:r>
      <w:r>
        <w:t>section</w:t>
      </w:r>
      <w:r>
        <w:t xml:space="preserve"> </w:t>
      </w:r>
      <w:r>
        <w:t>unavailable</w:t>
      </w:r>
      <w:r>
        <w:t xml:space="preserve"> </w:t>
      </w:r>
      <w:r>
        <w:t>at</w:t>
      </w:r>
      <w:r>
        <w:t xml:space="preserve"> </w:t>
      </w:r>
      <w:r>
        <w:t>coarser</w:t>
      </w:r>
      <w:r>
        <w:t xml:space="preserve"> </w:t>
      </w:r>
      <w:r>
        <w:t>granularity.</w:t>
      </w:r>
      <w:r>
        <w:t xml:space="preserve"> </w:t>
      </w:r>
      <w:r>
        <w:t>Maschke</w:t>
      </w:r>
      <w:r>
        <w:t xml:space="preserve"> </w:t>
      </w:r>
      <w:r>
        <w:t>splitting</w:t>
      </w:r>
      <w:r>
        <w:t xml:space="preserve"> </w:t>
      </w:r>
      <w:r>
        <w:t>shows</w:t>
      </w:r>
      <w:r>
        <w:t xml:space="preserve"> </w:t>
      </w:r>
      <w:r>
        <w:t>that</w:t>
      </w:r>
      <w:r>
        <w:t xml:space="preserve"> </w:t>
      </w:r>
      <w:r>
        <w:t>a</w:t>
      </w:r>
      <w:r>
        <w:t xml:space="preserve"> </w:t>
      </w:r>
      <w:r>
        <w:t>nonzero</w:t>
      </w:r>
      <w:r>
        <w:t xml:space="preserve"> </w:t>
      </w:r>
      <w:r>
        <w:t>obstruction</w:t>
      </w:r>
      <w:r>
        <w:t xml:space="preserve"> </w:t>
      </w:r>
      <w:r>
        <w:t>requires</w:t>
      </w:r>
      <w:r>
        <w:t xml:space="preserve"> </w:t>
      </w:r>
      <w:r>
        <w:t>the</w:t>
      </w:r>
      <w:r>
        <w:t xml:space="preserve"> </w:t>
      </w:r>
      <w:r>
        <w:t>middle</w:t>
      </w:r>
      <w:r>
        <w:t xml:space="preserve"> </w:t>
      </w:r>
      <w:r>
        <w:t>extension</w:t>
      </w:r>
      <w:r>
        <w:t xml:space="preserve"> </w:t>
      </w:r>
      <w:r>
        <w:t>to</w:t>
      </w:r>
      <w:r>
        <w:t xml:space="preserve"> </w:t>
      </w:r>
      <w:r>
        <w:t>escape</w:t>
      </w:r>
      <w:r>
        <w:t xml:space="preserve"> </w:t>
      </w:r>
      <w:r>
        <w:t>the</w:t>
      </w:r>
      <w:r>
        <w:t xml:space="preserve"> </w:t>
      </w:r>
      <w:r>
        <w:t>common</w:t>
      </w:r>
      <w:r>
        <w:t xml:space="preserve"> </w:t>
      </w:r>
      <w:r>
        <w:t>finite</w:t>
      </w:r>
      <w:r>
        <w:t xml:space="preserve"> </w:t>
      </w:r>
      <w:r>
        <w:t>quotient</w:t>
      </w:r>
      <w:r>
        <w:t xml:space="preserve"> </w:t>
      </w:r>
      <w:r>
        <w:t>of</w:t>
      </w:r>
      <w:r>
        <w:t xml:space="preserve"> </w:t>
      </w:r>
      <w:r>
        <w:t>its</w:t>
      </w:r>
      <w:r>
        <w:t xml:space="preserve"> </w:t>
      </w:r>
      <w:r>
        <w:t>endpoints.</w:t>
      </w:r>
      <w:r>
        <w:t xml:space="preserve"> </w:t>
      </w:r>
      <w:r>
        <w:t>On</w:t>
      </w:r>
      <w:r>
        <w:t xml:space="preserve"> </w:t>
      </w:r>
      <w:r>
        <w:t>the</w:t>
      </w:r>
      <w:r>
        <w:t xml:space="preserve"> </w:t>
      </w:r>
      <w:r>
        <w:t>circle</w:t>
      </w:r>
      <w:r>
        <w:t xml:space="preserve"> </w:t>
      </w:r>
      <w:r>
        <w:t>this</w:t>
      </w:r>
      <w:r>
        <w:t xml:space="preserve"> </w:t>
      </w:r>
      <w:r>
        <w:t>escaping</w:t>
      </w:r>
      <w:r>
        <w:t xml:space="preserve"> </w:t>
      </w:r>
      <w:r>
        <w:t>component</w:t>
      </w:r>
      <w:r>
        <w:t xml:space="preserve"> </w:t>
      </w:r>
      <w:r>
        <w:t>is</w:t>
      </w:r>
      <w:r>
        <w:t xml:space="preserve"> </w:t>
      </w:r>
      <w:r>
        <w:t>the</w:t>
      </w:r>
      <w:r>
        <w:t xml:space="preserve"> </w:t>
      </w:r>
      <w:r>
        <w:t>unipotent</w:t>
      </w:r>
      <w:r>
        <w:t xml:space="preserve"> </w:t>
      </w:r>
      <w:r>
        <w:t>block</w:t>
      </w:r>
      <w:r>
        <w:t xml:space="preserve"> </w:t>
      </w:r>
      <w:r>
        <w:t>of</w:t>
      </w:r>
      <w:r>
        <w:t xml:space="preserve"> </w:t>
      </w:r>
      <w:r>
        <w:t>an</w:t>
      </w:r>
      <w:r>
        <w:t xml:space="preserve"> </w:t>
      </w:r>
      <w:r>
        <w:t>iterate</w:t>
      </w:r>
      <w:r>
        <w:t xml:space="preserve"> </w:t>
      </w:r>
      <w:r>
        <w:t>of</w:t>
      </w:r>
      <w:r>
        <w:t xml:space="preserve"> </w:t>
      </w:r>
      <w:r>
        <w:t>the</w:t>
      </w:r>
      <w:r>
        <w:t xml:space="preserve"> </w:t>
      </w:r>
      <w:r>
        <w:t>monodromy,</w:t>
      </w:r>
      <w:r>
        <w:t xml:space="preserve"> </w:t>
      </w:r>
      <w:r>
        <w:t>yielding</w:t>
      </w:r>
      <w:r>
        <w:t xml:space="preserve"> </w:t>
      </w:r>
      <w:r>
        <w:t>polynomial</w:t>
      </w:r>
      <w:r>
        <w:t xml:space="preserve"> </w:t>
      </w:r>
      <w:r>
        <w:t>rather</w:t>
      </w:r>
      <w:r>
        <w:t xml:space="preserve"> </w:t>
      </w:r>
      <w:r>
        <w:t>than</w:t>
      </w:r>
      <w:r>
        <w:t xml:space="preserve"> </w:t>
      </w:r>
      <w:r>
        <w:t>exponential</w:t>
      </w:r>
      <w:r>
        <w:t xml:space="preserve"> </w:t>
      </w:r>
      <w:r>
        <w:t>accumulation.</w:t>
      </w:r>
      <w:r>
        <w:t xml:space="preserve"> </w:t>
      </w:r>
      <w:r>
        <w:t>Exact</w:t>
      </w:r>
      <w:r>
        <w:t xml:space="preserve"> </w:t>
      </w:r>
      <m:oMath>
        <m:sSub>
          <m:e>
            <m:r>
              <m:t>S</m:t>
            </m:r>
          </m:e>
          <m:sub>
            <m:r>
              <m:t>3</m:t>
            </m:r>
          </m:sub>
        </m:sSub>
      </m:oMath>
      <w:r>
        <w:t xml:space="preserve"> </w:t>
      </w:r>
      <w:r>
        <w:t>experiments</w:t>
      </w:r>
      <w:r>
        <w:t xml:space="preserve"> </w:t>
      </w:r>
      <w:r>
        <w:t>recover</w:t>
      </w:r>
      <w:r>
        <w:t xml:space="preserve"> </w:t>
      </w:r>
      <w:r>
        <w:t>the</w:t>
      </w:r>
      <w:r>
        <w:t xml:space="preserve"> </w:t>
      </w:r>
      <w:r>
        <w:t>legal</w:t>
      </w:r>
      <w:r>
        <w:t xml:space="preserve"> </w:t>
      </w:r>
      <w:r>
        <w:t>branching</w:t>
      </w:r>
      <w:r>
        <w:t xml:space="preserve"> </w:t>
      </w:r>
      <w:r>
        <w:t>state</w:t>
      </w:r>
      <w:r>
        <w:t xml:space="preserve"> </w:t>
      </w:r>
      <w:r>
        <w:t>counts</w:t>
      </w:r>
      <w:r>
        <w:t xml:space="preserve"> </w:t>
      </w:r>
      <m:oMath>
        <m:r>
          <m:t>6</m:t>
        </m:r>
        <m:r>
          <m:rPr>
            <m:sty m:val="p"/>
          </m:rPr>
          <m:t>→</m:t>
        </m:r>
        <m:r>
          <m:t>3</m:t>
        </m:r>
        <m:r>
          <m:rPr>
            <m:sty m:val="p"/>
          </m:rPr>
          <m:t>→</m:t>
        </m:r>
        <m:r>
          <m:t>1</m:t>
        </m:r>
      </m:oMath>
      <w:r>
        <w:t xml:space="preserve"> </w:t>
      </w:r>
      <w:r>
        <w:t>and</w:t>
      </w:r>
      <w:r>
        <w:t xml:space="preserve"> </w:t>
      </w:r>
      <m:oMath>
        <m:r>
          <m:t>6</m:t>
        </m:r>
        <m:r>
          <m:rPr>
            <m:sty m:val="p"/>
          </m:rPr>
          <m:t>→</m:t>
        </m:r>
        <m:r>
          <m:t>2</m:t>
        </m:r>
        <m:r>
          <m:rPr>
            <m:sty m:val="p"/>
          </m:rPr>
          <m:t>→</m:t>
        </m:r>
        <m:r>
          <m:t>1</m:t>
        </m:r>
      </m:oMath>
      <w:r>
        <w:t>,</w:t>
      </w:r>
      <w:r>
        <w:t xml:space="preserve"> </w:t>
      </w:r>
      <w:r>
        <w:t>expose</w:t>
      </w:r>
      <w:r>
        <w:t xml:space="preserve"> </w:t>
      </w:r>
      <w:r>
        <w:t>the</w:t>
      </w:r>
      <w:r>
        <w:t xml:space="preserve"> </w:t>
      </w:r>
      <w:r>
        <w:t>impossibility</w:t>
      </w:r>
      <w:r>
        <w:t xml:space="preserve"> </w:t>
      </w:r>
      <w:r>
        <w:t>of</w:t>
      </w:r>
      <w:r>
        <w:t xml:space="preserve"> </w:t>
      </w:r>
      <w:r>
        <w:t>the</w:t>
      </w:r>
      <w:r>
        <w:t xml:space="preserve"> </w:t>
      </w:r>
      <w:r>
        <w:t>often-assumed</w:t>
      </w:r>
      <w:r>
        <w:t xml:space="preserve"> </w:t>
      </w:r>
      <w:r>
        <w:t>chain</w:t>
      </w:r>
      <w:r>
        <w:t xml:space="preserve"> </w:t>
      </w:r>
      <m:oMath>
        <m:r>
          <m:t>6</m:t>
        </m:r>
        <m:r>
          <m:rPr>
            <m:sty m:val="p"/>
          </m:rPr>
          <m:t>→</m:t>
        </m:r>
        <m:r>
          <m:t>3</m:t>
        </m:r>
        <m:r>
          <m:rPr>
            <m:sty m:val="p"/>
          </m:rPr>
          <m:t>→</m:t>
        </m:r>
        <m:r>
          <m:t>2</m:t>
        </m:r>
        <m:r>
          <m:rPr>
            <m:sty m:val="p"/>
          </m:rPr>
          <m:t>→</m:t>
        </m:r>
        <m:r>
          <m:t>1</m:t>
        </m:r>
      </m:oMath>
      <w:r>
        <w:t>,</w:t>
      </w:r>
      <w:r>
        <w:t xml:space="preserve"> </w:t>
      </w:r>
      <w:r>
        <w:t>verify</w:t>
      </w:r>
      <w:r>
        <w:t xml:space="preserve"> </w:t>
      </w:r>
      <w:r>
        <w:t>zero-shot</w:t>
      </w:r>
      <w:r>
        <w:t xml:space="preserve"> </w:t>
      </w:r>
      <w:r>
        <w:t>subgroup</w:t>
      </w:r>
      <w:r>
        <w:t xml:space="preserve"> </w:t>
      </w:r>
      <w:r>
        <w:t>switching</w:t>
      </w:r>
      <w:r>
        <w:t xml:space="preserve"> </w:t>
      </w:r>
      <w:r>
        <w:t>with</w:t>
      </w:r>
      <w:r>
        <w:t xml:space="preserve"> </w:t>
      </w:r>
      <w:r>
        <w:t>transport</w:t>
      </w:r>
      <w:r>
        <w:t xml:space="preserve"> </w:t>
      </w:r>
      <w:r>
        <w:t>frozen,</w:t>
      </w:r>
      <w:r>
        <w:t xml:space="preserve"> </w:t>
      </w:r>
      <w:r>
        <w:t>and</w:t>
      </w:r>
      <w:r>
        <w:t xml:space="preserve"> </w:t>
      </w:r>
      <w:r>
        <w:t>numerically</w:t>
      </w:r>
      <w:r>
        <w:t xml:space="preserve"> </w:t>
      </w:r>
      <w:r>
        <w:t>confirm</w:t>
      </w:r>
      <w:r>
        <w:t xml:space="preserve"> </w:t>
      </w:r>
      <w:r>
        <w:t>obstruction</w:t>
      </w:r>
      <w:r>
        <w:t xml:space="preserve"> </w:t>
      </w:r>
      <w:r>
        <w:t>conservation</w:t>
      </w:r>
      <w:r>
        <w:t xml:space="preserve"> </w:t>
      </w:r>
      <w:r>
        <w:t>on</w:t>
      </w:r>
      <w:r>
        <w:t xml:space="preserve"> </w:t>
      </w:r>
      <w:r>
        <w:t>covers.</w:t>
      </w:r>
      <w:r>
        <w:t xml:space="preserve"> </w:t>
      </w:r>
      <w:r>
        <w:t>The</w:t>
      </w:r>
      <w:r>
        <w:t xml:space="preserve"> </w:t>
      </w:r>
      <w:r>
        <w:t>proposal</w:t>
      </w:r>
      <w:r>
        <w:t xml:space="preserve"> </w:t>
      </w:r>
      <w:r>
        <w:t>is</w:t>
      </w:r>
      <w:r>
        <w:t xml:space="preserve"> </w:t>
      </w:r>
      <w:r>
        <w:t>a</w:t>
      </w:r>
      <w:r>
        <w:t xml:space="preserve"> </w:t>
      </w:r>
      <w:r>
        <w:t>structured</w:t>
      </w:r>
      <w:r>
        <w:t xml:space="preserve"> </w:t>
      </w:r>
      <w:r>
        <w:t>memory-transport</w:t>
      </w:r>
      <w:r>
        <w:t xml:space="preserve"> </w:t>
      </w:r>
      <w:r>
        <w:t>subsystem,</w:t>
      </w:r>
      <w:r>
        <w:t xml:space="preserve"> </w:t>
      </w:r>
      <w:r>
        <w:t>not</w:t>
      </w:r>
      <w:r>
        <w:t xml:space="preserve"> </w:t>
      </w:r>
      <w:r>
        <w:t>a</w:t>
      </w:r>
      <w:r>
        <w:t xml:space="preserve"> </w:t>
      </w:r>
      <w:r>
        <w:t>claim</w:t>
      </w:r>
      <w:r>
        <w:t xml:space="preserve"> </w:t>
      </w:r>
      <w:r>
        <w:t>about</w:t>
      </w:r>
      <w:r>
        <w:t xml:space="preserve"> </w:t>
      </w:r>
      <w:r>
        <w:t>an</w:t>
      </w:r>
      <w:r>
        <w:t xml:space="preserve"> </w:t>
      </w:r>
      <w:r>
        <w:t>entire</w:t>
      </w:r>
      <w:r>
        <w:t xml:space="preserve"> </w:t>
      </w:r>
      <w:r>
        <w:t>nonlinear</w:t>
      </w:r>
      <w:r>
        <w:t xml:space="preserve"> </w:t>
      </w:r>
      <w:r>
        <w:t>network</w:t>
      </w:r>
      <w:r>
        <w:t xml:space="preserve"> </w:t>
      </w:r>
      <w:r>
        <w:t>or</w:t>
      </w:r>
      <w:r>
        <w:t xml:space="preserve"> </w:t>
      </w:r>
      <w:r>
        <w:t>a</w:t>
      </w:r>
      <w:r>
        <w:t xml:space="preserve"> </w:t>
      </w:r>
      <w:r>
        <w:t>specific</w:t>
      </w:r>
      <w:r>
        <w:t xml:space="preserve"> </w:t>
      </w:r>
      <w:r>
        <w:t>cortical</w:t>
      </w:r>
      <w:r>
        <w:t xml:space="preserve"> </w:t>
      </w:r>
      <w:r>
        <w:t>mechanism.</w:t>
      </w:r>
    </w:p>
    <w:p>
      <w:pPr>
        <w:spacing w:before="40" w:after="160" w:line="264" w:lineRule="auto"/>
      </w:pPr>
      <w:r>
        <w:rPr>
          <w:rFonts w:ascii="Calibri" w:hAnsi="Calibri" w:eastAsia="Calibri"/>
          <w:i/>
          <w:color w:val="5C636E"/>
          <w:sz w:val="18"/>
        </w:rPr>
        <w:t>Keywords: recurrent memory; forgetting; coset register; subgroup lattice; cellular sheaf; covering space; lifting obstruction; finite-by-unipotent dynamics</w:t>
      </w:r>
    </w:p>
    <w:bookmarkStart w:id="20" w:name="introduction"/>
    <w:p>
      <w:pPr>
        <w:pStyle w:val="Heading1"/>
        <w:pageBreakBefore/>
      </w:pPr>
      <w:r>
        <w:t>1. Introduction</w:t>
      </w:r>
    </w:p>
    <w:p>
      <w:pPr>
        <w:pStyle w:val="FirstParagraph"/>
        <w:keepLines/>
        <w:spacing w:before="100" w:after="140"/>
        <w:jc w:val="center"/>
      </w:pPr>
      <w:r>
        <w:t>A recurrent model compresses a history</w:t>
      </w:r>
      <w:r>
        <w:t xml:space="preserve"> </w:t>
      </w:r>
      <m:oMath>
        <m:sSub>
          <m:e>
            <m:r>
              <m:t>h</m:t>
            </m:r>
          </m:e>
          <m:sub>
            <m:r>
              <m:t>t</m:t>
            </m:r>
          </m:sub>
        </m:sSub>
        <m:r>
          <m:rPr>
            <m:sty m:val="p"/>
          </m:rPr>
          <m:t>=</m:t>
        </m:r>
        <m:d>
          <m:dPr>
            <m:begChr m:val="("/>
            <m:endChr m:val=")"/>
            <m:sepChr m:val=""/>
            <m:grow/>
          </m:dPr>
          <m:e>
            <m:sSub>
              <m:e>
                <m:r>
                  <m:t>x</m:t>
                </m:r>
              </m:e>
              <m:sub>
                <m:r>
                  <m:t>1</m:t>
                </m:r>
              </m:sub>
            </m:sSub>
            <m:r>
              <m:rPr>
                <m:sty m:val="p"/>
              </m:rPr>
              <m:t>,</m:t>
            </m:r>
            <m:r>
              <m:rPr>
                <m:sty m:val="p"/>
              </m:rPr>
              <m:t>…</m:t>
            </m:r>
            <m:r>
              <m:rPr>
                <m:sty m:val="p"/>
              </m:rPr>
              <m:t>,</m:t>
            </m:r>
            <m:sSub>
              <m:e>
                <m:r>
                  <m:t>x</m:t>
                </m:r>
              </m:e>
              <m:sub>
                <m:r>
                  <m:t>t</m:t>
                </m:r>
              </m:sub>
            </m:sSub>
          </m:e>
        </m:d>
      </m:oMath>
      <w:r>
        <w:t xml:space="preserve"> </w:t>
      </w:r>
      <w:r>
        <w:t>into a state</w:t>
      </w:r>
      <w:r>
        <w:t xml:space="preserve"> </w:t>
      </w:r>
      <m:oMath>
        <m:sSub>
          <m:e>
            <m:r>
              <m:t>s</m:t>
            </m:r>
          </m:e>
          <m:sub>
            <m:r>
              <m:t>t</m:t>
            </m:r>
          </m:sub>
        </m:sSub>
      </m:oMath>
      <w:r>
        <w:t>. This compression is normally judged by predictive performance, but the induced equivalence relation on histories remains hidden. Two histories have been forgotten as distinct when they produce the same effective state, yet a dense hidden vector does not say which distinction was removed, whether the removal is stable under composition, or whether another task can request a finer state without relearning the transport dynamics.</w:t>
      </w:r>
    </w:p>
    <w:p>
      <w:pPr>
        <w:pStyle w:val="BodyText"/>
        <w:keepLines/>
        <w:spacing w:before="100" w:after="140"/>
        <w:jc w:val="center"/>
      </w:pPr>
      <w:r>
        <w:t>This paper starts from a stricter requirement: a forgetting policy should be an inspectable object with a composition law. If transitions are represented by elements of a finite group</w:t>
      </w:r>
      <w:r>
        <w:t xml:space="preserve"> </w:t>
      </w:r>
      <m:oMath>
        <m:r>
          <m:t>Γ</m:t>
        </m:r>
      </m:oMath>
      <w:r>
        <w:t>, then declaring the elements of a subgroup</w:t>
      </w:r>
      <w:r>
        <w:t xml:space="preserve"> </w:t>
      </w:r>
      <m:oMath>
        <m:r>
          <m:t>J</m:t>
        </m:r>
        <m:r>
          <m:rPr>
            <m:sty m:val="p"/>
          </m:rPr>
          <m:t>≤</m:t>
        </m:r>
        <m:r>
          <m:t>Γ</m:t>
        </m:r>
      </m:oMath>
      <w:r>
        <w:t xml:space="preserve"> </w:t>
      </w:r>
      <w:r>
        <w:t>unobservable identifies histories that differ by</w:t>
      </w:r>
      <w:r>
        <w:t xml:space="preserve"> </w:t>
      </w:r>
      <m:oMath>
        <m:r>
          <m:t>J</m:t>
        </m:r>
      </m:oMath>
      <w:r>
        <w:t>. The surviving memory state is a coset</w:t>
      </w:r>
      <w:r>
        <w:t xml:space="preserve"> </w:t>
      </w:r>
      <m:oMath>
        <m:r>
          <m:t>J</m:t>
        </m:r>
        <m:sSub>
          <m:e>
            <m:r>
              <m:t>γ</m:t>
            </m:r>
          </m:e>
          <m:sub>
            <m:r>
              <m:t>t</m:t>
            </m:r>
          </m:sub>
        </m:sSub>
      </m:oMath>
      <w:r>
        <w:t>. A larger subgroup forgets more. Inclusion</w:t>
      </w:r>
      <w:r>
        <w:t xml:space="preserve"> </w:t>
      </w:r>
      <m:oMath>
        <m:r>
          <m:t>J</m:t>
        </m:r>
        <m:r>
          <m:rPr>
            <m:sty m:val="p"/>
          </m:rPr>
          <m:t>⊆</m:t>
        </m:r>
        <m:r>
          <m:t>K</m:t>
        </m:r>
      </m:oMath>
      <w:r>
        <w:t xml:space="preserve"> </w:t>
      </w:r>
      <w:r>
        <w:t>gives a canonical coarsening map</w:t>
      </w:r>
      <w:r>
        <w:t xml:space="preserve"> </w:t>
      </w:r>
      <m:oMath>
        <m:r>
          <m:t>J</m:t>
        </m:r>
        <m:r>
          <m:rPr>
            <m:sty m:val="p"/>
          </m:rPr>
          <m:t>∖</m:t>
        </m:r>
        <m:r>
          <m:t>Γ</m:t>
        </m:r>
        <m:r>
          <m:rPr>
            <m:sty m:val="p"/>
          </m:rPr>
          <m:t>→</m:t>
        </m:r>
        <m:r>
          <m:t>K</m:t>
        </m:r>
        <m:r>
          <m:rPr>
            <m:sty m:val="p"/>
          </m:rPr>
          <m:t>∖</m:t>
        </m:r>
        <m:r>
          <m:t>Γ</m:t>
        </m:r>
      </m:oMath>
      <w:r>
        <w:t>. The policy therefore has an algebra, a state count, a lattice of alternatives, and an audit trail.</w:t>
      </w:r>
    </w:p>
    <w:p>
      <w:pPr>
        <w:pStyle w:val="BodyText"/>
      </w:pPr>
      <w:r>
        <w:t>The proposal has two interacting sectors. The first is finite and recurrent: a coset register and an orthogonal transport representation compile periodic contextual distinctions into permutations and norm-preserving maps. The second is an extension sector. It records the part of compatibility that cannot factor through the finite quotient. When this sector is constrained to be unipotent of bounded depth, repeated transport accumulates polynomially rather than exponentially. This division does not claim that a whole nonlinear model is stable; it isolates a memory-transport subsystem for which recurrence and accumulation can be stated exactly.</w:t>
      </w:r>
    </w:p>
    <w:p>
      <w:pPr>
        <w:pStyle w:val="BodyText"/>
      </w:pPr>
      <w:r>
        <w:t>Cellular sheaves provide the compatibility language. Local features live on the vertices and edges of a semantic graph, restriction maps translate them, and a sheaf Laplacian reconciles them. A short exact sequence</w:t>
      </w:r>
    </w:p>
    <w:p>
      <w:pPr>
        <w:pStyle w:val="BodyText"/>
        <w:keepLines/>
        <w:spacing w:before="100" w:after="140"/>
        <w:jc w:val="center"/>
      </w:pPr>
      <m:oMathPara>
        <m:oMathParaPr>
          <m:jc m:val="center"/>
        </m:oMathParaPr>
        <m:oMath>
          <m:r>
            <m:t>0</m:t>
          </m:r>
          <m:r>
            <m:rPr>
              <m:sty m:val="p"/>
            </m:rPr>
            <m:t>→</m:t>
          </m:r>
          <m:r>
            <m:rPr>
              <m:sty m:val="p"/>
              <m:scr m:val="script"/>
            </m:rPr>
            <m:t>S</m:t>
          </m:r>
          <m:r>
            <m:rPr>
              <m:sty m:val="p"/>
            </m:rPr>
            <m:t>→</m:t>
          </m:r>
          <m:r>
            <m:rPr>
              <m:sty m:val="p"/>
              <m:scr m:val="script"/>
            </m:rPr>
            <m:t>F</m:t>
          </m:r>
          <m:r>
            <m:rPr>
              <m:sty m:val="p"/>
            </m:rPr>
            <m:t>→</m:t>
          </m:r>
          <m:r>
            <m:rPr>
              <m:sty m:val="p"/>
              <m:scr m:val="script"/>
            </m:rPr>
            <m:t>Q</m:t>
          </m:r>
          <m:r>
            <m:rPr>
              <m:sty m:val="p"/>
            </m:rPr>
            <m:t>→</m:t>
          </m:r>
          <m:r>
            <m:t>0</m:t>
          </m:r>
        </m:oMath>
      </m:oMathPara>
    </w:p>
    <w:p>
      <w:pPr>
        <w:pStyle w:val="FirstParagraph"/>
        <w:keepLines/>
        <w:spacing w:before="100" w:after="140"/>
        <w:jc w:val="center"/>
      </w:pPr>
      <w:r>
        <w:t>separates a latent correction sheaf</w:t>
      </w:r>
      <w:r>
        <w:t xml:space="preserve"> </w:t>
      </w:r>
      <m:oMath>
        <m:r>
          <m:rPr>
            <m:sty m:val="p"/>
            <m:scr m:val="script"/>
          </m:rPr>
          <m:t>S</m:t>
        </m:r>
      </m:oMath>
      <w:r>
        <w:t xml:space="preserve"> </w:t>
      </w:r>
      <w:r>
        <w:t>from an observable quotient sheaf</w:t>
      </w:r>
      <w:r>
        <w:t xml:space="preserve"> </w:t>
      </w:r>
      <m:oMath>
        <m:r>
          <m:rPr>
            <m:sty m:val="p"/>
            <m:scr m:val="script"/>
          </m:rPr>
          <m:t>Q</m:t>
        </m:r>
      </m:oMath>
      <w:r>
        <w:t>. Its connecting morphism</w:t>
      </w:r>
    </w:p>
    <w:p>
      <w:pPr>
        <w:pStyle w:val="BodyText"/>
        <w:keepLines/>
        <w:spacing w:before="100" w:after="140"/>
        <w:jc w:val="center"/>
      </w:pPr>
      <m:oMathPara>
        <m:oMathParaPr>
          <m:jc m:val="center"/>
        </m:oMathParaPr>
        <m:oMath>
          <m:r>
            <m:rPr>
              <m:sty m:val="p"/>
            </m:rPr>
            <m:t>∂</m:t>
          </m:r>
          <m:r>
            <m:rPr>
              <m:sty m:val="p"/>
            </m:rPr>
            <m:t>:</m:t>
          </m:r>
          <m:sSup>
            <m:e>
              <m:r>
                <m:t>H</m:t>
              </m:r>
            </m:e>
            <m:sup>
              <m:r>
                <m:t>0</m:t>
              </m:r>
            </m:sup>
          </m:sSup>
          <m:d>
            <m:dPr>
              <m:begChr m:val="("/>
              <m:endChr m:val=")"/>
              <m:sepChr m:val=""/>
              <m:grow/>
            </m:dPr>
            <m:e>
              <m:r>
                <m:t>X</m:t>
              </m:r>
              <m:r>
                <m:rPr>
                  <m:sty m:val="p"/>
                </m:rPr>
                <m:t>;</m:t>
              </m:r>
              <m:r>
                <m:rPr>
                  <m:sty m:val="p"/>
                  <m:scr m:val="script"/>
                </m:rPr>
                <m:t>Q</m:t>
              </m:r>
            </m:e>
          </m:d>
          <m:r>
            <m:rPr>
              <m:sty m:val="p"/>
            </m:rPr>
            <m:t>→</m:t>
          </m:r>
          <m:sSup>
            <m:e>
              <m:r>
                <m:t>H</m:t>
              </m:r>
            </m:e>
            <m:sup>
              <m:r>
                <m:t>1</m:t>
              </m:r>
            </m:sup>
          </m:sSup>
          <m:d>
            <m:dPr>
              <m:begChr m:val="("/>
              <m:endChr m:val=")"/>
              <m:sepChr m:val=""/>
              <m:grow/>
            </m:dPr>
            <m:e>
              <m:r>
                <m:t>X</m:t>
              </m:r>
              <m:r>
                <m:rPr>
                  <m:sty m:val="p"/>
                </m:rPr>
                <m:t>;</m:t>
              </m:r>
              <m:r>
                <m:rPr>
                  <m:sty m:val="p"/>
                  <m:scr m:val="script"/>
                </m:rPr>
                <m:t>S</m:t>
              </m:r>
            </m:e>
          </m:d>
        </m:oMath>
      </m:oMathPara>
    </w:p>
    <w:p>
      <w:pPr>
        <w:pStyle w:val="FirstParagraph"/>
      </w:pPr>
      <w:r>
        <w:t>measures whether a globally consistent quotient interpretation lifts to a globally consistent full interpretation. This is the paper's point of contact between architecture and topology.</w:t>
      </w:r>
    </w:p>
    <w:p>
      <w:pPr>
        <w:pStyle w:val="BodyText"/>
      </w:pPr>
      <w:r>
        <w:t>The central result limits what additional sheets can accomplish. Pulling an interpretation to a finite cover does not reduce its normalized harmonic obstruction. If performance improves after refinement, the improvement must use a genuinely sheet-dependent section outside the pullback image. We summarize this as</w:t>
      </w:r>
      <w:r>
        <w:t xml:space="preserve"> </w:t>
      </w:r>
      <w:r>
        <w:rPr>
          <w:bCs/>
          <w:b/>
        </w:rPr>
        <w:t>supersession, not repair</w:t>
      </w:r>
      <w:r>
        <w:t>.</w:t>
      </w:r>
    </w:p>
    <w:p>
      <w:pPr>
        <w:pStyle w:val="BodyText"/>
      </w:pPr>
      <w:r>
        <w:t>The contributions are:</w:t>
      </w:r>
    </w:p>
    <w:p>
      <w:pPr>
        <w:keepLines/>
        <w:numPr>
          <w:ilvl w:val="0"/>
          <w:numId w:val="1001"/>
        </w:numPr>
        <w:pStyle w:val="Compact"/>
        <w:spacing w:before="100" w:after="140"/>
        <w:jc w:val="center"/>
      </w:pPr>
      <w:r>
        <w:rPr>
          <w:bCs/>
          <w:b/>
        </w:rPr>
        <w:t>Explicit forgetting.</w:t>
      </w:r>
      <w:r>
        <w:t xml:space="preserve"> </w:t>
      </w:r>
      <w:r>
        <w:t>We represent a forgetting policy by a subgroup</w:t>
      </w:r>
      <w:r>
        <w:t xml:space="preserve"> </w:t>
      </w:r>
      <m:oMath>
        <m:r>
          <m:t>J</m:t>
        </m:r>
      </m:oMath>
      <w:r>
        <w:t xml:space="preserve"> </w:t>
      </w:r>
      <w:r>
        <w:t>and recurrent memory by</w:t>
      </w:r>
      <w:r>
        <w:t xml:space="preserve"> </w:t>
      </w:r>
      <m:oMath>
        <m:r>
          <m:t>J</m:t>
        </m:r>
        <m:sSub>
          <m:e>
            <m:r>
              <m:t>γ</m:t>
            </m:r>
          </m:e>
          <m:sub>
            <m:r>
              <m:t>t</m:t>
            </m:r>
          </m:sub>
        </m:sSub>
        <m:r>
          <m:rPr>
            <m:sty m:val="p"/>
          </m:rPr>
          <m:t>∈</m:t>
        </m:r>
        <m:r>
          <m:t>J</m:t>
        </m:r>
        <m:r>
          <m:rPr>
            <m:sty m:val="p"/>
          </m:rPr>
          <m:t>∖</m:t>
        </m:r>
        <m:r>
          <m:t>Γ</m:t>
        </m:r>
      </m:oMath>
      <w:r>
        <w:t>.</w:t>
      </w:r>
    </w:p>
    <w:p>
      <w:pPr>
        <w:keepLines/>
        <w:numPr>
          <w:ilvl w:val="0"/>
          <w:numId w:val="1001"/>
        </w:numPr>
        <w:pStyle w:val="Compact"/>
        <w:spacing w:before="100" w:after="140"/>
        <w:jc w:val="center"/>
      </w:pPr>
      <w:r>
        <w:rPr>
          <w:bCs/>
          <w:b/>
        </w:rPr>
        <w:t>Virtual covers.</w:t>
      </w:r>
      <w:r>
        <w:t xml:space="preserve"> </w:t>
      </w:r>
      <w:r>
        <w:t>We show how the</w:t>
      </w:r>
      <w:r>
        <w:t xml:space="preserve"> </w:t>
      </w:r>
      <m:oMath>
        <m:d>
          <m:dPr>
            <m:begChr m:val="|"/>
            <m:endChr m:val="|"/>
            <m:sepChr m:val=""/>
            <m:grow/>
          </m:dPr>
          <m:e>
            <m:r>
              <m:t>J</m:t>
            </m:r>
            <m:r>
              <m:rPr>
                <m:sty m:val="p"/>
              </m:rPr>
              <m:t>∖</m:t>
            </m:r>
            <m:r>
              <m:t>Γ</m:t>
            </m:r>
          </m:e>
        </m:d>
      </m:oMath>
      <w:r>
        <w:t xml:space="preserve"> </w:t>
      </w:r>
      <w:r>
        <w:t>sheets compile into a permutation register tensored with base stalks, with work linear in sheet count.</w:t>
      </w:r>
    </w:p>
    <w:p>
      <w:pPr>
        <w:numPr>
          <w:ilvl w:val="0"/>
          <w:numId w:val="1001"/>
        </w:numPr>
        <w:pStyle w:val="Compact"/>
      </w:pPr>
      <w:r>
        <w:rPr>
          <w:bCs/>
          <w:b/>
        </w:rPr>
        <w:t>Closure-aware selection.</w:t>
      </w:r>
      <w:r>
        <w:t xml:space="preserve"> </w:t>
      </w:r>
      <w:r>
        <w:t>We formulate task-conditioned subgroup selection, prove why generic continuous stabilizers do not learn useful granularities, and distinguish subgroup lattices from subgroup filtrations.</w:t>
      </w:r>
    </w:p>
    <w:p>
      <w:pPr>
        <w:numPr>
          <w:ilvl w:val="0"/>
          <w:numId w:val="1001"/>
        </w:numPr>
        <w:pStyle w:val="Compact"/>
      </w:pPr>
      <w:r>
        <w:rPr>
          <w:bCs/>
          <w:b/>
        </w:rPr>
        <w:t>Obstruction conservation.</w:t>
      </w:r>
      <w:r>
        <w:t xml:space="preserve"> </w:t>
      </w:r>
      <w:r>
        <w:t>We prove that normalized finite-cover pullback preserves the harmonic magnitude of inherited lifting obstructions.</w:t>
      </w:r>
    </w:p>
    <w:p>
      <w:pPr>
        <w:numPr>
          <w:ilvl w:val="0"/>
          <w:numId w:val="1001"/>
        </w:numPr>
        <w:pStyle w:val="Compact"/>
      </w:pPr>
      <w:r>
        <w:rPr>
          <w:bCs/>
          <w:b/>
        </w:rPr>
        <w:t>Finite-by-unipotent dynamics.</w:t>
      </w:r>
      <w:r>
        <w:t xml:space="preserve"> </w:t>
      </w:r>
      <w:r>
        <w:t>We identify the non-finite extension sector and bound its growth polynomially under bounded-depth unipotent structure.</w:t>
      </w:r>
    </w:p>
    <w:p>
      <w:pPr>
        <w:numPr>
          <w:ilvl w:val="0"/>
          <w:numId w:val="1001"/>
        </w:numPr>
        <w:pStyle w:val="Compact"/>
      </w:pPr>
      <w:r>
        <w:rPr>
          <w:bCs/>
          <w:b/>
        </w:rPr>
        <w:t>Exact synthetic verification.</w:t>
      </w:r>
      <w:r>
        <w:t xml:space="preserve"> </w:t>
      </w:r>
      <w:r>
        <w:t>We verify the subgroup lattice, closure effects, cover conservation, superseding sections, and growth laws in small reproducible examples.</w:t>
      </w:r>
    </w:p>
    <w:bookmarkEnd w:id="20"/>
    <w:bookmarkStart w:id="25" w:name="related-work"/>
    <w:p>
      <w:pPr>
        <w:pStyle w:val="Heading1"/>
      </w:pPr>
      <w:r>
        <w:t>2. Related work</w:t>
      </w:r>
    </w:p>
    <w:bookmarkStart w:id="21" w:name="X442298942bfa9ac9e6a10b8fcaa99b28201e787"/>
    <w:p>
      <w:pPr>
        <w:pStyle w:val="Heading2"/>
      </w:pPr>
      <w:r>
        <w:t>2.1 Recurrent memory and the problem of forgetting</w:t>
      </w:r>
    </w:p>
    <w:p>
      <w:pPr>
        <w:pStyle w:val="FirstParagraph"/>
      </w:pPr>
      <w:r>
        <w:t>Vanishing and exploding gradients arise from repeated Jacobian products in recurrent networks [1,2]. LSTM and related gates provide learned mechanisms for retaining and discarding coordinates [3]. Orthogonal and unitary RNNs instead constrain recurrence to preserve norms [4,5], while GORU combines orthogonal evolution with explicit gates because exact norm preservation alone makes irrelevant information difficult to forget [6]. These methods decide</w:t>
      </w:r>
      <w:r>
        <w:t xml:space="preserve"> </w:t>
      </w:r>
      <w:r>
        <w:rPr>
          <w:iCs/>
          <w:i/>
        </w:rPr>
        <w:t>how much</w:t>
      </w:r>
      <w:r>
        <w:t xml:space="preserve"> </w:t>
      </w:r>
      <w:r>
        <w:t>a coordinate is retained. Our question is different:</w:t>
      </w:r>
      <w:r>
        <w:t xml:space="preserve"> </w:t>
      </w:r>
      <w:r>
        <w:rPr>
          <w:iCs/>
          <w:i/>
        </w:rPr>
        <w:t>which compositional distinctions between histories are identified?</w:t>
      </w:r>
      <w:r>
        <w:t xml:space="preserve"> </w:t>
      </w:r>
      <w:r>
        <w:t>A subgroup supplies a closed equivalence policy rather than a coordinate-wise attenuation coefficient.</w:t>
      </w:r>
    </w:p>
    <w:p>
      <w:pPr>
        <w:pStyle w:val="BodyText"/>
      </w:pPr>
      <w:r>
        <w:t>Backpropagation through time (BPTT) remains a valid general training method [7]. We do not replace it for arbitrary nonlinear recurrence. The self-adjoint solve described below applies to an implicit sheaf-reconciliation module, where the same operator appears in the forward and adjoint equations.</w:t>
      </w:r>
    </w:p>
    <w:bookmarkEnd w:id="21"/>
    <w:bookmarkStart w:id="22" w:name="Xc97ec744ec6f40863a4bff98e335aa822d70f34"/>
    <w:p>
      <w:pPr>
        <w:pStyle w:val="Heading2"/>
      </w:pPr>
      <w:r>
        <w:t>2.2 Structured state-space and implicit models</w:t>
      </w:r>
    </w:p>
    <w:p>
      <w:pPr>
        <w:pStyle w:val="FirstParagraph"/>
      </w:pPr>
      <w:r>
        <w:t>Structured state-space models such as S4 exploit algebraic parameterizations to process long sequences efficiently [8]. Selective state-space models such as Mamba make parts of the recurrence input-dependent while retaining linear scaling in sequence length [9]. Our use of</w:t>
      </w:r>
      <w:r>
        <w:t xml:space="preserve"> </w:t>
      </w:r>
      <w:r>
        <w:t>"</w:t>
      </w:r>
      <w:r>
        <w:t>structured state space</w:t>
      </w:r>
      <w:r>
        <w:t>"</w:t>
      </w:r>
      <w:r>
        <w:t xml:space="preserve"> </w:t>
      </w:r>
      <w:r>
        <w:t>is narrower and algebraic: the state separates a finite periodic quotient from a bounded-depth unipotent accumulator. It can be used inside a broader SSM, but does not assume S4 or Mamba dynamics.</w:t>
      </w:r>
    </w:p>
    <w:p>
      <w:pPr>
        <w:pStyle w:val="BodyText"/>
      </w:pPr>
      <w:r>
        <w:t>Deep equilibrium models use implicit differentiation through a solved fixed point, reducing activation storage [10]. Our implicit layer is simpler: it solves a regularized sheaf Laplacian. Self-adjointness makes the forward and adjoint linear systems share the same matrix and preconditioner.</w:t>
      </w:r>
    </w:p>
    <w:bookmarkEnd w:id="22"/>
    <w:bookmarkStart w:id="23" w:name="cellular-sheaves-in-learning"/>
    <w:p>
      <w:pPr>
        <w:pStyle w:val="Heading2"/>
      </w:pPr>
      <w:r>
        <w:t>2.3 Cellular sheaves in learning</w:t>
      </w:r>
    </w:p>
    <w:p>
      <w:pPr>
        <w:pStyle w:val="FirstParagraph"/>
      </w:pPr>
      <w:r>
        <w:t>Cellular sheaves attach vector spaces to cells and linear restriction maps to incidences. Their Hodge Laplacians extend graph Laplacians while retaining a cohomological interpretation [11-13]. Sheaf neural networks and neural sheaf diffusion learn restriction maps for graph representation learning, especially where relations are signed, asymmetric, or heterophilic [14,15]. We use the same basic algebra but focus on covering refinement, short exact sequences, and the distinction between inherited and sheet-dependent interpretations.</w:t>
      </w:r>
    </w:p>
    <w:bookmarkEnd w:id="23"/>
    <w:bookmarkStart w:id="24" w:name="persistence-and-algebraic-granularity"/>
    <w:p>
      <w:pPr>
        <w:pStyle w:val="Heading2"/>
      </w:pPr>
      <w:r>
        <w:t>2.4 Persistence and algebraic granularity</w:t>
      </w:r>
    </w:p>
    <w:p>
      <w:pPr>
        <w:pStyle w:val="FirstParagraph"/>
      </w:pPr>
      <w:r>
        <w:t>Persistent homology studies algebraic information across a filtration [16]. Here the primary object is not a homology group of a filtered space. A nested sequence of forgetting subgroups induces a persistence module of function spaces on coset sets. The analogy is useful only after a legal subgroup chain has been specified. The entire set of admissible policies is generally a lattice, not a filtration.</w:t>
      </w:r>
    </w:p>
    <w:p>
      <w:pPr>
        <w:pStyle w:val="BodyText"/>
        <w:keepLines/>
        <w:spacing w:before="100" w:after="140"/>
        <w:jc w:val="center"/>
      </w:pPr>
      <w:r>
        <w:t>Group-equivariant learning constrains representations to respect a chosen symmetry [17]. Our finite transport</w:t>
      </w:r>
      <w:r>
        <w:t xml:space="preserve"> </w:t>
      </w:r>
      <m:oMath>
        <m:r>
          <m:t>τ</m:t>
        </m:r>
      </m:oMath>
      <w:r>
        <w:t xml:space="preserve"> </w:t>
      </w:r>
      <w:r>
        <w:t>is equivariant, but the main novelty is allowing a task to select a subgroup of distinctions to forget while the transport remains fixed.</w:t>
      </w:r>
    </w:p>
    <w:bookmarkEnd w:id="24"/>
    <w:bookmarkEnd w:id="25"/>
    <w:bookmarkStart w:id="29" w:name="algebraic-problem-formulation"/>
    <w:p>
      <w:pPr>
        <w:pStyle w:val="Heading1"/>
      </w:pPr>
      <w:r>
        <w:t>3. Algebraic problem formulation</w:t>
      </w:r>
    </w:p>
    <w:bookmarkStart w:id="26" w:name="Xd98bb9c12ad7fa316a6bdde31186474b4f8d1ca"/>
    <w:p>
      <w:pPr>
        <w:pStyle w:val="Heading2"/>
      </w:pPr>
      <w:r>
        <w:t>3.1 Semantic transitions and a finite quotient</w:t>
      </w:r>
    </w:p>
    <w:p>
      <w:pPr>
        <w:pStyle w:val="FirstParagraph"/>
        <w:keepLines/>
        <w:spacing w:before="100" w:after="140"/>
        <w:jc w:val="center"/>
      </w:pPr>
      <w:r>
        <w:t>Let</w:t>
      </w:r>
      <w:r>
        <w:t xml:space="preserve"> </w:t>
      </w:r>
      <m:oMath>
        <m:r>
          <m:t>X</m:t>
        </m:r>
        <m:r>
          <m:rPr>
            <m:sty m:val="p"/>
          </m:rPr>
          <m:t>=</m:t>
        </m:r>
        <m:d>
          <m:dPr>
            <m:begChr m:val="("/>
            <m:endChr m:val=")"/>
            <m:sepChr m:val=""/>
            <m:grow/>
          </m:dPr>
          <m:e>
            <m:r>
              <m:t>V</m:t>
            </m:r>
            <m:r>
              <m:rPr>
                <m:sty m:val="p"/>
              </m:rPr>
              <m:t>,</m:t>
            </m:r>
            <m:r>
              <m:t>E</m:t>
            </m:r>
          </m:e>
        </m:d>
      </m:oMath>
      <w:r>
        <w:t xml:space="preserve"> </w:t>
      </w:r>
      <w:r>
        <w:t>be a finite directed semantic graph. An oriented edge</w:t>
      </w:r>
      <w:r>
        <w:t xml:space="preserve"> </w:t>
      </w:r>
      <m:oMath>
        <m:r>
          <m:t>e</m:t>
        </m:r>
        <m:r>
          <m:rPr>
            <m:sty m:val="p"/>
          </m:rPr>
          <m:t>:</m:t>
        </m:r>
        <m:r>
          <m:t>x</m:t>
        </m:r>
        <m:r>
          <m:rPr>
            <m:sty m:val="p"/>
          </m:rPr>
          <m:t>→</m:t>
        </m:r>
        <m:r>
          <m:t>y</m:t>
        </m:r>
      </m:oMath>
      <w:r>
        <w:t xml:space="preserve"> </w:t>
      </w:r>
      <w:r>
        <w:t>denotes an admissible transition. Formally, walks and formal inverse edges generate the free path groupoid</w:t>
      </w:r>
      <w:r>
        <w:t xml:space="preserve"> </w:t>
      </w:r>
      <m:oMath>
        <m:r>
          <m:t>Π</m:t>
        </m:r>
        <m:d>
          <m:dPr>
            <m:begChr m:val="("/>
            <m:endChr m:val=")"/>
            <m:sepChr m:val=""/>
            <m:grow/>
          </m:dPr>
          <m:e>
            <m:r>
              <m:t>X</m:t>
            </m:r>
          </m:e>
        </m:d>
      </m:oMath>
      <w:r>
        <w:t>. If</w:t>
      </w:r>
      <w:r>
        <w:t xml:space="preserve"> </w:t>
      </w:r>
      <m:oMath>
        <m:r>
          <m:t>X</m:t>
        </m:r>
      </m:oMath>
      <w:r>
        <w:t xml:space="preserve"> </w:t>
      </w:r>
      <w:r>
        <w:t>is connected and a base vertex</w:t>
      </w:r>
      <w:r>
        <w:t xml:space="preserve"> </w:t>
      </w:r>
      <m:oMath>
        <m:sSub>
          <m:e>
            <m:r>
              <m:t>x</m:t>
            </m:r>
          </m:e>
          <m:sub>
            <m:r>
              <m:t>0</m:t>
            </m:r>
          </m:sub>
        </m:sSub>
      </m:oMath>
      <w:r>
        <w:t xml:space="preserve"> </w:t>
      </w:r>
      <w:r>
        <w:t>plus a spanning tree are chosen, closed walks at</w:t>
      </w:r>
      <w:r>
        <w:t xml:space="preserve"> </w:t>
      </w:r>
      <m:oMath>
        <m:sSub>
          <m:e>
            <m:r>
              <m:t>x</m:t>
            </m:r>
          </m:e>
          <m:sub>
            <m:r>
              <m:t>0</m:t>
            </m:r>
          </m:sub>
        </m:sSub>
      </m:oMath>
      <w:r>
        <w:t xml:space="preserve"> </w:t>
      </w:r>
      <w:r>
        <w:t>generate the free group</w:t>
      </w:r>
      <w:r>
        <w:t xml:space="preserve"> </w:t>
      </w:r>
      <m:oMath>
        <m:sSub>
          <m:e>
            <m:r>
              <m:t>π</m:t>
            </m:r>
          </m:e>
          <m:sub>
            <m:r>
              <m:t>1</m:t>
            </m:r>
          </m:sub>
        </m:sSub>
        <m:d>
          <m:dPr>
            <m:begChr m:val="("/>
            <m:endChr m:val=")"/>
            <m:sepChr m:val=""/>
            <m:grow/>
          </m:dPr>
          <m:e>
            <m:r>
              <m:t>X</m:t>
            </m:r>
            <m:r>
              <m:rPr>
                <m:sty m:val="p"/>
              </m:rPr>
              <m:t>,</m:t>
            </m:r>
            <m:sSub>
              <m:e>
                <m:r>
                  <m:t>x</m:t>
                </m:r>
              </m:e>
              <m:sub>
                <m:r>
                  <m:t>0</m:t>
                </m:r>
              </m:sub>
            </m:sSub>
          </m:e>
        </m:d>
      </m:oMath>
      <w:r>
        <w:t>.</w:t>
      </w:r>
    </w:p>
    <w:p>
      <w:pPr>
        <w:pStyle w:val="BodyText"/>
      </w:pPr>
      <w:r>
        <w:t>A finite quotient is a functor</w:t>
      </w:r>
    </w:p>
    <w:p>
      <w:pPr>
        <w:pStyle w:val="BodyText"/>
        <w:keepLines/>
        <w:spacing w:before="100" w:after="140"/>
        <w:jc w:val="center"/>
      </w:pPr>
      <m:oMathPara>
        <m:oMathParaPr>
          <m:jc m:val="center"/>
        </m:oMathParaPr>
        <m:oMath>
          <m:r>
            <m:t>g</m:t>
          </m:r>
          <m:r>
            <m:rPr>
              <m:sty m:val="p"/>
            </m:rPr>
            <m:t>:</m:t>
          </m:r>
          <m:r>
            <m:t>Π</m:t>
          </m:r>
          <m:d>
            <m:dPr>
              <m:begChr m:val="("/>
              <m:endChr m:val=")"/>
              <m:sepChr m:val=""/>
              <m:grow/>
            </m:dPr>
            <m:e>
              <m:r>
                <m:t>X</m:t>
              </m:r>
            </m:e>
          </m:d>
          <m:r>
            <m:rPr>
              <m:sty m:val="p"/>
            </m:rPr>
            <m:t>→</m:t>
          </m:r>
          <m:r>
            <m:t>Γ</m:t>
          </m:r>
        </m:oMath>
      </m:oMathPara>
    </w:p>
    <w:p>
      <w:pPr>
        <w:pStyle w:val="FirstParagraph"/>
        <w:keepLines/>
        <w:spacing w:before="100" w:after="140"/>
        <w:jc w:val="center"/>
      </w:pPr>
      <w:r>
        <w:t>into a finite group</w:t>
      </w:r>
      <w:r>
        <w:t xml:space="preserve"> </w:t>
      </w:r>
      <m:oMath>
        <m:r>
          <m:t>Γ</m:t>
        </m:r>
      </m:oMath>
      <w:r>
        <w:t>, or equivalently a compatible edge labeling</w:t>
      </w:r>
      <w:r>
        <w:t xml:space="preserve"> </w:t>
      </w:r>
      <m:oMath>
        <m:r>
          <m:t>e</m:t>
        </m:r>
        <m:r>
          <m:rPr>
            <m:sty m:val="p"/>
          </m:rPr>
          <m:t>↦</m:t>
        </m:r>
        <m:sSub>
          <m:e>
            <m:r>
              <m:t>g</m:t>
            </m:r>
          </m:e>
          <m:sub>
            <m:r>
              <m:t>e</m:t>
            </m:r>
          </m:sub>
        </m:sSub>
      </m:oMath>
      <w:r>
        <w:t xml:space="preserve"> </w:t>
      </w:r>
      <w:r>
        <w:t>with</w:t>
      </w:r>
      <w:r>
        <w:t xml:space="preserve"> </w:t>
      </w:r>
      <m:oMath>
        <m:sSub>
          <m:e>
            <m:r>
              <m:t>g</m:t>
            </m:r>
          </m:e>
          <m:sub>
            <m:acc>
              <m:accPr>
                <m:chr m:val="‾"/>
              </m:accPr>
              <m:e>
                <m:r>
                  <m:t>e</m:t>
                </m:r>
              </m:e>
            </m:acc>
          </m:sub>
        </m:sSub>
        <m:r>
          <m:rPr>
            <m:sty m:val="p"/>
          </m:rPr>
          <m:t>=</m:t>
        </m:r>
        <m:sSubSup>
          <m:e>
            <m:r>
              <m:t>g</m:t>
            </m:r>
          </m:e>
          <m:sub>
            <m:r>
              <m:t>e</m:t>
            </m:r>
          </m:sub>
          <m:sup>
            <m:r>
              <m:rPr>
                <m:sty m:val="p"/>
              </m:rPr>
              <m:t>−</m:t>
            </m:r>
            <m:r>
              <m:t>1</m:t>
            </m:r>
          </m:sup>
        </m:sSubSup>
      </m:oMath>
      <w:r>
        <w:t>. The product along a walk</w:t>
      </w:r>
      <w:r>
        <w:t xml:space="preserve"> </w:t>
      </w:r>
      <m:oMath>
        <m:r>
          <m:t>w</m:t>
        </m:r>
        <m:r>
          <m:rPr>
            <m:sty m:val="p"/>
          </m:rPr>
          <m:t>=</m:t>
        </m:r>
        <m:sSub>
          <m:e>
            <m:r>
              <m:t>e</m:t>
            </m:r>
          </m:e>
          <m:sub>
            <m:r>
              <m:t>1</m:t>
            </m:r>
          </m:sub>
        </m:sSub>
        <m:r>
          <m:rPr>
            <m:sty m:val="p"/>
          </m:rPr>
          <m:t>⋯</m:t>
        </m:r>
        <m:sSub>
          <m:e>
            <m:r>
              <m:t>e</m:t>
            </m:r>
          </m:e>
          <m:sub>
            <m:r>
              <m:t>t</m:t>
            </m:r>
          </m:sub>
        </m:sSub>
      </m:oMath>
      <w:r>
        <w:t xml:space="preserve"> </w:t>
      </w:r>
      <w:r>
        <w:t>is</w:t>
      </w:r>
    </w:p>
    <w:p>
      <w:pPr>
        <w:pStyle w:val="BodyText"/>
        <w:keepLines/>
        <w:spacing w:before="100" w:after="140"/>
        <w:jc w:val="center"/>
      </w:pPr>
      <m:oMathPara>
        <m:oMathParaPr>
          <m:jc m:val="center"/>
        </m:oMathParaPr>
        <m:oMath>
          <m:r>
            <m:t>γ</m:t>
          </m:r>
          <m:d>
            <m:dPr>
              <m:begChr m:val="("/>
              <m:endChr m:val=")"/>
              <m:sepChr m:val=""/>
              <m:grow/>
            </m:dPr>
            <m:e>
              <m:r>
                <m:t>w</m:t>
              </m:r>
            </m:e>
          </m:d>
          <m:r>
            <m:rPr>
              <m:sty m:val="p"/>
            </m:rPr>
            <m:t>=</m:t>
          </m:r>
          <m:sSub>
            <m:e>
              <m:r>
                <m:t>g</m:t>
              </m:r>
            </m:e>
            <m:sub>
              <m:sSub>
                <m:e>
                  <m:r>
                    <m:t>e</m:t>
                  </m:r>
                </m:e>
                <m:sub>
                  <m:r>
                    <m:t>1</m:t>
                  </m:r>
                </m:sub>
              </m:sSub>
            </m:sub>
          </m:sSub>
          <m:sSub>
            <m:e>
              <m:r>
                <m:t>g</m:t>
              </m:r>
            </m:e>
            <m:sub>
              <m:sSub>
                <m:e>
                  <m:r>
                    <m:t>e</m:t>
                  </m:r>
                </m:e>
                <m:sub>
                  <m:r>
                    <m:t>2</m:t>
                  </m:r>
                </m:sub>
              </m:sSub>
            </m:sub>
          </m:sSub>
          <m:r>
            <m:rPr>
              <m:sty m:val="p"/>
            </m:rPr>
            <m:t>⋯</m:t>
          </m:r>
          <m:sSub>
            <m:e>
              <m:r>
                <m:t>g</m:t>
              </m:r>
            </m:e>
            <m:sub>
              <m:sSub>
                <m:e>
                  <m:r>
                    <m:t>e</m:t>
                  </m:r>
                </m:e>
                <m:sub>
                  <m:r>
                    <m:t>t</m:t>
                  </m:r>
                </m:sub>
              </m:sSub>
            </m:sub>
          </m:sSub>
          <m:r>
            <m:rPr>
              <m:sty m:val="p"/>
            </m:rPr>
            <m:t>.</m:t>
          </m:r>
        </m:oMath>
      </m:oMathPara>
    </w:p>
    <w:p>
      <w:pPr>
        <w:pStyle w:val="FirstParagraph"/>
        <w:keepLines/>
        <w:spacing w:before="100" w:after="140"/>
        <w:jc w:val="center"/>
      </w:pPr>
      <w:r>
        <w:t>The quotient can be fixed from domain structure, learned from transition data with a finite codebook, or learned as a presentation followed by finite-quotient selection. The theory below assumes that</w:t>
      </w:r>
      <w:r>
        <w:t xml:space="preserve"> </w:t>
      </w:r>
      <m:oMath>
        <m:r>
          <m:t>Γ</m:t>
        </m:r>
      </m:oMath>
      <w:r>
        <w:t xml:space="preserve"> </w:t>
      </w:r>
      <w:r>
        <w:t>and its edge labels have been obtained; learning finite presentations is outside scope.</w:t>
      </w:r>
    </w:p>
    <w:bookmarkEnd w:id="26"/>
    <w:bookmarkStart w:id="27" w:name="forgetting-as-a-subgroup"/>
    <w:p>
      <w:pPr>
        <w:pStyle w:val="Heading2"/>
      </w:pPr>
      <w:r>
        <w:t>3.2 Forgetting as a subgroup</w:t>
      </w:r>
    </w:p>
    <w:p>
      <w:pPr>
        <w:pStyle w:val="FirstParagraph"/>
        <w:keepLines/>
        <w:spacing w:before="100" w:after="140"/>
        <w:jc w:val="center"/>
      </w:pPr>
      <w:r>
        <w:t>Choose a subgroup</w:t>
      </w:r>
      <w:r>
        <w:t xml:space="preserve"> </w:t>
      </w:r>
      <m:oMath>
        <m:r>
          <m:t>J</m:t>
        </m:r>
        <m:r>
          <m:rPr>
            <m:sty m:val="p"/>
          </m:rPr>
          <m:t>≤</m:t>
        </m:r>
        <m:r>
          <m:t>Γ</m:t>
        </m:r>
      </m:oMath>
      <w:r>
        <w:t>. Histories whose products differ by left multiplication by</w:t>
      </w:r>
      <w:r>
        <w:t xml:space="preserve"> </w:t>
      </w:r>
      <m:oMath>
        <m:r>
          <m:t>J</m:t>
        </m:r>
      </m:oMath>
      <w:r>
        <w:t xml:space="preserve"> </w:t>
      </w:r>
      <w:r>
        <w:t>are treated as equivalent. The memory state is a left coset</w:t>
      </w:r>
    </w:p>
    <w:p>
      <w:pPr>
        <w:pStyle w:val="BodyText"/>
        <w:keepLines/>
        <w:spacing w:before="100" w:after="140"/>
        <w:jc w:val="center"/>
      </w:pPr>
      <m:oMathPara>
        <m:oMathParaPr>
          <m:jc m:val="center"/>
        </m:oMathParaPr>
        <m:oMath>
          <m:sSub>
            <m:e>
              <m:r>
                <m:t>c</m:t>
              </m:r>
            </m:e>
            <m:sub>
              <m:r>
                <m:t>t</m:t>
              </m:r>
            </m:sub>
          </m:sSub>
          <m:r>
            <m:rPr>
              <m:sty m:val="p"/>
            </m:rPr>
            <m:t>=</m:t>
          </m:r>
          <m:r>
            <m:t>J</m:t>
          </m:r>
          <m:sSub>
            <m:e>
              <m:r>
                <m:t>γ</m:t>
              </m:r>
            </m:e>
            <m:sub>
              <m:r>
                <m:t>t</m:t>
              </m:r>
            </m:sub>
          </m:sSub>
          <m:r>
            <m:rPr>
              <m:sty m:val="p"/>
            </m:rPr>
            <m:t>∈</m:t>
          </m:r>
          <m:r>
            <m:t>J</m:t>
          </m:r>
          <m:r>
            <m:rPr>
              <m:sty m:val="p"/>
            </m:rPr>
            <m:t>∖</m:t>
          </m:r>
          <m:r>
            <m:t>Γ</m:t>
          </m:r>
          <m:r>
            <m:rPr>
              <m:sty m:val="p"/>
            </m:rPr>
            <m:t>,</m:t>
          </m:r>
          <m:r>
            <m:t>  </m:t>
          </m:r>
          <m:sSub>
            <m:e>
              <m:r>
                <m:t>γ</m:t>
              </m:r>
            </m:e>
            <m:sub>
              <m:r>
                <m:t>t</m:t>
              </m:r>
            </m:sub>
          </m:sSub>
          <m:r>
            <m:rPr>
              <m:sty m:val="p"/>
            </m:rPr>
            <m:t>=</m:t>
          </m:r>
          <m:sSub>
            <m:e>
              <m:r>
                <m:t>γ</m:t>
              </m:r>
            </m:e>
            <m:sub>
              <m:r>
                <m:t>t</m:t>
              </m:r>
              <m:r>
                <m:rPr>
                  <m:sty m:val="p"/>
                </m:rPr>
                <m:t>−</m:t>
              </m:r>
              <m:r>
                <m:t>1</m:t>
              </m:r>
            </m:sub>
          </m:sSub>
          <m:sSub>
            <m:e>
              <m:r>
                <m:t>g</m:t>
              </m:r>
            </m:e>
            <m:sub>
              <m:sSub>
                <m:e>
                  <m:r>
                    <m:t>e</m:t>
                  </m:r>
                </m:e>
                <m:sub>
                  <m:r>
                    <m:t>t</m:t>
                  </m:r>
                </m:sub>
              </m:sSub>
            </m:sub>
          </m:sSub>
          <m:r>
            <m:rPr>
              <m:sty m:val="p"/>
            </m:rPr>
            <m:t>.</m:t>
          </m:r>
        </m:oMath>
      </m:oMathPara>
    </w:p>
    <w:p>
      <w:pPr>
        <w:pStyle w:val="FirstParagraph"/>
      </w:pPr>
      <w:r>
        <w:t>It updates by right multiplication:</w:t>
      </w:r>
    </w:p>
    <w:p>
      <w:pPr>
        <w:pStyle w:val="BodyText"/>
        <w:keepLines/>
        <w:spacing w:before="100" w:after="140"/>
        <w:jc w:val="center"/>
      </w:pPr>
      <m:oMathPara>
        <m:oMathParaPr>
          <m:jc m:val="center"/>
        </m:oMathParaPr>
        <m:oMath>
          <m:sSub>
            <m:e>
              <m:r>
                <m:t>c</m:t>
              </m:r>
            </m:e>
            <m:sub>
              <m:r>
                <m:t>t</m:t>
              </m:r>
            </m:sub>
          </m:sSub>
          <m:r>
            <m:rPr>
              <m:sty m:val="p"/>
            </m:rPr>
            <m:t>=</m:t>
          </m:r>
          <m:sSub>
            <m:e>
              <m:r>
                <m:t>c</m:t>
              </m:r>
            </m:e>
            <m:sub>
              <m:r>
                <m:t>t</m:t>
              </m:r>
              <m:r>
                <m:rPr>
                  <m:sty m:val="p"/>
                </m:rPr>
                <m:t>−</m:t>
              </m:r>
              <m:r>
                <m:t>1</m:t>
              </m:r>
            </m:sub>
          </m:sSub>
          <m:r>
            <m:rPr>
              <m:sty m:val="p"/>
            </m:rPr>
            <m:t>⋅</m:t>
          </m:r>
          <m:sSub>
            <m:e>
              <m:r>
                <m:t>g</m:t>
              </m:r>
            </m:e>
            <m:sub>
              <m:sSub>
                <m:e>
                  <m:r>
                    <m:t>e</m:t>
                  </m:r>
                </m:e>
                <m:sub>
                  <m:r>
                    <m:t>t</m:t>
                  </m:r>
                </m:sub>
              </m:sSub>
            </m:sub>
          </m:sSub>
          <m:r>
            <m:rPr>
              <m:sty m:val="p"/>
            </m:rPr>
            <m:t>=</m:t>
          </m:r>
          <m:r>
            <m:t>J</m:t>
          </m:r>
          <m:sSub>
            <m:e>
              <m:r>
                <m:t>γ</m:t>
              </m:r>
            </m:e>
            <m:sub>
              <m:r>
                <m:t>t</m:t>
              </m:r>
              <m:r>
                <m:rPr>
                  <m:sty m:val="p"/>
                </m:rPr>
                <m:t>−</m:t>
              </m:r>
              <m:r>
                <m:t>1</m:t>
              </m:r>
            </m:sub>
          </m:sSub>
          <m:sSub>
            <m:e>
              <m:r>
                <m:t>g</m:t>
              </m:r>
            </m:e>
            <m:sub>
              <m:sSub>
                <m:e>
                  <m:r>
                    <m:t>e</m:t>
                  </m:r>
                </m:e>
                <m:sub>
                  <m:r>
                    <m:t>t</m:t>
                  </m:r>
                </m:sub>
              </m:sSub>
            </m:sub>
          </m:sSub>
          <m:r>
            <m:rPr>
              <m:sty m:val="p"/>
            </m:rPr>
            <m:t>.</m:t>
          </m:r>
        </m:oMath>
      </m:oMathPara>
    </w:p>
    <w:p>
      <w:pPr>
        <w:pStyle w:val="FirstParagraph"/>
        <w:keepLines/>
        <w:spacing w:before="100" w:after="140"/>
        <w:jc w:val="center"/>
      </w:pPr>
      <w:r>
        <w:t>This action is well-defined for any subgroup</w:t>
      </w:r>
      <w:r>
        <w:t xml:space="preserve"> </w:t>
      </w:r>
      <m:oMath>
        <m:r>
          <m:t>J</m:t>
        </m:r>
      </m:oMath>
      <w:r>
        <w:t>; normality is not required. The register contains</w:t>
      </w:r>
    </w:p>
    <w:p>
      <w:pPr>
        <w:pStyle w:val="BodyText"/>
        <w:keepLines/>
        <w:spacing w:before="100" w:after="140"/>
        <w:jc w:val="center"/>
      </w:pPr>
      <m:oMathPara>
        <m:oMathParaPr>
          <m:jc m:val="center"/>
        </m:oMathParaPr>
        <m:oMath>
          <m:sSub>
            <m:e>
              <m:r>
                <m:t>m</m:t>
              </m:r>
            </m:e>
            <m:sub>
              <m:r>
                <m:t>J</m:t>
              </m:r>
            </m:sub>
          </m:sSub>
          <m:r>
            <m:rPr>
              <m:sty m:val="p"/>
            </m:rPr>
            <m:t>=</m:t>
          </m:r>
          <m:d>
            <m:dPr>
              <m:begChr m:val="["/>
              <m:endChr m:val="]"/>
              <m:sepChr m:val=""/>
              <m:grow/>
            </m:dPr>
            <m:e>
              <m:r>
                <m:t>Γ</m:t>
              </m:r>
              <m:r>
                <m:rPr>
                  <m:sty m:val="p"/>
                </m:rPr>
                <m:t>:</m:t>
              </m:r>
              <m:r>
                <m:t>J</m:t>
              </m:r>
            </m:e>
          </m:d>
          <m:r>
            <m:rPr>
              <m:sty m:val="p"/>
            </m:rPr>
            <m:t>=</m:t>
          </m:r>
          <m:d>
            <m:dPr>
              <m:begChr m:val="|"/>
              <m:endChr m:val="|"/>
              <m:sepChr m:val=""/>
              <m:grow/>
            </m:dPr>
            <m:e>
              <m:r>
                <m:t>J</m:t>
              </m:r>
              <m:r>
                <m:rPr>
                  <m:sty m:val="p"/>
                </m:rPr>
                <m:t>∖</m:t>
              </m:r>
              <m:r>
                <m:t>Γ</m:t>
              </m:r>
            </m:e>
          </m:d>
        </m:oMath>
      </m:oMathPara>
    </w:p>
    <w:p>
      <w:pPr>
        <w:pStyle w:val="FirstParagraph"/>
        <w:keepLines/>
        <w:spacing w:before="100" w:after="140"/>
        <w:jc w:val="center"/>
      </w:pPr>
      <w:r>
        <w:t>states. At the extremes,</w:t>
      </w:r>
      <w:r>
        <w:t xml:space="preserve"> </w:t>
      </w:r>
      <m:oMath>
        <m:r>
          <m:t>J</m:t>
        </m:r>
        <m:r>
          <m:rPr>
            <m:sty m:val="p"/>
          </m:rPr>
          <m:t>=</m:t>
        </m:r>
        <m:r>
          <m:rPr>
            <m:sty m:val="p"/>
          </m:rPr>
          <m:t>{</m:t>
        </m:r>
        <m:r>
          <m:t>1</m:t>
        </m:r>
        <m:r>
          <m:rPr>
            <m:sty m:val="p"/>
          </m:rPr>
          <m:t>}</m:t>
        </m:r>
      </m:oMath>
      <w:r>
        <w:t xml:space="preserve"> </w:t>
      </w:r>
      <w:r>
        <w:t>preserves every quotient distinction and</w:t>
      </w:r>
      <w:r>
        <w:t xml:space="preserve"> </w:t>
      </w:r>
      <m:oMath>
        <m:r>
          <m:t>J</m:t>
        </m:r>
        <m:r>
          <m:rPr>
            <m:sty m:val="p"/>
          </m:rPr>
          <m:t>=</m:t>
        </m:r>
        <m:r>
          <m:t>Γ</m:t>
        </m:r>
      </m:oMath>
      <w:r>
        <w:t xml:space="preserve"> </w:t>
      </w:r>
      <w:r>
        <w:t>preserves none.</w:t>
      </w:r>
    </w:p>
    <w:p>
      <w:pPr>
        <w:pStyle w:val="BodyText"/>
        <w:keepLines/>
        <w:spacing w:before="100" w:after="140"/>
        <w:jc w:val="center"/>
      </w:pPr>
      <w:r>
        <w:t>If</w:t>
      </w:r>
      <w:r>
        <w:t xml:space="preserve"> </w:t>
      </w:r>
      <m:oMath>
        <m:r>
          <m:t>J</m:t>
        </m:r>
        <m:r>
          <m:rPr>
            <m:sty m:val="p"/>
          </m:rPr>
          <m:t>⊆</m:t>
        </m:r>
        <m:r>
          <m:t>K</m:t>
        </m:r>
      </m:oMath>
      <w:r>
        <w:t>, the canonical coarsening map is</w:t>
      </w:r>
    </w:p>
    <w:p>
      <w:pPr>
        <w:pStyle w:val="BodyText"/>
        <w:keepLines/>
        <w:spacing w:before="100" w:after="140"/>
        <w:jc w:val="center"/>
      </w:pPr>
      <m:oMathPara>
        <m:oMathParaPr>
          <m:jc m:val="center"/>
        </m:oMathParaPr>
        <m:oMath>
          <m:sSub>
            <m:e>
              <m:r>
                <m:t>π</m:t>
              </m:r>
            </m:e>
            <m:sub>
              <m:r>
                <m:t>J</m:t>
              </m:r>
              <m:r>
                <m:rPr>
                  <m:sty m:val="p"/>
                </m:rPr>
                <m:t>,</m:t>
              </m:r>
              <m:r>
                <m:t>K</m:t>
              </m:r>
            </m:sub>
          </m:sSub>
          <m:r>
            <m:rPr>
              <m:sty m:val="p"/>
            </m:rPr>
            <m:t>:</m:t>
          </m:r>
          <m:r>
            <m:t>J</m:t>
          </m:r>
          <m:r>
            <m:rPr>
              <m:sty m:val="p"/>
            </m:rPr>
            <m:t>∖</m:t>
          </m:r>
          <m:r>
            <m:t>Γ</m:t>
          </m:r>
          <m:r>
            <m:rPr>
              <m:sty m:val="p"/>
            </m:rPr>
            <m:t>→</m:t>
          </m:r>
          <m:r>
            <m:t>K</m:t>
          </m:r>
          <m:r>
            <m:rPr>
              <m:sty m:val="p"/>
            </m:rPr>
            <m:t>∖</m:t>
          </m:r>
          <m:r>
            <m:t>Γ</m:t>
          </m:r>
          <m:r>
            <m:rPr>
              <m:sty m:val="p"/>
            </m:rPr>
            <m:t>,</m:t>
          </m:r>
          <m:r>
            <m:t>  </m:t>
          </m:r>
          <m:r>
            <m:t>J</m:t>
          </m:r>
          <m:r>
            <m:t>γ</m:t>
          </m:r>
          <m:r>
            <m:rPr>
              <m:sty m:val="p"/>
            </m:rPr>
            <m:t>↦</m:t>
          </m:r>
          <m:r>
            <m:t>K</m:t>
          </m:r>
          <m:r>
            <m:t>γ</m:t>
          </m:r>
          <m:r>
            <m:rPr>
              <m:sty m:val="p"/>
            </m:rPr>
            <m:t>.</m:t>
          </m:r>
        </m:oMath>
      </m:oMathPara>
    </w:p>
    <w:p>
      <w:pPr>
        <w:pStyle w:val="FirstParagraph"/>
      </w:pPr>
      <w:r>
        <w:t>This is the formal sense in which a larger subgroup forgets more. Incomparable subgroups are alternative policies, not consecutive levels.</w:t>
      </w:r>
    </w:p>
    <w:bookmarkEnd w:id="27"/>
    <w:bookmarkStart w:id="28" w:name="transport-and-state"/>
    <w:p>
      <w:pPr>
        <w:pStyle w:val="Heading2"/>
      </w:pPr>
      <w:r>
        <w:t>3.3 Transport and state</w:t>
      </w:r>
    </w:p>
    <w:p>
      <w:pPr>
        <w:pStyle w:val="FirstParagraph"/>
        <w:keepLines/>
        <w:spacing w:before="100" w:after="140"/>
        <w:jc w:val="center"/>
      </w:pPr>
      <w:r>
        <w:t>Let</w:t>
      </w:r>
      <w:r>
        <w:t xml:space="preserve"> </w:t>
      </w:r>
      <m:oMath>
        <m:r>
          <m:t>τ</m:t>
        </m:r>
        <m:r>
          <m:rPr>
            <m:sty m:val="p"/>
          </m:rPr>
          <m:t>:</m:t>
        </m:r>
        <m:r>
          <m:t>Γ</m:t>
        </m:r>
        <m:r>
          <m:rPr>
            <m:sty m:val="p"/>
          </m:rPr>
          <m:t>→</m:t>
        </m:r>
        <m:r>
          <m:t>O</m:t>
        </m:r>
        <m:d>
          <m:dPr>
            <m:begChr m:val="("/>
            <m:endChr m:val=")"/>
            <m:sepChr m:val=""/>
            <m:grow/>
          </m:dPr>
          <m:e>
            <m:r>
              <m:t>d</m:t>
            </m:r>
          </m:e>
        </m:d>
      </m:oMath>
      <w:r>
        <w:t xml:space="preserve"> </w:t>
      </w:r>
      <w:r>
        <w:t>be an orthogonal representation. A minimal recurrent state is</w:t>
      </w:r>
    </w:p>
    <w:p>
      <w:pPr>
        <w:pStyle w:val="BodyText"/>
        <w:keepLines/>
        <w:spacing w:before="100" w:after="140"/>
        <w:jc w:val="center"/>
      </w:pPr>
      <m:oMathPara>
        <m:oMathParaPr>
          <m:jc m:val="center"/>
        </m:oMathParaPr>
        <m:oMath>
          <m:sSub>
            <m:e>
              <m:r>
                <m:t>s</m:t>
              </m:r>
            </m:e>
            <m:sub>
              <m:r>
                <m:t>t</m:t>
              </m:r>
            </m:sub>
          </m:sSub>
          <m:r>
            <m:rPr>
              <m:sty m:val="p"/>
            </m:rPr>
            <m:t>=</m:t>
          </m:r>
          <m:d>
            <m:dPr>
              <m:begChr m:val="("/>
              <m:endChr m:val=")"/>
              <m:sepChr m:val=""/>
              <m:grow/>
            </m:dPr>
            <m:e>
              <m:sSub>
                <m:e>
                  <m:r>
                    <m:t>c</m:t>
                  </m:r>
                </m:e>
                <m:sub>
                  <m:r>
                    <m:t>t</m:t>
                  </m:r>
                </m:sub>
              </m:sSub>
              <m:r>
                <m:rPr>
                  <m:sty m:val="p"/>
                </m:rPr>
                <m:t>,</m:t>
              </m:r>
              <m:sSub>
                <m:e>
                  <m:r>
                    <m:t>z</m:t>
                  </m:r>
                </m:e>
                <m:sub>
                  <m:r>
                    <m:t>t</m:t>
                  </m:r>
                </m:sub>
              </m:sSub>
            </m:e>
          </m:d>
          <m:r>
            <m:rPr>
              <m:sty m:val="p"/>
            </m:rPr>
            <m:t>,</m:t>
          </m:r>
          <m:r>
            <m:t>  </m:t>
          </m:r>
          <m:sSub>
            <m:e>
              <m:r>
                <m:t>c</m:t>
              </m:r>
            </m:e>
            <m:sub>
              <m:r>
                <m:t>t</m:t>
              </m:r>
            </m:sub>
          </m:sSub>
          <m:r>
            <m:rPr>
              <m:sty m:val="p"/>
            </m:rPr>
            <m:t>=</m:t>
          </m:r>
          <m:r>
            <m:t>J</m:t>
          </m:r>
          <m:sSub>
            <m:e>
              <m:r>
                <m:t>γ</m:t>
              </m:r>
            </m:e>
            <m:sub>
              <m:r>
                <m:t>t</m:t>
              </m:r>
            </m:sub>
          </m:sSub>
          <m:r>
            <m:rPr>
              <m:sty m:val="p"/>
            </m:rPr>
            <m:t>,</m:t>
          </m:r>
          <m:r>
            <m:t>  </m:t>
          </m:r>
          <m:sSub>
            <m:e>
              <m:r>
                <m:t>z</m:t>
              </m:r>
            </m:e>
            <m:sub>
              <m:r>
                <m:t>t</m:t>
              </m:r>
            </m:sub>
          </m:sSub>
          <m:r>
            <m:rPr>
              <m:sty m:val="p"/>
            </m:rPr>
            <m:t>=</m:t>
          </m:r>
          <m:r>
            <m:t>ϕ</m:t>
          </m:r>
          <m:r>
            <m:t>​</m:t>
          </m:r>
          <m:d>
            <m:dPr>
              <m:begChr m:val="("/>
              <m:endChr m:val=")"/>
              <m:sepChr m:val=""/>
              <m:grow/>
            </m:dPr>
            <m:e>
              <m:r>
                <m:t>τ</m:t>
              </m:r>
              <m:d>
                <m:dPr>
                  <m:begChr m:val="("/>
                  <m:endChr m:val=")"/>
                  <m:sepChr m:val=""/>
                  <m:grow/>
                </m:dPr>
                <m:e>
                  <m:sSub>
                    <m:e>
                      <m:r>
                        <m:t>g</m:t>
                      </m:r>
                    </m:e>
                    <m:sub>
                      <m:sSub>
                        <m:e>
                          <m:r>
                            <m:t>e</m:t>
                          </m:r>
                        </m:e>
                        <m:sub>
                          <m:r>
                            <m:t>t</m:t>
                          </m:r>
                        </m:sub>
                      </m:sSub>
                    </m:sub>
                  </m:sSub>
                </m:e>
              </m:d>
              <m:sSub>
                <m:e>
                  <m:r>
                    <m:t>z</m:t>
                  </m:r>
                </m:e>
                <m:sub>
                  <m:r>
                    <m:t>t</m:t>
                  </m:r>
                  <m:r>
                    <m:rPr>
                      <m:sty m:val="p"/>
                    </m:rPr>
                    <m:t>−</m:t>
                  </m:r>
                  <m:r>
                    <m:t>1</m:t>
                  </m:r>
                </m:sub>
              </m:sSub>
              <m:r>
                <m:rPr>
                  <m:sty m:val="p"/>
                </m:rPr>
                <m:t>,</m:t>
              </m:r>
              <m:sSub>
                <m:e>
                  <m:r>
                    <m:t>x</m:t>
                  </m:r>
                </m:e>
                <m:sub>
                  <m:r>
                    <m:t>t</m:t>
                  </m:r>
                </m:sub>
              </m:sSub>
            </m:e>
          </m:d>
          <m:r>
            <m:rPr>
              <m:sty m:val="p"/>
            </m:rPr>
            <m:t>,</m:t>
          </m:r>
        </m:oMath>
      </m:oMathPara>
    </w:p>
    <w:p>
      <w:pPr>
        <w:pStyle w:val="FirstParagraph"/>
        <w:keepLines/>
        <w:spacing w:before="100" w:after="140"/>
        <w:jc w:val="center"/>
      </w:pPr>
      <w:r>
        <w:t>where</w:t>
      </w:r>
      <w:r>
        <w:t xml:space="preserve"> </w:t>
      </w:r>
      <m:oMath>
        <m:r>
          <m:t>ϕ</m:t>
        </m:r>
      </m:oMath>
      <w:r>
        <w:t xml:space="preserve"> </w:t>
      </w:r>
      <w:r>
        <w:t>is a local update. Orthogonality controls the transport factor; it does not guarantee stability of the nonlinear update</w:t>
      </w:r>
      <w:r>
        <w:t xml:space="preserve"> </w:t>
      </w:r>
      <m:oMath>
        <m:r>
          <m:t>ϕ</m:t>
        </m:r>
      </m:oMath>
      <w:r>
        <w:t>.</w:t>
      </w:r>
    </w:p>
    <w:p>
      <w:pPr>
        <w:pStyle w:val="BodyText"/>
        <w:keepLines/>
        <w:spacing w:before="100" w:after="140"/>
        <w:jc w:val="center"/>
      </w:pPr>
      <w:r>
        <w:t>For an explicit sheet representation, let</w:t>
      </w:r>
      <w:r>
        <w:t xml:space="preserve"> </w:t>
      </w:r>
      <m:oMath>
        <m:sSub>
          <m:e>
            <m:r>
              <m:t>P</m:t>
            </m:r>
          </m:e>
          <m:sub>
            <m:r>
              <m:t>J</m:t>
            </m:r>
          </m:sub>
        </m:sSub>
        <m:d>
          <m:dPr>
            <m:begChr m:val="("/>
            <m:endChr m:val=")"/>
            <m:sepChr m:val=""/>
            <m:grow/>
          </m:dPr>
          <m:e>
            <m:r>
              <m:t>g</m:t>
            </m:r>
          </m:e>
        </m:d>
      </m:oMath>
      <w:r>
        <w:t xml:space="preserve"> </w:t>
      </w:r>
      <w:r>
        <w:t>be the permutation matrix of the right action of</w:t>
      </w:r>
      <w:r>
        <w:t xml:space="preserve"> </w:t>
      </w:r>
      <m:oMath>
        <m:r>
          <m:t>g</m:t>
        </m:r>
      </m:oMath>
      <w:r>
        <w:t xml:space="preserve"> </w:t>
      </w:r>
      <w:r>
        <w:t>on</w:t>
      </w:r>
      <w:r>
        <w:t xml:space="preserve"> </w:t>
      </w:r>
      <m:oMath>
        <m:r>
          <m:t>J</m:t>
        </m:r>
        <m:r>
          <m:rPr>
            <m:sty m:val="p"/>
          </m:rPr>
          <m:t>∖</m:t>
        </m:r>
        <m:r>
          <m:t>Γ</m:t>
        </m:r>
      </m:oMath>
      <w:r>
        <w:t>. A state</w:t>
      </w:r>
      <w:r>
        <w:t xml:space="preserve"> </w:t>
      </w:r>
      <m:oMath>
        <m:sSub>
          <m:e>
            <m:r>
              <m:t>Z</m:t>
            </m:r>
          </m:e>
          <m:sub>
            <m:r>
              <m:t>t</m:t>
            </m:r>
          </m:sub>
        </m:sSub>
        <m:r>
          <m:rPr>
            <m:sty m:val="p"/>
          </m:rPr>
          <m:t>∈</m:t>
        </m:r>
        <m:sSup>
          <m:e>
            <m:r>
              <m:rPr>
                <m:sty m:val="p"/>
                <m:scr m:val="double-struck"/>
              </m:rPr>
              <m:t>R</m:t>
            </m:r>
          </m:e>
          <m:sup>
            <m:sSub>
              <m:e>
                <m:r>
                  <m:t>m</m:t>
                </m:r>
              </m:e>
              <m:sub>
                <m:r>
                  <m:t>J</m:t>
                </m:r>
              </m:sub>
            </m:sSub>
            <m:r>
              <m:rPr>
                <m:sty m:val="p"/>
              </m:rPr>
              <m:t>×</m:t>
            </m:r>
            <m:r>
              <m:t>d</m:t>
            </m:r>
          </m:sup>
        </m:sSup>
      </m:oMath>
      <w:r>
        <w:t xml:space="preserve"> </w:t>
      </w:r>
      <w:r>
        <w:t>updates structurally as</w:t>
      </w:r>
    </w:p>
    <w:p>
      <w:pPr>
        <w:pStyle w:val="BodyText"/>
        <w:keepLines/>
        <w:spacing w:before="100" w:after="140"/>
        <w:jc w:val="center"/>
      </w:pPr>
      <m:oMathPara>
        <m:oMathParaPr>
          <m:jc m:val="center"/>
        </m:oMathParaPr>
        <m:oMath>
          <m:sSub>
            <m:e>
              <m:r>
                <m:t>Z</m:t>
              </m:r>
            </m:e>
            <m:sub>
              <m:r>
                <m:t>t</m:t>
              </m:r>
            </m:sub>
          </m:sSub>
          <m:r>
            <m:rPr>
              <m:sty m:val="p"/>
            </m:rPr>
            <m:t>=</m:t>
          </m:r>
          <m:r>
            <m:t>Φ</m:t>
          </m:r>
          <m:r>
            <m:t>​</m:t>
          </m:r>
          <m:d>
            <m:dPr>
              <m:begChr m:val="("/>
              <m:endChr m:val=")"/>
              <m:sepChr m:val=""/>
              <m:grow/>
            </m:dPr>
            <m:e>
              <m:sSub>
                <m:e>
                  <m:r>
                    <m:t>P</m:t>
                  </m:r>
                </m:e>
                <m:sub>
                  <m:r>
                    <m:t>J</m:t>
                  </m:r>
                </m:sub>
              </m:sSub>
              <m:d>
                <m:dPr>
                  <m:begChr m:val="("/>
                  <m:endChr m:val=")"/>
                  <m:sepChr m:val=""/>
                  <m:grow/>
                </m:dPr>
                <m:e>
                  <m:sSub>
                    <m:e>
                      <m:r>
                        <m:t>g</m:t>
                      </m:r>
                    </m:e>
                    <m:sub>
                      <m:sSub>
                        <m:e>
                          <m:r>
                            <m:t>e</m:t>
                          </m:r>
                        </m:e>
                        <m:sub>
                          <m:r>
                            <m:t>t</m:t>
                          </m:r>
                        </m:sub>
                      </m:sSub>
                    </m:sub>
                  </m:sSub>
                </m:e>
              </m:d>
              <m:sSub>
                <m:e>
                  <m:r>
                    <m:t>Z</m:t>
                  </m:r>
                </m:e>
                <m:sub>
                  <m:r>
                    <m:t>t</m:t>
                  </m:r>
                  <m:r>
                    <m:rPr>
                      <m:sty m:val="p"/>
                    </m:rPr>
                    <m:t>−</m:t>
                  </m:r>
                  <m:r>
                    <m:t>1</m:t>
                  </m:r>
                </m:sub>
              </m:sSub>
              <m:r>
                <m:t>τ</m:t>
              </m:r>
              <m:sSup>
                <m:e>
                  <m:d>
                    <m:dPr>
                      <m:begChr m:val="("/>
                      <m:endChr m:val=")"/>
                      <m:sepChr m:val=""/>
                      <m:grow/>
                    </m:dPr>
                    <m:e>
                      <m:sSub>
                        <m:e>
                          <m:r>
                            <m:t>g</m:t>
                          </m:r>
                        </m:e>
                        <m:sub>
                          <m:sSub>
                            <m:e>
                              <m:r>
                                <m:t>e</m:t>
                              </m:r>
                            </m:e>
                            <m:sub>
                              <m:r>
                                <m:t>t</m:t>
                              </m:r>
                            </m:sub>
                          </m:sSub>
                        </m:sub>
                      </m:sSub>
                    </m:e>
                  </m:d>
                </m:e>
                <m:sup>
                  <m:r>
                    <m:rPr>
                      <m:sty m:val="p"/>
                      <m:scr m:val="sans-serif"/>
                    </m:rPr>
                    <m:t>T</m:t>
                  </m:r>
                </m:sup>
              </m:sSup>
              <m:r>
                <m:rPr>
                  <m:sty m:val="p"/>
                </m:rPr>
                <m:t>,</m:t>
              </m:r>
              <m:sSub>
                <m:e>
                  <m:r>
                    <m:t>x</m:t>
                  </m:r>
                </m:e>
                <m:sub>
                  <m:r>
                    <m:t>t</m:t>
                  </m:r>
                </m:sub>
              </m:sSub>
            </m:e>
          </m:d>
          <m:r>
            <m:rPr>
              <m:sty m:val="p"/>
            </m:rPr>
            <m:t>.</m:t>
          </m:r>
        </m:oMath>
      </m:oMathPara>
    </w:p>
    <w:p>
      <w:pPr>
        <w:pStyle w:val="FirstParagraph"/>
      </w:pPr>
      <w:r>
        <w:t>The permutation changes the sheet index and the orthogonal factor transports the feature coordinates.</w:t>
      </w:r>
    </w:p>
    <w:bookmarkEnd w:id="28"/>
    <w:bookmarkEnd w:id="29"/>
    <w:bookmarkStart w:id="36" w:name="Xfa5c4dbbd16edefa0134b9182c2fdcb99a07ac4"/>
    <w:p>
      <w:pPr>
        <w:pStyle w:val="Heading1"/>
      </w:pPr>
      <w:r>
        <w:t>4. Virtual covers and the recurrent architecture</w:t>
      </w:r>
    </w:p>
    <w:p>
      <w:pPr>
        <w:pStyle w:val="CaptionedFigure"/>
        <w:keepNext/>
        <w:spacing w:before="140" w:after="40"/>
        <w:jc w:val="center"/>
      </w:pPr>
      <w:r>
        <w:drawing>
          <wp:inline>
            <wp:extent cx="4907280" cy="2299669"/>
            <wp:effectExtent b="0" l="0" r="0" t="0"/>
            <wp:docPr descr="Architecture of the proposed memory subsystem. The subgroup can change without relearning the finite transport." title="" id="31" name="Picture"/>
            <a:graphic>
              <a:graphicData uri="http://schemas.openxmlformats.org/drawingml/2006/picture">
                <pic:pic>
                  <pic:nvPicPr>
                    <pic:cNvPr descr="../experiments/out/architecture.png" id="32" name="Picture"/>
                    <pic:cNvPicPr>
                      <a:picLocks noChangeArrowheads="1" noChangeAspect="1"/>
                    </pic:cNvPicPr>
                  </pic:nvPicPr>
                  <pic:blipFill>
                    <a:blip r:embed="rId30"/>
                    <a:stretch>
                      <a:fillRect/>
                    </a:stretch>
                  </pic:blipFill>
                  <pic:spPr bwMode="auto">
                    <a:xfrm>
                      <a:off x="0" y="0"/>
                      <a:ext cx="4907280" cy="2299669"/>
                    </a:xfrm>
                    <a:prstGeom prst="rect">
                      <a:avLst/>
                    </a:prstGeom>
                    <a:noFill/>
                    <a:ln w="9525">
                      <a:noFill/>
                      <a:headEnd/>
                      <a:tailEnd/>
                    </a:ln>
                  </pic:spPr>
                </pic:pic>
              </a:graphicData>
            </a:graphic>
          </wp:inline>
        </w:drawing>
      </w:r>
    </w:p>
    <w:p>
      <w:pPr>
        <w:pStyle w:val="ImageCaption"/>
      </w:pPr>
      <w:r>
        <w:t>Figure 1. Architecture of the proposed memory subsystem. The subgroup can change without relearning the finite transport.</w:t>
      </w:r>
    </w:p>
    <w:bookmarkStart w:id="33" w:name="cover-compilation"/>
    <w:p>
      <w:pPr>
        <w:pStyle w:val="Heading2"/>
      </w:pPr>
      <w:r>
        <w:t>4.1 Cover compilation</w:t>
      </w:r>
    </w:p>
    <w:p>
      <w:pPr>
        <w:pStyle w:val="FirstParagraph"/>
        <w:keepLines/>
        <w:spacing w:before="100" w:after="140"/>
        <w:jc w:val="center"/>
      </w:pPr>
      <w:r>
        <w:t>The subgroup</w:t>
      </w:r>
      <w:r>
        <w:t xml:space="preserve"> </w:t>
      </w:r>
      <m:oMath>
        <m:r>
          <m:t>J</m:t>
        </m:r>
      </m:oMath>
      <w:r>
        <w:t xml:space="preserve"> </w:t>
      </w:r>
      <w:r>
        <w:t>defines a covering associated with the transitive</w:t>
      </w:r>
      <w:r>
        <w:t xml:space="preserve"> </w:t>
      </w:r>
      <m:oMath>
        <m:r>
          <m:t>Γ</m:t>
        </m:r>
      </m:oMath>
      <w:r>
        <w:t>-set</w:t>
      </w:r>
      <w:r>
        <w:t xml:space="preserve"> </w:t>
      </w:r>
      <m:oMath>
        <m:r>
          <m:t>J</m:t>
        </m:r>
        <m:r>
          <m:rPr>
            <m:sty m:val="p"/>
          </m:rPr>
          <m:t>∖</m:t>
        </m:r>
        <m:r>
          <m:t>Γ</m:t>
        </m:r>
      </m:oMath>
      <w:r>
        <w:t>. Building a separate copy of the semantic graph for every sheet is unnecessary.</w:t>
      </w:r>
    </w:p>
    <w:p>
      <w:pPr>
        <w:pStyle w:val="BodyText"/>
        <w:keepLines/>
        <w:spacing w:before="100" w:after="140"/>
        <w:jc w:val="center"/>
      </w:pPr>
      <w:r>
        <w:t>Let</w:t>
      </w:r>
      <w:r>
        <w:t xml:space="preserve"> </w:t>
      </w:r>
      <m:oMath>
        <m:r>
          <m:rPr>
            <m:sty m:val="p"/>
            <m:scr m:val="script"/>
          </m:rPr>
          <m:t>S</m:t>
        </m:r>
      </m:oMath>
      <w:r>
        <w:t xml:space="preserve"> </w:t>
      </w:r>
      <w:r>
        <w:t>be a cellular sheaf on</w:t>
      </w:r>
      <w:r>
        <w:t xml:space="preserve"> </w:t>
      </w:r>
      <m:oMath>
        <m:r>
          <m:t>X</m:t>
        </m:r>
      </m:oMath>
      <w:r>
        <w:t xml:space="preserve"> </w:t>
      </w:r>
      <w:r>
        <w:t>with vertex and edge stalks</w:t>
      </w:r>
      <w:r>
        <w:t xml:space="preserve"> </w:t>
      </w:r>
      <m:oMath>
        <m:r>
          <m:rPr>
            <m:sty m:val="p"/>
            <m:scr m:val="script"/>
          </m:rPr>
          <m:t>S</m:t>
        </m:r>
        <m:d>
          <m:dPr>
            <m:begChr m:val="("/>
            <m:endChr m:val=")"/>
            <m:sepChr m:val=""/>
            <m:grow/>
          </m:dPr>
          <m:e>
            <m:r>
              <m:t>v</m:t>
            </m:r>
          </m:e>
        </m:d>
      </m:oMath>
      <w:r>
        <w:t xml:space="preserve"> </w:t>
      </w:r>
      <w:r>
        <w:t>and</w:t>
      </w:r>
      <w:r>
        <w:t xml:space="preserve"> </w:t>
      </w:r>
      <m:oMath>
        <m:r>
          <m:rPr>
            <m:sty m:val="p"/>
            <m:scr m:val="script"/>
          </m:rPr>
          <m:t>S</m:t>
        </m:r>
        <m:d>
          <m:dPr>
            <m:begChr m:val="("/>
            <m:endChr m:val=")"/>
            <m:sepChr m:val=""/>
            <m:grow/>
          </m:dPr>
          <m:e>
            <m:r>
              <m:t>e</m:t>
            </m:r>
          </m:e>
        </m:d>
      </m:oMath>
      <w:r>
        <w:t xml:space="preserve"> </w:t>
      </w:r>
      <w:r>
        <w:t>and restriction maps</w:t>
      </w:r>
      <w:r>
        <w:t xml:space="preserve"> </w:t>
      </w:r>
      <m:oMath>
        <m:sSub>
          <m:e>
            <m:r>
              <m:t>ρ</m:t>
            </m:r>
          </m:e>
          <m:sub>
            <m:r>
              <m:t>v</m:t>
            </m:r>
            <m:r>
              <m:rPr>
                <m:sty m:val="p"/>
              </m:rPr>
              <m:t>→</m:t>
            </m:r>
            <m:r>
              <m:t>e</m:t>
            </m:r>
          </m:sub>
        </m:sSub>
      </m:oMath>
      <w:r>
        <w:t>. The cochains of the lifted sheaf on the</w:t>
      </w:r>
      <w:r>
        <w:t xml:space="preserve"> </w:t>
      </w:r>
      <m:oMath>
        <m:sSub>
          <m:e>
            <m:r>
              <m:t>m</m:t>
            </m:r>
          </m:e>
          <m:sub>
            <m:r>
              <m:t>J</m:t>
            </m:r>
          </m:sub>
        </m:sSub>
      </m:oMath>
      <w:r>
        <w:t>-sheeted cover are canonically identified with base cochains whose stalks are tensored with the permutation module:</w:t>
      </w:r>
    </w:p>
    <w:p>
      <w:pPr>
        <w:pStyle w:val="BodyText"/>
        <w:keepLines/>
        <w:spacing w:before="100" w:after="140"/>
        <w:jc w:val="center"/>
      </w:pPr>
      <m:oMathPara>
        <m:oMathParaPr>
          <m:jc m:val="center"/>
        </m:oMathParaPr>
        <m:oMath>
          <m:sSup>
            <m:e>
              <m:r>
                <m:t>C</m:t>
              </m:r>
            </m:e>
            <m:sup>
              <m:r>
                <m:t>k</m:t>
              </m:r>
            </m:sup>
          </m:sSup>
          <m:d>
            <m:dPr>
              <m:begChr m:val="("/>
              <m:endChr m:val=")"/>
              <m:sepChr m:val=""/>
              <m:grow/>
            </m:dPr>
            <m:e>
              <m:sSub>
                <m:e>
                  <m:r>
                    <m:t>X</m:t>
                  </m:r>
                </m:e>
                <m:sub>
                  <m:r>
                    <m:t>J</m:t>
                  </m:r>
                </m:sub>
              </m:sSub>
              <m:r>
                <m:rPr>
                  <m:sty m:val="p"/>
                </m:rPr>
                <m:t>;</m:t>
              </m:r>
              <m:sSup>
                <m:e>
                  <m:r>
                    <m:t>r</m:t>
                  </m:r>
                </m:e>
                <m:sup>
                  <m:r>
                    <m:rPr>
                      <m:sty m:val="p"/>
                    </m:rPr>
                    <m:t>*</m:t>
                  </m:r>
                </m:sup>
              </m:sSup>
              <m:r>
                <m:rPr>
                  <m:sty m:val="p"/>
                  <m:scr m:val="script"/>
                </m:rPr>
                <m:t>S</m:t>
              </m:r>
            </m:e>
          </m:d>
          <m:r>
            <m:rPr>
              <m:sty m:val="p"/>
            </m:rPr>
            <m:t>≅</m:t>
          </m:r>
          <m:sSup>
            <m:e>
              <m:r>
                <m:t>C</m:t>
              </m:r>
            </m:e>
            <m:sup>
              <m:r>
                <m:t>k</m:t>
              </m:r>
            </m:sup>
          </m:sSup>
          <m:r>
            <m:t>​</m:t>
          </m:r>
          <m:d>
            <m:dPr>
              <m:begChr m:val="("/>
              <m:endChr m:val=")"/>
              <m:sepChr m:val=""/>
              <m:grow/>
            </m:dPr>
            <m:e>
              <m:r>
                <m:t>X</m:t>
              </m:r>
              <m:r>
                <m:rPr>
                  <m:sty m:val="p"/>
                </m:rPr>
                <m:t>;</m:t>
              </m:r>
              <m:r>
                <m:rPr>
                  <m:sty m:val="p"/>
                  <m:scr m:val="script"/>
                </m:rPr>
                <m:t>S</m:t>
              </m:r>
              <m:r>
                <m:rPr>
                  <m:sty m:val="p"/>
                </m:rPr>
                <m:t>⊗</m:t>
              </m:r>
              <m:r>
                <m:rPr>
                  <m:sty m:val="p"/>
                  <m:scr m:val="double-struck"/>
                </m:rPr>
                <m:t>R</m:t>
              </m:r>
              <m:d>
                <m:dPr>
                  <m:begChr m:val="["/>
                  <m:endChr m:val="]"/>
                  <m:sepChr m:val=""/>
                  <m:grow/>
                </m:dPr>
                <m:e>
                  <m:r>
                    <m:t>J</m:t>
                  </m:r>
                  <m:r>
                    <m:rPr>
                      <m:sty m:val="p"/>
                    </m:rPr>
                    <m:t>∖</m:t>
                  </m:r>
                  <m:r>
                    <m:t>Γ</m:t>
                  </m:r>
                </m:e>
              </m:d>
            </m:e>
          </m:d>
          <m:r>
            <m:rPr>
              <m:sty m:val="p"/>
            </m:rPr>
            <m:t>.</m:t>
          </m:r>
        </m:oMath>
      </m:oMathPara>
    </w:p>
    <w:p>
      <w:pPr>
        <w:pStyle w:val="FirstParagraph"/>
      </w:pPr>
      <w:r>
        <w:t>Under this identification, an edge transport has the form</w:t>
      </w:r>
    </w:p>
    <w:p>
      <w:pPr>
        <w:pStyle w:val="BodyText"/>
        <w:keepLines/>
        <w:spacing w:before="100" w:after="140"/>
        <w:jc w:val="center"/>
      </w:pPr>
      <m:oMathPara>
        <m:oMathParaPr>
          <m:jc m:val="center"/>
        </m:oMathParaPr>
        <m:oMath>
          <m:sSub>
            <m:e>
              <m:acc>
                <m:accPr>
                  <m:chr m:val="̃"/>
                </m:accPr>
                <m:e>
                  <m:r>
                    <m:t>ρ</m:t>
                  </m:r>
                </m:e>
              </m:acc>
            </m:e>
            <m:sub>
              <m:r>
                <m:t>e</m:t>
              </m:r>
            </m:sub>
          </m:sSub>
          <m:r>
            <m:rPr>
              <m:sty m:val="p"/>
            </m:rPr>
            <m:t>=</m:t>
          </m:r>
          <m:sSub>
            <m:e>
              <m:r>
                <m:t>ρ</m:t>
              </m:r>
            </m:e>
            <m:sub>
              <m:r>
                <m:t>e</m:t>
              </m:r>
            </m:sub>
          </m:sSub>
          <m:r>
            <m:rPr>
              <m:sty m:val="p"/>
            </m:rPr>
            <m:t>⊗</m:t>
          </m:r>
          <m:sSub>
            <m:e>
              <m:r>
                <m:t>P</m:t>
              </m:r>
            </m:e>
            <m:sub>
              <m:r>
                <m:t>J</m:t>
              </m:r>
            </m:sub>
          </m:sSub>
          <m:d>
            <m:dPr>
              <m:begChr m:val="("/>
              <m:endChr m:val=")"/>
              <m:sepChr m:val=""/>
              <m:grow/>
            </m:dPr>
            <m:e>
              <m:sSub>
                <m:e>
                  <m:r>
                    <m:t>g</m:t>
                  </m:r>
                </m:e>
                <m:sub>
                  <m:r>
                    <m:t>e</m:t>
                  </m:r>
                </m:sub>
              </m:sSub>
            </m:e>
          </m:d>
          <m:r>
            <m:rPr>
              <m:sty m:val="p"/>
            </m:rPr>
            <m:t>.</m:t>
          </m:r>
        </m:oMath>
      </m:oMathPara>
    </w:p>
    <w:p>
      <w:pPr>
        <w:pStyle w:val="FirstParagraph"/>
        <w:keepLines/>
        <w:spacing w:before="100" w:after="140"/>
        <w:jc w:val="center"/>
      </w:pPr>
      <w:r>
        <w:t>Because</w:t>
      </w:r>
      <w:r>
        <w:t xml:space="preserve"> </w:t>
      </w:r>
      <m:oMath>
        <m:sSub>
          <m:e>
            <m:r>
              <m:t>P</m:t>
            </m:r>
          </m:e>
          <m:sub>
            <m:r>
              <m:t>J</m:t>
            </m:r>
          </m:sub>
        </m:sSub>
        <m:d>
          <m:dPr>
            <m:begChr m:val="("/>
            <m:endChr m:val=")"/>
            <m:sepChr m:val=""/>
            <m:grow/>
          </m:dPr>
          <m:e>
            <m:sSub>
              <m:e>
                <m:r>
                  <m:t>g</m:t>
                </m:r>
              </m:e>
              <m:sub>
                <m:r>
                  <m:t>e</m:t>
                </m:r>
              </m:sub>
            </m:sSub>
          </m:e>
        </m:d>
      </m:oMath>
      <w:r>
        <w:t xml:space="preserve"> </w:t>
      </w:r>
      <w:r>
        <w:t>has exactly one nonzero entry per row, applying</w:t>
      </w:r>
      <w:r>
        <w:t xml:space="preserve"> </w:t>
      </w:r>
      <m:oMath>
        <m:sSub>
          <m:e>
            <m:acc>
              <m:accPr>
                <m:chr m:val="̃"/>
              </m:accPr>
              <m:e>
                <m:r>
                  <m:t>ρ</m:t>
                </m:r>
              </m:e>
            </m:acc>
          </m:e>
          <m:sub>
            <m:r>
              <m:t>e</m:t>
            </m:r>
          </m:sub>
        </m:sSub>
      </m:oMath>
      <w:r>
        <w:t xml:space="preserve"> </w:t>
      </w:r>
      <w:r>
        <w:t>requires a gather/scatter over sheets plus</w:t>
      </w:r>
      <w:r>
        <w:t xml:space="preserve"> </w:t>
      </w:r>
      <m:oMath>
        <m:sSub>
          <m:e>
            <m:r>
              <m:t>m</m:t>
            </m:r>
          </m:e>
          <m:sub>
            <m:r>
              <m:t>J</m:t>
            </m:r>
          </m:sub>
        </m:sSub>
      </m:oMath>
      <w:r>
        <w:t xml:space="preserve"> </w:t>
      </w:r>
      <w:r>
        <w:t>applications of</w:t>
      </w:r>
      <w:r>
        <w:t xml:space="preserve"> </w:t>
      </w:r>
      <m:oMath>
        <m:sSub>
          <m:e>
            <m:r>
              <m:t>ρ</m:t>
            </m:r>
          </m:e>
          <m:sub>
            <m:r>
              <m:t>e</m:t>
            </m:r>
          </m:sub>
        </m:sSub>
      </m:oMath>
      <w:r>
        <w:t>. For fixed stalk dimension, work and memory are</w:t>
      </w:r>
      <w:r>
        <w:t xml:space="preserve"> </w:t>
      </w:r>
      <m:oMath>
        <m:r>
          <m:t>O</m:t>
        </m:r>
        <m:d>
          <m:dPr>
            <m:begChr m:val="("/>
            <m:endChr m:val=")"/>
            <m:sepChr m:val=""/>
            <m:grow/>
          </m:dPr>
          <m:e>
            <m:sSub>
              <m:e>
                <m:r>
                  <m:t>m</m:t>
                </m:r>
              </m:e>
              <m:sub>
                <m:r>
                  <m:t>J</m:t>
                </m:r>
              </m:sub>
            </m:sSub>
          </m:e>
        </m:d>
      </m:oMath>
      <w:r>
        <w:t>, not</w:t>
      </w:r>
      <w:r>
        <w:t xml:space="preserve"> </w:t>
      </w:r>
      <m:oMath>
        <m:r>
          <m:t>O</m:t>
        </m:r>
        <m:d>
          <m:dPr>
            <m:begChr m:val="("/>
            <m:endChr m:val=")"/>
            <m:sepChr m:val=""/>
            <m:grow/>
          </m:dPr>
          <m:e>
            <m:sSubSup>
              <m:e>
                <m:r>
                  <m:t>m</m:t>
                </m:r>
              </m:e>
              <m:sub>
                <m:r>
                  <m:t>J</m:t>
                </m:r>
              </m:sub>
              <m:sup>
                <m:r>
                  <m:t>2</m:t>
                </m:r>
              </m:sup>
            </m:sSubSup>
          </m:e>
        </m:d>
      </m:oMath>
      <w:r>
        <w:t>. A dense matrix on the flattened sheet-feature space would destroy this advantage.</w:t>
      </w:r>
    </w:p>
    <w:bookmarkEnd w:id="33"/>
    <w:bookmarkStart w:id="34" w:name="X6c25bdd7282841d5c417ea5b0e95faa875b174a"/>
    <w:p>
      <w:pPr>
        <w:pStyle w:val="Heading2"/>
      </w:pPr>
      <w:r>
        <w:t>4.2 Sheaf reconciliation and a shared forward/adjoint solve</w:t>
      </w:r>
    </w:p>
    <w:p>
      <w:pPr>
        <w:pStyle w:val="FirstParagraph"/>
        <w:keepLines/>
        <w:spacing w:before="100" w:after="140"/>
        <w:jc w:val="center"/>
      </w:pPr>
      <w:r>
        <w:t>Let</w:t>
      </w:r>
      <w:r>
        <w:t xml:space="preserve"> </w:t>
      </w:r>
      <m:oMath>
        <m:sSub>
          <m:e>
            <m:r>
              <m:t>d</m:t>
            </m:r>
          </m:e>
          <m:sub>
            <m:r>
              <m:t>J</m:t>
            </m:r>
          </m:sub>
        </m:sSub>
        <m:r>
          <m:rPr>
            <m:sty m:val="p"/>
          </m:rPr>
          <m:t>:</m:t>
        </m:r>
        <m:sSubSup>
          <m:e>
            <m:r>
              <m:t>C</m:t>
            </m:r>
          </m:e>
          <m:sub>
            <m:r>
              <m:t>J</m:t>
            </m:r>
          </m:sub>
          <m:sup>
            <m:r>
              <m:t>0</m:t>
            </m:r>
          </m:sup>
        </m:sSubSup>
        <m:r>
          <m:rPr>
            <m:sty m:val="p"/>
          </m:rPr>
          <m:t>→</m:t>
        </m:r>
        <m:sSubSup>
          <m:e>
            <m:r>
              <m:t>C</m:t>
            </m:r>
          </m:e>
          <m:sub>
            <m:r>
              <m:t>J</m:t>
            </m:r>
          </m:sub>
          <m:sup>
            <m:r>
              <m:t>1</m:t>
            </m:r>
          </m:sup>
        </m:sSubSup>
      </m:oMath>
      <w:r>
        <w:t xml:space="preserve"> </w:t>
      </w:r>
      <w:r>
        <w:t>be the lifted coboundary and</w:t>
      </w:r>
    </w:p>
    <w:p>
      <w:pPr>
        <w:pStyle w:val="BodyText"/>
        <w:keepLines/>
        <w:spacing w:before="100" w:after="140"/>
        <w:jc w:val="center"/>
      </w:pPr>
      <m:oMathPara>
        <m:oMathParaPr>
          <m:jc m:val="center"/>
        </m:oMathParaPr>
        <m:oMath>
          <m:sSub>
            <m:e>
              <m:r>
                <m:t>L</m:t>
              </m:r>
            </m:e>
            <m:sub>
              <m:r>
                <m:t>J</m:t>
              </m:r>
            </m:sub>
          </m:sSub>
          <m:r>
            <m:rPr>
              <m:sty m:val="p"/>
            </m:rPr>
            <m:t>=</m:t>
          </m:r>
          <m:sSubSup>
            <m:e>
              <m:r>
                <m:t>d</m:t>
              </m:r>
            </m:e>
            <m:sub>
              <m:r>
                <m:t>J</m:t>
              </m:r>
            </m:sub>
            <m:sup>
              <m:r>
                <m:rPr>
                  <m:sty m:val="p"/>
                </m:rPr>
                <m:t>*</m:t>
              </m:r>
            </m:sup>
          </m:sSubSup>
          <m:sSub>
            <m:e>
              <m:r>
                <m:t>d</m:t>
              </m:r>
            </m:e>
            <m:sub>
              <m:r>
                <m:t>J</m:t>
              </m:r>
            </m:sub>
          </m:sSub>
        </m:oMath>
      </m:oMathPara>
    </w:p>
    <w:p>
      <w:pPr>
        <w:pStyle w:val="FirstParagraph"/>
        <w:keepLines/>
        <w:spacing w:before="100" w:after="140"/>
        <w:jc w:val="center"/>
      </w:pPr>
      <w:r>
        <w:t>the degree-zero sheaf Laplacian. Given a local evidence vector</w:t>
      </w:r>
      <w:r>
        <w:t xml:space="preserve"> </w:t>
      </w:r>
      <m:oMath>
        <m:r>
          <m:t>b</m:t>
        </m:r>
      </m:oMath>
      <w:r>
        <w:t>, define the reconciled state as the solution of</w:t>
      </w:r>
    </w:p>
    <w:p>
      <w:pPr>
        <w:pStyle w:val="BodyText"/>
        <w:keepLines/>
        <w:spacing w:before="100" w:after="140"/>
        <w:jc w:val="center"/>
      </w:pPr>
      <m:oMathPara>
        <m:oMathParaPr>
          <m:jc m:val="center"/>
        </m:oMathParaPr>
        <m:oMath>
          <m:d>
            <m:dPr>
              <m:begChr m:val="("/>
              <m:endChr m:val=")"/>
              <m:sepChr m:val=""/>
              <m:grow/>
            </m:dPr>
            <m:e>
              <m:sSub>
                <m:e>
                  <m:r>
                    <m:t>L</m:t>
                  </m:r>
                </m:e>
                <m:sub>
                  <m:r>
                    <m:t>J</m:t>
                  </m:r>
                </m:sub>
              </m:sSub>
              <m:r>
                <m:rPr>
                  <m:sty m:val="p"/>
                </m:rPr>
                <m:t>+</m:t>
              </m:r>
              <m:r>
                <m:t>μ</m:t>
              </m:r>
              <m:r>
                <m:t>I</m:t>
              </m:r>
            </m:e>
          </m:d>
          <m:r>
            <m:t>h</m:t>
          </m:r>
          <m:r>
            <m:rPr>
              <m:sty m:val="p"/>
            </m:rPr>
            <m:t>=</m:t>
          </m:r>
          <m:r>
            <m:t>b</m:t>
          </m:r>
          <m:r>
            <m:rPr>
              <m:sty m:val="p"/>
            </m:rPr>
            <m:t>,</m:t>
          </m:r>
          <m:r>
            <m:t> </m:t>
          </m:r>
          <m:r>
            <m:t>μ</m:t>
          </m:r>
          <m:r>
            <m:rPr>
              <m:sty m:val="p"/>
            </m:rPr>
            <m:t>&gt;</m:t>
          </m:r>
          <m:r>
            <m:t>0</m:t>
          </m:r>
          <m:r>
            <m:rPr>
              <m:sty m:val="p"/>
            </m:rPr>
            <m:t>.</m:t>
          </m:r>
        </m:oMath>
      </m:oMathPara>
    </w:p>
    <w:p>
      <w:pPr>
        <w:pStyle w:val="FirstParagraph"/>
        <w:keepLines/>
        <w:spacing w:before="100" w:after="140"/>
        <w:jc w:val="center"/>
      </w:pPr>
      <w:r>
        <w:t>The regularizer makes the system positive definite. If a loss</w:t>
      </w:r>
      <w:r>
        <w:t xml:space="preserve"> </w:t>
      </w:r>
      <m:oMath>
        <m:r>
          <m:rPr>
            <m:sty m:val="p"/>
          </m:rPr>
          <m:t>ℓ</m:t>
        </m:r>
      </m:oMath>
      <w:r>
        <w:t xml:space="preserve"> </w:t>
      </w:r>
      <w:r>
        <w:t>depends on</w:t>
      </w:r>
      <w:r>
        <w:t xml:space="preserve"> </w:t>
      </w:r>
      <m:oMath>
        <m:r>
          <m:t>h</m:t>
        </m:r>
      </m:oMath>
      <w:r>
        <w:t>, implicit differentiation gives</w:t>
      </w:r>
    </w:p>
    <w:p>
      <w:pPr>
        <w:pStyle w:val="BodyText"/>
        <w:keepLines/>
        <w:spacing w:before="100" w:after="140"/>
        <w:jc w:val="center"/>
      </w:pPr>
      <m:oMathPara>
        <m:oMathParaPr>
          <m:jc m:val="center"/>
        </m:oMathParaPr>
        <m:oMath>
          <m:d>
            <m:dPr>
              <m:begChr m:val="("/>
              <m:endChr m:val=")"/>
              <m:sepChr m:val=""/>
              <m:grow/>
            </m:dPr>
            <m:e>
              <m:sSub>
                <m:e>
                  <m:r>
                    <m:t>L</m:t>
                  </m:r>
                </m:e>
                <m:sub>
                  <m:r>
                    <m:t>J</m:t>
                  </m:r>
                </m:sub>
              </m:sSub>
              <m:r>
                <m:rPr>
                  <m:sty m:val="p"/>
                </m:rPr>
                <m:t>+</m:t>
              </m:r>
              <m:r>
                <m:t>μ</m:t>
              </m:r>
              <m:r>
                <m:t>I</m:t>
              </m:r>
            </m:e>
          </m:d>
          <m:r>
            <m:t>λ</m:t>
          </m:r>
          <m:r>
            <m:rPr>
              <m:sty m:val="p"/>
            </m:rPr>
            <m:t>=</m:t>
          </m:r>
          <m:sSub>
            <m:e>
              <m:r>
                <m:rPr>
                  <m:sty m:val="p"/>
                </m:rPr>
                <m:t>∇</m:t>
              </m:r>
            </m:e>
            <m:sub>
              <m:r>
                <m:t>h</m:t>
              </m:r>
            </m:sub>
          </m:sSub>
          <m:r>
            <m:rPr>
              <m:sty m:val="p"/>
            </m:rPr>
            <m:t>ℓ</m:t>
          </m:r>
          <m:r>
            <m:rPr>
              <m:sty m:val="p"/>
            </m:rPr>
            <m:t>.</m:t>
          </m:r>
        </m:oMath>
      </m:oMathPara>
    </w:p>
    <w:p>
      <w:pPr>
        <w:pStyle w:val="FirstParagraph"/>
        <w:keepLines/>
        <w:spacing w:before="100" w:after="140"/>
        <w:jc w:val="center"/>
      </w:pPr>
      <w:r>
        <w:t>The forward state</w:t>
      </w:r>
      <w:r>
        <w:t xml:space="preserve"> </w:t>
      </w:r>
      <m:oMath>
        <m:r>
          <m:t>h</m:t>
        </m:r>
      </m:oMath>
      <w:r>
        <w:t xml:space="preserve"> </w:t>
      </w:r>
      <w:r>
        <w:t>and adjoint</w:t>
      </w:r>
      <w:r>
        <w:t xml:space="preserve"> </w:t>
      </w:r>
      <m:oMath>
        <m:r>
          <m:t>λ</m:t>
        </m:r>
      </m:oMath>
      <w:r>
        <w:t xml:space="preserve"> </w:t>
      </w:r>
      <w:r>
        <w:t>therefore require two solves with the same sparse self-adjoint matrix. A factorization or preconditioner can be reused. This statement applies to the reconciliation module; other learned nonlinear components may still require ordinary backpropagation or BPTT.</w:t>
      </w:r>
    </w:p>
    <w:bookmarkEnd w:id="34"/>
    <w:bookmarkStart w:id="35" w:name="parameter-separation"/>
    <w:p>
      <w:pPr>
        <w:pStyle w:val="Heading2"/>
      </w:pPr>
      <w:r>
        <w:t>4.3 Parameter separation</w:t>
      </w:r>
    </w:p>
    <w:p>
      <w:pPr>
        <w:pStyle w:val="FirstParagraph"/>
      </w:pPr>
      <w:r>
        <w:t>We separate three timescales:</w:t>
      </w:r>
    </w:p>
    <w:p>
      <w:pPr>
        <w:keepLines/>
        <w:numPr>
          <w:ilvl w:val="0"/>
          <w:numId w:val="1002"/>
        </w:numPr>
        <w:pStyle w:val="Compact"/>
        <w:spacing w:before="100" w:after="140"/>
        <w:jc w:val="center"/>
      </w:pPr>
      <w:r>
        <w:rPr>
          <w:bCs/>
          <w:b/>
        </w:rPr>
        <w:t>Transport learning:</w:t>
      </w:r>
      <w:r>
        <w:t xml:space="preserve"> </w:t>
      </w:r>
      <w:r>
        <w:t>learn edge labels</w:t>
      </w:r>
      <w:r>
        <w:t xml:space="preserve"> </w:t>
      </w:r>
      <m:oMath>
        <m:sSub>
          <m:e>
            <m:r>
              <m:t>g</m:t>
            </m:r>
          </m:e>
          <m:sub>
            <m:r>
              <m:t>e</m:t>
            </m:r>
          </m:sub>
        </m:sSub>
      </m:oMath>
      <w:r>
        <w:t>, orthogonal transport</w:t>
      </w:r>
      <w:r>
        <w:t xml:space="preserve"> </w:t>
      </w:r>
      <m:oMath>
        <m:r>
          <m:t>τ</m:t>
        </m:r>
        <m:d>
          <m:dPr>
            <m:begChr m:val="("/>
            <m:endChr m:val=")"/>
            <m:sepChr m:val=""/>
            <m:grow/>
          </m:dPr>
          <m:e>
            <m:r>
              <m:t>g</m:t>
            </m:r>
          </m:e>
        </m:d>
      </m:oMath>
      <w:r>
        <w:t>, and base restriction maps</w:t>
      </w:r>
      <w:r>
        <w:t xml:space="preserve"> </w:t>
      </w:r>
      <m:oMath>
        <m:sSub>
          <m:e>
            <m:r>
              <m:t>ρ</m:t>
            </m:r>
          </m:e>
          <m:sub>
            <m:r>
              <m:t>e</m:t>
            </m:r>
          </m:sub>
        </m:sSub>
      </m:oMath>
      <w:r>
        <w:t xml:space="preserve"> </w:t>
      </w:r>
      <w:r>
        <w:t>across a task family.</w:t>
      </w:r>
    </w:p>
    <w:p>
      <w:pPr>
        <w:keepLines/>
        <w:numPr>
          <w:ilvl w:val="0"/>
          <w:numId w:val="1002"/>
        </w:numPr>
        <w:pStyle w:val="Compact"/>
        <w:spacing w:before="100" w:after="140"/>
        <w:jc w:val="center"/>
      </w:pPr>
      <w:r>
        <w:rPr>
          <w:bCs/>
          <w:b/>
        </w:rPr>
        <w:t>Forgetting selection:</w:t>
      </w:r>
      <w:r>
        <w:t xml:space="preserve"> </w:t>
      </w:r>
      <w:r>
        <w:t>choose</w:t>
      </w:r>
      <w:r>
        <w:t xml:space="preserve"> </w:t>
      </w:r>
      <m:oMath>
        <m:r>
          <m:t>J</m:t>
        </m:r>
      </m:oMath>
      <w:r>
        <w:t xml:space="preserve"> </w:t>
      </w:r>
      <w:r>
        <w:t>for a task or operating condition while transport is frozen.</w:t>
      </w:r>
    </w:p>
    <w:p>
      <w:pPr>
        <w:numPr>
          <w:ilvl w:val="0"/>
          <w:numId w:val="1002"/>
        </w:numPr>
        <w:pStyle w:val="Compact"/>
      </w:pPr>
      <w:r>
        <w:rPr>
          <w:bCs/>
          <w:b/>
        </w:rPr>
        <w:t>Task decoding:</w:t>
      </w:r>
      <w:r>
        <w:t xml:space="preserve"> </w:t>
      </w:r>
      <w:r>
        <w:t>fit or select a small head on the chosen coset-feature state.</w:t>
      </w:r>
    </w:p>
    <w:p>
      <w:pPr>
        <w:pStyle w:val="FirstParagraph"/>
        <w:keepLines/>
        <w:spacing w:before="100" w:after="140"/>
        <w:jc w:val="center"/>
      </w:pPr>
      <w:r>
        <w:t>This separation is what makes granularity switching inspectable. Changing</w:t>
      </w:r>
      <w:r>
        <w:t xml:space="preserve"> </w:t>
      </w:r>
      <m:oMath>
        <m:r>
          <m:t>J</m:t>
        </m:r>
      </m:oMath>
      <w:r>
        <w:t xml:space="preserve"> </w:t>
      </w:r>
      <w:r>
        <w:t>changes a finite state partition and a permutation module, not the learned meaning of every edge.</w:t>
      </w:r>
    </w:p>
    <w:bookmarkEnd w:id="35"/>
    <w:bookmarkEnd w:id="36"/>
    <w:bookmarkStart w:id="41" w:name="learning-a-forgetting-policy"/>
    <w:p>
      <w:pPr>
        <w:pStyle w:val="Heading1"/>
      </w:pPr>
      <w:r>
        <w:t>5. Learning a forgetting policy</w:t>
      </w:r>
    </w:p>
    <w:bookmarkStart w:id="37" w:name="X5399c35b37aab268f9bc931a25121ca6aed9b8a"/>
    <w:p>
      <w:pPr>
        <w:pStyle w:val="Heading2"/>
      </w:pPr>
      <w:r>
        <w:t>5.1 Why continuous stabilizers are generically trivial</w:t>
      </w:r>
    </w:p>
    <w:p>
      <w:pPr>
        <w:pStyle w:val="FirstParagraph"/>
        <w:keepLines/>
        <w:spacing w:before="100" w:after="140"/>
        <w:jc w:val="center"/>
      </w:pPr>
      <w:r>
        <w:t>One tempting proposal is to optimize a continuous task vector</w:t>
      </w:r>
      <w:r>
        <w:t xml:space="preserve"> </w:t>
      </w:r>
      <m:oMath>
        <m:r>
          <m:t>u</m:t>
        </m:r>
        <m:r>
          <m:rPr>
            <m:sty m:val="p"/>
          </m:rPr>
          <m:t>∈</m:t>
        </m:r>
        <m:sSup>
          <m:e>
            <m:r>
              <m:rPr>
                <m:sty m:val="p"/>
                <m:scr m:val="double-struck"/>
              </m:rPr>
              <m:t>R</m:t>
            </m:r>
          </m:e>
          <m:sup>
            <m:r>
              <m:t>d</m:t>
            </m:r>
          </m:sup>
        </m:sSup>
      </m:oMath>
      <w:r>
        <w:t xml:space="preserve"> </w:t>
      </w:r>
      <w:r>
        <w:t>and define forgetting as its stabilizer</w:t>
      </w:r>
    </w:p>
    <w:p>
      <w:pPr>
        <w:pStyle w:val="BodyText"/>
        <w:keepLines/>
        <w:spacing w:before="100" w:after="140"/>
        <w:jc w:val="center"/>
      </w:pPr>
      <m:oMathPara>
        <m:oMathParaPr>
          <m:jc m:val="center"/>
        </m:oMathParaPr>
        <m:oMath>
          <m:sSub>
            <m:e>
              <m:r>
                <m:rPr>
                  <m:sty m:val="p"/>
                </m:rPr>
                <m:t>Stab</m:t>
              </m:r>
            </m:e>
            <m:sub>
              <m:r>
                <m:t>Γ</m:t>
              </m:r>
            </m:sub>
          </m:sSub>
          <m:d>
            <m:dPr>
              <m:begChr m:val="("/>
              <m:endChr m:val=")"/>
              <m:sepChr m:val=""/>
              <m:grow/>
            </m:dPr>
            <m:e>
              <m:r>
                <m:t>u</m:t>
              </m:r>
            </m:e>
          </m:d>
          <m:r>
            <m:rPr>
              <m:sty m:val="p"/>
            </m:rPr>
            <m:t>=</m:t>
          </m:r>
          <m:r>
            <m:rPr>
              <m:sty m:val="p"/>
            </m:rPr>
            <m:t>{</m:t>
          </m:r>
          <m:r>
            <m:t>g</m:t>
          </m:r>
          <m:r>
            <m:rPr>
              <m:sty m:val="p"/>
            </m:rPr>
            <m:t>∈</m:t>
          </m:r>
          <m:r>
            <m:t>Γ</m:t>
          </m:r>
          <m:r>
            <m:rPr>
              <m:sty m:val="p"/>
            </m:rPr>
            <m:t>:</m:t>
          </m:r>
          <m:r>
            <m:t>τ</m:t>
          </m:r>
          <m:d>
            <m:dPr>
              <m:begChr m:val="("/>
              <m:endChr m:val=")"/>
              <m:sepChr m:val=""/>
              <m:grow/>
            </m:dPr>
            <m:e>
              <m:r>
                <m:t>g</m:t>
              </m:r>
            </m:e>
          </m:d>
          <m:r>
            <m:t>u</m:t>
          </m:r>
          <m:r>
            <m:rPr>
              <m:sty m:val="p"/>
            </m:rPr>
            <m:t>=</m:t>
          </m:r>
          <m:r>
            <m:t>u</m:t>
          </m:r>
          <m:r>
            <m:rPr>
              <m:sty m:val="p"/>
            </m:rPr>
            <m:t>}</m:t>
          </m:r>
          <m:r>
            <m:rPr>
              <m:sty m:val="p"/>
            </m:rPr>
            <m:t>.</m:t>
          </m:r>
        </m:oMath>
      </m:oMathPara>
    </w:p>
    <w:p>
      <w:pPr>
        <w:pStyle w:val="FirstParagraph"/>
      </w:pPr>
      <w:r>
        <w:t>This normally returns the identity subgroup.</w:t>
      </w:r>
    </w:p>
    <w:p>
      <w:pPr>
        <w:pStyle w:val="BodyText"/>
        <w:keepLines/>
        <w:spacing w:before="100" w:after="140"/>
        <w:jc w:val="center"/>
      </w:pPr>
      <w:r>
        <w:rPr>
          <w:bCs/>
          <w:b/>
        </w:rPr>
        <w:t>Proposition 1 (generic stabilizer degeneracy).</w:t>
      </w:r>
      <w:r>
        <w:t xml:space="preserve"> </w:t>
      </w:r>
      <w:r>
        <w:t>Let</w:t>
      </w:r>
      <w:r>
        <w:t xml:space="preserve"> </w:t>
      </w:r>
      <m:oMath>
        <m:r>
          <m:t>τ</m:t>
        </m:r>
        <m:r>
          <m:rPr>
            <m:sty m:val="p"/>
          </m:rPr>
          <m:t>:</m:t>
        </m:r>
        <m:r>
          <m:t>Γ</m:t>
        </m:r>
        <m:r>
          <m:rPr>
            <m:sty m:val="p"/>
          </m:rPr>
          <m:t>→</m:t>
        </m:r>
        <m:r>
          <m:t>G</m:t>
        </m:r>
        <m:r>
          <m:t>L</m:t>
        </m:r>
        <m:d>
          <m:dPr>
            <m:begChr m:val="("/>
            <m:endChr m:val=")"/>
            <m:sepChr m:val=""/>
            <m:grow/>
          </m:dPr>
          <m:e>
            <m:r>
              <m:t>d</m:t>
            </m:r>
            <m:r>
              <m:rPr>
                <m:sty m:val="p"/>
              </m:rPr>
              <m:t>,</m:t>
            </m:r>
            <m:r>
              <m:rPr>
                <m:sty m:val="p"/>
                <m:scr m:val="double-struck"/>
              </m:rPr>
              <m:t>R</m:t>
            </m:r>
          </m:e>
        </m:d>
      </m:oMath>
      <w:r>
        <w:t xml:space="preserve"> </w:t>
      </w:r>
      <w:r>
        <w:t>be a faithful representation of a finite group. Assume</w:t>
      </w:r>
      <w:r>
        <w:t xml:space="preserve"> </w:t>
      </w:r>
      <m:oMath>
        <m:r>
          <m:rPr>
            <m:sty m:val="p"/>
          </m:rPr>
          <m:t>Fix</m:t>
        </m:r>
        <m:d>
          <m:dPr>
            <m:begChr m:val="("/>
            <m:endChr m:val=")"/>
            <m:sepChr m:val=""/>
            <m:grow/>
          </m:dPr>
          <m:e>
            <m:r>
              <m:t>τ</m:t>
            </m:r>
            <m:d>
              <m:dPr>
                <m:begChr m:val="("/>
                <m:endChr m:val=")"/>
                <m:sepChr m:val=""/>
                <m:grow/>
              </m:dPr>
              <m:e>
                <m:r>
                  <m:t>g</m:t>
                </m:r>
              </m:e>
            </m:d>
          </m:e>
        </m:d>
      </m:oMath>
      <w:r>
        <w:t xml:space="preserve"> </w:t>
      </w:r>
      <w:r>
        <w:t>is a proper subspace for every</w:t>
      </w:r>
      <w:r>
        <w:t xml:space="preserve"> </w:t>
      </w:r>
      <m:oMath>
        <m:r>
          <m:t>g</m:t>
        </m:r>
        <m:r>
          <m:rPr>
            <m:sty m:val="p"/>
          </m:rPr>
          <m:t>≠</m:t>
        </m:r>
        <m:r>
          <m:t>1</m:t>
        </m:r>
      </m:oMath>
      <w:r>
        <w:t>. Then the set of</w:t>
      </w:r>
      <w:r>
        <w:t xml:space="preserve"> </w:t>
      </w:r>
      <m:oMath>
        <m:r>
          <m:t>u</m:t>
        </m:r>
      </m:oMath>
      <w:r>
        <w:t xml:space="preserve"> </w:t>
      </w:r>
      <w:r>
        <w:t>with nontrivial stabilizer has Lebesgue measure zero.</w:t>
      </w:r>
    </w:p>
    <w:p>
      <w:pPr>
        <w:pStyle w:val="BodyText"/>
        <w:keepLines/>
        <w:spacing w:before="100" w:after="140"/>
        <w:jc w:val="center"/>
      </w:pPr>
      <w:r>
        <w:rPr>
          <w:bCs/>
          <w:b/>
        </w:rPr>
        <w:t>Proof.</w:t>
      </w:r>
      <w:r>
        <w:t xml:space="preserve"> </w:t>
      </w:r>
      <w:r>
        <w:t>A nontrivial stabilizer means</w:t>
      </w:r>
      <w:r>
        <w:t xml:space="preserve"> </w:t>
      </w:r>
      <m:oMath>
        <m:r>
          <m:t>u</m:t>
        </m:r>
        <m:r>
          <m:rPr>
            <m:sty m:val="p"/>
          </m:rPr>
          <m:t>∈</m:t>
        </m:r>
        <m:r>
          <m:rPr>
            <m:sty m:val="p"/>
          </m:rPr>
          <m:t>Fix</m:t>
        </m:r>
        <m:d>
          <m:dPr>
            <m:begChr m:val="("/>
            <m:endChr m:val=")"/>
            <m:sepChr m:val=""/>
            <m:grow/>
          </m:dPr>
          <m:e>
            <m:r>
              <m:t>τ</m:t>
            </m:r>
            <m:d>
              <m:dPr>
                <m:begChr m:val="("/>
                <m:endChr m:val=")"/>
                <m:sepChr m:val=""/>
                <m:grow/>
              </m:dPr>
              <m:e>
                <m:r>
                  <m:t>g</m:t>
                </m:r>
              </m:e>
            </m:d>
          </m:e>
        </m:d>
      </m:oMath>
      <w:r>
        <w:t xml:space="preserve"> </w:t>
      </w:r>
      <w:r>
        <w:t>for some</w:t>
      </w:r>
      <w:r>
        <w:t xml:space="preserve"> </w:t>
      </w:r>
      <m:oMath>
        <m:r>
          <m:t>g</m:t>
        </m:r>
        <m:r>
          <m:rPr>
            <m:sty m:val="p"/>
          </m:rPr>
          <m:t>≠</m:t>
        </m:r>
        <m:r>
          <m:t>1</m:t>
        </m:r>
      </m:oMath>
      <w:r>
        <w:t>. Hence the exceptional set is the finite union</w:t>
      </w:r>
    </w:p>
    <w:p>
      <w:pPr>
        <w:pStyle w:val="BodyText"/>
        <w:keepLines/>
        <w:spacing w:before="100" w:after="140"/>
        <w:jc w:val="center"/>
      </w:pPr>
      <m:oMathPara>
        <m:oMathParaPr>
          <m:jc m:val="center"/>
        </m:oMathParaPr>
        <m:oMath>
          <m:limLow>
            <m:e>
              <m:r>
                <m:rPr>
                  <m:sty m:val="p"/>
                </m:rPr>
                <m:t>⋃</m:t>
              </m:r>
            </m:e>
            <m:lim>
              <m:r>
                <m:t>g</m:t>
              </m:r>
              <m:r>
                <m:rPr>
                  <m:sty m:val="p"/>
                </m:rPr>
                <m:t>≠</m:t>
              </m:r>
              <m:r>
                <m:t>1</m:t>
              </m:r>
            </m:lim>
          </m:limLow>
          <m:r>
            <m:rPr>
              <m:sty m:val="p"/>
            </m:rPr>
            <m:t>Fix</m:t>
          </m:r>
          <m:d>
            <m:dPr>
              <m:begChr m:val="("/>
              <m:endChr m:val=")"/>
              <m:sepChr m:val=""/>
              <m:grow/>
            </m:dPr>
            <m:e>
              <m:r>
                <m:t>τ</m:t>
              </m:r>
              <m:d>
                <m:dPr>
                  <m:begChr m:val="("/>
                  <m:endChr m:val=")"/>
                  <m:sepChr m:val=""/>
                  <m:grow/>
                </m:dPr>
                <m:e>
                  <m:r>
                    <m:t>g</m:t>
                  </m:r>
                </m:e>
              </m:d>
            </m:e>
          </m:d>
          <m:r>
            <m:rPr>
              <m:sty m:val="p"/>
            </m:rPr>
            <m:t>.</m:t>
          </m:r>
        </m:oMath>
      </m:oMathPara>
    </w:p>
    <w:p>
      <w:pPr>
        <w:pStyle w:val="FirstParagraph"/>
        <w:keepLines/>
        <w:spacing w:before="100" w:after="140"/>
        <w:jc w:val="center"/>
      </w:pPr>
      <w:r>
        <w:t>Each member is a proper linear subspace and therefore has measure zero. A finite union of measure-zero sets has measure zero.</w:t>
      </w:r>
      <w:r>
        <w:t xml:space="preserve"> </w:t>
      </w:r>
      <m:oMath>
        <m:r>
          <m:rPr>
            <m:sty m:val="p"/>
          </m:rPr>
          <m:t>▫</m:t>
        </m:r>
      </m:oMath>
    </w:p>
    <w:p>
      <w:pPr>
        <w:pStyle w:val="BodyText"/>
      </w:pPr>
      <w:r>
        <w:t>Nontrivial stabilizers can be encouraged by explicit symmetry constraints or discrete regularization, but they should not be expected as a by-product of unconstrained continuous optimization.</w:t>
      </w:r>
    </w:p>
    <w:bookmarkEnd w:id="37"/>
    <w:bookmarkStart w:id="38" w:name="task-risk-on-the-subgroup-lattice"/>
    <w:p>
      <w:pPr>
        <w:pStyle w:val="Heading2"/>
      </w:pPr>
      <w:r>
        <w:t>5.2 Task risk on the subgroup lattice</w:t>
      </w:r>
    </w:p>
    <w:p>
      <w:pPr>
        <w:pStyle w:val="FirstParagraph"/>
        <w:keepLines/>
        <w:spacing w:before="100" w:after="140"/>
        <w:jc w:val="center"/>
      </w:pPr>
      <w:r>
        <w:t>Let</w:t>
      </w:r>
      <w:r>
        <w:t xml:space="preserve"> </w:t>
      </w:r>
      <m:oMath>
        <m:r>
          <m:t>G</m:t>
        </m:r>
      </m:oMath>
      <w:r>
        <w:t xml:space="preserve"> </w:t>
      </w:r>
      <w:r>
        <w:t>be a random history product in</w:t>
      </w:r>
      <w:r>
        <w:t xml:space="preserve"> </w:t>
      </w:r>
      <m:oMath>
        <m:r>
          <m:t>Γ</m:t>
        </m:r>
      </m:oMath>
      <w:r>
        <w:t>,</w:t>
      </w:r>
      <w:r>
        <w:t xml:space="preserve"> </w:t>
      </w:r>
      <m:oMath>
        <m:r>
          <m:t>Y</m:t>
        </m:r>
      </m:oMath>
      <w:r>
        <w:t xml:space="preserve"> </w:t>
      </w:r>
      <w:r>
        <w:t>a task target, and</w:t>
      </w:r>
      <w:r>
        <w:t xml:space="preserve"> </w:t>
      </w:r>
      <m:oMath>
        <m:sSub>
          <m:e>
            <m:r>
              <m:t>C</m:t>
            </m:r>
          </m:e>
          <m:sub>
            <m:r>
              <m:t>J</m:t>
            </m:r>
          </m:sub>
        </m:sSub>
        <m:r>
          <m:rPr>
            <m:sty m:val="p"/>
          </m:rPr>
          <m:t>=</m:t>
        </m:r>
        <m:r>
          <m:t>J</m:t>
        </m:r>
        <m:r>
          <m:t>G</m:t>
        </m:r>
      </m:oMath>
      <w:r>
        <w:t xml:space="preserve"> </w:t>
      </w:r>
      <w:r>
        <w:t>the coset memory. A canonical information-theoretic risk is</w:t>
      </w:r>
    </w:p>
    <w:p>
      <w:pPr>
        <w:pStyle w:val="BodyText"/>
        <w:keepLines/>
        <w:spacing w:before="100" w:after="140"/>
        <w:jc w:val="center"/>
      </w:pPr>
      <m:oMathPara>
        <m:oMathParaPr>
          <m:jc m:val="center"/>
        </m:oMathParaPr>
        <m:oMath>
          <m:r>
            <m:t>R</m:t>
          </m:r>
          <m:d>
            <m:dPr>
              <m:begChr m:val="("/>
              <m:endChr m:val=")"/>
              <m:sepChr m:val=""/>
              <m:grow/>
            </m:dPr>
            <m:e>
              <m:r>
                <m:t>J</m:t>
              </m:r>
            </m:e>
          </m:d>
          <m:r>
            <m:rPr>
              <m:sty m:val="p"/>
            </m:rPr>
            <m:t>=</m:t>
          </m:r>
          <m:r>
            <m:t>H</m:t>
          </m:r>
          <m:d>
            <m:dPr>
              <m:begChr m:val="("/>
              <m:endChr m:val=")"/>
              <m:sepChr m:val=""/>
              <m:grow/>
            </m:dPr>
            <m:e>
              <m:r>
                <m:t>Y</m:t>
              </m:r>
              <m:r>
                <m:rPr>
                  <m:sty m:val="p"/>
                </m:rPr>
                <m:t>∣</m:t>
              </m:r>
              <m:sSub>
                <m:e>
                  <m:r>
                    <m:t>C</m:t>
                  </m:r>
                </m:e>
                <m:sub>
                  <m:r>
                    <m:t>J</m:t>
                  </m:r>
                </m:sub>
              </m:sSub>
              <m:r>
                <m:rPr>
                  <m:sty m:val="p"/>
                </m:rPr>
                <m:t>,</m:t>
              </m:r>
              <m:r>
                <m:t>Z</m:t>
              </m:r>
            </m:e>
          </m:d>
          <m:r>
            <m:rPr>
              <m:sty m:val="p"/>
            </m:rPr>
            <m:t>,</m:t>
          </m:r>
        </m:oMath>
      </m:oMathPara>
    </w:p>
    <w:p>
      <w:pPr>
        <w:pStyle w:val="FirstParagraph"/>
        <w:keepLines/>
        <w:spacing w:before="100" w:after="140"/>
        <w:jc w:val="center"/>
      </w:pPr>
      <w:r>
        <w:t>where</w:t>
      </w:r>
      <w:r>
        <w:t xml:space="preserve"> </w:t>
      </w:r>
      <m:oMath>
        <m:r>
          <m:t>Z</m:t>
        </m:r>
      </m:oMath>
      <w:r>
        <w:t xml:space="preserve"> </w:t>
      </w:r>
      <w:r>
        <w:t>denotes retained non-group features. More generally,</w:t>
      </w:r>
      <w:r>
        <w:t xml:space="preserve"> </w:t>
      </w:r>
      <m:oMath>
        <m:r>
          <m:t>R</m:t>
        </m:r>
        <m:d>
          <m:dPr>
            <m:begChr m:val="("/>
            <m:endChr m:val=")"/>
            <m:sepChr m:val=""/>
            <m:grow/>
          </m:dPr>
          <m:e>
            <m:r>
              <m:t>J</m:t>
            </m:r>
          </m:e>
        </m:d>
      </m:oMath>
      <w:r>
        <w:t xml:space="preserve"> </w:t>
      </w:r>
      <w:r>
        <w:t>can be Bayes risk or held-out task loss. If</w:t>
      </w:r>
      <w:r>
        <w:t xml:space="preserve"> </w:t>
      </w:r>
      <m:oMath>
        <m:r>
          <m:t>J</m:t>
        </m:r>
        <m:r>
          <m:rPr>
            <m:sty m:val="p"/>
          </m:rPr>
          <m:t>⊆</m:t>
        </m:r>
        <m:r>
          <m:t>K</m:t>
        </m:r>
      </m:oMath>
      <w:r>
        <w:t>, then</w:t>
      </w:r>
      <w:r>
        <w:t xml:space="preserve"> </w:t>
      </w:r>
      <m:oMath>
        <m:sSub>
          <m:e>
            <m:r>
              <m:t>C</m:t>
            </m:r>
          </m:e>
          <m:sub>
            <m:r>
              <m:t>K</m:t>
            </m:r>
          </m:sub>
        </m:sSub>
      </m:oMath>
      <w:r>
        <w:t xml:space="preserve"> </w:t>
      </w:r>
      <w:r>
        <w:t>is a function of</w:t>
      </w:r>
      <w:r>
        <w:t xml:space="preserve"> </w:t>
      </w:r>
      <m:oMath>
        <m:sSub>
          <m:e>
            <m:r>
              <m:t>C</m:t>
            </m:r>
          </m:e>
          <m:sub>
            <m:r>
              <m:t>J</m:t>
            </m:r>
          </m:sub>
        </m:sSub>
      </m:oMath>
      <w:r>
        <w:t>, so data processing gives</w:t>
      </w:r>
    </w:p>
    <w:p>
      <w:pPr>
        <w:pStyle w:val="BodyText"/>
        <w:keepLines/>
        <w:spacing w:before="100" w:after="140"/>
        <w:jc w:val="center"/>
      </w:pPr>
      <m:oMathPara>
        <m:oMathParaPr>
          <m:jc m:val="center"/>
        </m:oMathParaPr>
        <m:oMath>
          <m:r>
            <m:t>R</m:t>
          </m:r>
          <m:d>
            <m:dPr>
              <m:begChr m:val="("/>
              <m:endChr m:val=")"/>
              <m:sepChr m:val=""/>
              <m:grow/>
            </m:dPr>
            <m:e>
              <m:r>
                <m:t>J</m:t>
              </m:r>
            </m:e>
          </m:d>
          <m:r>
            <m:rPr>
              <m:sty m:val="p"/>
            </m:rPr>
            <m:t>≤</m:t>
          </m:r>
          <m:r>
            <m:t>R</m:t>
          </m:r>
          <m:d>
            <m:dPr>
              <m:begChr m:val="("/>
              <m:endChr m:val=")"/>
              <m:sepChr m:val=""/>
              <m:grow/>
            </m:dPr>
            <m:e>
              <m:r>
                <m:t>K</m:t>
              </m:r>
            </m:e>
          </m:d>
        </m:oMath>
      </m:oMathPara>
    </w:p>
    <w:p>
      <w:pPr>
        <w:pStyle w:val="FirstParagraph"/>
      </w:pPr>
      <w:r>
        <w:t>for conditional entropy and for ideal Bayes risk under a proper loss. More forgetting cannot add task information.</w:t>
      </w:r>
    </w:p>
    <w:p>
      <w:pPr>
        <w:pStyle w:val="BodyText"/>
      </w:pPr>
      <w:r>
        <w:t>A capacity-regularized objective is</w:t>
      </w:r>
    </w:p>
    <w:p>
      <w:pPr>
        <w:pStyle w:val="BodyText"/>
        <w:keepLines/>
        <w:spacing w:before="100" w:after="140"/>
        <w:jc w:val="center"/>
      </w:pPr>
      <m:oMathPara>
        <m:oMathParaPr>
          <m:jc m:val="center"/>
        </m:oMathParaPr>
        <m:oMath>
          <m:sSub>
            <m:e>
              <m:r>
                <m:rPr>
                  <m:sty m:val="p"/>
                  <m:scr m:val="script"/>
                </m:rPr>
                <m:t>L</m:t>
              </m:r>
            </m:e>
            <m:sub>
              <m:r>
                <m:t>β</m:t>
              </m:r>
            </m:sub>
          </m:sSub>
          <m:d>
            <m:dPr>
              <m:begChr m:val="("/>
              <m:endChr m:val=")"/>
              <m:sepChr m:val=""/>
              <m:grow/>
            </m:dPr>
            <m:e>
              <m:r>
                <m:t>J</m:t>
              </m:r>
            </m:e>
          </m:d>
          <m:r>
            <m:rPr>
              <m:sty m:val="p"/>
            </m:rPr>
            <m:t>=</m:t>
          </m:r>
          <m:r>
            <m:t>R</m:t>
          </m:r>
          <m:d>
            <m:dPr>
              <m:begChr m:val="("/>
              <m:endChr m:val=")"/>
              <m:sepChr m:val=""/>
              <m:grow/>
            </m:dPr>
            <m:e>
              <m:r>
                <m:t>J</m:t>
              </m:r>
            </m:e>
          </m:d>
          <m:r>
            <m:rPr>
              <m:sty m:val="p"/>
            </m:rPr>
            <m:t>+</m:t>
          </m:r>
          <m:r>
            <m:t>β</m:t>
          </m:r>
          <m:r>
            <m:rPr>
              <m:sty m:val="p"/>
            </m:rPr>
            <m:t>log</m:t>
          </m:r>
          <m:d>
            <m:dPr>
              <m:begChr m:val="["/>
              <m:endChr m:val="]"/>
              <m:sepChr m:val=""/>
              <m:grow/>
            </m:dPr>
            <m:e>
              <m:r>
                <m:t>Γ</m:t>
              </m:r>
              <m:r>
                <m:rPr>
                  <m:sty m:val="p"/>
                </m:rPr>
                <m:t>:</m:t>
              </m:r>
              <m:r>
                <m:t>J</m:t>
              </m:r>
            </m:e>
          </m:d>
          <m:r>
            <m:rPr>
              <m:sty m:val="p"/>
            </m:rPr>
            <m:t>.</m:t>
          </m:r>
        </m:oMath>
      </m:oMathPara>
    </w:p>
    <w:p>
      <w:pPr>
        <w:pStyle w:val="FirstParagraph"/>
      </w:pPr>
      <w:r>
        <w:t>The first term penalizes harmful forgetting; the second penalizes register size.</w:t>
      </w:r>
    </w:p>
    <w:bookmarkEnd w:id="38"/>
    <w:bookmarkStart w:id="39" w:name="closure-aware-moves"/>
    <w:p>
      <w:pPr>
        <w:pStyle w:val="Heading2"/>
      </w:pPr>
      <w:r>
        <w:t>5.3 Closure-aware moves</w:t>
      </w:r>
    </w:p>
    <w:p>
      <w:pPr>
        <w:pStyle w:val="FirstParagraph"/>
        <w:keepLines/>
        <w:spacing w:before="100" w:after="140"/>
        <w:jc w:val="center"/>
      </w:pPr>
      <w:r>
        <w:t>Testing generators independently is incorrect. If</w:t>
      </w:r>
      <w:r>
        <w:t xml:space="preserve"> </w:t>
      </w:r>
      <m:oMath>
        <m:r>
          <m:t>A</m:t>
        </m:r>
      </m:oMath>
      <w:r>
        <w:t xml:space="preserve"> </w:t>
      </w:r>
      <w:r>
        <w:t>is the current subgroup and</w:t>
      </w:r>
      <w:r>
        <w:t xml:space="preserve"> </w:t>
      </w:r>
      <m:oMath>
        <m:r>
          <m:t>g</m:t>
        </m:r>
      </m:oMath>
      <w:r>
        <w:t xml:space="preserve"> </w:t>
      </w:r>
      <w:r>
        <w:t>is a proposed forgotten generator, the candidate is not</w:t>
      </w:r>
      <w:r>
        <w:t xml:space="preserve"> </w:t>
      </w:r>
      <m:oMath>
        <m:r>
          <m:t>A</m:t>
        </m:r>
        <m:r>
          <m:rPr>
            <m:sty m:val="p"/>
          </m:rPr>
          <m:t>∪</m:t>
        </m:r>
        <m:r>
          <m:rPr>
            <m:sty m:val="p"/>
          </m:rPr>
          <m:t>{</m:t>
        </m:r>
        <m:r>
          <m:t>g</m:t>
        </m:r>
        <m:r>
          <m:rPr>
            <m:sty m:val="p"/>
          </m:rPr>
          <m:t>}</m:t>
        </m:r>
      </m:oMath>
      <w:r>
        <w:t xml:space="preserve"> </w:t>
      </w:r>
      <w:r>
        <w:t>but its subgroup closure</w:t>
      </w:r>
    </w:p>
    <w:p>
      <w:pPr>
        <w:pStyle w:val="BodyText"/>
        <w:keepLines/>
        <w:spacing w:before="100" w:after="140"/>
        <w:jc w:val="center"/>
      </w:pPr>
      <m:oMathPara>
        <m:oMathParaPr>
          <m:jc m:val="center"/>
        </m:oMathParaPr>
        <m:oMath>
          <m:r>
            <m:t>A</m:t>
          </m:r>
          <m:r>
            <m:rPr>
              <m:sty m:val="p"/>
            </m:rPr>
            <m:t>′</m:t>
          </m:r>
          <m:r>
            <m:rPr>
              <m:sty m:val="p"/>
            </m:rPr>
            <m:t>=</m:t>
          </m:r>
          <m:r>
            <m:rPr>
              <m:sty m:val="p"/>
            </m:rPr>
            <m:t>⟨</m:t>
          </m:r>
          <m:r>
            <m:t>A</m:t>
          </m:r>
          <m:r>
            <m:rPr>
              <m:sty m:val="p"/>
            </m:rPr>
            <m:t>,</m:t>
          </m:r>
          <m:r>
            <m:t>g</m:t>
          </m:r>
          <m:r>
            <m:rPr>
              <m:sty m:val="p"/>
            </m:rPr>
            <m:t>⟩</m:t>
          </m:r>
          <m:r>
            <m:rPr>
              <m:sty m:val="p"/>
            </m:rPr>
            <m:t>.</m:t>
          </m:r>
        </m:oMath>
      </m:oMathPara>
    </w:p>
    <w:p>
      <w:pPr>
        <w:pStyle w:val="FirstParagraph"/>
      </w:pPr>
      <w:r>
        <w:t>The correct marginal cost is</w:t>
      </w:r>
    </w:p>
    <w:p>
      <w:pPr>
        <w:pStyle w:val="BodyText"/>
        <w:keepLines/>
        <w:spacing w:before="100" w:after="140"/>
        <w:jc w:val="center"/>
      </w:pPr>
      <m:oMathPara>
        <m:oMathParaPr>
          <m:jc m:val="center"/>
        </m:oMathParaPr>
        <m:oMath>
          <m:r>
            <m:t>Δ</m:t>
          </m:r>
          <m:d>
            <m:dPr>
              <m:begChr m:val="("/>
              <m:endChr m:val=")"/>
              <m:sepChr m:val=""/>
              <m:grow/>
            </m:dPr>
            <m:e>
              <m:r>
                <m:t>g</m:t>
              </m:r>
              <m:r>
                <m:rPr>
                  <m:sty m:val="p"/>
                </m:rPr>
                <m:t>∣</m:t>
              </m:r>
              <m:r>
                <m:t>A</m:t>
              </m:r>
            </m:e>
          </m:d>
          <m:r>
            <m:rPr>
              <m:sty m:val="p"/>
            </m:rPr>
            <m:t>=</m:t>
          </m:r>
          <m:r>
            <m:t>R</m:t>
          </m:r>
          <m:d>
            <m:dPr>
              <m:begChr m:val="("/>
              <m:endChr m:val=")"/>
              <m:sepChr m:val=""/>
              <m:grow/>
            </m:dPr>
            <m:e>
              <m:r>
                <m:rPr>
                  <m:sty m:val="p"/>
                </m:rPr>
                <m:t>⟨</m:t>
              </m:r>
              <m:r>
                <m:t>A</m:t>
              </m:r>
              <m:r>
                <m:rPr>
                  <m:sty m:val="p"/>
                </m:rPr>
                <m:t>,</m:t>
              </m:r>
              <m:r>
                <m:t>g</m:t>
              </m:r>
              <m:r>
                <m:rPr>
                  <m:sty m:val="p"/>
                </m:rPr>
                <m:t>⟩</m:t>
              </m:r>
            </m:e>
          </m:d>
          <m:r>
            <m:rPr>
              <m:sty m:val="p"/>
            </m:rPr>
            <m:t>−</m:t>
          </m:r>
          <m:r>
            <m:t>R</m:t>
          </m:r>
          <m:d>
            <m:dPr>
              <m:begChr m:val="("/>
              <m:endChr m:val=")"/>
              <m:sepChr m:val=""/>
              <m:grow/>
            </m:dPr>
            <m:e>
              <m:r>
                <m:t>A</m:t>
              </m:r>
            </m:e>
          </m:d>
          <m:r>
            <m:rPr>
              <m:sty m:val="p"/>
            </m:rPr>
            <m:t>.</m:t>
          </m:r>
        </m:oMath>
      </m:oMathPara>
    </w:p>
    <w:p>
      <w:pPr>
        <w:pStyle w:val="FirstParagraph"/>
      </w:pPr>
      <w:r>
        <w:t>Two generators that are individually inexpensive can jointly generate a large subgroup and remove many additional distinctions. Algorithm 1 therefore evaluates every move after closure.</w:t>
      </w:r>
    </w:p>
    <w:p>
      <w:pPr>
        <w:pStyle w:val="BodyText"/>
      </w:pPr>
      <w:r>
        <w:rPr>
          <w:bCs/>
          <w:b/>
        </w:rPr>
        <w:t>Algorithm 1: Closure-aware subgroup selection</w:t>
      </w:r>
    </w:p>
    <w:p>
      <w:pPr>
        <w:keepLines/>
        <w:numPr>
          <w:ilvl w:val="0"/>
          <w:numId w:val="1003"/>
        </w:numPr>
        <w:pStyle w:val="Compact"/>
        <w:spacing w:before="100" w:after="140"/>
        <w:jc w:val="center"/>
      </w:pPr>
      <w:r>
        <w:t>Initialize</w:t>
      </w:r>
      <w:r>
        <w:t xml:space="preserve"> </w:t>
      </w:r>
      <m:oMath>
        <m:r>
          <m:t>A</m:t>
        </m:r>
        <m:r>
          <m:rPr>
            <m:sty m:val="p"/>
          </m:rPr>
          <m:t>←</m:t>
        </m:r>
        <m:sSub>
          <m:e>
            <m:r>
              <m:t>J</m:t>
            </m:r>
          </m:e>
          <m:sub>
            <m:r>
              <m:t>0</m:t>
            </m:r>
          </m:sub>
        </m:sSub>
      </m:oMath>
      <w:r>
        <w:t>.</w:t>
      </w:r>
    </w:p>
    <w:p>
      <w:pPr>
        <w:keepLines/>
        <w:numPr>
          <w:ilvl w:val="0"/>
          <w:numId w:val="1003"/>
        </w:numPr>
        <w:pStyle w:val="Compact"/>
        <w:spacing w:before="100" w:after="140"/>
        <w:jc w:val="center"/>
      </w:pPr>
      <w:r>
        <w:t>Enumerate candidate generators</w:t>
      </w:r>
      <w:r>
        <w:t xml:space="preserve"> </w:t>
      </w:r>
      <m:oMath>
        <m:r>
          <m:t>g</m:t>
        </m:r>
        <m:r>
          <m:rPr>
            <m:sty m:val="p"/>
          </m:rPr>
          <m:t>∉</m:t>
        </m:r>
        <m:r>
          <m:t>A</m:t>
        </m:r>
      </m:oMath>
      <w:r>
        <w:t xml:space="preserve"> </w:t>
      </w:r>
      <w:r>
        <w:t>or adjacent supergroups in the subgroup lattice.</w:t>
      </w:r>
    </w:p>
    <w:p>
      <w:pPr>
        <w:keepLines/>
        <w:numPr>
          <w:ilvl w:val="0"/>
          <w:numId w:val="1003"/>
        </w:numPr>
        <w:pStyle w:val="Compact"/>
        <w:spacing w:before="100" w:after="140"/>
        <w:jc w:val="center"/>
      </w:pPr>
      <w:r>
        <w:t>For each candidate, compute</w:t>
      </w:r>
      <w:r>
        <w:t xml:space="preserve"> </w:t>
      </w:r>
      <m:oMath>
        <m:sSub>
          <m:e>
            <m:r>
              <m:t>K</m:t>
            </m:r>
          </m:e>
          <m:sub>
            <m:r>
              <m:t>g</m:t>
            </m:r>
          </m:sub>
        </m:sSub>
        <m:r>
          <m:rPr>
            <m:sty m:val="p"/>
          </m:rPr>
          <m:t>=</m:t>
        </m:r>
        <m:r>
          <m:rPr>
            <m:sty m:val="p"/>
          </m:rPr>
          <m:t>⟨</m:t>
        </m:r>
        <m:r>
          <m:t>A</m:t>
        </m:r>
        <m:r>
          <m:rPr>
            <m:sty m:val="p"/>
          </m:rPr>
          <m:t>,</m:t>
        </m:r>
        <m:r>
          <m:t>g</m:t>
        </m:r>
        <m:r>
          <m:rPr>
            <m:sty m:val="p"/>
          </m:rPr>
          <m:t>⟩</m:t>
        </m:r>
      </m:oMath>
      <w:r>
        <w:t>, its task risk</w:t>
      </w:r>
      <w:r>
        <w:t xml:space="preserve"> </w:t>
      </w:r>
      <m:oMath>
        <m:r>
          <m:t>R</m:t>
        </m:r>
        <m:d>
          <m:dPr>
            <m:begChr m:val="("/>
            <m:endChr m:val=")"/>
            <m:sepChr m:val=""/>
            <m:grow/>
          </m:dPr>
          <m:e>
            <m:sSub>
              <m:e>
                <m:r>
                  <m:t>K</m:t>
                </m:r>
              </m:e>
              <m:sub>
                <m:r>
                  <m:t>g</m:t>
                </m:r>
              </m:sub>
            </m:sSub>
          </m:e>
        </m:d>
      </m:oMath>
      <w:r>
        <w:t>, and compression gain</w:t>
      </w:r>
      <w:r>
        <w:t xml:space="preserve"> </w:t>
      </w:r>
      <m:oMath>
        <m:r>
          <m:rPr>
            <m:sty m:val="p"/>
          </m:rPr>
          <m:t>log</m:t>
        </m:r>
        <m:d>
          <m:dPr>
            <m:begChr m:val="["/>
            <m:endChr m:val="]"/>
            <m:sepChr m:val=""/>
            <m:grow/>
          </m:dPr>
          <m:e>
            <m:r>
              <m:t>A</m:t>
            </m:r>
            <m:r>
              <m:rPr>
                <m:sty m:val="p"/>
              </m:rPr>
              <m:t>′</m:t>
            </m:r>
            <m:r>
              <m:rPr>
                <m:sty m:val="p"/>
              </m:rPr>
              <m:t>:</m:t>
            </m:r>
            <m:r>
              <m:t>A</m:t>
            </m:r>
          </m:e>
        </m:d>
      </m:oMath>
      <w:r>
        <w:t>.</w:t>
      </w:r>
    </w:p>
    <w:p>
      <w:pPr>
        <w:numPr>
          <w:ilvl w:val="0"/>
          <w:numId w:val="1003"/>
        </w:numPr>
        <w:pStyle w:val="Compact"/>
      </w:pPr>
      <w:r>
        <w:t>Accept the legal move with the best risk-compression tradeoff, subject to a validation constraint.</w:t>
      </w:r>
    </w:p>
    <w:p>
      <w:pPr>
        <w:numPr>
          <w:ilvl w:val="0"/>
          <w:numId w:val="1003"/>
        </w:numPr>
        <w:pStyle w:val="Compact"/>
      </w:pPr>
      <w:r>
        <w:t>Repeat until no accepted supergroup improves the objective.</w:t>
      </w:r>
    </w:p>
    <w:p>
      <w:pPr>
        <w:pStyle w:val="FirstParagraph"/>
        <w:keepLines/>
        <w:spacing w:before="100" w:after="140"/>
        <w:jc w:val="center"/>
      </w:pPr>
      <w:r>
        <w:t>Searching adjacent supergroups avoids repeatedly proposing generators with the same closure. For small</w:t>
      </w:r>
      <w:r>
        <w:t xml:space="preserve"> </w:t>
      </w:r>
      <m:oMath>
        <m:r>
          <m:t>Γ</m:t>
        </m:r>
      </m:oMath>
      <w:r>
        <w:t>, the subgroup lattice can be enumerated exactly. Larger quotients require lattice search, learned proposals, or domain-specified candidate policies.</w:t>
      </w:r>
    </w:p>
    <w:bookmarkEnd w:id="39"/>
    <w:bookmarkStart w:id="40" w:name="X8ced4059ad6c5c3c12f5d4d44c566ede0c0a4f8"/>
    <w:p>
      <w:pPr>
        <w:pStyle w:val="Heading2"/>
      </w:pPr>
      <w:r>
        <w:t>5.4 Filtrations, persistence modules, and a chain-length bound</w:t>
      </w:r>
    </w:p>
    <w:p>
      <w:pPr>
        <w:pStyle w:val="FirstParagraph"/>
        <w:keepLines/>
        <w:spacing w:before="100" w:after="140"/>
        <w:jc w:val="center"/>
      </w:pPr>
      <w:r>
        <w:t>For</w:t>
      </w:r>
      <w:r>
        <w:t xml:space="preserve"> </w:t>
      </w:r>
      <m:oMath>
        <m:r>
          <m:t>J</m:t>
        </m:r>
        <m:r>
          <m:rPr>
            <m:sty m:val="p"/>
          </m:rPr>
          <m:t>⊆</m:t>
        </m:r>
        <m:r>
          <m:t>K</m:t>
        </m:r>
      </m:oMath>
      <w:r>
        <w:t>, define an averaging map</w:t>
      </w:r>
    </w:p>
    <w:p>
      <w:pPr>
        <w:pStyle w:val="BodyText"/>
        <w:keepLines/>
        <w:spacing w:before="100" w:after="140"/>
        <w:jc w:val="center"/>
      </w:pPr>
      <m:oMathPara>
        <m:oMathParaPr>
          <m:jc m:val="center"/>
        </m:oMathParaPr>
        <m:oMath>
          <m:sSub>
            <m:e>
              <m:r>
                <m:t>A</m:t>
              </m:r>
            </m:e>
            <m:sub>
              <m:r>
                <m:t>J</m:t>
              </m:r>
              <m:r>
                <m:rPr>
                  <m:sty m:val="p"/>
                </m:rPr>
                <m:t>,</m:t>
              </m:r>
              <m:r>
                <m:t>K</m:t>
              </m:r>
            </m:sub>
          </m:sSub>
          <m:r>
            <m:rPr>
              <m:sty m:val="p"/>
            </m:rPr>
            <m:t>:</m:t>
          </m:r>
          <m:r>
            <m:rPr>
              <m:sty m:val="p"/>
              <m:scr m:val="double-struck"/>
            </m:rPr>
            <m:t>R</m:t>
          </m:r>
          <m:d>
            <m:dPr>
              <m:begChr m:val="["/>
              <m:endChr m:val="]"/>
              <m:sepChr m:val=""/>
              <m:grow/>
            </m:dPr>
            <m:e>
              <m:r>
                <m:t>J</m:t>
              </m:r>
              <m:r>
                <m:rPr>
                  <m:sty m:val="p"/>
                </m:rPr>
                <m:t>∖</m:t>
              </m:r>
              <m:r>
                <m:t>Γ</m:t>
              </m:r>
            </m:e>
          </m:d>
          <m:r>
            <m:rPr>
              <m:sty m:val="p"/>
            </m:rPr>
            <m:t>→</m:t>
          </m:r>
          <m:r>
            <m:rPr>
              <m:sty m:val="p"/>
              <m:scr m:val="double-struck"/>
            </m:rPr>
            <m:t>R</m:t>
          </m:r>
          <m:d>
            <m:dPr>
              <m:begChr m:val="["/>
              <m:endChr m:val="]"/>
              <m:sepChr m:val=""/>
              <m:grow/>
            </m:dPr>
            <m:e>
              <m:r>
                <m:t>K</m:t>
              </m:r>
              <m:r>
                <m:rPr>
                  <m:sty m:val="p"/>
                </m:rPr>
                <m:t>∖</m:t>
              </m:r>
              <m:r>
                <m:t>Γ</m:t>
              </m:r>
            </m:e>
          </m:d>
        </m:oMath>
      </m:oMathPara>
    </w:p>
    <w:p>
      <w:pPr>
        <w:pStyle w:val="FirstParagraph"/>
      </w:pPr>
      <w:r>
        <w:t>that sums or averages fine coset coordinates inside each coarse coset. Along a chain</w:t>
      </w:r>
    </w:p>
    <w:p>
      <w:pPr>
        <w:pStyle w:val="BodyText"/>
        <w:keepLines/>
        <w:spacing w:before="100" w:after="140"/>
        <w:jc w:val="center"/>
      </w:pPr>
      <m:oMathPara>
        <m:oMathParaPr>
          <m:jc m:val="center"/>
        </m:oMathParaPr>
        <m:oMath>
          <m:sSub>
            <m:e>
              <m:r>
                <m:t>J</m:t>
              </m:r>
            </m:e>
            <m:sub>
              <m:r>
                <m:t>0</m:t>
              </m:r>
            </m:sub>
          </m:sSub>
          <m:r>
            <m:rPr>
              <m:sty m:val="p"/>
            </m:rPr>
            <m:t>⊊</m:t>
          </m:r>
          <m:sSub>
            <m:e>
              <m:r>
                <m:t>J</m:t>
              </m:r>
            </m:e>
            <m:sub>
              <m:r>
                <m:t>1</m:t>
              </m:r>
            </m:sub>
          </m:sSub>
          <m:r>
            <m:rPr>
              <m:sty m:val="p"/>
            </m:rPr>
            <m:t>⊊</m:t>
          </m:r>
          <m:r>
            <m:rPr>
              <m:sty m:val="p"/>
            </m:rPr>
            <m:t>⋯</m:t>
          </m:r>
          <m:r>
            <m:rPr>
              <m:sty m:val="p"/>
            </m:rPr>
            <m:t>⊊</m:t>
          </m:r>
          <m:sSub>
            <m:e>
              <m:r>
                <m:t>J</m:t>
              </m:r>
            </m:e>
            <m:sub>
              <m:r>
                <m:t>r</m:t>
              </m:r>
            </m:sub>
          </m:sSub>
          <m:r>
            <m:rPr>
              <m:sty m:val="p"/>
            </m:rPr>
            <m:t>,</m:t>
          </m:r>
        </m:oMath>
      </m:oMathPara>
    </w:p>
    <w:p>
      <w:pPr>
        <w:pStyle w:val="FirstParagraph"/>
      </w:pPr>
      <w:r>
        <w:t>these maps form a persistence module. A distinction that survives across a long tolerance interval is robust for that selected chain.</w:t>
      </w:r>
    </w:p>
    <w:p>
      <w:pPr>
        <w:pStyle w:val="BodyText"/>
        <w:keepLines/>
        <w:spacing w:before="100" w:after="140"/>
        <w:jc w:val="center"/>
      </w:pPr>
      <w:r>
        <w:rPr>
          <w:bCs/>
          <w:b/>
        </w:rPr>
        <w:t>Proposition 2 (chain-length bound).</w:t>
      </w:r>
      <w:r>
        <w:t xml:space="preserve"> </w:t>
      </w:r>
      <w:r>
        <w:t>Every strict subgroup chain above</w:t>
      </w:r>
      <w:r>
        <w:t xml:space="preserve"> </w:t>
      </w:r>
      <m:oMath>
        <m:sSub>
          <m:e>
            <m:r>
              <m:t>J</m:t>
            </m:r>
          </m:e>
          <m:sub>
            <m:r>
              <m:t>0</m:t>
            </m:r>
          </m:sub>
        </m:sSub>
      </m:oMath>
      <w:r>
        <w:t xml:space="preserve"> </w:t>
      </w:r>
      <w:r>
        <w:t>has length</w:t>
      </w:r>
    </w:p>
    <w:p>
      <w:pPr>
        <w:pStyle w:val="BodyText"/>
        <w:keepLines/>
        <w:spacing w:before="100" w:after="140"/>
        <w:jc w:val="center"/>
      </w:pPr>
      <m:oMathPara>
        <m:oMathParaPr>
          <m:jc m:val="center"/>
        </m:oMathParaPr>
        <m:oMath>
          <m:r>
            <m:t>r</m:t>
          </m:r>
          <m:r>
            <m:rPr>
              <m:sty m:val="p"/>
            </m:rPr>
            <m:t>≤</m:t>
          </m:r>
          <m:r>
            <m:rPr>
              <m:sty m:val="p"/>
            </m:rPr>
            <m:t>floor</m:t>
          </m:r>
          <m:r>
            <m:t>​</m:t>
          </m:r>
          <m:d>
            <m:dPr>
              <m:begChr m:val="("/>
              <m:endChr m:val=")"/>
              <m:sepChr m:val=""/>
              <m:grow/>
            </m:dPr>
            <m:e>
              <m:sSub>
                <m:e>
                  <m:r>
                    <m:rPr>
                      <m:sty m:val="p"/>
                    </m:rPr>
                    <m:t>log</m:t>
                  </m:r>
                </m:e>
                <m:sub>
                  <m:r>
                    <m:t>2</m:t>
                  </m:r>
                </m:sub>
              </m:sSub>
              <m:d>
                <m:dPr>
                  <m:begChr m:val="["/>
                  <m:endChr m:val="]"/>
                  <m:sepChr m:val=""/>
                  <m:grow/>
                </m:dPr>
                <m:e>
                  <m:r>
                    <m:t>Γ</m:t>
                  </m:r>
                  <m:r>
                    <m:rPr>
                      <m:sty m:val="p"/>
                    </m:rPr>
                    <m:t>:</m:t>
                  </m:r>
                  <m:sSub>
                    <m:e>
                      <m:r>
                        <m:t>J</m:t>
                      </m:r>
                    </m:e>
                    <m:sub>
                      <m:r>
                        <m:t>0</m:t>
                      </m:r>
                    </m:sub>
                  </m:sSub>
                </m:e>
              </m:d>
            </m:e>
          </m:d>
          <m:r>
            <m:rPr>
              <m:sty m:val="p"/>
            </m:rPr>
            <m:t>.</m:t>
          </m:r>
        </m:oMath>
      </m:oMathPara>
    </w:p>
    <w:p>
      <w:pPr>
        <w:pStyle w:val="FirstParagraph"/>
      </w:pPr>
      <w:r>
        <w:rPr>
          <w:bCs/>
          <w:b/>
        </w:rPr>
        <w:t>Proof.</w:t>
      </w:r>
      <w:r>
        <w:t xml:space="preserve"> </w:t>
      </w:r>
      <w:r>
        <w:t>Each strict inclusion has integer index at least two, so</w:t>
      </w:r>
    </w:p>
    <w:p>
      <w:pPr>
        <w:pStyle w:val="BodyText"/>
        <w:keepLines/>
        <w:spacing w:before="100" w:after="140"/>
        <w:jc w:val="center"/>
      </w:pPr>
      <m:oMathPara>
        <m:oMathParaPr>
          <m:jc m:val="center"/>
        </m:oMathParaPr>
        <m:oMath>
          <m:d>
            <m:dPr>
              <m:begChr m:val="["/>
              <m:endChr m:val="]"/>
              <m:sepChr m:val=""/>
              <m:grow/>
            </m:dPr>
            <m:e>
              <m:r>
                <m:t>Γ</m:t>
              </m:r>
              <m:r>
                <m:rPr>
                  <m:sty m:val="p"/>
                </m:rPr>
                <m:t>:</m:t>
              </m:r>
              <m:sSub>
                <m:e>
                  <m:r>
                    <m:t>J</m:t>
                  </m:r>
                </m:e>
                <m:sub>
                  <m:r>
                    <m:t>0</m:t>
                  </m:r>
                </m:sub>
              </m:sSub>
            </m:e>
          </m:d>
          <m:r>
            <m:rPr>
              <m:sty m:val="p"/>
            </m:rPr>
            <m:t>=</m:t>
          </m:r>
          <m:d>
            <m:dPr>
              <m:begChr m:val="["/>
              <m:endChr m:val="]"/>
              <m:sepChr m:val=""/>
              <m:grow/>
            </m:dPr>
            <m:e>
              <m:r>
                <m:t>Γ</m:t>
              </m:r>
              <m:r>
                <m:rPr>
                  <m:sty m:val="p"/>
                </m:rPr>
                <m:t>:</m:t>
              </m:r>
              <m:sSub>
                <m:e>
                  <m:r>
                    <m:t>J</m:t>
                  </m:r>
                </m:e>
                <m:sub>
                  <m:r>
                    <m:t>r</m:t>
                  </m:r>
                </m:sub>
              </m:sSub>
            </m:e>
          </m:d>
          <m:nary>
            <m:naryPr>
              <m:chr m:val="∏"/>
              <m:limLoc m:val="undOvr"/>
              <m:subHide m:val="off"/>
              <m:supHide m:val="off"/>
            </m:naryPr>
            <m:sub>
              <m:r>
                <m:t>i</m:t>
              </m:r>
              <m:r>
                <m:rPr>
                  <m:sty m:val="p"/>
                </m:rPr>
                <m:t>=</m:t>
              </m:r>
              <m:r>
                <m:t>0</m:t>
              </m:r>
            </m:sub>
            <m:sup>
              <m:r>
                <m:t>r</m:t>
              </m:r>
              <m:r>
                <m:rPr>
                  <m:sty m:val="p"/>
                </m:rPr>
                <m:t>−</m:t>
              </m:r>
              <m:r>
                <m:t>1</m:t>
              </m:r>
            </m:sup>
            <m:e>
              <m:d>
                <m:dPr>
                  <m:begChr m:val="["/>
                  <m:endChr m:val="]"/>
                  <m:sepChr m:val=""/>
                  <m:grow/>
                </m:dPr>
                <m:e>
                  <m:sSub>
                    <m:e>
                      <m:r>
                        <m:t>J</m:t>
                      </m:r>
                    </m:e>
                    <m:sub>
                      <m:r>
                        <m:t>i</m:t>
                      </m:r>
                      <m:r>
                        <m:rPr>
                          <m:sty m:val="p"/>
                        </m:rPr>
                        <m:t>+</m:t>
                      </m:r>
                      <m:r>
                        <m:t>1</m:t>
                      </m:r>
                    </m:sub>
                  </m:sSub>
                  <m:r>
                    <m:rPr>
                      <m:sty m:val="p"/>
                    </m:rPr>
                    <m:t>:</m:t>
                  </m:r>
                  <m:sSub>
                    <m:e>
                      <m:r>
                        <m:t>J</m:t>
                      </m:r>
                    </m:e>
                    <m:sub>
                      <m:r>
                        <m:t>i</m:t>
                      </m:r>
                    </m:sub>
                  </m:sSub>
                </m:e>
              </m:d>
            </m:e>
          </m:nary>
          <m:r>
            <m:rPr>
              <m:sty m:val="p"/>
            </m:rPr>
            <m:t>≥</m:t>
          </m:r>
          <m:sSup>
            <m:e>
              <m:r>
                <m:t>2</m:t>
              </m:r>
            </m:e>
            <m:sup>
              <m:r>
                <m:t>r</m:t>
              </m:r>
            </m:sup>
          </m:sSup>
          <m:r>
            <m:rPr>
              <m:sty m:val="p"/>
            </m:rPr>
            <m:t>.</m:t>
          </m:r>
        </m:oMath>
      </m:oMathPara>
    </w:p>
    <w:p>
      <w:pPr>
        <w:pStyle w:val="FirstParagraph"/>
        <w:keepLines/>
        <w:spacing w:before="100" w:after="140"/>
        <w:jc w:val="center"/>
      </w:pPr>
      <w:r>
        <w:t>Taking logarithms proves the claim.</w:t>
      </w:r>
      <w:r>
        <w:t xml:space="preserve"> </w:t>
      </w:r>
      <m:oMath>
        <m:r>
          <m:rPr>
            <m:sty m:val="p"/>
          </m:rPr>
          <m:t>▫</m:t>
        </m:r>
      </m:oMath>
    </w:p>
    <w:p>
      <w:pPr>
        <w:pStyle w:val="BodyText"/>
      </w:pPr>
      <w:r>
        <w:t>The full policy space is still a lattice. In particular, a list of state counts is not automatically a filtration: each later count must divide the earlier count.</w:t>
      </w:r>
    </w:p>
    <w:bookmarkEnd w:id="40"/>
    <w:bookmarkEnd w:id="41"/>
    <w:bookmarkStart w:id="46" w:name="Xa00012432225f6aff95d20a69ce33c54d26b135"/>
    <w:p>
      <w:pPr>
        <w:pStyle w:val="Heading1"/>
      </w:pPr>
      <w:r>
        <w:t>6. Finite cover refinement conserves lifting obstructions</w:t>
      </w:r>
    </w:p>
    <w:bookmarkStart w:id="42" w:name="connecting-morphism-as-a-lifting-test"/>
    <w:p>
      <w:pPr>
        <w:pStyle w:val="Heading2"/>
      </w:pPr>
      <w:r>
        <w:t>6.1 Connecting morphism as a lifting test</w:t>
      </w:r>
    </w:p>
    <w:p>
      <w:pPr>
        <w:pStyle w:val="FirstParagraph"/>
      </w:pPr>
      <w:r>
        <w:t>Let</w:t>
      </w:r>
    </w:p>
    <w:p>
      <w:pPr>
        <w:pStyle w:val="BodyText"/>
        <w:keepLines/>
        <w:spacing w:before="100" w:after="140"/>
        <w:jc w:val="center"/>
      </w:pPr>
      <m:oMathPara>
        <m:oMathParaPr>
          <m:jc m:val="center"/>
        </m:oMathParaPr>
        <m:oMath>
          <m:r>
            <m:t>0</m:t>
          </m:r>
          <m:r>
            <m:rPr>
              <m:sty m:val="p"/>
            </m:rPr>
            <m:t>→</m:t>
          </m:r>
          <m:r>
            <m:rPr>
              <m:sty m:val="p"/>
              <m:scr m:val="script"/>
            </m:rPr>
            <m:t>S</m:t>
          </m:r>
          <m:limUpp>
            <m:e>
              <m:r>
                <m:rPr>
                  <m:sty m:val="p"/>
                </m:rPr>
                <m:t>→</m:t>
              </m:r>
            </m:e>
            <m:lim>
              <m:r>
                <m:t>i</m:t>
              </m:r>
            </m:lim>
          </m:limUpp>
          <m:r>
            <m:rPr>
              <m:sty m:val="p"/>
              <m:scr m:val="script"/>
            </m:rPr>
            <m:t>F</m:t>
          </m:r>
          <m:limUpp>
            <m:e>
              <m:r>
                <m:rPr>
                  <m:sty m:val="p"/>
                </m:rPr>
                <m:t>→</m:t>
              </m:r>
            </m:e>
            <m:lim>
              <m:r>
                <m:t>p</m:t>
              </m:r>
            </m:lim>
          </m:limUpp>
          <m:r>
            <m:rPr>
              <m:sty m:val="p"/>
              <m:scr m:val="script"/>
            </m:rPr>
            <m:t>Q</m:t>
          </m:r>
          <m:r>
            <m:rPr>
              <m:sty m:val="p"/>
            </m:rPr>
            <m:t>→</m:t>
          </m:r>
          <m:r>
            <m:t>0</m:t>
          </m:r>
        </m:oMath>
      </m:oMathPara>
    </w:p>
    <w:p>
      <w:pPr>
        <w:pStyle w:val="FirstParagraph"/>
        <w:keepLines/>
        <w:spacing w:before="100" w:after="140"/>
        <w:jc w:val="center"/>
      </w:pPr>
      <w:r>
        <w:t>be a short exact sequence of finite-dimensional cellular sheaves on a finite connected graph</w:t>
      </w:r>
      <w:r>
        <w:t xml:space="preserve"> </w:t>
      </w:r>
      <m:oMath>
        <m:r>
          <m:t>X</m:t>
        </m:r>
      </m:oMath>
      <w:r>
        <w:t>. Assume</w:t>
      </w:r>
      <w:r>
        <w:t xml:space="preserve"> </w:t>
      </w:r>
      <m:oMath>
        <m:r>
          <m:rPr>
            <m:sty m:val="p"/>
            <m:scr m:val="script"/>
          </m:rPr>
          <m:t>S</m:t>
        </m:r>
      </m:oMath>
      <w:r>
        <w:t xml:space="preserve"> </w:t>
      </w:r>
      <w:r>
        <w:t>is a Hilbert local system. For</w:t>
      </w:r>
      <w:r>
        <w:t xml:space="preserve"> </w:t>
      </w:r>
      <m:oMath>
        <m:r>
          <m:t>q</m:t>
        </m:r>
        <m:r>
          <m:rPr>
            <m:sty m:val="p"/>
          </m:rPr>
          <m:t>∈</m:t>
        </m:r>
        <m:sSup>
          <m:e>
            <m:r>
              <m:t>H</m:t>
            </m:r>
          </m:e>
          <m:sup>
            <m:r>
              <m:t>0</m:t>
            </m:r>
          </m:sup>
        </m:sSup>
        <m:d>
          <m:dPr>
            <m:begChr m:val="("/>
            <m:endChr m:val=")"/>
            <m:sepChr m:val=""/>
            <m:grow/>
          </m:dPr>
          <m:e>
            <m:r>
              <m:t>X</m:t>
            </m:r>
            <m:r>
              <m:rPr>
                <m:sty m:val="p"/>
              </m:rPr>
              <m:t>;</m:t>
            </m:r>
            <m:r>
              <m:rPr>
                <m:sty m:val="p"/>
                <m:scr m:val="script"/>
              </m:rPr>
              <m:t>Q</m:t>
            </m:r>
          </m:e>
        </m:d>
      </m:oMath>
      <w:r>
        <w:t>, choose a zero-cochain lift</w:t>
      </w:r>
      <w:r>
        <w:t xml:space="preserve"> </w:t>
      </w:r>
      <m:oMath>
        <m:acc>
          <m:accPr>
            <m:chr m:val="̃"/>
          </m:accPr>
          <m:e>
            <m:r>
              <m:t>q</m:t>
            </m:r>
          </m:e>
        </m:acc>
        <m:r>
          <m:rPr>
            <m:sty m:val="p"/>
          </m:rPr>
          <m:t>∈</m:t>
        </m:r>
        <m:sSup>
          <m:e>
            <m:r>
              <m:t>C</m:t>
            </m:r>
          </m:e>
          <m:sup>
            <m:r>
              <m:t>0</m:t>
            </m:r>
          </m:sup>
        </m:sSup>
        <m:d>
          <m:dPr>
            <m:begChr m:val="("/>
            <m:endChr m:val=")"/>
            <m:sepChr m:val=""/>
            <m:grow/>
          </m:dPr>
          <m:e>
            <m:r>
              <m:t>X</m:t>
            </m:r>
            <m:r>
              <m:rPr>
                <m:sty m:val="p"/>
              </m:rPr>
              <m:t>;</m:t>
            </m:r>
            <m:r>
              <m:rPr>
                <m:sty m:val="p"/>
                <m:scr m:val="script"/>
              </m:rPr>
              <m:t>F</m:t>
            </m:r>
          </m:e>
        </m:d>
      </m:oMath>
      <w:r>
        <w:t xml:space="preserve"> </w:t>
      </w:r>
      <w:r>
        <w:t>with</w:t>
      </w:r>
      <w:r>
        <w:t xml:space="preserve"> </w:t>
      </w:r>
      <m:oMath>
        <m:r>
          <m:t>p</m:t>
        </m:r>
        <m:acc>
          <m:accPr>
            <m:chr m:val="̃"/>
          </m:accPr>
          <m:e>
            <m:r>
              <m:t>q</m:t>
            </m:r>
          </m:e>
        </m:acc>
        <m:r>
          <m:rPr>
            <m:sty m:val="p"/>
          </m:rPr>
          <m:t>=</m:t>
        </m:r>
        <m:r>
          <m:t>q</m:t>
        </m:r>
      </m:oMath>
      <w:r>
        <w:t>. Because</w:t>
      </w:r>
      <w:r>
        <w:t xml:space="preserve"> </w:t>
      </w:r>
      <m:oMath>
        <m:r>
          <m:t>q</m:t>
        </m:r>
      </m:oMath>
      <w:r>
        <w:t xml:space="preserve"> </w:t>
      </w:r>
      <w:r>
        <w:t>is globally consistent,</w:t>
      </w:r>
      <w:r>
        <w:t xml:space="preserve"> </w:t>
      </w:r>
      <m:oMath>
        <m:sSub>
          <m:e>
            <m:r>
              <m:t>d</m:t>
            </m:r>
          </m:e>
          <m:sub>
            <m:r>
              <m:rPr>
                <m:sty m:val="p"/>
                <m:scr m:val="script"/>
              </m:rPr>
              <m:t>F</m:t>
            </m:r>
          </m:sub>
        </m:sSub>
        <m:acc>
          <m:accPr>
            <m:chr m:val="̃"/>
          </m:accPr>
          <m:e>
            <m:r>
              <m:t>q</m:t>
            </m:r>
          </m:e>
        </m:acc>
      </m:oMath>
      <w:r>
        <w:t xml:space="preserve"> </w:t>
      </w:r>
      <w:r>
        <w:t>lies in</w:t>
      </w:r>
      <w:r>
        <w:t xml:space="preserve"> </w:t>
      </w:r>
      <m:oMath>
        <m:r>
          <m:t>i</m:t>
        </m:r>
        <m:d>
          <m:dPr>
            <m:begChr m:val="("/>
            <m:endChr m:val=")"/>
            <m:sepChr m:val=""/>
            <m:grow/>
          </m:dPr>
          <m:e>
            <m:sSup>
              <m:e>
                <m:r>
                  <m:t>C</m:t>
                </m:r>
              </m:e>
              <m:sup>
                <m:r>
                  <m:t>1</m:t>
                </m:r>
              </m:sup>
            </m:sSup>
            <m:d>
              <m:dPr>
                <m:begChr m:val="("/>
                <m:endChr m:val=")"/>
                <m:sepChr m:val=""/>
                <m:grow/>
              </m:dPr>
              <m:e>
                <m:r>
                  <m:t>X</m:t>
                </m:r>
                <m:r>
                  <m:rPr>
                    <m:sty m:val="p"/>
                  </m:rPr>
                  <m:t>;</m:t>
                </m:r>
                <m:r>
                  <m:rPr>
                    <m:sty m:val="p"/>
                    <m:scr m:val="script"/>
                  </m:rPr>
                  <m:t>S</m:t>
                </m:r>
              </m:e>
            </m:d>
          </m:e>
        </m:d>
      </m:oMath>
      <w:r>
        <w:t>. Its cohomology class is independent of the lift and defines</w:t>
      </w:r>
    </w:p>
    <w:p>
      <w:pPr>
        <w:pStyle w:val="BodyText"/>
        <w:keepLines/>
        <w:spacing w:before="100" w:after="140"/>
        <w:jc w:val="center"/>
      </w:pPr>
      <m:oMathPara>
        <m:oMathParaPr>
          <m:jc m:val="center"/>
        </m:oMathParaPr>
        <m:oMath>
          <m:r>
            <m:rPr>
              <m:sty m:val="p"/>
            </m:rPr>
            <m:t>∂</m:t>
          </m:r>
          <m:d>
            <m:dPr>
              <m:begChr m:val="["/>
              <m:endChr m:val="]"/>
              <m:sepChr m:val=""/>
              <m:grow/>
            </m:dPr>
            <m:e>
              <m:r>
                <m:t>q</m:t>
              </m:r>
            </m:e>
          </m:d>
          <m:r>
            <m:rPr>
              <m:sty m:val="p"/>
            </m:rPr>
            <m:t>=</m:t>
          </m:r>
          <m:d>
            <m:dPr>
              <m:begChr m:val="["/>
              <m:endChr m:val="]"/>
              <m:sepChr m:val=""/>
              <m:grow/>
            </m:dPr>
            <m:e>
              <m:sSup>
                <m:e>
                  <m:r>
                    <m:t>i</m:t>
                  </m:r>
                </m:e>
                <m:sup>
                  <m:r>
                    <m:rPr>
                      <m:sty m:val="p"/>
                    </m:rPr>
                    <m:t>−</m:t>
                  </m:r>
                  <m:r>
                    <m:t>1</m:t>
                  </m:r>
                </m:sup>
              </m:sSup>
              <m:sSub>
                <m:e>
                  <m:r>
                    <m:t>d</m:t>
                  </m:r>
                </m:e>
                <m:sub>
                  <m:r>
                    <m:rPr>
                      <m:sty m:val="p"/>
                      <m:scr m:val="script"/>
                    </m:rPr>
                    <m:t>F</m:t>
                  </m:r>
                </m:sub>
              </m:sSub>
              <m:acc>
                <m:accPr>
                  <m:chr m:val="̃"/>
                </m:accPr>
                <m:e>
                  <m:r>
                    <m:t>q</m:t>
                  </m:r>
                </m:e>
              </m:acc>
            </m:e>
          </m:d>
          <m:r>
            <m:rPr>
              <m:sty m:val="p"/>
            </m:rPr>
            <m:t>∈</m:t>
          </m:r>
          <m:sSup>
            <m:e>
              <m:r>
                <m:t>H</m:t>
              </m:r>
            </m:e>
            <m:sup>
              <m:r>
                <m:t>1</m:t>
              </m:r>
            </m:sup>
          </m:sSup>
          <m:d>
            <m:dPr>
              <m:begChr m:val="("/>
              <m:endChr m:val=")"/>
              <m:sepChr m:val=""/>
              <m:grow/>
            </m:dPr>
            <m:e>
              <m:r>
                <m:t>X</m:t>
              </m:r>
              <m:r>
                <m:rPr>
                  <m:sty m:val="p"/>
                </m:rPr>
                <m:t>;</m:t>
              </m:r>
              <m:r>
                <m:rPr>
                  <m:sty m:val="p"/>
                  <m:scr m:val="script"/>
                </m:rPr>
                <m:t>S</m:t>
              </m:r>
            </m:e>
          </m:d>
          <m:r>
            <m:rPr>
              <m:sty m:val="p"/>
            </m:rPr>
            <m:t>.</m:t>
          </m:r>
        </m:oMath>
      </m:oMathPara>
    </w:p>
    <w:p>
      <w:pPr>
        <w:pStyle w:val="FirstParagraph"/>
        <w:keepLines/>
        <w:spacing w:before="100" w:after="140"/>
        <w:jc w:val="center"/>
      </w:pPr>
      <w:r>
        <w:t>The class vanishes exactly when</w:t>
      </w:r>
      <w:r>
        <w:t xml:space="preserve"> </w:t>
      </w:r>
      <m:oMath>
        <m:r>
          <m:t>q</m:t>
        </m:r>
      </m:oMath>
      <w:r>
        <w:t xml:space="preserve"> </w:t>
      </w:r>
      <w:r>
        <w:t>lifts to a global section of</w:t>
      </w:r>
      <w:r>
        <w:t xml:space="preserve"> </w:t>
      </w:r>
      <m:oMath>
        <m:r>
          <m:rPr>
            <m:sty m:val="p"/>
            <m:scr m:val="script"/>
          </m:rPr>
          <m:t>F</m:t>
        </m:r>
      </m:oMath>
      <w:r>
        <w:t>.</w:t>
      </w:r>
    </w:p>
    <w:p>
      <w:pPr>
        <w:pStyle w:val="BodyText"/>
        <w:keepLines/>
        <w:spacing w:before="100" w:after="140"/>
        <w:jc w:val="center"/>
      </w:pPr>
      <w:r>
        <w:t>Choose inner products on stalks. On a graph, the harmonic representative of a class in</w:t>
      </w:r>
      <w:r>
        <w:t xml:space="preserve"> </w:t>
      </w:r>
      <m:oMath>
        <m:sSup>
          <m:e>
            <m:r>
              <m:t>H</m:t>
            </m:r>
          </m:e>
          <m:sup>
            <m:r>
              <m:t>1</m:t>
            </m:r>
          </m:sup>
        </m:sSup>
      </m:oMath>
      <w:r>
        <w:t xml:space="preserve"> </w:t>
      </w:r>
      <w:r>
        <w:t>is its orthogonal projection to</w:t>
      </w:r>
    </w:p>
    <w:p>
      <w:pPr>
        <w:pStyle w:val="BodyText"/>
        <w:keepLines/>
        <w:spacing w:before="100" w:after="140"/>
        <w:jc w:val="center"/>
      </w:pPr>
      <m:oMathPara>
        <m:oMathParaPr>
          <m:jc m:val="center"/>
        </m:oMathParaPr>
        <m:oMath>
          <m:sSup>
            <m:e>
              <m:r>
                <m:rPr>
                  <m:sty m:val="p"/>
                  <m:scr m:val="script"/>
                </m:rPr>
                <m:t>H</m:t>
              </m:r>
            </m:e>
            <m:sup>
              <m:r>
                <m:t>1</m:t>
              </m:r>
            </m:sup>
          </m:sSup>
          <m:d>
            <m:dPr>
              <m:begChr m:val="("/>
              <m:endChr m:val=")"/>
              <m:sepChr m:val=""/>
              <m:grow/>
            </m:dPr>
            <m:e>
              <m:r>
                <m:t>X</m:t>
              </m:r>
              <m:r>
                <m:rPr>
                  <m:sty m:val="p"/>
                </m:rPr>
                <m:t>;</m:t>
              </m:r>
              <m:r>
                <m:rPr>
                  <m:sty m:val="p"/>
                  <m:scr m:val="script"/>
                </m:rPr>
                <m:t>S</m:t>
              </m:r>
            </m:e>
          </m:d>
          <m:r>
            <m:rPr>
              <m:sty m:val="p"/>
            </m:rPr>
            <m:t>=</m:t>
          </m:r>
          <m:r>
            <m:rPr>
              <m:sty m:val="p"/>
            </m:rPr>
            <m:t>ker</m:t>
          </m:r>
          <m:sSubSup>
            <m:e>
              <m:r>
                <m:t>d</m:t>
              </m:r>
            </m:e>
            <m:sub>
              <m:r>
                <m:rPr>
                  <m:sty m:val="p"/>
                  <m:scr m:val="script"/>
                </m:rPr>
                <m:t>S</m:t>
              </m:r>
            </m:sub>
            <m:sup>
              <m:r>
                <m:rPr>
                  <m:sty m:val="p"/>
                </m:rPr>
                <m:t>*</m:t>
              </m:r>
            </m:sup>
          </m:sSubSup>
          <m:r>
            <m:rPr>
              <m:sty m:val="p"/>
            </m:rPr>
            <m:t>.</m:t>
          </m:r>
        </m:oMath>
      </m:oMathPara>
    </w:p>
    <w:p>
      <w:pPr>
        <w:pStyle w:val="FirstParagraph"/>
      </w:pPr>
      <w:r>
        <w:t>We measure obstruction magnitude by the norm of this representative.</w:t>
      </w:r>
    </w:p>
    <w:bookmarkEnd w:id="42"/>
    <w:bookmarkStart w:id="43" w:name="the-conservation-theorem"/>
    <w:p>
      <w:pPr>
        <w:pStyle w:val="Heading2"/>
      </w:pPr>
      <w:r>
        <w:t>6.2 The conservation theorem</w:t>
      </w:r>
    </w:p>
    <w:p>
      <w:pPr>
        <w:pStyle w:val="FirstParagraph"/>
        <w:keepLines/>
        <w:spacing w:before="100" w:after="140"/>
        <w:jc w:val="center"/>
      </w:pPr>
      <w:r>
        <w:t>Let</w:t>
      </w:r>
      <w:r>
        <w:t xml:space="preserve"> </w:t>
      </w:r>
      <m:oMath>
        <m:r>
          <m:t>r</m:t>
        </m:r>
        <m:r>
          <m:rPr>
            <m:sty m:val="p"/>
          </m:rPr>
          <m:t>:</m:t>
        </m:r>
        <m:r>
          <m:t>X</m:t>
        </m:r>
        <m:r>
          <m:rPr>
            <m:sty m:val="p"/>
          </m:rPr>
          <m:t>′</m:t>
        </m:r>
        <m:r>
          <m:rPr>
            <m:sty m:val="p"/>
          </m:rPr>
          <m:t>→</m:t>
        </m:r>
        <m:r>
          <m:t>X</m:t>
        </m:r>
      </m:oMath>
      <w:r>
        <w:t xml:space="preserve"> </w:t>
      </w:r>
      <w:r>
        <w:t>be an</w:t>
      </w:r>
      <w:r>
        <w:t xml:space="preserve"> </w:t>
      </w:r>
      <m:oMath>
        <m:r>
          <m:t>m</m:t>
        </m:r>
      </m:oMath>
      <w:r>
        <w:t>-sheeted covering. Pullback repeats every base cochain once on each sheet. Consequently,</w:t>
      </w:r>
    </w:p>
    <w:p>
      <w:pPr>
        <w:pStyle w:val="BodyText"/>
        <w:keepLines/>
        <w:spacing w:before="100" w:after="140"/>
        <w:jc w:val="center"/>
      </w:pPr>
      <m:oMathPara>
        <m:oMathParaPr>
          <m:jc m:val="center"/>
        </m:oMathParaPr>
        <m:oMath>
          <m:r>
            <m:rPr>
              <m:sty m:val="p"/>
            </m:rPr>
            <m:t>∥</m:t>
          </m:r>
          <m:sSup>
            <m:e>
              <m:r>
                <m:t>r</m:t>
              </m:r>
            </m:e>
            <m:sup>
              <m:r>
                <m:rPr>
                  <m:sty m:val="p"/>
                </m:rPr>
                <m:t>*</m:t>
              </m:r>
            </m:sup>
          </m:sSup>
          <m:r>
            <m:t>c</m:t>
          </m:r>
          <m:sSup>
            <m:e>
              <m:r>
                <m:rPr>
                  <m:sty m:val="p"/>
                </m:rPr>
                <m:t>∥</m:t>
              </m:r>
            </m:e>
            <m:sup>
              <m:r>
                <m:t>2</m:t>
              </m:r>
            </m:sup>
          </m:sSup>
          <m:r>
            <m:rPr>
              <m:sty m:val="p"/>
            </m:rPr>
            <m:t>=</m:t>
          </m:r>
          <m:r>
            <m:t>m</m:t>
          </m:r>
          <m:r>
            <m:rPr>
              <m:sty m:val="p"/>
            </m:rPr>
            <m:t>∥</m:t>
          </m:r>
          <m:r>
            <m:t>c</m:t>
          </m:r>
          <m:sSup>
            <m:e>
              <m:r>
                <m:rPr>
                  <m:sty m:val="p"/>
                </m:rPr>
                <m:t>∥</m:t>
              </m:r>
            </m:e>
            <m:sup>
              <m:r>
                <m:t>2</m:t>
              </m:r>
            </m:sup>
          </m:sSup>
          <m:r>
            <m:rPr>
              <m:sty m:val="p"/>
            </m:rPr>
            <m:t>.</m:t>
          </m:r>
        </m:oMath>
      </m:oMathPara>
    </w:p>
    <w:p>
      <w:pPr>
        <w:pStyle w:val="FirstParagraph"/>
        <w:keepLines/>
        <w:spacing w:before="100" w:after="140"/>
        <w:jc w:val="center"/>
      </w:pPr>
      <w:r>
        <w:t>Define normalized pullback</w:t>
      </w:r>
      <w:r>
        <w:t xml:space="preserve"> </w:t>
      </w:r>
      <m:oMath>
        <m:sSup>
          <m:e>
            <m:acc>
              <m:accPr>
                <m:chr m:val="̂"/>
              </m:accPr>
              <m:e>
                <m:r>
                  <m:t>r</m:t>
                </m:r>
              </m:e>
            </m:acc>
          </m:e>
          <m:sup>
            <m:r>
              <m:rPr>
                <m:sty m:val="p"/>
              </m:rPr>
              <m:t>*</m:t>
            </m:r>
          </m:sup>
        </m:sSup>
        <m:r>
          <m:rPr>
            <m:sty m:val="p"/>
          </m:rPr>
          <m:t>=</m:t>
        </m:r>
        <m:sSup>
          <m:e>
            <m:r>
              <m:t>m</m:t>
            </m:r>
          </m:e>
          <m:sup>
            <m:r>
              <m:rPr>
                <m:sty m:val="p"/>
              </m:rPr>
              <m:t>−</m:t>
            </m:r>
            <m:r>
              <m:t>1</m:t>
            </m:r>
            <m:r>
              <m:rPr>
                <m:sty m:val="p"/>
              </m:rPr>
              <m:t>/</m:t>
            </m:r>
            <m:r>
              <m:t>2</m:t>
            </m:r>
          </m:sup>
        </m:sSup>
        <m:sSup>
          <m:e>
            <m:r>
              <m:t>r</m:t>
            </m:r>
          </m:e>
          <m:sup>
            <m:r>
              <m:rPr>
                <m:sty m:val="p"/>
              </m:rPr>
              <m:t>*</m:t>
            </m:r>
          </m:sup>
        </m:sSup>
      </m:oMath>
      <w:r>
        <w:t>.</w:t>
      </w:r>
    </w:p>
    <w:p>
      <w:pPr>
        <w:pStyle w:val="BodyText"/>
      </w:pPr>
      <w:r>
        <w:rPr>
          <w:bCs/>
          <w:b/>
        </w:rPr>
        <w:t>Theorem 3 (finite-cover conservation).</w:t>
      </w:r>
      <w:r>
        <w:t xml:space="preserve"> </w:t>
      </w:r>
      <w:r>
        <w:t>Under the assumptions above, normalized pullback is an isometry onto a reducing subspace of the pulled-back Hodge Laplacian and is natural with respect to the connecting morphism. In degree one,</w:t>
      </w:r>
    </w:p>
    <w:p>
      <w:pPr>
        <w:pStyle w:val="BodyText"/>
        <w:keepLines/>
        <w:spacing w:before="100" w:after="140"/>
        <w:jc w:val="center"/>
      </w:pPr>
      <m:oMathPara>
        <m:oMathParaPr>
          <m:jc m:val="center"/>
        </m:oMathParaPr>
        <m:oMath>
          <m:sSub>
            <m:e>
              <m:r>
                <m:t>P</m:t>
              </m:r>
            </m:e>
            <m:sub>
              <m:r>
                <m:rPr>
                  <m:sty m:val="p"/>
                  <m:scr m:val="script"/>
                </m:rPr>
                <m:t>H</m:t>
              </m:r>
              <m:r>
                <m:rPr>
                  <m:sty m:val="p"/>
                </m:rPr>
                <m:t>′</m:t>
              </m:r>
            </m:sub>
          </m:sSub>
          <m:r>
            <m:t> </m:t>
          </m:r>
          <m:r>
            <m:rPr>
              <m:sty m:val="p"/>
            </m:rPr>
            <m:t>∂</m:t>
          </m:r>
          <m:r>
            <m:rPr>
              <m:sty m:val="p"/>
            </m:rPr>
            <m:t>′</m:t>
          </m:r>
          <m:r>
            <m:t>​</m:t>
          </m:r>
          <m:d>
            <m:dPr>
              <m:begChr m:val="("/>
              <m:endChr m:val=")"/>
              <m:sepChr m:val=""/>
              <m:grow/>
            </m:dPr>
            <m:e>
              <m:sSup>
                <m:e>
                  <m:acc>
                    <m:accPr>
                      <m:chr m:val="̂"/>
                    </m:accPr>
                    <m:e>
                      <m:r>
                        <m:t>r</m:t>
                      </m:r>
                    </m:e>
                  </m:acc>
                </m:e>
                <m:sup>
                  <m:r>
                    <m:rPr>
                      <m:sty m:val="p"/>
                    </m:rPr>
                    <m:t>*</m:t>
                  </m:r>
                </m:sup>
              </m:sSup>
              <m:d>
                <m:dPr>
                  <m:begChr m:val="["/>
                  <m:endChr m:val="]"/>
                  <m:sepChr m:val=""/>
                  <m:grow/>
                </m:dPr>
                <m:e>
                  <m:r>
                    <m:t>q</m:t>
                  </m:r>
                </m:e>
              </m:d>
            </m:e>
          </m:d>
          <m:r>
            <m:rPr>
              <m:sty m:val="p"/>
            </m:rPr>
            <m:t>=</m:t>
          </m:r>
          <m:sSup>
            <m:e>
              <m:acc>
                <m:accPr>
                  <m:chr m:val="̂"/>
                </m:accPr>
                <m:e>
                  <m:r>
                    <m:t>r</m:t>
                  </m:r>
                </m:e>
              </m:acc>
            </m:e>
            <m:sup>
              <m:r>
                <m:rPr>
                  <m:sty m:val="p"/>
                </m:rPr>
                <m:t>*</m:t>
              </m:r>
            </m:sup>
          </m:sSup>
          <m:sSub>
            <m:e>
              <m:r>
                <m:t>P</m:t>
              </m:r>
            </m:e>
            <m:sub>
              <m:r>
                <m:rPr>
                  <m:sty m:val="p"/>
                  <m:scr m:val="script"/>
                </m:rPr>
                <m:t>H</m:t>
              </m:r>
            </m:sub>
          </m:sSub>
          <m:r>
            <m:t> </m:t>
          </m:r>
          <m:r>
            <m:rPr>
              <m:sty m:val="p"/>
            </m:rPr>
            <m:t>∂</m:t>
          </m:r>
          <m:d>
            <m:dPr>
              <m:begChr m:val="["/>
              <m:endChr m:val="]"/>
              <m:sepChr m:val=""/>
              <m:grow/>
            </m:dPr>
            <m:e>
              <m:r>
                <m:t>q</m:t>
              </m:r>
            </m:e>
          </m:d>
          <m:r>
            <m:rPr>
              <m:sty m:val="p"/>
            </m:rPr>
            <m:t>.</m:t>
          </m:r>
        </m:oMath>
      </m:oMathPara>
    </w:p>
    <w:p>
      <w:pPr>
        <w:pStyle w:val="FirstParagraph"/>
      </w:pPr>
      <w:r>
        <w:t>Therefore</w:t>
      </w:r>
    </w:p>
    <w:p>
      <w:pPr>
        <w:pStyle w:val="BodyText"/>
        <w:keepLines/>
        <w:spacing w:before="100" w:after="140"/>
        <w:jc w:val="center"/>
      </w:pPr>
      <m:oMathPara>
        <m:oMathParaPr>
          <m:jc m:val="center"/>
        </m:oMathParaPr>
        <m:oMath>
          <m:d>
            <m:dPr>
              <m:begChr m:val="∥"/>
              <m:endChr m:val="∥"/>
              <m:sepChr m:val=""/>
              <m:grow/>
            </m:dPr>
            <m:e>
              <m:sSub>
                <m:e>
                  <m:r>
                    <m:t>P</m:t>
                  </m:r>
                </m:e>
                <m:sub>
                  <m:r>
                    <m:rPr>
                      <m:sty m:val="p"/>
                      <m:scr m:val="script"/>
                    </m:rPr>
                    <m:t>H</m:t>
                  </m:r>
                  <m:r>
                    <m:rPr>
                      <m:sty m:val="p"/>
                    </m:rPr>
                    <m:t>′</m:t>
                  </m:r>
                </m:sub>
              </m:sSub>
              <m:r>
                <m:rPr>
                  <m:sty m:val="p"/>
                </m:rPr>
                <m:t>∂</m:t>
              </m:r>
              <m:r>
                <m:rPr>
                  <m:sty m:val="p"/>
                </m:rPr>
                <m:t>′</m:t>
              </m:r>
              <m:r>
                <m:t>​</m:t>
              </m:r>
              <m:d>
                <m:dPr>
                  <m:begChr m:val="("/>
                  <m:endChr m:val=")"/>
                  <m:sepChr m:val=""/>
                  <m:grow/>
                </m:dPr>
                <m:e>
                  <m:sSup>
                    <m:e>
                      <m:acc>
                        <m:accPr>
                          <m:chr m:val="̂"/>
                        </m:accPr>
                        <m:e>
                          <m:r>
                            <m:t>r</m:t>
                          </m:r>
                        </m:e>
                      </m:acc>
                    </m:e>
                    <m:sup>
                      <m:r>
                        <m:rPr>
                          <m:sty m:val="p"/>
                        </m:rPr>
                        <m:t>*</m:t>
                      </m:r>
                    </m:sup>
                  </m:sSup>
                  <m:d>
                    <m:dPr>
                      <m:begChr m:val="["/>
                      <m:endChr m:val="]"/>
                      <m:sepChr m:val=""/>
                      <m:grow/>
                    </m:dPr>
                    <m:e>
                      <m:r>
                        <m:t>q</m:t>
                      </m:r>
                    </m:e>
                  </m:d>
                </m:e>
              </m:d>
            </m:e>
          </m:d>
          <m:r>
            <m:rPr>
              <m:sty m:val="p"/>
            </m:rPr>
            <m:t>=</m:t>
          </m:r>
          <m:d>
            <m:dPr>
              <m:begChr m:val="∥"/>
              <m:endChr m:val="∥"/>
              <m:sepChr m:val=""/>
              <m:grow/>
            </m:dPr>
            <m:e>
              <m:sSub>
                <m:e>
                  <m:r>
                    <m:t>P</m:t>
                  </m:r>
                </m:e>
                <m:sub>
                  <m:r>
                    <m:rPr>
                      <m:sty m:val="p"/>
                      <m:scr m:val="script"/>
                    </m:rPr>
                    <m:t>H</m:t>
                  </m:r>
                </m:sub>
              </m:sSub>
              <m:r>
                <m:rPr>
                  <m:sty m:val="p"/>
                </m:rPr>
                <m:t>∂</m:t>
              </m:r>
              <m:d>
                <m:dPr>
                  <m:begChr m:val="["/>
                  <m:endChr m:val="]"/>
                  <m:sepChr m:val=""/>
                  <m:grow/>
                </m:dPr>
                <m:e>
                  <m:r>
                    <m:t>q</m:t>
                  </m:r>
                </m:e>
              </m:d>
            </m:e>
          </m:d>
          <m:r>
            <m:rPr>
              <m:sty m:val="p"/>
            </m:rPr>
            <m:t>.</m:t>
          </m:r>
        </m:oMath>
      </m:oMathPara>
    </w:p>
    <w:p>
      <w:pPr>
        <w:pStyle w:val="FirstParagraph"/>
      </w:pPr>
      <w:r>
        <w:rPr>
          <w:bCs/>
          <w:b/>
        </w:rPr>
        <w:t>Proof.</w:t>
      </w:r>
      <w:r>
        <w:t xml:space="preserve"> </w:t>
      </w:r>
      <w:r>
        <w:t>Covering maps are local incidence isomorphisms. With pulled-back stalk inner products, the cellular coboundaries satisfy</w:t>
      </w:r>
    </w:p>
    <w:p>
      <w:pPr>
        <w:pStyle w:val="BodyText"/>
        <w:keepLines/>
        <w:spacing w:before="100" w:after="140"/>
        <w:jc w:val="center"/>
      </w:pPr>
      <m:oMathPara>
        <m:oMathParaPr>
          <m:jc m:val="center"/>
        </m:oMathParaPr>
        <m:oMath>
          <m:r>
            <m:t>d</m:t>
          </m:r>
          <m:r>
            <m:rPr>
              <m:sty m:val="p"/>
            </m:rPr>
            <m:t>′</m:t>
          </m:r>
          <m:sSup>
            <m:e>
              <m:acc>
                <m:accPr>
                  <m:chr m:val="̂"/>
                </m:accPr>
                <m:e>
                  <m:r>
                    <m:t>r</m:t>
                  </m:r>
                </m:e>
              </m:acc>
            </m:e>
            <m:sup>
              <m:r>
                <m:rPr>
                  <m:sty m:val="p"/>
                </m:rPr>
                <m:t>*</m:t>
              </m:r>
            </m:sup>
          </m:sSup>
          <m:r>
            <m:rPr>
              <m:sty m:val="p"/>
            </m:rPr>
            <m:t>=</m:t>
          </m:r>
          <m:sSup>
            <m:e>
              <m:acc>
                <m:accPr>
                  <m:chr m:val="̂"/>
                </m:accPr>
                <m:e>
                  <m:r>
                    <m:t>r</m:t>
                  </m:r>
                </m:e>
              </m:acc>
            </m:e>
            <m:sup>
              <m:r>
                <m:rPr>
                  <m:sty m:val="p"/>
                </m:rPr>
                <m:t>*</m:t>
              </m:r>
            </m:sup>
          </m:sSup>
          <m:r>
            <m:t>d</m:t>
          </m:r>
          <m:r>
            <m:t> </m:t>
          </m:r>
          <m:r>
            <m:rPr>
              <m:nor/>
              <m:sty m:val="p"/>
            </m:rPr>
            <m:t>and</m:t>
          </m:r>
          <m:r>
            <m:t> </m:t>
          </m:r>
          <m:r>
            <m:t>d</m:t>
          </m:r>
          <m:sSup>
            <m:e>
              <m:r>
                <m:rPr>
                  <m:sty m:val="p"/>
                </m:rPr>
                <m:t>′</m:t>
              </m:r>
            </m:e>
            <m:sup>
              <m:r>
                <m:rPr>
                  <m:sty m:val="p"/>
                </m:rPr>
                <m:t>*</m:t>
              </m:r>
            </m:sup>
          </m:sSup>
          <m:sSup>
            <m:e>
              <m:acc>
                <m:accPr>
                  <m:chr m:val="̂"/>
                </m:accPr>
                <m:e>
                  <m:r>
                    <m:t>r</m:t>
                  </m:r>
                </m:e>
              </m:acc>
            </m:e>
            <m:sup>
              <m:r>
                <m:rPr>
                  <m:sty m:val="p"/>
                </m:rPr>
                <m:t>*</m:t>
              </m:r>
            </m:sup>
          </m:sSup>
          <m:r>
            <m:rPr>
              <m:sty m:val="p"/>
            </m:rPr>
            <m:t>=</m:t>
          </m:r>
          <m:sSup>
            <m:e>
              <m:acc>
                <m:accPr>
                  <m:chr m:val="̂"/>
                </m:accPr>
                <m:e>
                  <m:r>
                    <m:t>r</m:t>
                  </m:r>
                </m:e>
              </m:acc>
            </m:e>
            <m:sup>
              <m:r>
                <m:rPr>
                  <m:sty m:val="p"/>
                </m:rPr>
                <m:t>*</m:t>
              </m:r>
            </m:sup>
          </m:sSup>
          <m:sSup>
            <m:e>
              <m:r>
                <m:t>d</m:t>
              </m:r>
            </m:e>
            <m:sup>
              <m:r>
                <m:rPr>
                  <m:sty m:val="p"/>
                </m:rPr>
                <m:t>*</m:t>
              </m:r>
            </m:sup>
          </m:sSup>
          <m:r>
            <m:rPr>
              <m:sty m:val="p"/>
            </m:rPr>
            <m:t>.</m:t>
          </m:r>
        </m:oMath>
      </m:oMathPara>
    </w:p>
    <w:p>
      <w:pPr>
        <w:pStyle w:val="FirstParagraph"/>
      </w:pPr>
      <w:r>
        <w:t>Hence the Hodge Laplacians intertwine:</w:t>
      </w:r>
    </w:p>
    <w:p>
      <w:pPr>
        <w:pStyle w:val="BodyText"/>
        <w:keepLines/>
        <w:spacing w:before="100" w:after="140"/>
        <w:jc w:val="center"/>
      </w:pPr>
      <m:oMathPara>
        <m:oMathParaPr>
          <m:jc m:val="center"/>
        </m:oMathParaPr>
        <m:oMath>
          <m:r>
            <m:t>Δ</m:t>
          </m:r>
          <m:r>
            <m:rPr>
              <m:sty m:val="p"/>
            </m:rPr>
            <m:t>′</m:t>
          </m:r>
          <m:sSup>
            <m:e>
              <m:acc>
                <m:accPr>
                  <m:chr m:val="̂"/>
                </m:accPr>
                <m:e>
                  <m:r>
                    <m:t>r</m:t>
                  </m:r>
                </m:e>
              </m:acc>
            </m:e>
            <m:sup>
              <m:r>
                <m:rPr>
                  <m:sty m:val="p"/>
                </m:rPr>
                <m:t>*</m:t>
              </m:r>
            </m:sup>
          </m:sSup>
          <m:r>
            <m:rPr>
              <m:sty m:val="p"/>
            </m:rPr>
            <m:t>=</m:t>
          </m:r>
          <m:sSup>
            <m:e>
              <m:acc>
                <m:accPr>
                  <m:chr m:val="̂"/>
                </m:accPr>
                <m:e>
                  <m:r>
                    <m:t>r</m:t>
                  </m:r>
                </m:e>
              </m:acc>
            </m:e>
            <m:sup>
              <m:r>
                <m:rPr>
                  <m:sty m:val="p"/>
                </m:rPr>
                <m:t>*</m:t>
              </m:r>
            </m:sup>
          </m:sSup>
          <m:r>
            <m:t>Δ</m:t>
          </m:r>
          <m:r>
            <m:rPr>
              <m:sty m:val="p"/>
            </m:rPr>
            <m:t>.</m:t>
          </m:r>
        </m:oMath>
      </m:oMathPara>
    </w:p>
    <w:p>
      <w:pPr>
        <w:pStyle w:val="FirstParagraph"/>
        <w:keepLines/>
        <w:spacing w:before="100" w:after="140"/>
        <w:jc w:val="center"/>
      </w:pPr>
      <w:r>
        <w:t>The image of</w:t>
      </w:r>
      <w:r>
        <w:t xml:space="preserve"> </w:t>
      </w:r>
      <m:oMath>
        <m:sSup>
          <m:e>
            <m:acc>
              <m:accPr>
                <m:chr m:val="̂"/>
              </m:accPr>
              <m:e>
                <m:r>
                  <m:t>r</m:t>
                </m:r>
              </m:e>
            </m:acc>
          </m:e>
          <m:sup>
            <m:r>
              <m:rPr>
                <m:sty m:val="p"/>
              </m:rPr>
              <m:t>*</m:t>
            </m:r>
          </m:sup>
        </m:sSup>
      </m:oMath>
      <w:r>
        <w:t xml:space="preserve"> </w:t>
      </w:r>
      <w:r>
        <w:t>is invariant under the self-adjoint operator</w:t>
      </w:r>
      <w:r>
        <w:t xml:space="preserve"> </w:t>
      </w:r>
      <m:oMath>
        <m:r>
          <m:t>Δ</m:t>
        </m:r>
        <m:r>
          <m:rPr>
            <m:sty m:val="p"/>
          </m:rPr>
          <m:t>′</m:t>
        </m:r>
      </m:oMath>
      <w:r>
        <w:t>, so its orthogonal complement is also invariant; the image is reducing. Spectral projection onto the zero eigenspace therefore commutes with normalized pullback:</w:t>
      </w:r>
    </w:p>
    <w:p>
      <w:pPr>
        <w:pStyle w:val="BodyText"/>
        <w:keepLines/>
        <w:spacing w:before="100" w:after="140"/>
        <w:jc w:val="center"/>
      </w:pPr>
      <m:oMathPara>
        <m:oMathParaPr>
          <m:jc m:val="center"/>
        </m:oMathParaPr>
        <m:oMath>
          <m:sSub>
            <m:e>
              <m:r>
                <m:t>P</m:t>
              </m:r>
            </m:e>
            <m:sub>
              <m:r>
                <m:rPr>
                  <m:sty m:val="p"/>
                  <m:scr m:val="script"/>
                </m:rPr>
                <m:t>H</m:t>
              </m:r>
              <m:r>
                <m:rPr>
                  <m:sty m:val="p"/>
                </m:rPr>
                <m:t>′</m:t>
              </m:r>
            </m:sub>
          </m:sSub>
          <m:sSup>
            <m:e>
              <m:acc>
                <m:accPr>
                  <m:chr m:val="̂"/>
                </m:accPr>
                <m:e>
                  <m:r>
                    <m:t>r</m:t>
                  </m:r>
                </m:e>
              </m:acc>
            </m:e>
            <m:sup>
              <m:r>
                <m:rPr>
                  <m:sty m:val="p"/>
                </m:rPr>
                <m:t>*</m:t>
              </m:r>
            </m:sup>
          </m:sSup>
          <m:r>
            <m:rPr>
              <m:sty m:val="p"/>
            </m:rPr>
            <m:t>=</m:t>
          </m:r>
          <m:sSup>
            <m:e>
              <m:acc>
                <m:accPr>
                  <m:chr m:val="̂"/>
                </m:accPr>
                <m:e>
                  <m:r>
                    <m:t>r</m:t>
                  </m:r>
                </m:e>
              </m:acc>
            </m:e>
            <m:sup>
              <m:r>
                <m:rPr>
                  <m:sty m:val="p"/>
                </m:rPr>
                <m:t>*</m:t>
              </m:r>
            </m:sup>
          </m:sSup>
          <m:sSub>
            <m:e>
              <m:r>
                <m:t>P</m:t>
              </m:r>
            </m:e>
            <m:sub>
              <m:r>
                <m:rPr>
                  <m:sty m:val="p"/>
                  <m:scr m:val="script"/>
                </m:rPr>
                <m:t>H</m:t>
              </m:r>
            </m:sub>
          </m:sSub>
          <m:r>
            <m:rPr>
              <m:sty m:val="p"/>
            </m:rPr>
            <m:t>.</m:t>
          </m:r>
        </m:oMath>
      </m:oMathPara>
    </w:p>
    <w:p>
      <w:pPr>
        <w:pStyle w:val="FirstParagraph"/>
        <w:keepLines/>
        <w:spacing w:before="100" w:after="140"/>
        <w:jc w:val="center"/>
      </w:pPr>
      <w:r>
        <w:t>The long exact cohomology sequence is natural under pullback, so</w:t>
      </w:r>
      <w:r>
        <w:t xml:space="preserve"> </w:t>
      </w:r>
      <m:oMath>
        <m:r>
          <m:rPr>
            <m:sty m:val="p"/>
          </m:rPr>
          <m:t>∂</m:t>
        </m:r>
        <m:r>
          <m:rPr>
            <m:sty m:val="p"/>
          </m:rPr>
          <m:t>′</m:t>
        </m:r>
        <m:sSup>
          <m:e>
            <m:acc>
              <m:accPr>
                <m:chr m:val="̂"/>
              </m:accPr>
              <m:e>
                <m:r>
                  <m:t>r</m:t>
                </m:r>
              </m:e>
            </m:acc>
          </m:e>
          <m:sup>
            <m:r>
              <m:rPr>
                <m:sty m:val="p"/>
              </m:rPr>
              <m:t>*</m:t>
            </m:r>
          </m:sup>
        </m:sSup>
        <m:r>
          <m:rPr>
            <m:sty m:val="p"/>
          </m:rPr>
          <m:t>=</m:t>
        </m:r>
        <m:sSup>
          <m:e>
            <m:acc>
              <m:accPr>
                <m:chr m:val="̂"/>
              </m:accPr>
              <m:e>
                <m:r>
                  <m:t>r</m:t>
                </m:r>
              </m:e>
            </m:acc>
          </m:e>
          <m:sup>
            <m:r>
              <m:rPr>
                <m:sty m:val="p"/>
              </m:rPr>
              <m:t>*</m:t>
            </m:r>
          </m:sup>
        </m:sSup>
        <m:r>
          <m:rPr>
            <m:sty m:val="p"/>
          </m:rPr>
          <m:t>∂</m:t>
        </m:r>
      </m:oMath>
      <w:r>
        <w:t>. Combining the identities gives the first equation. Isometry gives equality of norms.</w:t>
      </w:r>
      <w:r>
        <w:t xml:space="preserve"> </w:t>
      </w:r>
      <m:oMath>
        <m:r>
          <m:rPr>
            <m:sty m:val="p"/>
          </m:rPr>
          <m:t>▫</m:t>
        </m:r>
      </m:oMath>
    </w:p>
    <w:p>
      <w:pPr>
        <w:pStyle w:val="BodyText"/>
        <w:keepLines/>
        <w:spacing w:before="100" w:after="140"/>
        <w:jc w:val="center"/>
      </w:pPr>
      <w:r>
        <w:rPr>
          <w:bCs/>
          <w:b/>
        </w:rPr>
        <w:t>Corollary 3.1 (no inherited repair).</w:t>
      </w:r>
      <w:r>
        <w:t xml:space="preserve"> </w:t>
      </w:r>
      <w:r>
        <w:t>If</w:t>
      </w:r>
      <w:r>
        <w:t xml:space="preserve"> </w:t>
      </w:r>
      <m:oMath>
        <m:r>
          <m:rPr>
            <m:sty m:val="p"/>
          </m:rPr>
          <m:t>∂</m:t>
        </m:r>
        <m:d>
          <m:dPr>
            <m:begChr m:val="["/>
            <m:endChr m:val="]"/>
            <m:sepChr m:val=""/>
            <m:grow/>
          </m:dPr>
          <m:e>
            <m:r>
              <m:t>q</m:t>
            </m:r>
          </m:e>
        </m:d>
        <m:r>
          <m:rPr>
            <m:sty m:val="p"/>
          </m:rPr>
          <m:t>≠</m:t>
        </m:r>
        <m:r>
          <m:t>0</m:t>
        </m:r>
      </m:oMath>
      <w:r>
        <w:t>, no finite cover makes the inherited interpretation</w:t>
      </w:r>
      <w:r>
        <w:t xml:space="preserve"> </w:t>
      </w:r>
      <m:oMath>
        <m:sSup>
          <m:e>
            <m:acc>
              <m:accPr>
                <m:chr m:val="̂"/>
              </m:accPr>
              <m:e>
                <m:r>
                  <m:t>r</m:t>
                </m:r>
              </m:e>
            </m:acc>
          </m:e>
          <m:sup>
            <m:r>
              <m:rPr>
                <m:sty m:val="p"/>
              </m:rPr>
              <m:t>*</m:t>
            </m:r>
          </m:sup>
        </m:sSup>
        <m:r>
          <m:t>q</m:t>
        </m:r>
      </m:oMath>
      <w:r>
        <w:t xml:space="preserve"> </w:t>
      </w:r>
      <w:r>
        <w:t>liftable. Any liftable interpretation on the cover must have a component outside</w:t>
      </w:r>
      <w:r>
        <w:t xml:space="preserve"> </w:t>
      </w:r>
      <m:oMath>
        <m:r>
          <m:rPr>
            <m:sty m:val="p"/>
          </m:rPr>
          <m:t>im</m:t>
        </m:r>
        <m:sSup>
          <m:e>
            <m:acc>
              <m:accPr>
                <m:chr m:val="̂"/>
              </m:accPr>
              <m:e>
                <m:r>
                  <m:t>r</m:t>
                </m:r>
              </m:e>
            </m:acc>
          </m:e>
          <m:sup>
            <m:r>
              <m:rPr>
                <m:sty m:val="p"/>
              </m:rPr>
              <m:t>*</m:t>
            </m:r>
          </m:sup>
        </m:sSup>
      </m:oMath>
      <w:r>
        <w:t>.</w:t>
      </w:r>
    </w:p>
    <w:p>
      <w:pPr>
        <w:pStyle w:val="BodyText"/>
      </w:pPr>
      <w:r>
        <w:t>The corollary is deliberately negative. More sheets do not edit an inherited interpretation into consistency. They may create new sheet-dependent interpretations that were unavailable on the base.</w:t>
      </w:r>
    </w:p>
    <w:bookmarkEnd w:id="43"/>
    <w:bookmarkStart w:id="44" w:name="when-can-the-obstruction-be-nonzero"/>
    <w:p>
      <w:pPr>
        <w:pStyle w:val="Heading2"/>
      </w:pPr>
      <w:r>
        <w:t>6.3 When can the obstruction be nonzero?</w:t>
      </w:r>
    </w:p>
    <w:p>
      <w:pPr>
        <w:pStyle w:val="FirstParagraph"/>
        <w:keepLines/>
        <w:spacing w:before="100" w:after="140"/>
        <w:jc w:val="center"/>
      </w:pPr>
      <w:r>
        <w:t>For a connected graph, local systems correspond to representations of</w:t>
      </w:r>
      <w:r>
        <w:t xml:space="preserve"> </w:t>
      </w:r>
      <m:oMath>
        <m:sSub>
          <m:e>
            <m:r>
              <m:t>π</m:t>
            </m:r>
          </m:e>
          <m:sub>
            <m:r>
              <m:t>1</m:t>
            </m:r>
          </m:sub>
        </m:sSub>
        <m:d>
          <m:dPr>
            <m:begChr m:val="("/>
            <m:endChr m:val=")"/>
            <m:sepChr m:val=""/>
            <m:grow/>
          </m:dPr>
          <m:e>
            <m:r>
              <m:t>X</m:t>
            </m:r>
          </m:e>
        </m:d>
      </m:oMath>
      <w:r>
        <w:t>. The short exact sheaf sequence corresponds to a short exact sequence of modules.</w:t>
      </w:r>
    </w:p>
    <w:p>
      <w:pPr>
        <w:pStyle w:val="BodyText"/>
        <w:keepLines/>
        <w:spacing w:before="100" w:after="140"/>
        <w:jc w:val="center"/>
      </w:pPr>
      <w:r>
        <w:rPr>
          <w:bCs/>
          <w:b/>
        </w:rPr>
        <w:t>Theorem 4 (finite monodromy forces splitting).</w:t>
      </w:r>
      <w:r>
        <w:t xml:space="preserve"> </w:t>
      </w:r>
      <w:r>
        <w:t>Work over</w:t>
      </w:r>
      <w:r>
        <w:t xml:space="preserve"> </w:t>
      </w:r>
      <m:oMath>
        <m:r>
          <m:rPr>
            <m:sty m:val="p"/>
            <m:scr m:val="double-struck"/>
          </m:rPr>
          <m:t>R</m:t>
        </m:r>
      </m:oMath>
      <w:r>
        <w:t xml:space="preserve"> </w:t>
      </w:r>
      <w:r>
        <w:t>or</w:t>
      </w:r>
      <w:r>
        <w:t xml:space="preserve"> </w:t>
      </w:r>
      <m:oMath>
        <m:r>
          <m:rPr>
            <m:sty m:val="p"/>
            <m:scr m:val="double-struck"/>
          </m:rPr>
          <m:t>C</m:t>
        </m:r>
      </m:oMath>
      <w:r>
        <w:t>. If the monodromies of</w:t>
      </w:r>
      <w:r>
        <w:t xml:space="preserve"> </w:t>
      </w:r>
      <m:oMath>
        <m:r>
          <m:rPr>
            <m:sty m:val="p"/>
            <m:scr m:val="script"/>
          </m:rPr>
          <m:t>S</m:t>
        </m:r>
      </m:oMath>
      <w:r>
        <w:t>,</w:t>
      </w:r>
      <w:r>
        <w:t xml:space="preserve"> </w:t>
      </w:r>
      <m:oMath>
        <m:r>
          <m:rPr>
            <m:sty m:val="p"/>
            <m:scr m:val="script"/>
          </m:rPr>
          <m:t>F</m:t>
        </m:r>
      </m:oMath>
      <w:r>
        <w:t>, and</w:t>
      </w:r>
      <w:r>
        <w:t xml:space="preserve"> </w:t>
      </w:r>
      <m:oMath>
        <m:r>
          <m:rPr>
            <m:sty m:val="p"/>
            <m:scr m:val="script"/>
          </m:rPr>
          <m:t>Q</m:t>
        </m:r>
      </m:oMath>
      <w:r>
        <w:t xml:space="preserve"> </w:t>
      </w:r>
      <w:r>
        <w:t>all factor through one finite group</w:t>
      </w:r>
      <w:r>
        <w:t xml:space="preserve"> </w:t>
      </w:r>
      <m:oMath>
        <m:r>
          <m:t>G</m:t>
        </m:r>
      </m:oMath>
      <w:r>
        <w:t>, then the short exact sequence splits</w:t>
      </w:r>
      <w:r>
        <w:t xml:space="preserve"> </w:t>
      </w:r>
      <m:oMath>
        <m:r>
          <m:t>G</m:t>
        </m:r>
      </m:oMath>
      <w:r>
        <w:t>-equivariantly and</w:t>
      </w:r>
      <w:r>
        <w:t xml:space="preserve"> </w:t>
      </w:r>
      <m:oMath>
        <m:r>
          <m:rPr>
            <m:sty m:val="p"/>
          </m:rPr>
          <m:t>∂</m:t>
        </m:r>
        <m:r>
          <m:rPr>
            <m:sty m:val="p"/>
          </m:rPr>
          <m:t>=</m:t>
        </m:r>
        <m:r>
          <m:t>0</m:t>
        </m:r>
      </m:oMath>
      <w:r>
        <w:t>.</w:t>
      </w:r>
    </w:p>
    <w:p>
      <w:pPr>
        <w:pStyle w:val="BodyText"/>
        <w:keepLines/>
        <w:spacing w:before="100" w:after="140"/>
        <w:jc w:val="center"/>
      </w:pPr>
      <w:r>
        <w:rPr>
          <w:bCs/>
          <w:b/>
        </w:rPr>
        <w:t>Proof.</w:t>
      </w:r>
      <w:r>
        <w:t xml:space="preserve"> </w:t>
      </w:r>
      <w:r>
        <w:t>By Maschke's theorem, finite-dimensional representations of a finite group over characteristic zero are semisimple. Every short exact sequence of</w:t>
      </w:r>
      <w:r>
        <w:t xml:space="preserve"> </w:t>
      </w:r>
      <m:oMath>
        <m:r>
          <m:t>G</m:t>
        </m:r>
      </m:oMath>
      <w:r>
        <w:t>-modules splits. The corresponding local-system sequence splits, so every global quotient section has a global full lift.</w:t>
      </w:r>
      <w:r>
        <w:t xml:space="preserve"> </w:t>
      </w:r>
      <m:oMath>
        <m:r>
          <m:rPr>
            <m:sty m:val="p"/>
          </m:rPr>
          <m:t>▫</m:t>
        </m:r>
      </m:oMath>
    </w:p>
    <w:p>
      <w:pPr>
        <w:pStyle w:val="BodyText"/>
        <w:keepLines/>
        <w:spacing w:before="100" w:after="140"/>
        <w:jc w:val="center"/>
      </w:pPr>
      <w:r>
        <w:t>Thus nonzero</w:t>
      </w:r>
      <w:r>
        <w:t xml:space="preserve"> </w:t>
      </w:r>
      <m:oMath>
        <m:r>
          <m:rPr>
            <m:sty m:val="p"/>
          </m:rPr>
          <m:t>∂</m:t>
        </m:r>
      </m:oMath>
      <w:r>
        <w:t xml:space="preserve"> </w:t>
      </w:r>
      <w:r>
        <w:t>requires the middle extension to escape the common finite quotient, even if both endpoint systems are finite. This escaping extension is the accumulating sector absent from the coset register.</w:t>
      </w:r>
    </w:p>
    <w:bookmarkEnd w:id="44"/>
    <w:bookmarkStart w:id="45" w:name="closed-form-on-the-circle"/>
    <w:p>
      <w:pPr>
        <w:pStyle w:val="Heading2"/>
      </w:pPr>
      <w:r>
        <w:t>6.4 Closed form on the circle</w:t>
      </w:r>
    </w:p>
    <w:p>
      <w:pPr>
        <w:pStyle w:val="FirstParagraph"/>
        <w:keepLines/>
        <w:spacing w:before="100" w:after="140"/>
        <w:jc w:val="center"/>
      </w:pPr>
      <w:r>
        <w:t>Let</w:t>
      </w:r>
      <w:r>
        <w:t xml:space="preserve"> </w:t>
      </w:r>
      <m:oMath>
        <m:r>
          <m:t>X</m:t>
        </m:r>
        <m:r>
          <m:rPr>
            <m:sty m:val="p"/>
          </m:rPr>
          <m:t>=</m:t>
        </m:r>
        <m:sSup>
          <m:e>
            <m:r>
              <m:t>S</m:t>
            </m:r>
          </m:e>
          <m:sup>
            <m:r>
              <m:t>1</m:t>
            </m:r>
          </m:sup>
        </m:sSup>
      </m:oMath>
      <w:r>
        <w:t xml:space="preserve"> </w:t>
      </w:r>
      <w:r>
        <w:t>with fundamental-group generator</w:t>
      </w:r>
      <w:r>
        <w:t xml:space="preserve"> </w:t>
      </w:r>
      <m:oMath>
        <m:r>
          <m:t>z</m:t>
        </m:r>
      </m:oMath>
      <w:r>
        <w:t>. In a stalkwise splitting</w:t>
      </w:r>
      <w:r>
        <w:t xml:space="preserve"> </w:t>
      </w:r>
      <m:oMath>
        <m:r>
          <m:t>F</m:t>
        </m:r>
        <m:r>
          <m:rPr>
            <m:sty m:val="p"/>
          </m:rPr>
          <m:t>≅</m:t>
        </m:r>
        <m:r>
          <m:t>S</m:t>
        </m:r>
        <m:r>
          <m:rPr>
            <m:sty m:val="p"/>
          </m:rPr>
          <m:t>⊕</m:t>
        </m:r>
        <m:r>
          <m:t>Q</m:t>
        </m:r>
      </m:oMath>
      <w:r>
        <w:t>, write the monodromy as</w:t>
      </w:r>
    </w:p>
    <w:p>
      <w:pPr>
        <w:pStyle w:val="BodyText"/>
        <w:keepLines/>
        <w:spacing w:before="100" w:after="140"/>
        <w:jc w:val="center"/>
      </w:pPr>
      <m:oMathPara>
        <m:oMathParaPr>
          <m:jc m:val="center"/>
        </m:oMathParaPr>
        <m:oMath>
          <m:r>
            <m:t>R</m:t>
          </m:r>
          <m:d>
            <m:dPr>
              <m:begChr m:val="("/>
              <m:endChr m:val=")"/>
              <m:sepChr m:val=""/>
              <m:grow/>
            </m:dPr>
            <m:e>
              <m:r>
                <m:t>z</m:t>
              </m:r>
            </m:e>
          </m:d>
          <m:r>
            <m:rPr>
              <m:sty m:val="p"/>
            </m:rPr>
            <m:t>=</m:t>
          </m:r>
          <m:d>
            <m:dPr>
              <m:begChr m:val="["/>
              <m:endChr m:val="]"/>
              <m:sepChr m:val=""/>
              <m:grow/>
            </m:dPr>
            <m:e>
              <m:m>
                <m:mPr>
                  <m:baseJc m:val="center"/>
                  <m:plcHide m:val="on"/>
                  <m:mcs>
                    <m:mc>
                      <m:mcPr>
                        <m:mcJc m:val="center"/>
                        <m:count m:val="1"/>
                      </m:mcPr>
                    </m:mc>
                    <m:mc>
                      <m:mcPr>
                        <m:mcJc m:val="center"/>
                        <m:count m:val="1"/>
                      </m:mcPr>
                    </m:mc>
                  </m:mcs>
                </m:mPr>
                <m:mr>
                  <m:e>
                    <m:r>
                      <m:t>A</m:t>
                    </m:r>
                  </m:e>
                  <m:e>
                    <m:r>
                      <m:t>B</m:t>
                    </m:r>
                  </m:e>
                </m:mr>
                <m:mr>
                  <m:e>
                    <m:r>
                      <m:t>0</m:t>
                    </m:r>
                  </m:e>
                  <m:e>
                    <m:r>
                      <m:t>C</m:t>
                    </m:r>
                  </m:e>
                </m:mr>
              </m:m>
            </m:e>
          </m:d>
          <m:r>
            <m:rPr>
              <m:sty m:val="p"/>
            </m:rPr>
            <m:t>,</m:t>
          </m:r>
        </m:oMath>
      </m:oMathPara>
    </w:p>
    <w:p>
      <w:pPr>
        <w:pStyle w:val="FirstParagraph"/>
        <w:keepLines/>
        <w:spacing w:before="100" w:after="140"/>
        <w:jc w:val="center"/>
      </w:pPr>
      <w:r>
        <w:t>where</w:t>
      </w:r>
      <w:r>
        <w:t xml:space="preserve"> </w:t>
      </w:r>
      <m:oMath>
        <m:sSup>
          <m:e>
            <m:r>
              <m:t>A</m:t>
            </m:r>
          </m:e>
          <m:sup>
            <m:r>
              <m:t>n</m:t>
            </m:r>
          </m:sup>
        </m:sSup>
        <m:r>
          <m:rPr>
            <m:sty m:val="p"/>
          </m:rPr>
          <m:t>=</m:t>
        </m:r>
        <m:sSup>
          <m:e>
            <m:r>
              <m:t>C</m:t>
            </m:r>
          </m:e>
          <m:sup>
            <m:r>
              <m:t>n</m:t>
            </m:r>
          </m:sup>
        </m:sSup>
        <m:r>
          <m:rPr>
            <m:sty m:val="p"/>
          </m:rPr>
          <m:t>=</m:t>
        </m:r>
        <m:r>
          <m:t>I</m:t>
        </m:r>
      </m:oMath>
      <w:r>
        <w:t xml:space="preserve"> </w:t>
      </w:r>
      <w:r>
        <w:t>and</w:t>
      </w:r>
      <w:r>
        <w:t xml:space="preserve"> </w:t>
      </w:r>
      <m:oMath>
        <m:r>
          <m:t>A</m:t>
        </m:r>
        <m:r>
          <m:rPr>
            <m:sty m:val="p"/>
          </m:rPr>
          <m:t>,</m:t>
        </m:r>
        <m:r>
          <m:t>C</m:t>
        </m:r>
      </m:oMath>
      <w:r>
        <w:t xml:space="preserve"> </w:t>
      </w:r>
      <w:r>
        <w:t>are orthogonal. A global quotient section is</w:t>
      </w:r>
      <w:r>
        <w:t xml:space="preserve"> </w:t>
      </w:r>
      <m:oMath>
        <m:r>
          <m:t>q</m:t>
        </m:r>
        <m:r>
          <m:rPr>
            <m:sty m:val="p"/>
          </m:rPr>
          <m:t>∈</m:t>
        </m:r>
        <m:r>
          <m:rPr>
            <m:sty m:val="p"/>
          </m:rPr>
          <m:t>ker</m:t>
        </m:r>
        <m:d>
          <m:dPr>
            <m:begChr m:val="("/>
            <m:endChr m:val=")"/>
            <m:sepChr m:val=""/>
            <m:grow/>
          </m:dPr>
          <m:e>
            <m:r>
              <m:t>C</m:t>
            </m:r>
            <m:r>
              <m:rPr>
                <m:sty m:val="p"/>
              </m:rPr>
              <m:t>−</m:t>
            </m:r>
            <m:r>
              <m:t>I</m:t>
            </m:r>
          </m:e>
        </m:d>
      </m:oMath>
      <w:r>
        <w:t>. Its connecting class is</w:t>
      </w:r>
    </w:p>
    <w:p>
      <w:pPr>
        <w:pStyle w:val="BodyText"/>
        <w:keepLines/>
        <w:spacing w:before="100" w:after="140"/>
        <w:jc w:val="center"/>
      </w:pPr>
      <m:oMathPara>
        <m:oMathParaPr>
          <m:jc m:val="center"/>
        </m:oMathParaPr>
        <m:oMath>
          <m:r>
            <m:rPr>
              <m:sty m:val="p"/>
            </m:rPr>
            <m:t>∂</m:t>
          </m:r>
          <m:d>
            <m:dPr>
              <m:begChr m:val="["/>
              <m:endChr m:val="]"/>
              <m:sepChr m:val=""/>
              <m:grow/>
            </m:dPr>
            <m:e>
              <m:r>
                <m:t>q</m:t>
              </m:r>
            </m:e>
          </m:d>
          <m:r>
            <m:rPr>
              <m:sty m:val="p"/>
            </m:rPr>
            <m:t>=</m:t>
          </m:r>
          <m:d>
            <m:dPr>
              <m:begChr m:val="["/>
              <m:endChr m:val="]"/>
              <m:sepChr m:val=""/>
              <m:grow/>
            </m:dPr>
            <m:e>
              <m:r>
                <m:t>B</m:t>
              </m:r>
              <m:r>
                <m:t>q</m:t>
              </m:r>
            </m:e>
          </m:d>
          <m:r>
            <m:rPr>
              <m:sty m:val="p"/>
            </m:rPr>
            <m:t>∈</m:t>
          </m:r>
          <m:r>
            <m:rPr>
              <m:sty m:val="p"/>
            </m:rPr>
            <m:t>coker</m:t>
          </m:r>
          <m:d>
            <m:dPr>
              <m:begChr m:val="("/>
              <m:endChr m:val=")"/>
              <m:sepChr m:val=""/>
              <m:grow/>
            </m:dPr>
            <m:e>
              <m:r>
                <m:t>A</m:t>
              </m:r>
              <m:r>
                <m:rPr>
                  <m:sty m:val="p"/>
                </m:rPr>
                <m:t>−</m:t>
              </m:r>
              <m:r>
                <m:t>I</m:t>
              </m:r>
            </m:e>
          </m:d>
          <m:r>
            <m:rPr>
              <m:sty m:val="p"/>
            </m:rPr>
            <m:t>.</m:t>
          </m:r>
        </m:oMath>
      </m:oMathPara>
    </w:p>
    <w:p>
      <w:pPr>
        <w:pStyle w:val="FirstParagraph"/>
        <w:keepLines/>
        <w:spacing w:before="100" w:after="140"/>
        <w:jc w:val="center"/>
      </w:pPr>
      <w:r>
        <w:t>The</w:t>
      </w:r>
      <w:r>
        <w:t xml:space="preserve"> </w:t>
      </w:r>
      <m:oMath>
        <m:r>
          <m:t>n</m:t>
        </m:r>
      </m:oMath>
      <w:r>
        <w:t>th iterate is</w:t>
      </w:r>
    </w:p>
    <w:p>
      <w:pPr>
        <w:pStyle w:val="BodyText"/>
        <w:keepLines/>
        <w:spacing w:before="100" w:after="140"/>
        <w:jc w:val="center"/>
      </w:pPr>
      <m:oMathPara>
        <m:oMathParaPr>
          <m:jc m:val="center"/>
        </m:oMathParaPr>
        <m:oMath>
          <m:r>
            <m:t>R</m:t>
          </m:r>
          <m:sSup>
            <m:e>
              <m:d>
                <m:dPr>
                  <m:begChr m:val="("/>
                  <m:endChr m:val=")"/>
                  <m:sepChr m:val=""/>
                  <m:grow/>
                </m:dPr>
                <m:e>
                  <m:r>
                    <m:t>z</m:t>
                  </m:r>
                </m:e>
              </m:d>
            </m:e>
            <m:sup>
              <m:r>
                <m:t>n</m:t>
              </m:r>
            </m:sup>
          </m:sSup>
          <m:r>
            <m:rPr>
              <m:sty m:val="p"/>
            </m:rPr>
            <m:t>=</m:t>
          </m:r>
          <m:d>
            <m:dPr>
              <m:begChr m:val="["/>
              <m:endChr m:val="]"/>
              <m:sepChr m:val=""/>
              <m:grow/>
            </m:dPr>
            <m:e>
              <m:m>
                <m:mPr>
                  <m:baseJc m:val="center"/>
                  <m:plcHide m:val="on"/>
                  <m:mcs>
                    <m:mc>
                      <m:mcPr>
                        <m:mcJc m:val="center"/>
                        <m:count m:val="1"/>
                      </m:mcPr>
                    </m:mc>
                    <m:mc>
                      <m:mcPr>
                        <m:mcJc m:val="center"/>
                        <m:count m:val="1"/>
                      </m:mcPr>
                    </m:mc>
                  </m:mcs>
                </m:mPr>
                <m:mr>
                  <m:e>
                    <m:r>
                      <m:t>I</m:t>
                    </m:r>
                  </m:e>
                  <m:e>
                    <m:r>
                      <m:t>Σ</m:t>
                    </m:r>
                  </m:e>
                </m:mr>
                <m:mr>
                  <m:e>
                    <m:r>
                      <m:t>0</m:t>
                    </m:r>
                  </m:e>
                  <m:e>
                    <m:r>
                      <m:t>I</m:t>
                    </m:r>
                  </m:e>
                </m:mr>
              </m:m>
            </m:e>
          </m:d>
          <m:r>
            <m:rPr>
              <m:sty m:val="p"/>
            </m:rPr>
            <m:t>,</m:t>
          </m:r>
          <m:r>
            <m:t>  </m:t>
          </m:r>
          <m:r>
            <m:t>Σ</m:t>
          </m:r>
          <m:r>
            <m:rPr>
              <m:sty m:val="p"/>
            </m:rPr>
            <m:t>=</m:t>
          </m:r>
          <m:nary>
            <m:naryPr>
              <m:chr m:val="∑"/>
              <m:limLoc m:val="undOvr"/>
              <m:subHide m:val="off"/>
              <m:supHide m:val="off"/>
            </m:naryPr>
            <m:sub>
              <m:r>
                <m:t>k</m:t>
              </m:r>
              <m:r>
                <m:rPr>
                  <m:sty m:val="p"/>
                </m:rPr>
                <m:t>=</m:t>
              </m:r>
              <m:r>
                <m:t>0</m:t>
              </m:r>
            </m:sub>
            <m:sup>
              <m:r>
                <m:t>n</m:t>
              </m:r>
              <m:r>
                <m:rPr>
                  <m:sty m:val="p"/>
                </m:rPr>
                <m:t>−</m:t>
              </m:r>
              <m:r>
                <m:t>1</m:t>
              </m:r>
            </m:sup>
            <m:e>
              <m:sSup>
                <m:e>
                  <m:r>
                    <m:t>A</m:t>
                  </m:r>
                </m:e>
                <m:sup>
                  <m:r>
                    <m:t>n</m:t>
                  </m:r>
                  <m:r>
                    <m:rPr>
                      <m:sty m:val="p"/>
                    </m:rPr>
                    <m:t>−</m:t>
                  </m:r>
                  <m:r>
                    <m:t>1</m:t>
                  </m:r>
                  <m:r>
                    <m:rPr>
                      <m:sty m:val="p"/>
                    </m:rPr>
                    <m:t>−</m:t>
                  </m:r>
                  <m:r>
                    <m:t>k</m:t>
                  </m:r>
                </m:sup>
              </m:sSup>
            </m:e>
          </m:nary>
          <m:r>
            <m:t>B</m:t>
          </m:r>
          <m:sSup>
            <m:e>
              <m:r>
                <m:t>C</m:t>
              </m:r>
            </m:e>
            <m:sup>
              <m:r>
                <m:t>k</m:t>
              </m:r>
            </m:sup>
          </m:sSup>
          <m:r>
            <m:rPr>
              <m:sty m:val="p"/>
            </m:rPr>
            <m:t>.</m:t>
          </m:r>
        </m:oMath>
      </m:oMathPara>
    </w:p>
    <w:p>
      <w:pPr>
        <w:pStyle w:val="FirstParagraph"/>
        <w:keepLines/>
        <w:spacing w:before="100" w:after="140"/>
        <w:jc w:val="center"/>
      </w:pPr>
      <w:r>
        <w:t>For</w:t>
      </w:r>
      <w:r>
        <w:t xml:space="preserve"> </w:t>
      </w:r>
      <m:oMath>
        <m:r>
          <m:t>C</m:t>
        </m:r>
        <m:r>
          <m:t>q</m:t>
        </m:r>
        <m:r>
          <m:rPr>
            <m:sty m:val="p"/>
          </m:rPr>
          <m:t>=</m:t>
        </m:r>
        <m:r>
          <m:t>q</m:t>
        </m:r>
      </m:oMath>
      <w:r>
        <w:t>,</w:t>
      </w:r>
    </w:p>
    <w:p>
      <w:pPr>
        <w:pStyle w:val="BodyText"/>
        <w:keepLines/>
        <w:spacing w:before="100" w:after="140"/>
        <w:jc w:val="center"/>
      </w:pPr>
      <m:oMathPara>
        <m:oMathParaPr>
          <m:jc m:val="center"/>
        </m:oMathParaPr>
        <m:oMath>
          <m:r>
            <m:t>Σ</m:t>
          </m:r>
          <m:r>
            <m:t>q</m:t>
          </m:r>
          <m:r>
            <m:rPr>
              <m:sty m:val="p"/>
            </m:rPr>
            <m:t>=</m:t>
          </m:r>
          <m:d>
            <m:dPr>
              <m:begChr m:val="("/>
              <m:endChr m:val=")"/>
              <m:sepChr m:val=""/>
              <m:grow/>
            </m:dPr>
            <m:e>
              <m:nary>
                <m:naryPr>
                  <m:chr m:val="∑"/>
                  <m:limLoc m:val="undOvr"/>
                  <m:subHide m:val="off"/>
                  <m:supHide m:val="off"/>
                </m:naryPr>
                <m:sub>
                  <m:r>
                    <m:t>j</m:t>
                  </m:r>
                  <m:r>
                    <m:rPr>
                      <m:sty m:val="p"/>
                    </m:rPr>
                    <m:t>=</m:t>
                  </m:r>
                  <m:r>
                    <m:t>0</m:t>
                  </m:r>
                </m:sub>
                <m:sup>
                  <m:r>
                    <m:t>n</m:t>
                  </m:r>
                  <m:r>
                    <m:rPr>
                      <m:sty m:val="p"/>
                    </m:rPr>
                    <m:t>−</m:t>
                  </m:r>
                  <m:r>
                    <m:t>1</m:t>
                  </m:r>
                </m:sup>
                <m:e>
                  <m:sSup>
                    <m:e>
                      <m:r>
                        <m:t>A</m:t>
                      </m:r>
                    </m:e>
                    <m:sup>
                      <m:r>
                        <m:t>j</m:t>
                      </m:r>
                    </m:sup>
                  </m:sSup>
                </m:e>
              </m:nary>
            </m:e>
          </m:d>
          <m:r>
            <m:t>B</m:t>
          </m:r>
          <m:r>
            <m:t>q</m:t>
          </m:r>
          <m:r>
            <m:rPr>
              <m:sty m:val="p"/>
            </m:rPr>
            <m:t>.</m:t>
          </m:r>
        </m:oMath>
      </m:oMathPara>
    </w:p>
    <w:p>
      <w:pPr>
        <w:pStyle w:val="FirstParagraph"/>
        <w:keepLines/>
        <w:spacing w:before="100" w:after="140"/>
        <w:jc w:val="center"/>
      </w:pPr>
      <w:r>
        <w:t>Because finite-order orthogonal</w:t>
      </w:r>
      <w:r>
        <w:t xml:space="preserve"> </w:t>
      </w:r>
      <m:oMath>
        <m:r>
          <m:t>A</m:t>
        </m:r>
      </m:oMath>
      <w:r>
        <w:t xml:space="preserve"> </w:t>
      </w:r>
      <w:r>
        <w:t>satisfies</w:t>
      </w:r>
    </w:p>
    <w:p>
      <w:pPr>
        <w:pStyle w:val="BodyText"/>
        <w:keepLines/>
        <w:spacing w:before="100" w:after="140"/>
        <w:jc w:val="center"/>
      </w:pPr>
      <m:oMathPara>
        <m:oMathParaPr>
          <m:jc m:val="center"/>
        </m:oMathParaPr>
        <m:oMath>
          <m:r>
            <m:rPr>
              <m:sty m:val="p"/>
            </m:rPr>
            <m:t>ker</m:t>
          </m:r>
          <m:d>
            <m:dPr>
              <m:begChr m:val="("/>
              <m:endChr m:val=")"/>
              <m:sepChr m:val=""/>
              <m:grow/>
            </m:dPr>
            <m:e>
              <m:nary>
                <m:naryPr>
                  <m:chr m:val="∑"/>
                  <m:limLoc m:val="undOvr"/>
                  <m:subHide m:val="off"/>
                  <m:supHide m:val="off"/>
                </m:naryPr>
                <m:sub>
                  <m:r>
                    <m:t>j</m:t>
                  </m:r>
                  <m:r>
                    <m:rPr>
                      <m:sty m:val="p"/>
                    </m:rPr>
                    <m:t>=</m:t>
                  </m:r>
                  <m:r>
                    <m:t>0</m:t>
                  </m:r>
                </m:sub>
                <m:sup>
                  <m:r>
                    <m:t>n</m:t>
                  </m:r>
                  <m:r>
                    <m:rPr>
                      <m:sty m:val="p"/>
                    </m:rPr>
                    <m:t>−</m:t>
                  </m:r>
                  <m:r>
                    <m:t>1</m:t>
                  </m:r>
                </m:sup>
                <m:e>
                  <m:sSup>
                    <m:e>
                      <m:r>
                        <m:t>A</m:t>
                      </m:r>
                    </m:e>
                    <m:sup>
                      <m:r>
                        <m:t>j</m:t>
                      </m:r>
                    </m:sup>
                  </m:sSup>
                </m:e>
              </m:nary>
            </m:e>
          </m:d>
          <m:r>
            <m:rPr>
              <m:sty m:val="p"/>
            </m:rPr>
            <m:t>=</m:t>
          </m:r>
          <m:r>
            <m:rPr>
              <m:sty m:val="p"/>
            </m:rPr>
            <m:t>im</m:t>
          </m:r>
          <m:d>
            <m:dPr>
              <m:begChr m:val="("/>
              <m:endChr m:val=")"/>
              <m:sepChr m:val=""/>
              <m:grow/>
            </m:dPr>
            <m:e>
              <m:r>
                <m:t>A</m:t>
              </m:r>
              <m:r>
                <m:rPr>
                  <m:sty m:val="p"/>
                </m:rPr>
                <m:t>−</m:t>
              </m:r>
              <m:r>
                <m:t>I</m:t>
              </m:r>
            </m:e>
          </m:d>
          <m:r>
            <m:rPr>
              <m:sty m:val="p"/>
            </m:rPr>
            <m:t>,</m:t>
          </m:r>
        </m:oMath>
      </m:oMathPara>
    </w:p>
    <w:p>
      <w:pPr>
        <w:pStyle w:val="FirstParagraph"/>
      </w:pPr>
      <w:r>
        <w:t>we obtain:</w:t>
      </w:r>
    </w:p>
    <w:p>
      <w:pPr>
        <w:pStyle w:val="BodyText"/>
        <w:keepLines/>
        <w:spacing w:before="100" w:after="140"/>
        <w:jc w:val="center"/>
      </w:pPr>
      <w:r>
        <w:rPr>
          <w:bCs/>
          <w:b/>
        </w:rPr>
        <w:t>Proposition 5 (circle criterion).</w:t>
      </w:r>
      <w:r>
        <w:t xml:space="preserve"> </w:t>
      </w:r>
      <w:r>
        <w:t>For</w:t>
      </w:r>
      <w:r>
        <w:t xml:space="preserve"> </w:t>
      </w:r>
      <m:oMath>
        <m:r>
          <m:t>q</m:t>
        </m:r>
        <m:r>
          <m:rPr>
            <m:sty m:val="p"/>
          </m:rPr>
          <m:t>∈</m:t>
        </m:r>
        <m:r>
          <m:rPr>
            <m:sty m:val="p"/>
          </m:rPr>
          <m:t>ker</m:t>
        </m:r>
        <m:d>
          <m:dPr>
            <m:begChr m:val="("/>
            <m:endChr m:val=")"/>
            <m:sepChr m:val=""/>
            <m:grow/>
          </m:dPr>
          <m:e>
            <m:r>
              <m:t>C</m:t>
            </m:r>
            <m:r>
              <m:rPr>
                <m:sty m:val="p"/>
              </m:rPr>
              <m:t>−</m:t>
            </m:r>
            <m:r>
              <m:t>I</m:t>
            </m:r>
          </m:e>
        </m:d>
      </m:oMath>
      <w:r>
        <w:t>,</w:t>
      </w:r>
    </w:p>
    <w:p>
      <w:pPr>
        <w:pStyle w:val="BodyText"/>
        <w:keepLines/>
        <w:spacing w:before="100" w:after="140"/>
        <w:jc w:val="center"/>
      </w:pPr>
      <m:oMathPara>
        <m:oMathParaPr>
          <m:jc m:val="center"/>
        </m:oMathParaPr>
        <m:oMath>
          <m:r>
            <m:rPr>
              <m:sty m:val="p"/>
            </m:rPr>
            <m:t>∂</m:t>
          </m:r>
          <m:d>
            <m:dPr>
              <m:begChr m:val="["/>
              <m:endChr m:val="]"/>
              <m:sepChr m:val=""/>
              <m:grow/>
            </m:dPr>
            <m:e>
              <m:r>
                <m:t>q</m:t>
              </m:r>
            </m:e>
          </m:d>
          <m:r>
            <m:rPr>
              <m:sty m:val="p"/>
            </m:rPr>
            <m:t>≠</m:t>
          </m:r>
          <m:r>
            <m:t>0</m:t>
          </m:r>
          <m:r>
            <m:t> </m:t>
          </m:r>
          <m:r>
            <m:rPr>
              <m:sty m:val="p"/>
            </m:rPr>
            <m:t>⇔</m:t>
          </m:r>
          <m:r>
            <m:t> </m:t>
          </m:r>
          <m:r>
            <m:t>Σ</m:t>
          </m:r>
          <m:r>
            <m:t>q</m:t>
          </m:r>
          <m:r>
            <m:rPr>
              <m:sty m:val="p"/>
            </m:rPr>
            <m:t>≠</m:t>
          </m:r>
          <m:r>
            <m:t>0</m:t>
          </m:r>
          <m:r>
            <m:rPr>
              <m:sty m:val="p"/>
            </m:rPr>
            <m:t>.</m:t>
          </m:r>
        </m:oMath>
      </m:oMathPara>
    </w:p>
    <w:p>
      <w:pPr>
        <w:pStyle w:val="FirstParagraph"/>
        <w:keepLines/>
        <w:spacing w:before="100" w:after="140"/>
        <w:jc w:val="center"/>
      </w:pPr>
      <w:r>
        <w:t>The unipotent block does not equal the obstruction as an abstract object. Rather,</w:t>
      </w:r>
      <w:r>
        <w:t xml:space="preserve"> </w:t>
      </w:r>
      <m:oMath>
        <m:r>
          <m:rPr>
            <m:sty m:val="p"/>
          </m:rPr>
          <m:t>∂</m:t>
        </m:r>
      </m:oMath>
      <w:r>
        <w:t xml:space="preserve"> </w:t>
      </w:r>
      <w:r>
        <w:t>detects the task-visible component of the extension that fails to compile into finite monodromy.</w:t>
      </w:r>
    </w:p>
    <w:bookmarkEnd w:id="45"/>
    <w:bookmarkEnd w:id="46"/>
    <w:bookmarkStart w:id="49" w:name="finite-by-unipotent-recurrent-dynamics"/>
    <w:p>
      <w:pPr>
        <w:pStyle w:val="Heading1"/>
      </w:pPr>
      <w:r>
        <w:t>7. Finite-by-unipotent recurrent dynamics</w:t>
      </w:r>
    </w:p>
    <w:bookmarkStart w:id="47" w:name="structural-definition"/>
    <w:p>
      <w:pPr>
        <w:pStyle w:val="Heading2"/>
      </w:pPr>
      <w:r>
        <w:t>7.1 Structural definition</w:t>
      </w:r>
    </w:p>
    <w:p>
      <w:pPr>
        <w:pStyle w:val="FirstParagraph"/>
        <w:keepLines/>
        <w:spacing w:before="100" w:after="140"/>
        <w:jc w:val="center"/>
      </w:pPr>
      <w:r>
        <w:t>Let</w:t>
      </w:r>
      <w:r>
        <w:t xml:space="preserve"> </w:t>
      </w:r>
      <m:oMath>
        <m:r>
          <m:t>Π</m:t>
        </m:r>
      </m:oMath>
      <w:r>
        <w:t xml:space="preserve"> </w:t>
      </w:r>
      <w:r>
        <w:t>be the path group or a chosen recurrent transition group. A representation</w:t>
      </w:r>
      <w:r>
        <w:t xml:space="preserve"> </w:t>
      </w:r>
      <m:oMath>
        <m:r>
          <m:t>R</m:t>
        </m:r>
        <m:r>
          <m:rPr>
            <m:sty m:val="p"/>
          </m:rPr>
          <m:t>:</m:t>
        </m:r>
        <m:r>
          <m:t>Π</m:t>
        </m:r>
        <m:r>
          <m:rPr>
            <m:sty m:val="p"/>
          </m:rPr>
          <m:t>→</m:t>
        </m:r>
        <m:r>
          <m:t>G</m:t>
        </m:r>
        <m:r>
          <m:t>L</m:t>
        </m:r>
        <m:d>
          <m:dPr>
            <m:begChr m:val="("/>
            <m:endChr m:val=")"/>
            <m:sepChr m:val=""/>
            <m:grow/>
          </m:dPr>
          <m:e>
            <m:r>
              <m:t>D</m:t>
            </m:r>
          </m:e>
        </m:d>
      </m:oMath>
      <w:r>
        <w:t xml:space="preserve"> </w:t>
      </w:r>
      <w:r>
        <w:t>is</w:t>
      </w:r>
      <w:r>
        <w:t xml:space="preserve"> </w:t>
      </w:r>
      <w:r>
        <w:rPr>
          <w:bCs/>
          <w:b/>
        </w:rPr>
        <w:t>finite-by-unipotent of depth</w:t>
      </w:r>
      <w:r>
        <w:rPr>
          <w:bCs/>
          <w:b/>
        </w:rPr>
        <w:t xml:space="preserve"> </w:t>
      </w:r>
      <m:oMath>
        <m:r>
          <m:t>r</m:t>
        </m:r>
      </m:oMath>
      <w:r>
        <w:t xml:space="preserve"> </w:t>
      </w:r>
      <w:r>
        <w:t>if there is an invariant flag</w:t>
      </w:r>
    </w:p>
    <w:p>
      <w:pPr>
        <w:pStyle w:val="BodyText"/>
        <w:keepLines/>
        <w:spacing w:before="100" w:after="140"/>
        <w:jc w:val="center"/>
      </w:pPr>
      <m:oMathPara>
        <m:oMathParaPr>
          <m:jc m:val="center"/>
        </m:oMathParaPr>
        <m:oMath>
          <m:r>
            <m:t>0</m:t>
          </m:r>
          <m:r>
            <m:rPr>
              <m:sty m:val="p"/>
            </m:rPr>
            <m:t>=</m:t>
          </m:r>
          <m:sSub>
            <m:e>
              <m:r>
                <m:t>V</m:t>
              </m:r>
            </m:e>
            <m:sub>
              <m:r>
                <m:t>0</m:t>
              </m:r>
            </m:sub>
          </m:sSub>
          <m:r>
            <m:rPr>
              <m:sty m:val="p"/>
            </m:rPr>
            <m:t>⊂</m:t>
          </m:r>
          <m:sSub>
            <m:e>
              <m:r>
                <m:t>V</m:t>
              </m:r>
            </m:e>
            <m:sub>
              <m:r>
                <m:t>1</m:t>
              </m:r>
            </m:sub>
          </m:sSub>
          <m:r>
            <m:rPr>
              <m:sty m:val="p"/>
            </m:rPr>
            <m:t>⊂</m:t>
          </m:r>
          <m:r>
            <m:rPr>
              <m:sty m:val="p"/>
            </m:rPr>
            <m:t>⋯</m:t>
          </m:r>
          <m:r>
            <m:rPr>
              <m:sty m:val="p"/>
            </m:rPr>
            <m:t>⊂</m:t>
          </m:r>
          <m:sSub>
            <m:e>
              <m:r>
                <m:t>V</m:t>
              </m:r>
            </m:e>
            <m:sub>
              <m:r>
                <m:t>r</m:t>
              </m:r>
            </m:sub>
          </m:sSub>
          <m:r>
            <m:rPr>
              <m:sty m:val="p"/>
            </m:rPr>
            <m:t>=</m:t>
          </m:r>
          <m:sSup>
            <m:e>
              <m:r>
                <m:rPr>
                  <m:sty m:val="p"/>
                  <m:scr m:val="double-struck"/>
                </m:rPr>
                <m:t>R</m:t>
              </m:r>
            </m:e>
            <m:sup>
              <m:r>
                <m:t>D</m:t>
              </m:r>
            </m:sup>
          </m:sSup>
        </m:oMath>
      </m:oMathPara>
    </w:p>
    <w:p>
      <w:pPr>
        <w:pStyle w:val="FirstParagraph"/>
        <w:keepLines/>
        <w:spacing w:before="100" w:after="140"/>
        <w:jc w:val="center"/>
      </w:pPr>
      <w:r>
        <w:t>such that the induced action on the associated graded space</w:t>
      </w:r>
      <w:r>
        <w:t xml:space="preserve"> </w:t>
      </w:r>
      <m:oMath>
        <m:sSub>
          <m:e>
            <m:r>
              <m:rPr>
                <m:sty m:val="p"/>
              </m:rPr>
              <m:t>⨁</m:t>
            </m:r>
          </m:e>
          <m:sub>
            <m:r>
              <m:t>i</m:t>
            </m:r>
          </m:sub>
        </m:sSub>
        <m:sSub>
          <m:e>
            <m:r>
              <m:t>V</m:t>
            </m:r>
          </m:e>
          <m:sub>
            <m:r>
              <m:t>i</m:t>
            </m:r>
          </m:sub>
        </m:sSub>
        <m:r>
          <m:rPr>
            <m:sty m:val="p"/>
          </m:rPr>
          <m:t>/</m:t>
        </m:r>
        <m:sSub>
          <m:e>
            <m:r>
              <m:t>V</m:t>
            </m:r>
          </m:e>
          <m:sub>
            <m:r>
              <m:t>i</m:t>
            </m:r>
            <m:r>
              <m:rPr>
                <m:sty m:val="p"/>
              </m:rPr>
              <m:t>−</m:t>
            </m:r>
            <m:r>
              <m:t>1</m:t>
            </m:r>
          </m:sub>
        </m:sSub>
      </m:oMath>
      <w:r>
        <w:t xml:space="preserve"> </w:t>
      </w:r>
      <w:r>
        <w:t>factors through a finite group and the kernel acts by unipotent upper-triangular maps of nilpotency index at most</w:t>
      </w:r>
      <w:r>
        <w:t xml:space="preserve"> </w:t>
      </w:r>
      <m:oMath>
        <m:r>
          <m:t>r</m:t>
        </m:r>
      </m:oMath>
      <w:r>
        <w:t>.</w:t>
      </w:r>
    </w:p>
    <w:p>
      <w:pPr>
        <w:pStyle w:val="BodyText"/>
        <w:keepLines/>
        <w:spacing w:before="100" w:after="140"/>
        <w:jc w:val="center"/>
      </w:pPr>
      <w:r>
        <w:t>After an iterate</w:t>
      </w:r>
      <w:r>
        <w:t xml:space="preserve"> </w:t>
      </w:r>
      <m:oMath>
        <m:r>
          <m:t>n</m:t>
        </m:r>
      </m:oMath>
      <w:r>
        <w:t xml:space="preserve"> </w:t>
      </w:r>
      <w:r>
        <w:t>that kills the finite diagonal action, a recurrent operator has the form</w:t>
      </w:r>
    </w:p>
    <w:p>
      <w:pPr>
        <w:pStyle w:val="BodyText"/>
        <w:keepLines/>
        <w:spacing w:before="100" w:after="140"/>
        <w:jc w:val="center"/>
      </w:pPr>
      <m:oMathPara>
        <m:oMathParaPr>
          <m:jc m:val="center"/>
        </m:oMathParaPr>
        <m:oMath>
          <m:sSup>
            <m:e>
              <m:r>
                <m:t>R</m:t>
              </m:r>
            </m:e>
            <m:sup>
              <m:r>
                <m:t>n</m:t>
              </m:r>
            </m:sup>
          </m:sSup>
          <m:r>
            <m:rPr>
              <m:sty m:val="p"/>
            </m:rPr>
            <m:t>=</m:t>
          </m:r>
          <m:r>
            <m:t>I</m:t>
          </m:r>
          <m:r>
            <m:rPr>
              <m:sty m:val="p"/>
            </m:rPr>
            <m:t>+</m:t>
          </m:r>
          <m:r>
            <m:t>N</m:t>
          </m:r>
          <m:r>
            <m:rPr>
              <m:sty m:val="p"/>
            </m:rPr>
            <m:t>,</m:t>
          </m:r>
          <m:r>
            <m:t>  </m:t>
          </m:r>
          <m:sSup>
            <m:e>
              <m:r>
                <m:t>N</m:t>
              </m:r>
            </m:e>
            <m:sup>
              <m:r>
                <m:t>r</m:t>
              </m:r>
            </m:sup>
          </m:sSup>
          <m:r>
            <m:rPr>
              <m:sty m:val="p"/>
            </m:rPr>
            <m:t>=</m:t>
          </m:r>
          <m:r>
            <m:t>0</m:t>
          </m:r>
          <m:r>
            <m:rPr>
              <m:sty m:val="p"/>
            </m:rPr>
            <m:t>.</m:t>
          </m:r>
        </m:oMath>
      </m:oMathPara>
    </w:p>
    <w:p>
      <w:pPr>
        <w:pStyle w:val="FirstParagraph"/>
      </w:pPr>
      <w:r>
        <w:t>Therefore</w:t>
      </w:r>
    </w:p>
    <w:p>
      <w:pPr>
        <w:pStyle w:val="BodyText"/>
        <w:keepLines/>
        <w:spacing w:before="100" w:after="140"/>
        <w:jc w:val="center"/>
      </w:pPr>
      <m:oMathPara>
        <m:oMathParaPr>
          <m:jc m:val="center"/>
        </m:oMathParaPr>
        <m:oMath>
          <m:sSup>
            <m:e>
              <m:d>
                <m:dPr>
                  <m:begChr m:val="("/>
                  <m:endChr m:val=")"/>
                  <m:sepChr m:val=""/>
                  <m:grow/>
                </m:dPr>
                <m:e>
                  <m:sSup>
                    <m:e>
                      <m:r>
                        <m:t>R</m:t>
                      </m:r>
                    </m:e>
                    <m:sup>
                      <m:r>
                        <m:t>n</m:t>
                      </m:r>
                    </m:sup>
                  </m:sSup>
                </m:e>
              </m:d>
            </m:e>
            <m:sup>
              <m:r>
                <m:t>k</m:t>
              </m:r>
            </m:sup>
          </m:sSup>
          <m:r>
            <m:rPr>
              <m:sty m:val="p"/>
            </m:rPr>
            <m:t>=</m:t>
          </m:r>
          <m:sSup>
            <m:e>
              <m:d>
                <m:dPr>
                  <m:begChr m:val="("/>
                  <m:endChr m:val=")"/>
                  <m:sepChr m:val=""/>
                  <m:grow/>
                </m:dPr>
                <m:e>
                  <m:r>
                    <m:t>I</m:t>
                  </m:r>
                  <m:r>
                    <m:rPr>
                      <m:sty m:val="p"/>
                    </m:rPr>
                    <m:t>+</m:t>
                  </m:r>
                  <m:r>
                    <m:t>N</m:t>
                  </m:r>
                </m:e>
              </m:d>
            </m:e>
            <m:sup>
              <m:r>
                <m:t>k</m:t>
              </m:r>
            </m:sup>
          </m:sSup>
          <m:r>
            <m:rPr>
              <m:sty m:val="p"/>
            </m:rPr>
            <m:t>=</m:t>
          </m:r>
          <m:nary>
            <m:naryPr>
              <m:chr m:val="∑"/>
              <m:limLoc m:val="undOvr"/>
              <m:subHide m:val="off"/>
              <m:supHide m:val="off"/>
            </m:naryPr>
            <m:sub>
              <m:r>
                <m:t>j</m:t>
              </m:r>
              <m:r>
                <m:rPr>
                  <m:sty m:val="p"/>
                </m:rPr>
                <m:t>=</m:t>
              </m:r>
              <m:r>
                <m:t>0</m:t>
              </m:r>
            </m:sub>
            <m:sup>
              <m:r>
                <m:t>r</m:t>
              </m:r>
              <m:r>
                <m:rPr>
                  <m:sty m:val="p"/>
                </m:rPr>
                <m:t>−</m:t>
              </m:r>
              <m:r>
                <m:t>1</m:t>
              </m:r>
            </m:sup>
            <m:e>
              <m:d>
                <m:dPr>
                  <m:begChr m:val="("/>
                  <m:endChr m:val=")"/>
                  <m:sepChr m:val=""/>
                  <m:grow/>
                </m:dPr>
                <m:e>
                  <m:f>
                    <m:fPr>
                      <m:type m:val="noBar"/>
                    </m:fPr>
                    <m:num>
                      <m:r>
                        <m:t>k</m:t>
                      </m:r>
                    </m:num>
                    <m:den>
                      <m:r>
                        <m:t>j</m:t>
                      </m:r>
                    </m:den>
                  </m:f>
                </m:e>
              </m:d>
            </m:e>
          </m:nary>
          <m:sSup>
            <m:e>
              <m:r>
                <m:t>N</m:t>
              </m:r>
            </m:e>
            <m:sup>
              <m:r>
                <m:t>j</m:t>
              </m:r>
            </m:sup>
          </m:sSup>
          <m:r>
            <m:rPr>
              <m:sty m:val="p"/>
            </m:rPr>
            <m:t>.</m:t>
          </m:r>
        </m:oMath>
      </m:oMathPara>
    </w:p>
    <w:p>
      <w:pPr>
        <w:pStyle w:val="FirstParagraph"/>
        <w:keepLines/>
        <w:spacing w:before="100" w:after="140"/>
        <w:jc w:val="center"/>
      </w:pPr>
      <w:r>
        <w:rPr>
          <w:bCs/>
          <w:b/>
        </w:rPr>
        <w:t>Theorem 6 (polynomial accumulation).</w:t>
      </w:r>
      <w:r>
        <w:t xml:space="preserve"> </w:t>
      </w:r>
      <w:r>
        <w:t>Along repeated cycles, the norm contributed by the unipotent sector is</w:t>
      </w:r>
      <w:r>
        <w:t xml:space="preserve"> </w:t>
      </w:r>
      <m:oMath>
        <m:r>
          <m:t>O</m:t>
        </m:r>
        <m:d>
          <m:dPr>
            <m:begChr m:val="("/>
            <m:endChr m:val=")"/>
            <m:sepChr m:val=""/>
            <m:grow/>
          </m:dPr>
          <m:e>
            <m:sSup>
              <m:e>
                <m:r>
                  <m:t>k</m:t>
                </m:r>
              </m:e>
              <m:sup>
                <m:r>
                  <m:t>r</m:t>
                </m:r>
                <m:r>
                  <m:rPr>
                    <m:sty m:val="p"/>
                  </m:rPr>
                  <m:t>−</m:t>
                </m:r>
                <m:r>
                  <m:t>1</m:t>
                </m:r>
              </m:sup>
            </m:sSup>
          </m:e>
        </m:d>
      </m:oMath>
      <w:r>
        <w:t>. The finite quotient sector is periodic and norm-bounded under orthogonal transport.</w:t>
      </w:r>
    </w:p>
    <w:p>
      <w:pPr>
        <w:pStyle w:val="BodyText"/>
      </w:pPr>
      <w:r>
        <w:t>This avoids exponential drift inside the structured transport subsystem. It does not prevent an input-dependent nonlinear update, decoder, optimizer, or coupling outside the subsystem from becoming unstable.</w:t>
      </w:r>
    </w:p>
    <w:bookmarkEnd w:id="47"/>
    <w:bookmarkStart w:id="48" w:name="interpretation"/>
    <w:p>
      <w:pPr>
        <w:pStyle w:val="Heading2"/>
      </w:pPr>
      <w:r>
        <w:t>7.2 Interpretation</w:t>
      </w:r>
    </w:p>
    <w:p>
      <w:pPr>
        <w:pStyle w:val="FirstParagraph"/>
      </w:pPr>
      <w:r>
        <w:t>The decomposition gives two kinds of memory:</w:t>
      </w:r>
    </w:p>
    <w:p>
      <w:pPr>
        <w:numPr>
          <w:ilvl w:val="0"/>
          <w:numId w:val="1004"/>
        </w:numPr>
        <w:pStyle w:val="Compact"/>
      </w:pPr>
      <w:r>
        <w:rPr>
          <w:bCs/>
          <w:b/>
        </w:rPr>
        <w:t>Recurrent register:</w:t>
      </w:r>
      <w:r>
        <w:t xml:space="preserve"> </w:t>
      </w:r>
      <w:r>
        <w:t>finite contextual distinctions return exactly after a bounded period.</w:t>
      </w:r>
    </w:p>
    <w:p>
      <w:pPr>
        <w:numPr>
          <w:ilvl w:val="0"/>
          <w:numId w:val="1004"/>
        </w:numPr>
        <w:pStyle w:val="Compact"/>
      </w:pPr>
      <w:r>
        <w:rPr>
          <w:bCs/>
          <w:b/>
        </w:rPr>
        <w:t>Accumulator:</w:t>
      </w:r>
      <w:r>
        <w:t xml:space="preserve"> </w:t>
      </w:r>
      <w:r>
        <w:t>extension information does not return, but bounded nilpotent depth restricts its growth to a polynomial.</w:t>
      </w:r>
    </w:p>
    <w:p>
      <w:pPr>
        <w:pStyle w:val="FirstParagraph"/>
      </w:pPr>
      <w:r>
        <w:t>The first compiles into a permutation/orthogonal register. The second is the part that can carry a lifting obstruction and cannot be represented by the finite quotient alone.</w:t>
      </w:r>
    </w:p>
    <w:bookmarkEnd w:id="48"/>
    <w:bookmarkEnd w:id="49"/>
    <w:bookmarkStart w:id="65" w:name="exact-synthetic-experiments"/>
    <w:p>
      <w:pPr>
        <w:pStyle w:val="Heading1"/>
      </w:pPr>
      <w:r>
        <w:t>8. Exact synthetic experiments</w:t>
      </w:r>
    </w:p>
    <w:p>
      <w:pPr>
        <w:pStyle w:val="FirstParagraph"/>
      </w:pPr>
      <w:r>
        <w:t>The experiments are diagnostic rather than benchmark-scale. They test four falsifiable structural predictions.</w:t>
      </w:r>
    </w:p>
    <w:bookmarkStart w:id="50" w:name="experimental-questions"/>
    <w:p>
      <w:pPr>
        <w:pStyle w:val="Heading2"/>
      </w:pPr>
      <w:r>
        <w:t>8.1 Experimental questions</w:t>
      </w:r>
    </w:p>
    <w:p>
      <w:pPr>
        <w:numPr>
          <w:ilvl w:val="0"/>
          <w:numId w:val="1005"/>
        </w:numPr>
        <w:pStyle w:val="Compact"/>
      </w:pPr>
      <w:r>
        <w:t>Do subgroup policies produce the predicted state counts and task information?</w:t>
      </w:r>
    </w:p>
    <w:p>
      <w:pPr>
        <w:numPr>
          <w:ilvl w:val="0"/>
          <w:numId w:val="1005"/>
        </w:numPr>
        <w:pStyle w:val="Compact"/>
      </w:pPr>
      <w:r>
        <w:t>Does closure change the cost of proposed forgetting moves?</w:t>
      </w:r>
    </w:p>
    <w:p>
      <w:pPr>
        <w:numPr>
          <w:ilvl w:val="0"/>
          <w:numId w:val="1005"/>
        </w:numPr>
        <w:pStyle w:val="Compact"/>
      </w:pPr>
      <w:r>
        <w:t>Is the normalized inherited lifting obstruction exactly conserved under finite covers?</w:t>
      </w:r>
    </w:p>
    <w:p>
      <w:pPr>
        <w:numPr>
          <w:ilvl w:val="0"/>
          <w:numId w:val="1005"/>
        </w:numPr>
        <w:pStyle w:val="Compact"/>
      </w:pPr>
      <w:r>
        <w:t>Does a bounded-depth extension accumulate polynomially rather than exponentially?</w:t>
      </w:r>
    </w:p>
    <w:p>
      <w:pPr>
        <w:pStyle w:val="FirstParagraph"/>
        <w:keepLines/>
        <w:spacing w:before="100" w:after="140"/>
        <w:jc w:val="center"/>
      </w:pPr>
      <w:r>
        <w:t>All calculations use exact finite-group enumeration or double-precision linear algebra. The code enumerates all six elements of</w:t>
      </w:r>
      <w:r>
        <w:t xml:space="preserve"> </w:t>
      </w:r>
      <m:oMath>
        <m:sSub>
          <m:e>
            <m:r>
              <m:t>S</m:t>
            </m:r>
          </m:e>
          <m:sub>
            <m:r>
              <m:t>3</m:t>
            </m:r>
          </m:sub>
        </m:sSub>
      </m:oMath>
      <w:r>
        <w:t xml:space="preserve"> </w:t>
      </w:r>
      <w:r>
        <w:t>and all examples are deterministic.</w:t>
      </w:r>
    </w:p>
    <w:bookmarkEnd w:id="50"/>
    <w:bookmarkStart w:id="54" w:name="the-s_3-policy-lattice"/>
    <w:p>
      <w:pPr>
        <w:pStyle w:val="Heading2"/>
        <w:keepLines/>
        <w:spacing w:before="100" w:after="140"/>
        <w:jc w:val="center"/>
      </w:pPr>
      <w:r>
        <w:t>8.2 The</w:t>
      </w:r>
      <w:r>
        <w:t xml:space="preserve"> </w:t>
      </w:r>
      <m:oMath>
        <m:sSub>
          <m:e>
            <m:r>
              <m:t>S</m:t>
            </m:r>
          </m:e>
          <m:sub>
            <m:r>
              <m:t>3</m:t>
            </m:r>
          </m:sub>
        </m:sSub>
      </m:oMath>
      <w:r>
        <w:t xml:space="preserve"> </w:t>
      </w:r>
      <w:r>
        <w:t>policy lattice</w:t>
      </w:r>
    </w:p>
    <w:p>
      <w:pPr>
        <w:pStyle w:val="FirstParagraph"/>
        <w:keepLines/>
        <w:spacing w:before="100" w:after="140"/>
        <w:jc w:val="center"/>
      </w:pPr>
      <w:r>
        <w:t>Let</w:t>
      </w:r>
      <w:r>
        <w:t xml:space="preserve"> </w:t>
      </w:r>
      <m:oMath>
        <m:r>
          <m:t>Γ</m:t>
        </m:r>
        <m:r>
          <m:rPr>
            <m:sty m:val="p"/>
          </m:rPr>
          <m:t>=</m:t>
        </m:r>
        <m:sSub>
          <m:e>
            <m:r>
              <m:t>S</m:t>
            </m:r>
          </m:e>
          <m:sub>
            <m:r>
              <m:t>3</m:t>
            </m:r>
          </m:sub>
        </m:sSub>
      </m:oMath>
      <w:r>
        <w:t>. We use four policies: the identity subgroup, a selected transposition subgroup</w:t>
      </w:r>
      <w:r>
        <w:t xml:space="preserve"> </w:t>
      </w:r>
      <m:oMath>
        <m:sSub>
          <m:e>
            <m:r>
              <m:t>C</m:t>
            </m:r>
          </m:e>
          <m:sub>
            <m:r>
              <m:t>2</m:t>
            </m:r>
          </m:sub>
        </m:sSub>
      </m:oMath>
      <w:r>
        <w:t>, the alternating subgroup</w:t>
      </w:r>
      <w:r>
        <w:t xml:space="preserve"> </w:t>
      </w:r>
      <m:oMath>
        <m:sSub>
          <m:e>
            <m:r>
              <m:t>A</m:t>
            </m:r>
          </m:e>
          <m:sub>
            <m:r>
              <m:t>3</m:t>
            </m:r>
          </m:sub>
        </m:sSub>
      </m:oMath>
      <w:r>
        <w:t>, and</w:t>
      </w:r>
      <w:r>
        <w:t xml:space="preserve"> </w:t>
      </w:r>
      <m:oMath>
        <m:sSub>
          <m:e>
            <m:r>
              <m:t>S</m:t>
            </m:r>
          </m:e>
          <m:sub>
            <m:r>
              <m:t>3</m:t>
            </m:r>
          </m:sub>
        </m:sSub>
      </m:oMath>
      <w:r>
        <w:t xml:space="preserve"> </w:t>
      </w:r>
      <w:r>
        <w:t>itself. Their registers contain 6, 3, 2, and 1 states.</w:t>
      </w:r>
    </w:p>
    <w:p>
      <w:pPr>
        <w:pStyle w:val="CaptionedFigure"/>
        <w:keepNext/>
        <w:spacing w:before="140" w:after="40"/>
        <w:jc w:val="center"/>
      </w:pPr>
      <w:r>
        <w:drawing>
          <wp:inline>
            <wp:extent cx="3840480" cy="2109559"/>
            <wp:effectExtent b="0" l="0" r="0" t="0"/>
            <wp:docPr descr="Relevant part of the subgroup lattice of S3. The 3-state and 2-state policies are incomparable." title="" id="52" name="Picture"/>
            <a:graphic>
              <a:graphicData uri="http://schemas.openxmlformats.org/drawingml/2006/picture">
                <pic:pic>
                  <pic:nvPicPr>
                    <pic:cNvPr descr="../experiments/out/s3_subgroup_lattice.png" id="53" name="Picture"/>
                    <pic:cNvPicPr>
                      <a:picLocks noChangeArrowheads="1" noChangeAspect="1"/>
                    </pic:cNvPicPr>
                  </pic:nvPicPr>
                  <pic:blipFill>
                    <a:blip r:embed="rId51"/>
                    <a:stretch>
                      <a:fillRect/>
                    </a:stretch>
                  </pic:blipFill>
                  <pic:spPr bwMode="auto">
                    <a:xfrm>
                      <a:off x="0" y="0"/>
                      <a:ext cx="3840480" cy="2109559"/>
                    </a:xfrm>
                    <a:prstGeom prst="rect">
                      <a:avLst/>
                    </a:prstGeom>
                    <a:noFill/>
                    <a:ln w="9525">
                      <a:noFill/>
                      <a:headEnd/>
                      <a:tailEnd/>
                    </a:ln>
                  </pic:spPr>
                </pic:pic>
              </a:graphicData>
            </a:graphic>
          </wp:inline>
        </w:drawing>
      </w:r>
    </w:p>
    <w:p>
      <w:pPr>
        <w:pStyle w:val="ImageCaption"/>
      </w:pPr>
      <w:r>
        <w:t>Figure 2. Relevant part of the subgroup lattice of S3. The 3-state and 2-state policies are incomparable.</w:t>
      </w:r>
    </w:p>
    <w:p>
      <w:pPr>
        <w:pStyle w:val="BodyText"/>
        <w:keepLines/>
        <w:spacing w:before="100" w:after="140"/>
        <w:jc w:val="center"/>
      </w:pPr>
      <w:r>
        <w:t>This corrects a superficially plausible but impossible filtration</w:t>
      </w:r>
      <w:r>
        <w:t xml:space="preserve"> </w:t>
      </w:r>
      <m:oMath>
        <m:r>
          <m:t>6</m:t>
        </m:r>
        <m:r>
          <m:rPr>
            <m:sty m:val="p"/>
          </m:rPr>
          <m:t>→</m:t>
        </m:r>
        <m:r>
          <m:t>3</m:t>
        </m:r>
        <m:r>
          <m:rPr>
            <m:sty m:val="p"/>
          </m:rPr>
          <m:t>→</m:t>
        </m:r>
        <m:r>
          <m:t>2</m:t>
        </m:r>
        <m:r>
          <m:rPr>
            <m:sty m:val="p"/>
          </m:rPr>
          <m:t>→</m:t>
        </m:r>
        <m:r>
          <m:t>1</m:t>
        </m:r>
      </m:oMath>
      <w:r>
        <w:t>. The policies with three and two states are both coarsenings of the six-state policy, but neither coarsens the other. The legal chains are</w:t>
      </w:r>
    </w:p>
    <w:p>
      <w:pPr>
        <w:pStyle w:val="BodyText"/>
        <w:keepLines/>
        <w:spacing w:before="100" w:after="140"/>
        <w:jc w:val="center"/>
      </w:pPr>
      <m:oMathPara>
        <m:oMathParaPr>
          <m:jc m:val="center"/>
        </m:oMathParaPr>
        <m:oMath>
          <m:r>
            <m:t>6</m:t>
          </m:r>
          <m:r>
            <m:rPr>
              <m:sty m:val="p"/>
            </m:rPr>
            <m:t>→</m:t>
          </m:r>
          <m:r>
            <m:t>3</m:t>
          </m:r>
          <m:r>
            <m:rPr>
              <m:sty m:val="p"/>
            </m:rPr>
            <m:t>→</m:t>
          </m:r>
          <m:r>
            <m:t>1</m:t>
          </m:r>
          <m:r>
            <m:t>  </m:t>
          </m:r>
          <m:r>
            <m:rPr>
              <m:nor/>
              <m:sty m:val="p"/>
            </m:rPr>
            <m:t>and</m:t>
          </m:r>
          <m:r>
            <m:t>  </m:t>
          </m:r>
          <m:r>
            <m:t>6</m:t>
          </m:r>
          <m:r>
            <m:rPr>
              <m:sty m:val="p"/>
            </m:rPr>
            <m:t>→</m:t>
          </m:r>
          <m:r>
            <m:t>2</m:t>
          </m:r>
          <m:r>
            <m:rPr>
              <m:sty m:val="p"/>
            </m:rPr>
            <m:t>→</m:t>
          </m:r>
          <m:r>
            <m:t>1</m:t>
          </m:r>
          <m:r>
            <m:rPr>
              <m:sty m:val="p"/>
            </m:rPr>
            <m:t>.</m:t>
          </m:r>
        </m:oMath>
      </m:oMathPara>
    </w:p>
    <w:p>
      <w:pPr>
        <w:pStyle w:val="FirstParagraph"/>
      </w:pPr>
      <w:r>
        <w:t>We define four uniform tasks whose labels are exactly the corresponding cosets. Table 1 reports Bayes accuracy when a task is decoded from each memory policy.</w:t>
      </w:r>
    </w:p>
    <w:tbl>
      <w:tblPr>
        <w:tblStyle w:val="Table"/>
        <w:tblW w:type="dxa" w:w="9360"/>
        <w:jc w:val="left"/>
        <w:tblLayout w:type="fixed"/>
        <w:tblLook w:firstRow="1" w:lastRow="0" w:firstColumn="0" w:lastColumn="0" w:noHBand="0" w:noVBand="0" w:val="0020"/>
        <w:tblInd w:w="120" w:type="dxa"/>
        <w:tblBorders>
          <w:top w:val="single" w:sz="4" w:space="0" w:color="C7D0DB"/>
          <w:left w:val="single" w:sz="4" w:space="0" w:color="C7D0DB"/>
          <w:bottom w:val="single" w:sz="4" w:space="0" w:color="C7D0DB"/>
          <w:right w:val="single" w:sz="4" w:space="0" w:color="C7D0DB"/>
          <w:insideH w:val="single" w:sz="4" w:space="0" w:color="C7D0DB"/>
          <w:insideV w:val="single" w:sz="4" w:space="0" w:color="C7D0DB"/>
        </w:tblBorders>
      </w:tblPr>
      <w:tblGrid>
        <w:gridCol w:w="2800"/>
        <w:gridCol w:w="1640"/>
        <w:gridCol w:w="1640"/>
        <w:gridCol w:w="1640"/>
        <w:gridCol w:w="1640"/>
      </w:tblGrid>
      <w:tr>
        <w:trPr>
          <w:trHeight w:val="576" w:hRule="atLeast"/>
          <w:tblHeader w:val="true"/>
        </w:trPr>
        <w:tc>
          <w:tcPr>
            <w:tcW w:w="2800" w:type="dxa"/>
            <w:tcMar>
              <w:top w:w="110" w:type="dxa"/>
              <w:start w:w="120" w:type="dxa"/>
              <w:bottom w:w="110" w:type="dxa"/>
              <w:end w:w="120" w:type="dxa"/>
            </w:tcMar>
            <w:vAlign w:val="center"/>
            <w:shd w:fill="F4F6F9"/>
          </w:tcPr>
          <w:p>
            <w:pPr>
              <w:pStyle w:val="Compact"/>
              <w:spacing w:before="0" w:after="60" w:line="264" w:lineRule="auto"/>
              <w:jc w:val="left"/>
            </w:pPr>
            <w:r>
              <w:rPr>
                <w:rFonts w:ascii="Calibri" w:hAnsi="Calibri" w:eastAsia="Calibri"/>
                <w:b/>
                <w:color w:val="0B2545"/>
                <w:sz w:val="17"/>
              </w:rPr>
              <w:t>Memory policy</w:t>
            </w:r>
          </w:p>
        </w:tc>
        <w:tc>
          <w:tcPr>
            <w:tcW w:w="1640" w:type="dxa"/>
            <w:tcMar>
              <w:top w:w="110" w:type="dxa"/>
              <w:start w:w="120" w:type="dxa"/>
              <w:bottom w:w="110" w:type="dxa"/>
              <w:end w:w="120" w:type="dxa"/>
            </w:tcMar>
            <w:vAlign w:val="center"/>
            <w:shd w:fill="F4F6F9"/>
          </w:tcPr>
          <w:p>
            <w:pPr>
              <w:pStyle w:val="Compact"/>
              <w:spacing w:before="0" w:after="60" w:line="264" w:lineRule="auto"/>
              <w:jc w:val="center"/>
            </w:pPr>
            <w:r>
              <w:rPr>
                <w:rFonts w:ascii="Calibri" w:hAnsi="Calibri" w:eastAsia="Calibri"/>
                <w:b/>
                <w:color w:val="0B2545"/>
                <w:sz w:val="17"/>
              </w:rPr>
              <w:t>Fine task (6)</w:t>
            </w:r>
          </w:p>
        </w:tc>
        <w:tc>
          <w:tcPr>
            <w:tcW w:w="1640" w:type="dxa"/>
            <w:tcMar>
              <w:top w:w="110" w:type="dxa"/>
              <w:start w:w="120" w:type="dxa"/>
              <w:bottom w:w="110" w:type="dxa"/>
              <w:end w:w="120" w:type="dxa"/>
            </w:tcMar>
            <w:vAlign w:val="center"/>
            <w:shd w:fill="F4F6F9"/>
          </w:tcPr>
          <w:p>
            <w:pPr>
              <w:pStyle w:val="Compact"/>
              <w:spacing w:before="0" w:after="60" w:line="264" w:lineRule="auto"/>
              <w:jc w:val="center"/>
            </w:pPr>
            <m:oMath>
              <m:sSub>
                <m:e>
                  <m:r>
                    <m:t>C</m:t>
                  </m:r>
                </m:e>
                <m:sub>
                  <m:r>
                    <m:t>2</m:t>
                  </m:r>
                </m:sub>
              </m:sSub>
            </m:oMath>
            <w:r>
              <w:rPr>
                <w:rFonts w:ascii="Calibri" w:hAnsi="Calibri" w:eastAsia="Calibri"/>
                <w:b/>
                <w:color w:val="0B2545"/>
                <w:sz w:val="17"/>
              </w:rPr>
              <w:t xml:space="preserve"> </w:t>
            </w:r>
            <w:r>
              <w:rPr>
                <w:rFonts w:ascii="Calibri" w:hAnsi="Calibri" w:eastAsia="Calibri"/>
                <w:b/>
                <w:color w:val="0B2545"/>
                <w:sz w:val="17"/>
              </w:rPr>
              <w:t>task (3)</w:t>
            </w:r>
          </w:p>
        </w:tc>
        <w:tc>
          <w:tcPr>
            <w:tcW w:w="1640" w:type="dxa"/>
            <w:tcMar>
              <w:top w:w="110" w:type="dxa"/>
              <w:start w:w="120" w:type="dxa"/>
              <w:bottom w:w="110" w:type="dxa"/>
              <w:end w:w="120" w:type="dxa"/>
            </w:tcMar>
            <w:vAlign w:val="center"/>
            <w:shd w:fill="F4F6F9"/>
          </w:tcPr>
          <w:p>
            <w:pPr>
              <w:pStyle w:val="Compact"/>
              <w:spacing w:before="0" w:after="60" w:line="264" w:lineRule="auto"/>
              <w:jc w:val="center"/>
            </w:pPr>
            <m:oMath>
              <m:sSub>
                <m:e>
                  <m:r>
                    <m:t>A</m:t>
                  </m:r>
                </m:e>
                <m:sub>
                  <m:r>
                    <m:t>3</m:t>
                  </m:r>
                </m:sub>
              </m:sSub>
            </m:oMath>
            <w:r>
              <w:rPr>
                <w:rFonts w:ascii="Calibri" w:hAnsi="Calibri" w:eastAsia="Calibri"/>
                <w:b/>
                <w:color w:val="0B2545"/>
                <w:sz w:val="17"/>
              </w:rPr>
              <w:t xml:space="preserve"> </w:t>
            </w:r>
            <w:r>
              <w:rPr>
                <w:rFonts w:ascii="Calibri" w:hAnsi="Calibri" w:eastAsia="Calibri"/>
                <w:b/>
                <w:color w:val="0B2545"/>
                <w:sz w:val="17"/>
              </w:rPr>
              <w:t>task (2)</w:t>
            </w:r>
          </w:p>
        </w:tc>
        <w:tc>
          <w:tcPr>
            <w:tcW w:w="1640" w:type="dxa"/>
            <w:tcMar>
              <w:top w:w="110" w:type="dxa"/>
              <w:start w:w="120" w:type="dxa"/>
              <w:bottom w:w="110" w:type="dxa"/>
              <w:end w:w="120" w:type="dxa"/>
            </w:tcMar>
            <w:vAlign w:val="center"/>
            <w:shd w:fill="F4F6F9"/>
          </w:tcPr>
          <w:p>
            <w:pPr>
              <w:pStyle w:val="Compact"/>
              <w:spacing w:before="0" w:after="60" w:line="264" w:lineRule="auto"/>
              <w:jc w:val="center"/>
            </w:pPr>
            <w:r>
              <w:rPr>
                <w:rFonts w:ascii="Calibri" w:hAnsi="Calibri" w:eastAsia="Calibri"/>
                <w:b/>
                <w:color w:val="0B2545"/>
                <w:sz w:val="17"/>
              </w:rPr>
              <w:t>Constant task (1)</w:t>
            </w:r>
          </w:p>
        </w:tc>
      </w:tr>
      <w:tr>
        <w:trPr>
          <w:trHeight w:val="490" w:hRule="atLeast"/>
        </w:trPr>
        <w:tc>
          <w:tcPr>
            <w:tcW w:w="2800" w:type="dxa"/>
            <w:tcMar>
              <w:top w:w="110" w:type="dxa"/>
              <w:start w:w="120" w:type="dxa"/>
              <w:bottom w:w="110" w:type="dxa"/>
              <w:end w:w="120" w:type="dxa"/>
            </w:tcMar>
            <w:vAlign w:val="center"/>
          </w:tcPr>
          <w:p>
            <w:pPr>
              <w:pStyle w:val="Compact"/>
              <w:spacing w:before="0" w:after="60" w:line="264" w:lineRule="auto"/>
              <w:jc w:val="left"/>
            </w:pPr>
            <w:r>
              <w:rPr>
                <w:rFonts w:ascii="Calibri" w:hAnsi="Calibri" w:eastAsia="Calibri"/>
                <w:b w:val="0"/>
                <w:color w:val="000000"/>
                <w:sz w:val="17"/>
              </w:rPr>
              <w:t>Identity: 6 states</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1.000</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1.000</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1.000</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1.000</w:t>
            </w:r>
          </w:p>
        </w:tc>
      </w:tr>
      <w:tr>
        <w:trPr>
          <w:trHeight w:val="490" w:hRule="atLeast"/>
        </w:trPr>
        <w:tc>
          <w:tcPr>
            <w:tcW w:w="2800" w:type="dxa"/>
            <w:tcMar>
              <w:top w:w="110" w:type="dxa"/>
              <w:start w:w="120" w:type="dxa"/>
              <w:bottom w:w="110" w:type="dxa"/>
              <w:end w:w="120" w:type="dxa"/>
            </w:tcMar>
            <w:vAlign w:val="center"/>
          </w:tcPr>
          <w:p>
            <w:pPr>
              <w:pStyle w:val="Compact"/>
              <w:spacing w:before="0" w:after="60" w:line="264" w:lineRule="auto"/>
              <w:jc w:val="left"/>
            </w:pPr>
            <m:oMath>
              <m:sSub>
                <m:e>
                  <m:r>
                    <m:t>C</m:t>
                  </m:r>
                </m:e>
                <m:sub>
                  <m:r>
                    <m:t>2</m:t>
                  </m:r>
                </m:sub>
              </m:sSub>
            </m:oMath>
            <w:r>
              <w:rPr>
                <w:rFonts w:ascii="Calibri" w:hAnsi="Calibri" w:eastAsia="Calibri"/>
                <w:b w:val="0"/>
                <w:color w:val="000000"/>
                <w:sz w:val="17"/>
              </w:rPr>
              <w:t>: 3 states</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0.500</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1.000</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0.500</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1.000</w:t>
            </w:r>
          </w:p>
        </w:tc>
      </w:tr>
      <w:tr>
        <w:trPr>
          <w:trHeight w:val="490" w:hRule="atLeast"/>
        </w:trPr>
        <w:tc>
          <w:tcPr>
            <w:tcW w:w="2800" w:type="dxa"/>
            <w:tcMar>
              <w:top w:w="110" w:type="dxa"/>
              <w:start w:w="120" w:type="dxa"/>
              <w:bottom w:w="110" w:type="dxa"/>
              <w:end w:w="120" w:type="dxa"/>
            </w:tcMar>
            <w:vAlign w:val="center"/>
          </w:tcPr>
          <w:p>
            <w:pPr>
              <w:pStyle w:val="Compact"/>
              <w:spacing w:before="0" w:after="60" w:line="264" w:lineRule="auto"/>
              <w:jc w:val="left"/>
            </w:pPr>
            <m:oMath>
              <m:sSub>
                <m:e>
                  <m:r>
                    <m:t>A</m:t>
                  </m:r>
                </m:e>
                <m:sub>
                  <m:r>
                    <m:t>3</m:t>
                  </m:r>
                </m:sub>
              </m:sSub>
            </m:oMath>
            <w:r>
              <w:rPr>
                <w:rFonts w:ascii="Calibri" w:hAnsi="Calibri" w:eastAsia="Calibri"/>
                <w:b w:val="0"/>
                <w:color w:val="000000"/>
                <w:sz w:val="17"/>
              </w:rPr>
              <w:t>: 2 states</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0.333</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0.333</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1.000</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1.000</w:t>
            </w:r>
          </w:p>
        </w:tc>
      </w:tr>
      <w:tr>
        <w:trPr>
          <w:trHeight w:val="490" w:hRule="atLeast"/>
        </w:trPr>
        <w:tc>
          <w:tcPr>
            <w:tcW w:w="2800" w:type="dxa"/>
            <w:tcMar>
              <w:top w:w="110" w:type="dxa"/>
              <w:start w:w="120" w:type="dxa"/>
              <w:bottom w:w="110" w:type="dxa"/>
              <w:end w:w="120" w:type="dxa"/>
            </w:tcMar>
            <w:vAlign w:val="center"/>
          </w:tcPr>
          <w:p>
            <w:pPr>
              <w:pStyle w:val="Compact"/>
              <w:spacing w:before="0" w:after="60" w:line="264" w:lineRule="auto"/>
              <w:jc w:val="left"/>
            </w:pPr>
            <m:oMath>
              <m:sSub>
                <m:e>
                  <m:r>
                    <m:t>S</m:t>
                  </m:r>
                </m:e>
                <m:sub>
                  <m:r>
                    <m:t>3</m:t>
                  </m:r>
                </m:sub>
              </m:sSub>
            </m:oMath>
            <w:r>
              <w:rPr>
                <w:rFonts w:ascii="Calibri" w:hAnsi="Calibri" w:eastAsia="Calibri"/>
                <w:b w:val="0"/>
                <w:color w:val="000000"/>
                <w:sz w:val="17"/>
              </w:rPr>
              <w:t>: 1 state</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0.167</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0.333</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0.500</w:t>
            </w:r>
          </w:p>
        </w:tc>
        <w:tc>
          <w:tcPr>
            <w:tcW w:w="1640" w:type="dxa"/>
            <w:tcMar>
              <w:top w:w="110" w:type="dxa"/>
              <w:start w:w="120" w:type="dxa"/>
              <w:bottom w:w="110" w:type="dxa"/>
              <w:end w:w="120" w:type="dxa"/>
            </w:tcMar>
            <w:vAlign w:val="center"/>
          </w:tcPr>
          <w:p>
            <w:pPr>
              <w:pStyle w:val="Compact"/>
              <w:spacing w:before="0" w:after="60" w:line="264" w:lineRule="auto"/>
              <w:jc w:val="center"/>
            </w:pPr>
            <w:r>
              <w:rPr>
                <w:rFonts w:ascii="Calibri" w:hAnsi="Calibri" w:eastAsia="Calibri"/>
                <w:b w:val="0"/>
                <w:color w:val="000000"/>
                <w:sz w:val="17"/>
              </w:rPr>
              <w:t>1.000</w:t>
            </w:r>
          </w:p>
        </w:tc>
      </w:tr>
    </w:tbl>
    <w:p>
      <w:pPr>
        <w:pStyle w:val="BodyText"/>
        <w:keepLines/>
        <w:spacing w:before="80" w:after="180"/>
        <w:jc w:val="left"/>
      </w:pPr>
      <w:r>
        <w:rPr>
          <w:bCs/>
          <w:rFonts w:ascii="Calibri" w:hAnsi="Calibri" w:eastAsia="Calibri"/>
          <w:b/>
          <w:i/>
          <w:color w:val="5C636E"/>
          <w:sz w:val="18"/>
        </w:rPr>
        <w:t>Table 1.</w:t>
      </w:r>
      <w:r>
        <w:rPr>
          <w:rFonts w:ascii="Calibri" w:hAnsi="Calibri" w:eastAsia="Calibri"/>
          <w:i/>
          <w:color w:val="5C636E"/>
          <w:sz w:val="18"/>
        </w:rPr>
        <w:t xml:space="preserve"> </w:t>
      </w:r>
      <w:r>
        <w:rPr>
          <w:rFonts w:ascii="Calibri" w:hAnsi="Calibri" w:eastAsia="Calibri"/>
          <w:i/>
          <w:color w:val="5C636E"/>
          <w:sz w:val="18"/>
        </w:rPr>
        <w:t>Exact Bayes accuracy under uniform</w:t>
      </w:r>
      <w:r>
        <w:rPr>
          <w:rFonts w:ascii="Calibri" w:hAnsi="Calibri" w:eastAsia="Calibri"/>
          <w:i/>
          <w:color w:val="5C636E"/>
          <w:sz w:val="18"/>
        </w:rPr>
        <w:t xml:space="preserve"> </w:t>
      </w:r>
      <m:oMath>
        <m:sSub>
          <m:e>
            <m:r>
              <m:t>S</m:t>
            </m:r>
          </m:e>
          <m:sub>
            <m:r>
              <m:t>3</m:t>
            </m:r>
          </m:sub>
        </m:sSub>
      </m:oMath>
      <w:r>
        <w:rPr>
          <w:rFonts w:ascii="Calibri" w:hAnsi="Calibri" w:eastAsia="Calibri"/>
          <w:i/>
          <w:color w:val="5C636E"/>
          <w:sz w:val="18"/>
        </w:rPr>
        <w:t xml:space="preserve"> </w:t>
      </w:r>
      <w:r>
        <w:rPr>
          <w:rFonts w:ascii="Calibri" w:hAnsi="Calibri" w:eastAsia="Calibri"/>
          <w:i/>
          <w:color w:val="5C636E"/>
          <w:sz w:val="18"/>
        </w:rPr>
        <w:t>histories. Matched policy-task pairs are lossless. Incomparable policies cannot be converted without returning to a common refinement or retraining an information source.</w:t>
      </w:r>
    </w:p>
    <w:p>
      <w:pPr>
        <w:pStyle w:val="BodyText"/>
        <w:keepLines/>
        <w:spacing w:before="100" w:after="140"/>
        <w:jc w:val="center"/>
      </w:pPr>
      <w:r>
        <w:t>Switching among these registers requires only changing</w:t>
      </w:r>
      <w:r>
        <w:t xml:space="preserve"> </w:t>
      </w:r>
      <m:oMath>
        <m:r>
          <m:t>J</m:t>
        </m:r>
      </m:oMath>
      <w:r>
        <w:t xml:space="preserve"> </w:t>
      </w:r>
      <w:r>
        <w:t>and its permutation module; the edge products and transport representation remain frozen. This is the paper's limited, exact meaning of zero-shot granularity switching.</w:t>
      </w:r>
    </w:p>
    <w:bookmarkEnd w:id="54"/>
    <w:bookmarkStart w:id="55" w:name="closure-aware-forgetting"/>
    <w:p>
      <w:pPr>
        <w:pStyle w:val="Heading2"/>
      </w:pPr>
      <w:r>
        <w:t>8.3 Closure-aware forgetting</w:t>
      </w:r>
    </w:p>
    <w:p>
      <w:pPr>
        <w:pStyle w:val="FirstParagraph"/>
        <w:keepLines/>
        <w:spacing w:before="100" w:after="140"/>
        <w:jc w:val="center"/>
      </w:pPr>
      <w:r>
        <w:t>Starting from the identity subgroup, forgetting either transposition</w:t>
      </w:r>
      <w:r>
        <w:t xml:space="preserve"> </w:t>
      </w:r>
      <m:oMath>
        <m:r>
          <m:t>a</m:t>
        </m:r>
        <m:r>
          <m:rPr>
            <m:sty m:val="p"/>
          </m:rPr>
          <m:t>=</m:t>
        </m:r>
        <m:d>
          <m:dPr>
            <m:begChr m:val="("/>
            <m:endChr m:val=")"/>
            <m:sepChr m:val=""/>
            <m:grow/>
          </m:dPr>
          <m:e>
            <m:r>
              <m:t>12</m:t>
            </m:r>
          </m:e>
        </m:d>
      </m:oMath>
      <w:r>
        <w:t xml:space="preserve"> </w:t>
      </w:r>
      <w:r>
        <w:t>or</w:t>
      </w:r>
      <w:r>
        <w:t xml:space="preserve"> </w:t>
      </w:r>
      <m:oMath>
        <m:r>
          <m:t>b</m:t>
        </m:r>
        <m:r>
          <m:rPr>
            <m:sty m:val="p"/>
          </m:rPr>
          <m:t>=</m:t>
        </m:r>
        <m:d>
          <m:dPr>
            <m:begChr m:val="("/>
            <m:endChr m:val=")"/>
            <m:sepChr m:val=""/>
            <m:grow/>
          </m:dPr>
          <m:e>
            <m:r>
              <m:t>23</m:t>
            </m:r>
          </m:e>
        </m:d>
      </m:oMath>
      <w:r>
        <w:t xml:space="preserve"> </w:t>
      </w:r>
      <w:r>
        <w:t>alone generates a subgroup of order two and reduces six states to three. Forgetting both does not create a four-element set. Their closure is</w:t>
      </w:r>
    </w:p>
    <w:p>
      <w:pPr>
        <w:pStyle w:val="BodyText"/>
        <w:keepLines/>
        <w:spacing w:before="100" w:after="140"/>
        <w:jc w:val="center"/>
      </w:pPr>
      <m:oMathPara>
        <m:oMathParaPr>
          <m:jc m:val="center"/>
        </m:oMathParaPr>
        <m:oMath>
          <m:r>
            <m:rPr>
              <m:sty m:val="p"/>
            </m:rPr>
            <m:t>⟨</m:t>
          </m:r>
          <m:r>
            <m:t>a</m:t>
          </m:r>
          <m:r>
            <m:rPr>
              <m:sty m:val="p"/>
            </m:rPr>
            <m:t>,</m:t>
          </m:r>
          <m:r>
            <m:t>b</m:t>
          </m:r>
          <m:r>
            <m:rPr>
              <m:sty m:val="p"/>
            </m:rPr>
            <m:t>⟩</m:t>
          </m:r>
          <m:r>
            <m:rPr>
              <m:sty m:val="p"/>
            </m:rPr>
            <m:t>=</m:t>
          </m:r>
          <m:sSub>
            <m:e>
              <m:r>
                <m:t>S</m:t>
              </m:r>
            </m:e>
            <m:sub>
              <m:r>
                <m:t>3</m:t>
              </m:r>
            </m:sub>
          </m:sSub>
          <m:r>
            <m:rPr>
              <m:sty m:val="p"/>
            </m:rPr>
            <m:t>,</m:t>
          </m:r>
        </m:oMath>
      </m:oMathPara>
    </w:p>
    <w:p>
      <w:pPr>
        <w:pStyle w:val="FirstParagraph"/>
        <w:keepLines/>
        <w:spacing w:before="100" w:after="140"/>
        <w:jc w:val="center"/>
      </w:pPr>
      <w:r>
        <w:t>which reduces the register to one state. Under a uniform history distribution, each single move forgets</w:t>
      </w:r>
      <w:r>
        <w:t xml:space="preserve"> </w:t>
      </w:r>
      <m:oMath>
        <m:sSub>
          <m:e>
            <m:r>
              <m:rPr>
                <m:sty m:val="p"/>
              </m:rPr>
              <m:t>log</m:t>
            </m:r>
          </m:e>
          <m:sub>
            <m:r>
              <m:t>2</m:t>
            </m:r>
          </m:sub>
        </m:sSub>
        <m:r>
          <m:t>2</m:t>
        </m:r>
        <m:r>
          <m:rPr>
            <m:sty m:val="p"/>
          </m:rPr>
          <m:t>=</m:t>
        </m:r>
        <m:r>
          <m:t>1</m:t>
        </m:r>
      </m:oMath>
      <w:r>
        <w:t xml:space="preserve"> </w:t>
      </w:r>
      <w:r>
        <w:t>bit of identity information, while the joint closure forgets</w:t>
      </w:r>
      <w:r>
        <w:t xml:space="preserve"> </w:t>
      </w:r>
      <m:oMath>
        <m:sSub>
          <m:e>
            <m:r>
              <m:rPr>
                <m:sty m:val="p"/>
              </m:rPr>
              <m:t>log</m:t>
            </m:r>
          </m:e>
          <m:sub>
            <m:r>
              <m:t>2</m:t>
            </m:r>
          </m:sub>
        </m:sSub>
        <m:r>
          <m:t>6</m:t>
        </m:r>
        <m:r>
          <m:rPr>
            <m:sty m:val="p"/>
          </m:rPr>
          <m:t>=</m:t>
        </m:r>
        <m:r>
          <m:t>2.585</m:t>
        </m:r>
      </m:oMath>
      <w:r>
        <w:t xml:space="preserve"> </w:t>
      </w:r>
      <w:r>
        <w:t>bits. The extra</w:t>
      </w:r>
      <w:r>
        <w:t xml:space="preserve"> </w:t>
      </w:r>
      <m:oMath>
        <m:r>
          <m:t>0.585</m:t>
        </m:r>
      </m:oMath>
      <w:r>
        <w:t xml:space="preserve"> </w:t>
      </w:r>
      <w:r>
        <w:t>bits are invisible to independent thresholding.</w:t>
      </w:r>
    </w:p>
    <w:bookmarkEnd w:id="55"/>
    <w:bookmarkStart w:id="59" w:name="cover-conservation-and-supersession"/>
    <w:p>
      <w:pPr>
        <w:pStyle w:val="Heading2"/>
      </w:pPr>
      <w:r>
        <w:t>8.4 Cover conservation and supersession</w:t>
      </w:r>
    </w:p>
    <w:p>
      <w:pPr>
        <w:pStyle w:val="FirstParagraph"/>
        <w:keepLines/>
        <w:spacing w:before="100" w:after="140"/>
        <w:jc w:val="center"/>
      </w:pPr>
      <w:r>
        <w:t>Consider the circle example with</w:t>
      </w:r>
      <w:r>
        <w:t xml:space="preserve"> </w:t>
      </w:r>
      <m:oMath>
        <m:r>
          <m:t>S</m:t>
        </m:r>
        <m:r>
          <m:rPr>
            <m:sty m:val="p"/>
          </m:rPr>
          <m:t>=</m:t>
        </m:r>
        <m:r>
          <m:rPr>
            <m:sty m:val="p"/>
            <m:scr m:val="double-struck"/>
          </m:rPr>
          <m:t>R</m:t>
        </m:r>
      </m:oMath>
      <w:r>
        <w:t>,</w:t>
      </w:r>
      <w:r>
        <w:t xml:space="preserve"> </w:t>
      </w:r>
      <m:oMath>
        <m:r>
          <m:t>Q</m:t>
        </m:r>
        <m:r>
          <m:rPr>
            <m:sty m:val="p"/>
          </m:rPr>
          <m:t>=</m:t>
        </m:r>
        <m:sSup>
          <m:e>
            <m:r>
              <m:rPr>
                <m:sty m:val="p"/>
                <m:scr m:val="double-struck"/>
              </m:rPr>
              <m:t>R</m:t>
            </m:r>
          </m:e>
          <m:sup>
            <m:r>
              <m:t>2</m:t>
            </m:r>
          </m:sup>
        </m:sSup>
      </m:oMath>
      <w:r>
        <w:t>,</w:t>
      </w:r>
    </w:p>
    <w:p>
      <w:pPr>
        <w:pStyle w:val="BodyText"/>
        <w:keepLines/>
        <w:spacing w:before="100" w:after="140"/>
        <w:jc w:val="center"/>
      </w:pPr>
      <m:oMathPara>
        <m:oMathParaPr>
          <m:jc m:val="center"/>
        </m:oMathParaPr>
        <m:oMath>
          <m:r>
            <m:t>A</m:t>
          </m:r>
          <m:r>
            <m:rPr>
              <m:sty m:val="p"/>
            </m:rPr>
            <m:t>=</m:t>
          </m:r>
          <m:r>
            <m:t>1</m:t>
          </m:r>
          <m:r>
            <m:rPr>
              <m:sty m:val="p"/>
            </m:rPr>
            <m:t>,</m:t>
          </m:r>
          <m:r>
            <m:t>  </m:t>
          </m:r>
          <m:r>
            <m:t>C</m:t>
          </m:r>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rPr>
              <m:sty m:val="p"/>
            </m:rPr>
            <m:t>,</m:t>
          </m:r>
          <m:r>
            <m:t>  </m:t>
          </m:r>
          <m:r>
            <m:t>B</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1</m:t>
                    </m:r>
                  </m:e>
                </m:mr>
              </m:m>
            </m:e>
          </m:d>
          <m:r>
            <m:rPr>
              <m:sty m:val="p"/>
            </m:rPr>
            <m:t>.</m:t>
          </m:r>
        </m:oMath>
      </m:oMathPara>
    </w:p>
    <w:p>
      <w:pPr>
        <w:pStyle w:val="FirstParagraph"/>
        <w:keepLines/>
        <w:spacing w:before="100" w:after="140"/>
        <w:jc w:val="center"/>
      </w:pPr>
      <w:r>
        <w:t>The inherited quotient section</w:t>
      </w:r>
      <w:r>
        <w:t xml:space="preserve"> </w:t>
      </w:r>
      <m:oMath>
        <m:sSub>
          <m:e>
            <m:r>
              <m:t>q</m:t>
            </m:r>
          </m:e>
          <m:sub>
            <m:r>
              <m:rPr>
                <m:sty m:val="p"/>
              </m:rPr>
              <m:t>+</m:t>
            </m:r>
          </m:sub>
        </m:sSub>
        <m:r>
          <m:rPr>
            <m:sty m:val="p"/>
          </m:rPr>
          <m:t>=</m:t>
        </m:r>
        <m:sSup>
          <m:e>
            <m:d>
              <m:dPr>
                <m:begChr m:val="("/>
                <m:endChr m:val=")"/>
                <m:sepChr m:val=""/>
                <m:grow/>
              </m:dPr>
              <m:e>
                <m:r>
                  <m:t>1</m:t>
                </m:r>
                <m:r>
                  <m:rPr>
                    <m:sty m:val="p"/>
                  </m:rPr>
                  <m:t>,</m:t>
                </m:r>
                <m:r>
                  <m:t>1</m:t>
                </m:r>
              </m:e>
            </m:d>
          </m:e>
          <m:sup>
            <m:r>
              <m:rPr>
                <m:sty m:val="p"/>
                <m:scr m:val="sans-serif"/>
              </m:rPr>
              <m:t>T</m:t>
            </m:r>
          </m:sup>
        </m:sSup>
      </m:oMath>
      <w:r>
        <w:t xml:space="preserve"> </w:t>
      </w:r>
      <w:r>
        <w:t>has base obstruction norm 2. On an</w:t>
      </w:r>
      <w:r>
        <w:t xml:space="preserve"> </w:t>
      </w:r>
      <m:oMath>
        <m:r>
          <m:t>m</m:t>
        </m:r>
      </m:oMath>
      <w:r>
        <w:t>-sheeted cover, the raw norm is</w:t>
      </w:r>
      <w:r>
        <w:t xml:space="preserve"> </w:t>
      </w:r>
      <m:oMath>
        <m:r>
          <m:t>2</m:t>
        </m:r>
        <m:rad>
          <m:radPr>
            <m:degHide m:val="on"/>
          </m:radPr>
          <m:deg/>
          <m:e>
            <m:r>
              <m:t>m</m:t>
            </m:r>
          </m:e>
        </m:rad>
      </m:oMath>
      <w:r>
        <w:t>, while normalized pullback returns exactly 2 for every</w:t>
      </w:r>
      <w:r>
        <w:t xml:space="preserve"> </w:t>
      </w:r>
      <m:oMath>
        <m:r>
          <m:t>m</m:t>
        </m:r>
        <m:r>
          <m:rPr>
            <m:sty m:val="p"/>
          </m:rPr>
          <m:t>=</m:t>
        </m:r>
        <m:r>
          <m:t>1</m:t>
        </m:r>
        <m:r>
          <m:rPr>
            <m:sty m:val="p"/>
          </m:rPr>
          <m:t>,</m:t>
        </m:r>
        <m:r>
          <m:rPr>
            <m:sty m:val="p"/>
          </m:rPr>
          <m:t>…</m:t>
        </m:r>
        <m:r>
          <m:rPr>
            <m:sty m:val="p"/>
          </m:rPr>
          <m:t>,</m:t>
        </m:r>
        <m:r>
          <m:t>8</m:t>
        </m:r>
      </m:oMath>
      <w:r>
        <w:t>.</w:t>
      </w:r>
    </w:p>
    <w:p>
      <w:pPr>
        <w:pStyle w:val="CaptionedFigure"/>
        <w:keepNext/>
        <w:spacing w:before="140" w:after="40"/>
        <w:jc w:val="center"/>
      </w:pPr>
      <w:r>
        <w:drawing>
          <wp:inline>
            <wp:extent cx="4693920" cy="2635816"/>
            <wp:effectExtent b="0" l="0" r="0" t="0"/>
            <wp:docPr descr="Raw obstruction grows with replicated volume, while normalized inherited obstruction is exactly conserved. Even covers admit a new anti-invariant section with zero obstruction." title="" id="57" name="Picture"/>
            <a:graphic>
              <a:graphicData uri="http://schemas.openxmlformats.org/drawingml/2006/picture">
                <pic:pic>
                  <pic:nvPicPr>
                    <pic:cNvPr descr="../experiments/out/cover_conservation.png" id="58" name="Picture"/>
                    <pic:cNvPicPr>
                      <a:picLocks noChangeArrowheads="1" noChangeAspect="1"/>
                    </pic:cNvPicPr>
                  </pic:nvPicPr>
                  <pic:blipFill>
                    <a:blip r:embed="rId56"/>
                    <a:stretch>
                      <a:fillRect/>
                    </a:stretch>
                  </pic:blipFill>
                  <pic:spPr bwMode="auto">
                    <a:xfrm>
                      <a:off x="0" y="0"/>
                      <a:ext cx="4693920" cy="2635816"/>
                    </a:xfrm>
                    <a:prstGeom prst="rect">
                      <a:avLst/>
                    </a:prstGeom>
                    <a:noFill/>
                    <a:ln w="9525">
                      <a:noFill/>
                      <a:headEnd/>
                      <a:tailEnd/>
                    </a:ln>
                  </pic:spPr>
                </pic:pic>
              </a:graphicData>
            </a:graphic>
          </wp:inline>
        </w:drawing>
      </w:r>
    </w:p>
    <w:p>
      <w:pPr>
        <w:pStyle w:val="ImageCaption"/>
      </w:pPr>
      <w:r>
        <w:t>Figure 3. Raw obstruction grows with replicated volume, while normalized inherited obstruction is exactly conserved. Even covers admit a new anti-invariant section with zero obstruction.</w:t>
      </w:r>
    </w:p>
    <w:p>
      <w:pPr>
        <w:pStyle w:val="BodyText"/>
        <w:keepLines/>
        <w:spacing w:before="100" w:after="140"/>
        <w:jc w:val="center"/>
      </w:pPr>
      <w:r>
        <w:t>For even</w:t>
      </w:r>
      <w:r>
        <w:t xml:space="preserve"> </w:t>
      </w:r>
      <m:oMath>
        <m:r>
          <m:t>m</m:t>
        </m:r>
      </m:oMath>
      <w:r>
        <w:t>, the cover also admits a sheet-dependent quotient section generated by</w:t>
      </w:r>
      <w:r>
        <w:t xml:space="preserve"> </w:t>
      </w:r>
      <m:oMath>
        <m:sSub>
          <m:e>
            <m:r>
              <m:t>q</m:t>
            </m:r>
          </m:e>
          <m:sub>
            <m:r>
              <m:rPr>
                <m:sty m:val="p"/>
              </m:rPr>
              <m:t>−</m:t>
            </m:r>
          </m:sub>
        </m:sSub>
        <m:r>
          <m:rPr>
            <m:sty m:val="p"/>
          </m:rPr>
          <m:t>=</m:t>
        </m:r>
        <m:sSup>
          <m:e>
            <m:d>
              <m:dPr>
                <m:begChr m:val="("/>
                <m:endChr m:val=")"/>
                <m:sepChr m:val=""/>
                <m:grow/>
              </m:dPr>
              <m:e>
                <m:r>
                  <m:t>1</m:t>
                </m:r>
                <m:r>
                  <m:rPr>
                    <m:sty m:val="p"/>
                  </m:rPr>
                  <m:t>,</m:t>
                </m:r>
                <m:r>
                  <m:rPr>
                    <m:sty m:val="p"/>
                  </m:rPr>
                  <m:t>−</m:t>
                </m:r>
                <m:r>
                  <m:t>1</m:t>
                </m:r>
              </m:e>
            </m:d>
          </m:e>
          <m:sup>
            <m:r>
              <m:rPr>
                <m:sty m:val="p"/>
                <m:scr m:val="sans-serif"/>
              </m:rPr>
              <m:t>T</m:t>
            </m:r>
          </m:sup>
        </m:sSup>
      </m:oMath>
      <w:r>
        <w:t>. It is not pulled back from a base global section. Because</w:t>
      </w:r>
      <w:r>
        <w:t xml:space="preserve"> </w:t>
      </w:r>
      <m:oMath>
        <m:r>
          <m:t>B</m:t>
        </m:r>
        <m:sSub>
          <m:e>
            <m:r>
              <m:t>q</m:t>
            </m:r>
          </m:e>
          <m:sub>
            <m:r>
              <m:rPr>
                <m:sty m:val="p"/>
              </m:rPr>
              <m:t>−</m:t>
            </m:r>
          </m:sub>
        </m:sSub>
        <m:r>
          <m:rPr>
            <m:sty m:val="p"/>
          </m:rPr>
          <m:t>=</m:t>
        </m:r>
        <m:r>
          <m:t>0</m:t>
        </m:r>
      </m:oMath>
      <w:r>
        <w:t xml:space="preserve"> </w:t>
      </w:r>
      <w:r>
        <w:t>and the values alternate under</w:t>
      </w:r>
      <w:r>
        <w:t xml:space="preserve"> </w:t>
      </w:r>
      <m:oMath>
        <m:r>
          <m:t>C</m:t>
        </m:r>
      </m:oMath>
      <w:r>
        <w:t>, its obstruction is zero. The cover therefore helps by supplying a new interpretation, not by repairing</w:t>
      </w:r>
      <w:r>
        <w:t xml:space="preserve"> </w:t>
      </w:r>
      <m:oMath>
        <m:sSub>
          <m:e>
            <m:r>
              <m:t>q</m:t>
            </m:r>
          </m:e>
          <m:sub>
            <m:r>
              <m:rPr>
                <m:sty m:val="p"/>
              </m:rPr>
              <m:t>+</m:t>
            </m:r>
          </m:sub>
        </m:sSub>
      </m:oMath>
      <w:r>
        <w:t>.</w:t>
      </w:r>
    </w:p>
    <w:bookmarkEnd w:id="59"/>
    <w:bookmarkStart w:id="63" w:name="polynomial-versus-exponential-growth"/>
    <w:p>
      <w:pPr>
        <w:pStyle w:val="Heading2"/>
      </w:pPr>
      <w:r>
        <w:t>8.5 Polynomial versus exponential growth</w:t>
      </w:r>
    </w:p>
    <w:p>
      <w:pPr>
        <w:pStyle w:val="FirstParagraph"/>
      </w:pPr>
      <w:r>
        <w:t>For the same example, the full monodromy is</w:t>
      </w:r>
    </w:p>
    <w:p>
      <w:pPr>
        <w:pStyle w:val="BodyText"/>
        <w:keepLines/>
        <w:spacing w:before="100" w:after="140"/>
        <w:jc w:val="center"/>
      </w:pPr>
      <m:oMathPara>
        <m:oMathParaPr>
          <m:jc m:val="center"/>
        </m:oMathParaPr>
        <m:oMath>
          <m:r>
            <m:t>T</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0</m:t>
                    </m:r>
                  </m:e>
                  <m:e>
                    <m:r>
                      <m:t>0</m:t>
                    </m:r>
                  </m:e>
                  <m:e>
                    <m:r>
                      <m:t>1</m:t>
                    </m:r>
                  </m:e>
                </m:mr>
                <m:mr>
                  <m:e>
                    <m:r>
                      <m:t>0</m:t>
                    </m:r>
                  </m:e>
                  <m:e>
                    <m:r>
                      <m:t>1</m:t>
                    </m:r>
                  </m:e>
                  <m:e>
                    <m:r>
                      <m:t>0</m:t>
                    </m:r>
                  </m:e>
                </m:mr>
              </m:m>
            </m:e>
          </m:d>
          <m:r>
            <m:rPr>
              <m:sty m:val="p"/>
            </m:rPr>
            <m:t>.</m:t>
          </m:r>
        </m:oMath>
      </m:oMathPara>
    </w:p>
    <w:p>
      <w:pPr>
        <w:pStyle w:val="FirstParagraph"/>
      </w:pPr>
      <w:r>
        <w:t>Its diagonal quotient has period two and</w:t>
      </w:r>
    </w:p>
    <w:p>
      <w:pPr>
        <w:pStyle w:val="BodyText"/>
        <w:keepLines/>
        <w:spacing w:before="100" w:after="140"/>
        <w:jc w:val="center"/>
      </w:pPr>
      <m:oMathPara>
        <m:oMathParaPr>
          <m:jc m:val="center"/>
        </m:oMathParaPr>
        <m:oMath>
          <m:sSup>
            <m:e>
              <m:r>
                <m:t>T</m:t>
              </m:r>
            </m:e>
            <m:sup>
              <m:r>
                <m:t>2</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2</m:t>
                    </m:r>
                  </m:e>
                  <m:e>
                    <m:r>
                      <m:t>2</m:t>
                    </m:r>
                  </m:e>
                </m:mr>
                <m:mr>
                  <m:e>
                    <m:r>
                      <m:t>0</m:t>
                    </m:r>
                  </m:e>
                  <m:e>
                    <m:r>
                      <m:t>1</m:t>
                    </m:r>
                  </m:e>
                  <m:e>
                    <m:r>
                      <m:t>0</m:t>
                    </m:r>
                  </m:e>
                </m:mr>
                <m:mr>
                  <m:e>
                    <m:r>
                      <m:t>0</m:t>
                    </m:r>
                  </m:e>
                  <m:e>
                    <m:r>
                      <m:t>0</m:t>
                    </m:r>
                  </m:e>
                  <m:e>
                    <m:r>
                      <m:t>1</m:t>
                    </m:r>
                  </m:e>
                </m:mr>
              </m:m>
            </m:e>
          </m:d>
        </m:oMath>
      </m:oMathPara>
    </w:p>
    <w:p>
      <w:pPr>
        <w:pStyle w:val="FirstParagraph"/>
        <w:keepLines/>
        <w:spacing w:before="100" w:after="140"/>
        <w:jc w:val="center"/>
      </w:pPr>
      <w:r>
        <w:t>is unipotent of depth two. Starting from</w:t>
      </w:r>
      <w:r>
        <w:t xml:space="preserve"> </w:t>
      </w:r>
      <m:oMath>
        <m:sSup>
          <m:e>
            <m:d>
              <m:dPr>
                <m:begChr m:val="("/>
                <m:endChr m:val=")"/>
                <m:sepChr m:val=""/>
                <m:grow/>
              </m:dPr>
              <m:e>
                <m:r>
                  <m:t>0</m:t>
                </m:r>
                <m:r>
                  <m:rPr>
                    <m:sty m:val="p"/>
                  </m:rPr>
                  <m:t>,</m:t>
                </m:r>
                <m:r>
                  <m:t>1</m:t>
                </m:r>
                <m:r>
                  <m:rPr>
                    <m:sty m:val="p"/>
                  </m:rPr>
                  <m:t>,</m:t>
                </m:r>
                <m:r>
                  <m:t>1</m:t>
                </m:r>
              </m:e>
            </m:d>
          </m:e>
          <m:sup>
            <m:r>
              <m:rPr>
                <m:sty m:val="p"/>
                <m:scr m:val="sans-serif"/>
              </m:rPr>
              <m:t>T</m:t>
            </m:r>
          </m:sup>
        </m:sSup>
      </m:oMath>
      <w:r>
        <w:t>, the state norm after 250 steps is 500.002, exactly matching</w:t>
      </w:r>
      <w:r>
        <w:t xml:space="preserve"> </w:t>
      </w:r>
      <m:oMath>
        <m:rad>
          <m:radPr>
            <m:degHide m:val="on"/>
          </m:radPr>
          <m:deg/>
          <m:e>
            <m:sSup>
              <m:e>
                <m:d>
                  <m:dPr>
                    <m:begChr m:val="("/>
                    <m:endChr m:val=")"/>
                    <m:sepChr m:val=""/>
                    <m:grow/>
                  </m:dPr>
                  <m:e>
                    <m:r>
                      <m:t>2</m:t>
                    </m:r>
                    <m:r>
                      <m:t>t</m:t>
                    </m:r>
                  </m:e>
                </m:d>
              </m:e>
              <m:sup>
                <m:r>
                  <m:t>2</m:t>
                </m:r>
              </m:sup>
            </m:sSup>
            <m:r>
              <m:rPr>
                <m:sty m:val="p"/>
              </m:rPr>
              <m:t>+</m:t>
            </m:r>
            <m:r>
              <m:t>2</m:t>
            </m:r>
          </m:e>
        </m:rad>
      </m:oMath>
      <w:r>
        <w:t>. An unconstrained recurrence with spectral radius 1.05 reaches 280,439.875 at the same horizon.</w:t>
      </w:r>
    </w:p>
    <w:p>
      <w:pPr>
        <w:pStyle w:val="CaptionedFigure"/>
        <w:keepNext/>
        <w:spacing w:before="140" w:after="40"/>
        <w:jc w:val="center"/>
      </w:pPr>
      <w:r>
        <w:drawing>
          <wp:inline>
            <wp:extent cx="4693920" cy="2640895"/>
            <wp:effectExtent b="0" l="0" r="0" t="0"/>
            <wp:docPr descr="A depth-two unipotent extension grows linearly, while a recurrence with spectral radius 1.05 eventually grows exponentially." title="" id="61" name="Picture"/>
            <a:graphic>
              <a:graphicData uri="http://schemas.openxmlformats.org/drawingml/2006/picture">
                <pic:pic>
                  <pic:nvPicPr>
                    <pic:cNvPr descr="../experiments/out/growth_comparison.png" id="62" name="Picture"/>
                    <pic:cNvPicPr>
                      <a:picLocks noChangeArrowheads="1" noChangeAspect="1"/>
                    </pic:cNvPicPr>
                  </pic:nvPicPr>
                  <pic:blipFill>
                    <a:blip r:embed="rId60"/>
                    <a:stretch>
                      <a:fillRect/>
                    </a:stretch>
                  </pic:blipFill>
                  <pic:spPr bwMode="auto">
                    <a:xfrm>
                      <a:off x="0" y="0"/>
                      <a:ext cx="4693920" cy="2640895"/>
                    </a:xfrm>
                    <a:prstGeom prst="rect">
                      <a:avLst/>
                    </a:prstGeom>
                    <a:noFill/>
                    <a:ln w="9525">
                      <a:noFill/>
                      <a:headEnd/>
                      <a:tailEnd/>
                    </a:ln>
                  </pic:spPr>
                </pic:pic>
              </a:graphicData>
            </a:graphic>
          </wp:inline>
        </w:drawing>
      </w:r>
    </w:p>
    <w:p>
      <w:pPr>
        <w:pStyle w:val="ImageCaption"/>
      </w:pPr>
      <w:r>
        <w:t>Figure 4. A depth-two unipotent extension grows linearly, while a recurrence with spectral radius 1.05 eventually grows exponentially.</w:t>
      </w:r>
    </w:p>
    <w:bookmarkEnd w:id="63"/>
    <w:bookmarkStart w:id="64" w:name="complexity-accounting"/>
    <w:p>
      <w:pPr>
        <w:pStyle w:val="Heading2"/>
      </w:pPr>
      <w:r>
        <w:t>8.6 Complexity accounting</w:t>
      </w:r>
    </w:p>
    <w:p>
      <w:pPr>
        <w:pStyle w:val="FirstParagraph"/>
        <w:keepLines/>
        <w:spacing w:before="100" w:after="140"/>
        <w:jc w:val="center"/>
      </w:pPr>
      <w:r>
        <w:t>Let</w:t>
      </w:r>
      <w:r>
        <w:t xml:space="preserve"> </w:t>
      </w:r>
      <m:oMath>
        <m:r>
          <m:t>m</m:t>
        </m:r>
        <m:r>
          <m:rPr>
            <m:sty m:val="p"/>
          </m:rPr>
          <m:t>=</m:t>
        </m:r>
        <m:d>
          <m:dPr>
            <m:begChr m:val="["/>
            <m:endChr m:val="]"/>
            <m:sepChr m:val=""/>
            <m:grow/>
          </m:dPr>
          <m:e>
            <m:r>
              <m:t>Γ</m:t>
            </m:r>
            <m:r>
              <m:rPr>
                <m:sty m:val="p"/>
              </m:rPr>
              <m:t>:</m:t>
            </m:r>
            <m:r>
              <m:t>J</m:t>
            </m:r>
          </m:e>
        </m:d>
      </m:oMath>
      <w:r>
        <w:t>, base stalk dimension</w:t>
      </w:r>
      <w:r>
        <w:t xml:space="preserve"> </w:t>
      </w:r>
      <m:oMath>
        <m:r>
          <m:t>d</m:t>
        </m:r>
      </m:oMath>
      <w:r>
        <w:t>, and let one base edge map cost</w:t>
      </w:r>
      <w:r>
        <w:t xml:space="preserve"> </w:t>
      </w:r>
      <m:oMath>
        <m:sSub>
          <m:e>
            <m:r>
              <m:t>C</m:t>
            </m:r>
          </m:e>
          <m:sub>
            <m:r>
              <m:t>ρ</m:t>
            </m:r>
          </m:sub>
        </m:sSub>
        <m:d>
          <m:dPr>
            <m:begChr m:val="("/>
            <m:endChr m:val=")"/>
            <m:sepChr m:val=""/>
            <m:grow/>
          </m:dPr>
          <m:e>
            <m:r>
              <m:t>d</m:t>
            </m:r>
          </m:e>
        </m:d>
      </m:oMath>
      <w:r>
        <w:t>. Applying</w:t>
      </w:r>
      <w:r>
        <w:t xml:space="preserve"> </w:t>
      </w:r>
      <m:oMath>
        <m:sSub>
          <m:e>
            <m:r>
              <m:t>ρ</m:t>
            </m:r>
          </m:e>
          <m:sub>
            <m:r>
              <m:t>e</m:t>
            </m:r>
          </m:sub>
        </m:sSub>
        <m:r>
          <m:rPr>
            <m:sty m:val="p"/>
          </m:rPr>
          <m:t>⊗</m:t>
        </m:r>
        <m:sSub>
          <m:e>
            <m:r>
              <m:t>P</m:t>
            </m:r>
          </m:e>
          <m:sub>
            <m:r>
              <m:t>J</m:t>
            </m:r>
          </m:sub>
        </m:sSub>
        <m:d>
          <m:dPr>
            <m:begChr m:val="("/>
            <m:endChr m:val=")"/>
            <m:sepChr m:val=""/>
            <m:grow/>
          </m:dPr>
          <m:e>
            <m:sSub>
              <m:e>
                <m:r>
                  <m:t>g</m:t>
                </m:r>
              </m:e>
              <m:sub>
                <m:r>
                  <m:t>e</m:t>
                </m:r>
              </m:sub>
            </m:sSub>
          </m:e>
        </m:d>
      </m:oMath>
      <w:r>
        <w:t xml:space="preserve"> </w:t>
      </w:r>
      <w:r>
        <w:t>costs</w:t>
      </w:r>
    </w:p>
    <w:p>
      <w:pPr>
        <w:pStyle w:val="BodyText"/>
        <w:keepLines/>
        <w:spacing w:before="100" w:after="140"/>
        <w:jc w:val="center"/>
      </w:pPr>
      <m:oMathPara>
        <m:oMathParaPr>
          <m:jc m:val="center"/>
        </m:oMathParaPr>
        <m:oMath>
          <m:r>
            <m:t>O</m:t>
          </m:r>
          <m:r>
            <m:t>​</m:t>
          </m:r>
          <m:d>
            <m:dPr>
              <m:begChr m:val="("/>
              <m:endChr m:val=")"/>
              <m:sepChr m:val=""/>
              <m:grow/>
            </m:dPr>
            <m:e>
              <m:r>
                <m:t>m</m:t>
              </m:r>
              <m:r>
                <m:t> </m:t>
              </m:r>
              <m:sSub>
                <m:e>
                  <m:r>
                    <m:t>C</m:t>
                  </m:r>
                </m:e>
                <m:sub>
                  <m:r>
                    <m:t>ρ</m:t>
                  </m:r>
                </m:sub>
              </m:sSub>
              <m:d>
                <m:dPr>
                  <m:begChr m:val="("/>
                  <m:endChr m:val=")"/>
                  <m:sepChr m:val=""/>
                  <m:grow/>
                </m:dPr>
                <m:e>
                  <m:r>
                    <m:t>d</m:t>
                  </m:r>
                </m:e>
              </m:d>
              <m:r>
                <m:rPr>
                  <m:sty m:val="p"/>
                </m:rPr>
                <m:t>+</m:t>
              </m:r>
              <m:r>
                <m:t>m</m:t>
              </m:r>
              <m:r>
                <m:t>d</m:t>
              </m:r>
            </m:e>
          </m:d>
          <m:r>
            <m:rPr>
              <m:sty m:val="p"/>
            </m:rPr>
            <m:t>.</m:t>
          </m:r>
        </m:oMath>
      </m:oMathPara>
    </w:p>
    <w:p>
      <w:pPr>
        <w:pStyle w:val="FirstParagraph"/>
        <w:keepLines/>
        <w:spacing w:before="100" w:after="140"/>
        <w:jc w:val="center"/>
      </w:pPr>
      <w:r>
        <w:t>For a dense</w:t>
      </w:r>
      <w:r>
        <w:t xml:space="preserve"> </w:t>
      </w:r>
      <m:oMath>
        <m:r>
          <m:t>d</m:t>
        </m:r>
        <m:r>
          <m:rPr>
            <m:sty m:val="p"/>
          </m:rPr>
          <m:t>×</m:t>
        </m:r>
        <m:r>
          <m:t>d</m:t>
        </m:r>
      </m:oMath>
      <w:r>
        <w:t xml:space="preserve"> </w:t>
      </w:r>
      <w:r>
        <w:t>restriction map, this is</w:t>
      </w:r>
      <w:r>
        <w:t xml:space="preserve"> </w:t>
      </w:r>
      <m:oMath>
        <m:r>
          <m:t>O</m:t>
        </m:r>
        <m:d>
          <m:dPr>
            <m:begChr m:val="("/>
            <m:endChr m:val=")"/>
            <m:sepChr m:val=""/>
            <m:grow/>
          </m:dPr>
          <m:e>
            <m:r>
              <m:t>m</m:t>
            </m:r>
            <m:sSup>
              <m:e>
                <m:r>
                  <m:t>d</m:t>
                </m:r>
              </m:e>
              <m:sup>
                <m:r>
                  <m:t>2</m:t>
                </m:r>
              </m:sup>
            </m:sSup>
          </m:e>
        </m:d>
      </m:oMath>
      <w:r>
        <w:t>. Treating the lifted operator as an arbitrary dense</w:t>
      </w:r>
      <w:r>
        <w:t xml:space="preserve"> </w:t>
      </w:r>
      <m:oMath>
        <m:d>
          <m:dPr>
            <m:begChr m:val="("/>
            <m:endChr m:val=")"/>
            <m:sepChr m:val=""/>
            <m:grow/>
          </m:dPr>
          <m:e>
            <m:r>
              <m:t>m</m:t>
            </m:r>
            <m:r>
              <m:t>d</m:t>
            </m:r>
          </m:e>
        </m:d>
        <m:r>
          <m:rPr>
            <m:sty m:val="p"/>
          </m:rPr>
          <m:t>×</m:t>
        </m:r>
        <m:d>
          <m:dPr>
            <m:begChr m:val="("/>
            <m:endChr m:val=")"/>
            <m:sepChr m:val=""/>
            <m:grow/>
          </m:dPr>
          <m:e>
            <m:r>
              <m:t>m</m:t>
            </m:r>
            <m:r>
              <m:t>d</m:t>
            </m:r>
          </m:e>
        </m:d>
      </m:oMath>
      <w:r>
        <w:t xml:space="preserve"> </w:t>
      </w:r>
      <w:r>
        <w:t>matrix would cost</w:t>
      </w:r>
      <w:r>
        <w:t xml:space="preserve"> </w:t>
      </w:r>
      <m:oMath>
        <m:r>
          <m:t>O</m:t>
        </m:r>
        <m:d>
          <m:dPr>
            <m:begChr m:val="("/>
            <m:endChr m:val=")"/>
            <m:sepChr m:val=""/>
            <m:grow/>
          </m:dPr>
          <m:e>
            <m:sSup>
              <m:e>
                <m:r>
                  <m:t>m</m:t>
                </m:r>
              </m:e>
              <m:sup>
                <m:r>
                  <m:t>2</m:t>
                </m:r>
              </m:sup>
            </m:sSup>
            <m:sSup>
              <m:e>
                <m:r>
                  <m:t>d</m:t>
                </m:r>
              </m:e>
              <m:sup>
                <m:r>
                  <m:t>2</m:t>
                </m:r>
              </m:sup>
            </m:sSup>
          </m:e>
        </m:d>
      </m:oMath>
      <w:r>
        <w:t xml:space="preserve"> </w:t>
      </w:r>
      <w:r>
        <w:t>and store</w:t>
      </w:r>
      <w:r>
        <w:t xml:space="preserve"> </w:t>
      </w:r>
      <m:oMath>
        <m:r>
          <m:t>O</m:t>
        </m:r>
        <m:d>
          <m:dPr>
            <m:begChr m:val="("/>
            <m:endChr m:val=")"/>
            <m:sepChr m:val=""/>
            <m:grow/>
          </m:dPr>
          <m:e>
            <m:sSup>
              <m:e>
                <m:r>
                  <m:t>m</m:t>
                </m:r>
              </m:e>
              <m:sup>
                <m:r>
                  <m:t>2</m:t>
                </m:r>
              </m:sup>
            </m:sSup>
            <m:sSup>
              <m:e>
                <m:r>
                  <m:t>d</m:t>
                </m:r>
              </m:e>
              <m:sup>
                <m:r>
                  <m:t>2</m:t>
                </m:r>
              </m:sup>
            </m:sSup>
          </m:e>
        </m:d>
      </m:oMath>
      <w:r>
        <w:t xml:space="preserve"> </w:t>
      </w:r>
      <w:r>
        <w:t>entries. The linear sheet scaling is therefore a consequence of preserving the Kronecker-permutation structure, not a property of arbitrary cover implementations.</w:t>
      </w:r>
    </w:p>
    <w:bookmarkEnd w:id="64"/>
    <w:bookmarkEnd w:id="65"/>
    <w:bookmarkStart w:id="71" w:name="discussion"/>
    <w:p>
      <w:pPr>
        <w:pStyle w:val="Heading1"/>
      </w:pPr>
      <w:r>
        <w:t>9. Discussion</w:t>
      </w:r>
    </w:p>
    <w:bookmarkStart w:id="66" w:name="what-refinement-can-and-cannot-buy"/>
    <w:p>
      <w:pPr>
        <w:pStyle w:val="Heading2"/>
      </w:pPr>
      <w:r>
        <w:t>9.1 What refinement can and cannot buy</w:t>
      </w:r>
    </w:p>
    <w:p>
      <w:pPr>
        <w:pStyle w:val="FirstParagraph"/>
      </w:pPr>
      <w:r>
        <w:t>The conservation theorem gives a software test. Measure the normalized harmonic residual of an inherited interpretation before and after branching. It should be unchanged up to numerical tolerance. A reported reduction without a sheet-dependent component suggests a normalization error, an inconsistent pullback, or leakage between the inherited and new subspaces.</w:t>
      </w:r>
    </w:p>
    <w:p>
      <w:pPr>
        <w:pStyle w:val="BodyText"/>
      </w:pPr>
      <w:r>
        <w:t>The result also changes the interpretation of adaptive memory. Refinement does not progressively correct the same coarse state. It expands the hypothesis space. A better solution must use coordinates that distinguish sheets. This distinction matters in mixture systems, branching search, context splitting, and multi-hypothesis tracking.</w:t>
      </w:r>
    </w:p>
    <w:bookmarkEnd w:id="66"/>
    <w:bookmarkStart w:id="67" w:name="X5cce1bae9c11db006f626f98273271b54ce9a92"/>
    <w:p>
      <w:pPr>
        <w:pStyle w:val="Heading2"/>
      </w:pPr>
      <w:r>
        <w:t>9.2 Lattice-valued control rather than a scalar dial</w:t>
      </w:r>
    </w:p>
    <w:p>
      <w:pPr>
        <w:pStyle w:val="FirstParagraph"/>
        <w:keepLines/>
        <w:spacing w:before="100" w:after="140"/>
        <w:jc w:val="center"/>
      </w:pPr>
      <w:r>
        <w:t>Memory granularity is often described as a scalar from fine to coarse. The</w:t>
      </w:r>
      <w:r>
        <w:t xml:space="preserve"> </w:t>
      </w:r>
      <m:oMath>
        <m:sSub>
          <m:e>
            <m:r>
              <m:t>S</m:t>
            </m:r>
          </m:e>
          <m:sub>
            <m:r>
              <m:t>3</m:t>
            </m:r>
          </m:sub>
        </m:sSub>
      </m:oMath>
      <w:r>
        <w:t xml:space="preserve"> </w:t>
      </w:r>
      <w:r>
        <w:t>example shows why that picture is incomplete. A three-state policy can preserve</w:t>
      </w:r>
      <w:r>
        <w:t xml:space="preserve"> </w:t>
      </w:r>
      <w:r>
        <w:t>"</w:t>
      </w:r>
      <w:r>
        <w:t>which pair-coset?</w:t>
      </w:r>
      <w:r>
        <w:t>"</w:t>
      </w:r>
      <w:r>
        <w:t xml:space="preserve"> </w:t>
      </w:r>
      <w:r>
        <w:t>while discarding parity; a two-state policy can preserve parity while discarding the pair-coset. Neither contains the other's information. A controller must sometimes choose a branch, not merely turn a dial.</w:t>
      </w:r>
    </w:p>
    <w:p>
      <w:pPr>
        <w:pStyle w:val="BodyText"/>
      </w:pPr>
      <w:r>
        <w:t>For deployment, this suggests returning the selected subgroup, its index, its generators, its immediate supergroups/subgroups, and validation risk. These fields make the forgetting decision auditable.</w:t>
      </w:r>
    </w:p>
    <w:bookmarkEnd w:id="67"/>
    <w:bookmarkStart w:id="68" w:name="relationship-to-gates-and-ssms"/>
    <w:p>
      <w:pPr>
        <w:pStyle w:val="Heading2"/>
      </w:pPr>
      <w:r>
        <w:t>9.3 Relationship to gates and SSMs</w:t>
      </w:r>
    </w:p>
    <w:p>
      <w:pPr>
        <w:pStyle w:val="FirstParagraph"/>
        <w:keepLines/>
        <w:spacing w:before="100" w:after="140"/>
        <w:jc w:val="center"/>
      </w:pPr>
      <w:r>
        <w:t>A gate can attenuate or erase coordinates without declaring a compositional equivalence relation. A coset register declares exactly which route products are identified. The two mechanisms can coexist: gates can manage local continuous features while</w:t>
      </w:r>
      <w:r>
        <w:t xml:space="preserve"> </w:t>
      </w:r>
      <m:oMath>
        <m:r>
          <m:t>J</m:t>
        </m:r>
      </m:oMath>
      <w:r>
        <w:t xml:space="preserve"> </w:t>
      </w:r>
      <w:r>
        <w:t>manages discrete provenance.</w:t>
      </w:r>
    </w:p>
    <w:p>
      <w:pPr>
        <w:pStyle w:val="BodyText"/>
      </w:pPr>
      <w:r>
        <w:t>Likewise, the architecture is compatible with a broader SSM. The finite quotient provides exact recurrence, the unipotent sector provides controlled accumulation, and a selective nonlinear block can process input content. Only the structured transport sector receives the polynomial-growth guarantee.</w:t>
      </w:r>
    </w:p>
    <w:bookmarkEnd w:id="68"/>
    <w:bookmarkStart w:id="69" w:name="neuroscience-analogy-explicitly-limited"/>
    <w:p>
      <w:pPr>
        <w:pStyle w:val="Heading2"/>
      </w:pPr>
      <w:r>
        <w:t>9.4 Neuroscience analogy, explicitly limited</w:t>
      </w:r>
    </w:p>
    <w:p>
      <w:pPr>
        <w:pStyle w:val="FirstParagraph"/>
      </w:pPr>
      <w:r>
        <w:t>The architecture suggests a cautious analogy for memory consolidation: fast contextual state may select among a small number of task-relevant history partitions while slower transport parameters remain comparatively stable. A refinement would then introduce a context distinction rather than rewrite an inherited interpretation.</w:t>
      </w:r>
    </w:p>
    <w:p>
      <w:pPr>
        <w:pStyle w:val="BodyText"/>
      </w:pPr>
      <w:r>
        <w:t>This is not an anatomical claim. The present work does not identify the coset register with hippocampus, the transport representation with entorhinal cortex, the sheaf Laplacian with neocortical feedback, or the adjoint solve with biological backpropagation. Those mappings would require independent neural measurements and falsifiable experiments. At most, the mathematics motivates questions such as whether neural population states show task-dependent quotient structure, whether context splitting creates new state components, and whether inherited residuals are conserved under experimentally induced refinement.</w:t>
      </w:r>
    </w:p>
    <w:bookmarkEnd w:id="69"/>
    <w:bookmarkStart w:id="70" w:name="X0beb9ed0c529f1fca9056c92ec94876f0c115ba"/>
    <w:p>
      <w:pPr>
        <w:pStyle w:val="Heading2"/>
      </w:pPr>
      <w:r>
        <w:t>9.5 Potential experiments beyond the synthetic setting</w:t>
      </w:r>
    </w:p>
    <w:p>
      <w:pPr>
        <w:pStyle w:val="FirstParagraph"/>
      </w:pPr>
      <w:r>
        <w:t>Three empirical programs would test the architecture rather than its metaphors:</w:t>
      </w:r>
    </w:p>
    <w:p>
      <w:pPr>
        <w:numPr>
          <w:ilvl w:val="0"/>
          <w:numId w:val="1006"/>
        </w:numPr>
        <w:pStyle w:val="Compact"/>
      </w:pPr>
      <w:r>
        <w:rPr>
          <w:bCs/>
          <w:b/>
        </w:rPr>
        <w:t>Compositional navigation:</w:t>
      </w:r>
      <w:r>
        <w:t xml:space="preserve"> </w:t>
      </w:r>
      <w:r>
        <w:t>train on paths whose transition algebra has a known finite quotient, then test whether learned states cluster by predicted cosets and switch across task subgroups with transport frozen.</w:t>
      </w:r>
    </w:p>
    <w:p>
      <w:pPr>
        <w:numPr>
          <w:ilvl w:val="0"/>
          <w:numId w:val="1006"/>
        </w:numPr>
        <w:pStyle w:val="Compact"/>
      </w:pPr>
      <w:r>
        <w:rPr>
          <w:bCs/>
          <w:b/>
        </w:rPr>
        <w:t>Repeated compartments with cycles:</w:t>
      </w:r>
      <w:r>
        <w:t xml:space="preserve"> </w:t>
      </w:r>
      <w:r>
        <w:t>use an environment containing a genuine cycle, not only a chain, and test whether neural or model state returns after the predicted monodromy period.</w:t>
      </w:r>
    </w:p>
    <w:p>
      <w:pPr>
        <w:numPr>
          <w:ilvl w:val="0"/>
          <w:numId w:val="1006"/>
        </w:numPr>
        <w:pStyle w:val="Compact"/>
      </w:pPr>
      <w:r>
        <w:rPr>
          <w:bCs/>
          <w:b/>
        </w:rPr>
        <w:t>Controlled context splitting:</w:t>
      </w:r>
      <w:r>
        <w:t xml:space="preserve"> </w:t>
      </w:r>
      <w:r>
        <w:t>introduce a cue that makes two previously merged histories task-distinct. Test whether improvement uses a new sheet-dependent component while the inherited component's normalized residual remains constant.</w:t>
      </w:r>
    </w:p>
    <w:bookmarkEnd w:id="70"/>
    <w:bookmarkEnd w:id="71"/>
    <w:bookmarkStart w:id="72" w:name="limitations"/>
    <w:p>
      <w:pPr>
        <w:pStyle w:val="Heading1"/>
      </w:pPr>
      <w:r>
        <w:t>10. Limitations</w:t>
      </w:r>
    </w:p>
    <w:p>
      <w:pPr>
        <w:pStyle w:val="FirstParagraph"/>
        <w:keepLines/>
        <w:spacing w:before="100" w:after="140"/>
        <w:jc w:val="center"/>
      </w:pPr>
      <w:r>
        <w:t>First, the experiments are exact synthetic checks, not evidence of competitive performance on language, control, or neuroscience benchmarks. Second, discovering a useful finite quotient</w:t>
      </w:r>
      <w:r>
        <w:t xml:space="preserve"> </w:t>
      </w:r>
      <m:oMath>
        <m:r>
          <m:t>Γ</m:t>
        </m:r>
      </m:oMath>
      <w:r>
        <w:t xml:space="preserve"> </w:t>
      </w:r>
      <w:r>
        <w:t>from raw data is nontrivial and is assumed rather than solved. Third, subgroup enumeration can be expensive for large groups; the chain-length bound does not bound the total size of the subgroup lattice. Fourth, orthogonal transport and unipotent accumulation constrain only one subsystem. Nonlinear couplings can reintroduce instability. Fifth, the sheaf theorem assumes a genuine finite covering with pulled-back inner products; arbitrary graph refinements, attention branches, or learned duplications need not satisfy it. Sixth, nonzero extension structure need not obstruct every task section:</w:t>
      </w:r>
      <w:r>
        <w:t xml:space="preserve"> </w:t>
      </w:r>
      <m:oMath>
        <m:r>
          <m:rPr>
            <m:sty m:val="p"/>
          </m:rPr>
          <m:t>∂</m:t>
        </m:r>
      </m:oMath>
      <w:r>
        <w:t xml:space="preserve"> </w:t>
      </w:r>
      <w:r>
        <w:t>can vanish on a kernel. Finally, the neuroscience discussion is a research analogy and carries no clinical or anatomical conclusion.</w:t>
      </w:r>
    </w:p>
    <w:bookmarkEnd w:id="72"/>
    <w:bookmarkStart w:id="73" w:name="conclusion"/>
    <w:p>
      <w:pPr>
        <w:pStyle w:val="Heading1"/>
      </w:pPr>
      <w:r>
        <w:t>11. Conclusion</w:t>
      </w:r>
    </w:p>
    <w:p>
      <w:pPr>
        <w:pStyle w:val="FirstParagraph"/>
        <w:keepLines/>
        <w:spacing w:before="100" w:after="140"/>
        <w:jc w:val="center"/>
      </w:pPr>
      <w:r>
        <w:t>Forgetting can be made explicit. A subgroup</w:t>
      </w:r>
      <w:r>
        <w:t xml:space="preserve"> </w:t>
      </w:r>
      <m:oMath>
        <m:r>
          <m:t>J</m:t>
        </m:r>
      </m:oMath>
      <w:r>
        <w:t xml:space="preserve"> </w:t>
      </w:r>
      <w:r>
        <w:t>states which composite history distinctions are erased; the coset register</w:t>
      </w:r>
      <w:r>
        <w:t xml:space="preserve"> </w:t>
      </w:r>
      <m:oMath>
        <m:r>
          <m:t>J</m:t>
        </m:r>
        <m:r>
          <m:rPr>
            <m:sty m:val="p"/>
          </m:rPr>
          <m:t>∖</m:t>
        </m:r>
        <m:r>
          <m:t>Γ</m:t>
        </m:r>
      </m:oMath>
      <w:r>
        <w:t xml:space="preserve"> </w:t>
      </w:r>
      <w:r>
        <w:t>states what remains. This turns memory granularity from an opaque side effect of hidden-state compression into a finite, inspectable policy.</w:t>
      </w:r>
    </w:p>
    <w:p>
      <w:pPr>
        <w:pStyle w:val="BodyText"/>
      </w:pPr>
      <w:r>
        <w:t>The same algebra also imposes a limit. Refining a cover cannot reduce the normalized lifting obstruction of an interpretation inherited from the base. Improvement must come from a genuinely new, sheet-dependent interpretation. The finite quotient therefore handles recurrence, while a controlled unipotent extension handles what does not compile into periodic memory.</w:t>
      </w:r>
    </w:p>
    <w:p>
      <w:pPr>
        <w:pStyle w:val="BodyText"/>
      </w:pPr>
      <w:r>
        <w:t>The resulting design principle is compact:</w:t>
      </w:r>
    </w:p>
    <w:p>
      <w:pPr>
        <w:pStyle w:val="BodyText"/>
        <w:keepLines/>
        <w:spacing w:before="100" w:after="140"/>
        <w:jc w:val="center"/>
      </w:pPr>
      <m:oMathPara>
        <m:oMathParaPr>
          <m:jc m:val="center"/>
        </m:oMathParaPr>
        <m:oMath>
          <m:r>
            <m:rPr>
              <m:nor/>
              <m:sty m:val="p"/>
            </m:rPr>
            <m:t>periodic transport</m:t>
          </m:r>
          <m:r>
            <m:t> </m:t>
          </m:r>
          <m:r>
            <m:rPr>
              <m:sty m:val="p"/>
            </m:rPr>
            <m:t>⊕</m:t>
          </m:r>
          <m:r>
            <m:t> </m:t>
          </m:r>
          <m:r>
            <m:rPr>
              <m:nor/>
              <m:sty m:val="p"/>
            </m:rPr>
            <m:t>polynomial accumulation</m:t>
          </m:r>
          <m:r>
            <m:t> </m:t>
          </m:r>
          <m:r>
            <m:rPr>
              <m:sty m:val="p"/>
            </m:rPr>
            <m:t>⊕</m:t>
          </m:r>
          <m:r>
            <m:t> </m:t>
          </m:r>
          <m:r>
            <m:rPr>
              <m:nor/>
              <m:sty m:val="p"/>
            </m:rPr>
            <m:t>subgroup-valued forgetting</m:t>
          </m:r>
          <m:r>
            <m:rPr>
              <m:sty m:val="p"/>
            </m:rPr>
            <m:t>.</m:t>
          </m:r>
        </m:oMath>
      </m:oMathPara>
    </w:p>
    <w:p>
      <w:pPr>
        <w:pStyle w:val="FirstParagraph"/>
      </w:pPr>
      <w:r>
        <w:t>It is a proposal for a defensible memory-transport subsystem: explicit about what is forgotten, exact about what refinement cannot repair, and modest about what remains unproved.</w:t>
      </w:r>
    </w:p>
    <w:bookmarkEnd w:id="73"/>
    <w:bookmarkStart w:id="77" w:name="appendix-a.-additional-proof-details"/>
    <w:p>
      <w:pPr>
        <w:pStyle w:val="Heading1"/>
        <w:pageBreakBefore/>
      </w:pPr>
      <w:r>
        <w:t>Appendix A. Additional proof details</w:t>
      </w:r>
    </w:p>
    <w:bookmarkStart w:id="74" w:name="a.1-well-defined-coset-update"/>
    <w:p>
      <w:pPr>
        <w:pStyle w:val="Heading2"/>
      </w:pPr>
      <w:r>
        <w:t>A.1 Well-defined coset update</w:t>
      </w:r>
    </w:p>
    <w:p>
      <w:pPr>
        <w:pStyle w:val="FirstParagraph"/>
        <w:keepLines/>
        <w:spacing w:before="100" w:after="140"/>
        <w:jc w:val="center"/>
      </w:pPr>
      <w:r>
        <w:t>Suppose</w:t>
      </w:r>
      <w:r>
        <w:t xml:space="preserve"> </w:t>
      </w:r>
      <m:oMath>
        <m:r>
          <m:t>J</m:t>
        </m:r>
        <m:r>
          <m:t>γ</m:t>
        </m:r>
        <m:r>
          <m:rPr>
            <m:sty m:val="p"/>
          </m:rPr>
          <m:t>=</m:t>
        </m:r>
        <m:r>
          <m:t>J</m:t>
        </m:r>
        <m:r>
          <m:t>γ</m:t>
        </m:r>
        <m:r>
          <m:rPr>
            <m:sty m:val="p"/>
          </m:rPr>
          <m:t>′</m:t>
        </m:r>
      </m:oMath>
      <w:r>
        <w:t>. Then</w:t>
      </w:r>
      <w:r>
        <w:t xml:space="preserve"> </w:t>
      </w:r>
      <m:oMath>
        <m:r>
          <m:t>γ</m:t>
        </m:r>
        <m:r>
          <m:rPr>
            <m:sty m:val="p"/>
          </m:rPr>
          <m:t>′</m:t>
        </m:r>
        <m:r>
          <m:rPr>
            <m:sty m:val="p"/>
          </m:rPr>
          <m:t>=</m:t>
        </m:r>
        <m:r>
          <m:t>j</m:t>
        </m:r>
        <m:r>
          <m:t>γ</m:t>
        </m:r>
      </m:oMath>
      <w:r>
        <w:t xml:space="preserve"> </w:t>
      </w:r>
      <w:r>
        <w:t>for some</w:t>
      </w:r>
      <w:r>
        <w:t xml:space="preserve"> </w:t>
      </w:r>
      <m:oMath>
        <m:r>
          <m:t>j</m:t>
        </m:r>
        <m:r>
          <m:rPr>
            <m:sty m:val="p"/>
          </m:rPr>
          <m:t>∈</m:t>
        </m:r>
        <m:r>
          <m:t>J</m:t>
        </m:r>
      </m:oMath>
      <w:r>
        <w:t>. For every</w:t>
      </w:r>
      <w:r>
        <w:t xml:space="preserve"> </w:t>
      </w:r>
      <m:oMath>
        <m:r>
          <m:t>g</m:t>
        </m:r>
        <m:r>
          <m:rPr>
            <m:sty m:val="p"/>
          </m:rPr>
          <m:t>∈</m:t>
        </m:r>
        <m:r>
          <m:t>Γ</m:t>
        </m:r>
      </m:oMath>
      <w:r>
        <w:t>,</w:t>
      </w:r>
    </w:p>
    <w:p>
      <w:pPr>
        <w:pStyle w:val="BodyText"/>
        <w:keepLines/>
        <w:spacing w:before="100" w:after="140"/>
        <w:jc w:val="center"/>
      </w:pPr>
      <m:oMathPara>
        <m:oMathParaPr>
          <m:jc m:val="center"/>
        </m:oMathParaPr>
        <m:oMath>
          <m:r>
            <m:t>J</m:t>
          </m:r>
          <m:r>
            <m:t>γ</m:t>
          </m:r>
          <m:r>
            <m:rPr>
              <m:sty m:val="p"/>
            </m:rPr>
            <m:t>′</m:t>
          </m:r>
          <m:r>
            <m:t>g</m:t>
          </m:r>
          <m:r>
            <m:rPr>
              <m:sty m:val="p"/>
            </m:rPr>
            <m:t>=</m:t>
          </m:r>
          <m:r>
            <m:t>J</m:t>
          </m:r>
          <m:r>
            <m:t>j</m:t>
          </m:r>
          <m:r>
            <m:t>γ</m:t>
          </m:r>
          <m:r>
            <m:t>g</m:t>
          </m:r>
          <m:r>
            <m:rPr>
              <m:sty m:val="p"/>
            </m:rPr>
            <m:t>=</m:t>
          </m:r>
          <m:r>
            <m:t>J</m:t>
          </m:r>
          <m:r>
            <m:t>γ</m:t>
          </m:r>
          <m:r>
            <m:t>g</m:t>
          </m:r>
          <m:r>
            <m:rPr>
              <m:sty m:val="p"/>
            </m:rPr>
            <m:t>.</m:t>
          </m:r>
        </m:oMath>
      </m:oMathPara>
    </w:p>
    <w:p>
      <w:pPr>
        <w:pStyle w:val="FirstParagraph"/>
        <w:keepLines/>
        <w:spacing w:before="100" w:after="140"/>
        <w:jc w:val="center"/>
      </w:pPr>
      <w:r>
        <w:t>Thus right multiplication is a well-defined action on left cosets even when</w:t>
      </w:r>
      <w:r>
        <w:t xml:space="preserve"> </w:t>
      </w:r>
      <m:oMath>
        <m:r>
          <m:t>J</m:t>
        </m:r>
      </m:oMath>
      <w:r>
        <w:t xml:space="preserve"> </w:t>
      </w:r>
      <w:r>
        <w:t>is not normal.</w:t>
      </w:r>
    </w:p>
    <w:bookmarkEnd w:id="74"/>
    <w:bookmarkStart w:id="75" w:name="a.2-reducing-subspace-identity"/>
    <w:p>
      <w:pPr>
        <w:pStyle w:val="Heading2"/>
      </w:pPr>
      <w:r>
        <w:t>A.2 Reducing-subspace identity</w:t>
      </w:r>
    </w:p>
    <w:p>
      <w:pPr>
        <w:pStyle w:val="FirstParagraph"/>
        <w:keepLines/>
        <w:spacing w:before="100" w:after="140"/>
        <w:jc w:val="center"/>
      </w:pPr>
      <w:r>
        <w:t>Let</w:t>
      </w:r>
      <w:r>
        <w:t xml:space="preserve"> </w:t>
      </w:r>
      <m:oMath>
        <m:r>
          <m:t>U</m:t>
        </m:r>
        <m:r>
          <m:rPr>
            <m:sty m:val="p"/>
          </m:rPr>
          <m:t>=</m:t>
        </m:r>
        <m:r>
          <m:rPr>
            <m:sty m:val="p"/>
          </m:rPr>
          <m:t>im</m:t>
        </m:r>
        <m:sSup>
          <m:e>
            <m:acc>
              <m:accPr>
                <m:chr m:val="̂"/>
              </m:accPr>
              <m:e>
                <m:r>
                  <m:t>r</m:t>
                </m:r>
              </m:e>
            </m:acc>
          </m:e>
          <m:sup>
            <m:r>
              <m:rPr>
                <m:sty m:val="p"/>
              </m:rPr>
              <m:t>*</m:t>
            </m:r>
          </m:sup>
        </m:sSup>
      </m:oMath>
      <w:r>
        <w:t>. Intertwining gives</w:t>
      </w:r>
      <w:r>
        <w:t xml:space="preserve"> </w:t>
      </w:r>
      <m:oMath>
        <m:r>
          <m:t>Δ</m:t>
        </m:r>
        <m:r>
          <m:rPr>
            <m:sty m:val="p"/>
          </m:rPr>
          <m:t>′</m:t>
        </m:r>
        <m:r>
          <m:t>U</m:t>
        </m:r>
        <m:r>
          <m:rPr>
            <m:sty m:val="p"/>
          </m:rPr>
          <m:t>⊆</m:t>
        </m:r>
        <m:r>
          <m:t>U</m:t>
        </m:r>
      </m:oMath>
      <w:r>
        <w:t>. Since</w:t>
      </w:r>
      <w:r>
        <w:t xml:space="preserve"> </w:t>
      </w:r>
      <m:oMath>
        <m:r>
          <m:t>Δ</m:t>
        </m:r>
        <m:r>
          <m:rPr>
            <m:sty m:val="p"/>
          </m:rPr>
          <m:t>′</m:t>
        </m:r>
      </m:oMath>
      <w:r>
        <w:t xml:space="preserve"> </w:t>
      </w:r>
      <w:r>
        <w:t>is self-adjoint, for</w:t>
      </w:r>
      <w:r>
        <w:t xml:space="preserve"> </w:t>
      </w:r>
      <m:oMath>
        <m:r>
          <m:t>u</m:t>
        </m:r>
        <m:r>
          <m:rPr>
            <m:sty m:val="p"/>
          </m:rPr>
          <m:t>∈</m:t>
        </m:r>
        <m:r>
          <m:t>U</m:t>
        </m:r>
      </m:oMath>
      <w:r>
        <w:t xml:space="preserve"> </w:t>
      </w:r>
      <w:r>
        <w:t>and</w:t>
      </w:r>
      <w:r>
        <w:t xml:space="preserve"> </w:t>
      </w:r>
      <m:oMath>
        <m:r>
          <m:t>v</m:t>
        </m:r>
        <m:r>
          <m:rPr>
            <m:sty m:val="p"/>
          </m:rPr>
          <m:t>∈</m:t>
        </m:r>
        <m:sSup>
          <m:e>
            <m:r>
              <m:t>U</m:t>
            </m:r>
          </m:e>
          <m:sup>
            <m:r>
              <m:rPr>
                <m:sty m:val="p"/>
              </m:rPr>
              <m:t>⊥</m:t>
            </m:r>
          </m:sup>
        </m:sSup>
      </m:oMath>
      <w:r>
        <w:t>,</w:t>
      </w:r>
    </w:p>
    <w:p>
      <w:pPr>
        <w:pStyle w:val="BodyText"/>
        <w:keepLines/>
        <w:spacing w:before="100" w:after="140"/>
        <w:jc w:val="center"/>
      </w:pPr>
      <m:oMathPara>
        <m:oMathParaPr>
          <m:jc m:val="center"/>
        </m:oMathParaPr>
        <m:oMath>
          <m:r>
            <m:rPr>
              <m:sty m:val="p"/>
            </m:rPr>
            <m:t>⟨</m:t>
          </m:r>
          <m:r>
            <m:t>Δ</m:t>
          </m:r>
          <m:r>
            <m:rPr>
              <m:sty m:val="p"/>
            </m:rPr>
            <m:t>′</m:t>
          </m:r>
          <m:r>
            <m:t>v</m:t>
          </m:r>
          <m:r>
            <m:rPr>
              <m:sty m:val="p"/>
            </m:rPr>
            <m:t>,</m:t>
          </m:r>
          <m:r>
            <m:t>u</m:t>
          </m:r>
          <m:r>
            <m:rPr>
              <m:sty m:val="p"/>
            </m:rPr>
            <m:t>⟩</m:t>
          </m:r>
          <m:r>
            <m:rPr>
              <m:sty m:val="p"/>
            </m:rPr>
            <m:t>=</m:t>
          </m:r>
          <m:r>
            <m:rPr>
              <m:sty m:val="p"/>
            </m:rPr>
            <m:t>⟨</m:t>
          </m:r>
          <m:r>
            <m:t>v</m:t>
          </m:r>
          <m:r>
            <m:rPr>
              <m:sty m:val="p"/>
            </m:rPr>
            <m:t>,</m:t>
          </m:r>
          <m:r>
            <m:t>Δ</m:t>
          </m:r>
          <m:r>
            <m:rPr>
              <m:sty m:val="p"/>
            </m:rPr>
            <m:t>′</m:t>
          </m:r>
          <m:r>
            <m:t>u</m:t>
          </m:r>
          <m:r>
            <m:rPr>
              <m:sty m:val="p"/>
            </m:rPr>
            <m:t>⟩</m:t>
          </m:r>
          <m:r>
            <m:rPr>
              <m:sty m:val="p"/>
            </m:rPr>
            <m:t>=</m:t>
          </m:r>
          <m:r>
            <m:t>0</m:t>
          </m:r>
          <m:r>
            <m:rPr>
              <m:sty m:val="p"/>
            </m:rPr>
            <m:t>.</m:t>
          </m:r>
        </m:oMath>
      </m:oMathPara>
    </w:p>
    <w:p>
      <w:pPr>
        <w:pStyle w:val="FirstParagraph"/>
        <w:keepLines/>
        <w:spacing w:before="100" w:after="140"/>
        <w:jc w:val="center"/>
      </w:pPr>
      <w:r>
        <w:t>Hence</w:t>
      </w:r>
      <w:r>
        <w:t xml:space="preserve"> </w:t>
      </w:r>
      <m:oMath>
        <m:r>
          <m:t>Δ</m:t>
        </m:r>
        <m:r>
          <m:rPr>
            <m:sty m:val="p"/>
          </m:rPr>
          <m:t>′</m:t>
        </m:r>
        <m:sSup>
          <m:e>
            <m:r>
              <m:t>U</m:t>
            </m:r>
          </m:e>
          <m:sup>
            <m:r>
              <m:rPr>
                <m:sty m:val="p"/>
              </m:rPr>
              <m:t>⊥</m:t>
            </m:r>
          </m:sup>
        </m:sSup>
        <m:r>
          <m:rPr>
            <m:sty m:val="p"/>
          </m:rPr>
          <m:t>⊆</m:t>
        </m:r>
        <m:sSup>
          <m:e>
            <m:r>
              <m:t>U</m:t>
            </m:r>
          </m:e>
          <m:sup>
            <m:r>
              <m:rPr>
                <m:sty m:val="p"/>
              </m:rPr>
              <m:t>⊥</m:t>
            </m:r>
          </m:sup>
        </m:sSup>
      </m:oMath>
      <w:r>
        <w:t>. The spectral projector onto</w:t>
      </w:r>
      <w:r>
        <w:t xml:space="preserve"> </w:t>
      </w:r>
      <m:oMath>
        <m:r>
          <m:rPr>
            <m:sty m:val="p"/>
          </m:rPr>
          <m:t>ker</m:t>
        </m:r>
        <m:r>
          <m:t>Δ</m:t>
        </m:r>
        <m:r>
          <m:rPr>
            <m:sty m:val="p"/>
          </m:rPr>
          <m:t>′</m:t>
        </m:r>
      </m:oMath>
      <w:r>
        <w:t xml:space="preserve"> </w:t>
      </w:r>
      <w:r>
        <w:t>preserves both subspaces and agrees with normalized pullback on</w:t>
      </w:r>
      <w:r>
        <w:t xml:space="preserve"> </w:t>
      </w:r>
      <m:oMath>
        <m:r>
          <m:t>U</m:t>
        </m:r>
      </m:oMath>
      <w:r>
        <w:t>.</w:t>
      </w:r>
    </w:p>
    <w:bookmarkEnd w:id="75"/>
    <w:bookmarkStart w:id="76" w:name="a.3-circle-criterion"/>
    <w:p>
      <w:pPr>
        <w:pStyle w:val="Heading2"/>
      </w:pPr>
      <w:r>
        <w:t>A.3 Circle criterion</w:t>
      </w:r>
    </w:p>
    <w:p>
      <w:pPr>
        <w:pStyle w:val="FirstParagraph"/>
        <w:keepLines/>
        <w:spacing w:before="100" w:after="140"/>
        <w:jc w:val="center"/>
      </w:pPr>
      <w:r>
        <w:t>For finite-order orthogonal</w:t>
      </w:r>
      <w:r>
        <w:t xml:space="preserve"> </w:t>
      </w:r>
      <m:oMath>
        <m:r>
          <m:t>A</m:t>
        </m:r>
      </m:oMath>
      <w:r>
        <w:t>, decompose</w:t>
      </w:r>
      <w:r>
        <w:t xml:space="preserve"> </w:t>
      </w:r>
      <m:oMath>
        <m:r>
          <m:t>S</m:t>
        </m:r>
        <m:r>
          <m:rPr>
            <m:sty m:val="p"/>
          </m:rPr>
          <m:t>=</m:t>
        </m:r>
        <m:r>
          <m:rPr>
            <m:sty m:val="p"/>
          </m:rPr>
          <m:t>ker</m:t>
        </m:r>
        <m:d>
          <m:dPr>
            <m:begChr m:val="("/>
            <m:endChr m:val=")"/>
            <m:sepChr m:val=""/>
            <m:grow/>
          </m:dPr>
          <m:e>
            <m:r>
              <m:t>A</m:t>
            </m:r>
            <m:r>
              <m:rPr>
                <m:sty m:val="p"/>
              </m:rPr>
              <m:t>−</m:t>
            </m:r>
            <m:r>
              <m:t>I</m:t>
            </m:r>
          </m:e>
        </m:d>
        <m:r>
          <m:rPr>
            <m:sty m:val="p"/>
          </m:rPr>
          <m:t>⊕</m:t>
        </m:r>
        <m:r>
          <m:rPr>
            <m:sty m:val="p"/>
          </m:rPr>
          <m:t>ker</m:t>
        </m:r>
        <m:sSup>
          <m:e>
            <m:d>
              <m:dPr>
                <m:begChr m:val="("/>
                <m:endChr m:val=")"/>
                <m:sepChr m:val=""/>
                <m:grow/>
              </m:dPr>
              <m:e>
                <m:r>
                  <m:t>A</m:t>
                </m:r>
                <m:r>
                  <m:rPr>
                    <m:sty m:val="p"/>
                  </m:rPr>
                  <m:t>−</m:t>
                </m:r>
                <m:r>
                  <m:t>I</m:t>
                </m:r>
              </m:e>
            </m:d>
          </m:e>
          <m:sup>
            <m:r>
              <m:rPr>
                <m:sty m:val="p"/>
              </m:rPr>
              <m:t>⊥</m:t>
            </m:r>
          </m:sup>
        </m:sSup>
      </m:oMath>
      <w:r>
        <w:t>. The averaging operator</w:t>
      </w:r>
    </w:p>
    <w:p>
      <w:pPr>
        <w:pStyle w:val="BodyText"/>
        <w:keepLines/>
        <w:spacing w:before="100" w:after="140"/>
        <w:jc w:val="center"/>
      </w:pPr>
      <m:oMathPara>
        <m:oMathParaPr>
          <m:jc m:val="center"/>
        </m:oMathParaPr>
        <m:oMath>
          <m:sSub>
            <m:e>
              <m:r>
                <m:t>N</m:t>
              </m:r>
            </m:e>
            <m:sub>
              <m:r>
                <m:t>A</m:t>
              </m:r>
            </m:sub>
          </m:sSub>
          <m:r>
            <m:rPr>
              <m:sty m:val="p"/>
            </m:rPr>
            <m:t>=</m:t>
          </m:r>
          <m:r>
            <m:t>I</m:t>
          </m:r>
          <m:r>
            <m:rPr>
              <m:sty m:val="p"/>
            </m:rPr>
            <m:t>+</m:t>
          </m:r>
          <m:r>
            <m:t>A</m:t>
          </m:r>
          <m:r>
            <m:rPr>
              <m:sty m:val="p"/>
            </m:rPr>
            <m:t>+</m:t>
          </m:r>
          <m:r>
            <m:rPr>
              <m:sty m:val="p"/>
            </m:rPr>
            <m:t>⋯</m:t>
          </m:r>
          <m:r>
            <m:rPr>
              <m:sty m:val="p"/>
            </m:rPr>
            <m:t>+</m:t>
          </m:r>
          <m:sSup>
            <m:e>
              <m:r>
                <m:t>A</m:t>
              </m:r>
            </m:e>
            <m:sup>
              <m:r>
                <m:t>n</m:t>
              </m:r>
              <m:r>
                <m:rPr>
                  <m:sty m:val="p"/>
                </m:rPr>
                <m:t>−</m:t>
              </m:r>
              <m:r>
                <m:t>1</m:t>
              </m:r>
            </m:sup>
          </m:sSup>
        </m:oMath>
      </m:oMathPara>
    </w:p>
    <w:p>
      <w:pPr>
        <w:pStyle w:val="FirstParagraph"/>
        <w:keepLines/>
        <w:spacing w:before="100" w:after="140"/>
        <w:jc w:val="center"/>
      </w:pPr>
      <w:r>
        <w:t>acts as</w:t>
      </w:r>
      <w:r>
        <w:t xml:space="preserve"> </w:t>
      </w:r>
      <m:oMath>
        <m:r>
          <m:t>n</m:t>
        </m:r>
        <m:r>
          <m:t>I</m:t>
        </m:r>
      </m:oMath>
      <w:r>
        <w:t xml:space="preserve"> </w:t>
      </w:r>
      <w:r>
        <w:t>on</w:t>
      </w:r>
      <w:r>
        <w:t xml:space="preserve"> </w:t>
      </w:r>
      <m:oMath>
        <m:r>
          <m:rPr>
            <m:sty m:val="p"/>
          </m:rPr>
          <m:t>ker</m:t>
        </m:r>
        <m:d>
          <m:dPr>
            <m:begChr m:val="("/>
            <m:endChr m:val=")"/>
            <m:sepChr m:val=""/>
            <m:grow/>
          </m:dPr>
          <m:e>
            <m:r>
              <m:t>A</m:t>
            </m:r>
            <m:r>
              <m:rPr>
                <m:sty m:val="p"/>
              </m:rPr>
              <m:t>−</m:t>
            </m:r>
            <m:r>
              <m:t>I</m:t>
            </m:r>
          </m:e>
        </m:d>
      </m:oMath>
      <w:r>
        <w:t xml:space="preserve"> </w:t>
      </w:r>
      <w:r>
        <w:t>and as zero on its orthogonal complement. Orthogonality also gives</w:t>
      </w:r>
    </w:p>
    <w:p>
      <w:pPr>
        <w:pStyle w:val="BodyText"/>
        <w:keepLines/>
        <w:spacing w:before="100" w:after="140"/>
        <w:jc w:val="center"/>
      </w:pPr>
      <m:oMathPara>
        <m:oMathParaPr>
          <m:jc m:val="center"/>
        </m:oMathParaPr>
        <m:oMath>
          <m:r>
            <m:rPr>
              <m:sty m:val="p"/>
            </m:rPr>
            <m:t>im</m:t>
          </m:r>
          <m:d>
            <m:dPr>
              <m:begChr m:val="("/>
              <m:endChr m:val=")"/>
              <m:sepChr m:val=""/>
              <m:grow/>
            </m:dPr>
            <m:e>
              <m:r>
                <m:t>A</m:t>
              </m:r>
              <m:r>
                <m:rPr>
                  <m:sty m:val="p"/>
                </m:rPr>
                <m:t>−</m:t>
              </m:r>
              <m:r>
                <m:t>I</m:t>
              </m:r>
            </m:e>
          </m:d>
          <m:r>
            <m:rPr>
              <m:sty m:val="p"/>
            </m:rPr>
            <m:t>=</m:t>
          </m:r>
          <m:r>
            <m:rPr>
              <m:sty m:val="p"/>
            </m:rPr>
            <m:t>ker</m:t>
          </m:r>
          <m:sSup>
            <m:e>
              <m:d>
                <m:dPr>
                  <m:begChr m:val="("/>
                  <m:endChr m:val=")"/>
                  <m:sepChr m:val=""/>
                  <m:grow/>
                </m:dPr>
                <m:e>
                  <m:r>
                    <m:t>A</m:t>
                  </m:r>
                  <m:r>
                    <m:rPr>
                      <m:sty m:val="p"/>
                    </m:rPr>
                    <m:t>−</m:t>
                  </m:r>
                  <m:r>
                    <m:t>I</m:t>
                  </m:r>
                </m:e>
              </m:d>
            </m:e>
            <m:sup>
              <m:r>
                <m:rPr>
                  <m:sty m:val="p"/>
                </m:rPr>
                <m:t>⊥</m:t>
              </m:r>
            </m:sup>
          </m:sSup>
          <m:r>
            <m:rPr>
              <m:sty m:val="p"/>
            </m:rPr>
            <m:t>.</m:t>
          </m:r>
        </m:oMath>
      </m:oMathPara>
    </w:p>
    <w:p>
      <w:pPr>
        <w:pStyle w:val="FirstParagraph"/>
        <w:keepLines/>
        <w:spacing w:before="100" w:after="140"/>
        <w:jc w:val="center"/>
      </w:pPr>
      <w:r>
        <w:t>Therefore</w:t>
      </w:r>
      <w:r>
        <w:t xml:space="preserve"> </w:t>
      </w:r>
      <m:oMath>
        <m:sSub>
          <m:e>
            <m:r>
              <m:t>N</m:t>
            </m:r>
          </m:e>
          <m:sub>
            <m:r>
              <m:t>A</m:t>
            </m:r>
          </m:sub>
        </m:sSub>
        <m:r>
          <m:t>B</m:t>
        </m:r>
        <m:r>
          <m:t>q</m:t>
        </m:r>
        <m:r>
          <m:rPr>
            <m:sty m:val="p"/>
          </m:rPr>
          <m:t>=</m:t>
        </m:r>
        <m:r>
          <m:t>0</m:t>
        </m:r>
      </m:oMath>
      <w:r>
        <w:t xml:space="preserve"> </w:t>
      </w:r>
      <w:r>
        <w:t>exactly when</w:t>
      </w:r>
      <w:r>
        <w:t xml:space="preserve"> </w:t>
      </w:r>
      <m:oMath>
        <m:r>
          <m:t>B</m:t>
        </m:r>
        <m:r>
          <m:t>q</m:t>
        </m:r>
        <m:r>
          <m:rPr>
            <m:sty m:val="p"/>
          </m:rPr>
          <m:t>∈</m:t>
        </m:r>
        <m:r>
          <m:rPr>
            <m:sty m:val="p"/>
          </m:rPr>
          <m:t>im</m:t>
        </m:r>
        <m:d>
          <m:dPr>
            <m:begChr m:val="("/>
            <m:endChr m:val=")"/>
            <m:sepChr m:val=""/>
            <m:grow/>
          </m:dPr>
          <m:e>
            <m:r>
              <m:t>A</m:t>
            </m:r>
            <m:r>
              <m:rPr>
                <m:sty m:val="p"/>
              </m:rPr>
              <m:t>−</m:t>
            </m:r>
            <m:r>
              <m:t>I</m:t>
            </m:r>
          </m:e>
        </m:d>
      </m:oMath>
      <w:r>
        <w:t>, which is exactly the vanishing condition for</w:t>
      </w:r>
      <w:r>
        <w:t xml:space="preserve"> </w:t>
      </w:r>
      <m:oMath>
        <m:d>
          <m:dPr>
            <m:begChr m:val="["/>
            <m:endChr m:val="]"/>
            <m:sepChr m:val=""/>
            <m:grow/>
          </m:dPr>
          <m:e>
            <m:r>
              <m:t>B</m:t>
            </m:r>
            <m:r>
              <m:t>q</m:t>
            </m:r>
          </m:e>
        </m:d>
        <m:r>
          <m:rPr>
            <m:sty m:val="p"/>
          </m:rPr>
          <m:t>∈</m:t>
        </m:r>
        <m:r>
          <m:rPr>
            <m:sty m:val="p"/>
          </m:rPr>
          <m:t>coker</m:t>
        </m:r>
        <m:d>
          <m:dPr>
            <m:begChr m:val="("/>
            <m:endChr m:val=")"/>
            <m:sepChr m:val=""/>
            <m:grow/>
          </m:dPr>
          <m:e>
            <m:r>
              <m:t>A</m:t>
            </m:r>
            <m:r>
              <m:rPr>
                <m:sty m:val="p"/>
              </m:rPr>
              <m:t>−</m:t>
            </m:r>
            <m:r>
              <m:t>I</m:t>
            </m:r>
          </m:e>
        </m:d>
      </m:oMath>
      <w:r>
        <w:t>.</w:t>
      </w:r>
    </w:p>
    <w:bookmarkEnd w:id="76"/>
    <w:bookmarkEnd w:id="77"/>
    <w:bookmarkStart w:id="78" w:name="Xa69c0c400d45846cd6926dabf1f4aad598d7277"/>
    <w:p>
      <w:pPr>
        <w:pStyle w:val="Heading1"/>
        <w:pageBreakBefore/>
      </w:pPr>
      <w:r>
        <w:t>Appendix B. Reproducibility specification</w:t>
      </w:r>
    </w:p>
    <w:p>
      <w:pPr>
        <w:pStyle w:val="FirstParagraph"/>
      </w:pPr>
      <w:r>
        <w:t>The synthetic experiment script uses the following deterministic steps:</w:t>
      </w:r>
    </w:p>
    <w:p>
      <w:pPr>
        <w:keepLines/>
        <w:numPr>
          <w:ilvl w:val="0"/>
          <w:numId w:val="1007"/>
        </w:numPr>
        <w:pStyle w:val="Compact"/>
        <w:spacing w:before="100" w:after="140"/>
        <w:jc w:val="center"/>
      </w:pPr>
      <w:r>
        <w:t>Represent each permutation in</w:t>
      </w:r>
      <w:r>
        <w:t xml:space="preserve"> </w:t>
      </w:r>
      <m:oMath>
        <m:sSub>
          <m:e>
            <m:r>
              <m:t>S</m:t>
            </m:r>
          </m:e>
          <m:sub>
            <m:r>
              <m:t>3</m:t>
            </m:r>
          </m:sub>
        </m:sSub>
      </m:oMath>
      <w:r>
        <w:t xml:space="preserve"> </w:t>
      </w:r>
      <w:r>
        <w:t>by a tuple of images of</w:t>
      </w:r>
      <w:r>
        <w:t xml:space="preserve"> </w:t>
      </w:r>
      <m:oMath>
        <m:d>
          <m:dPr>
            <m:begChr m:val="("/>
            <m:endChr m:val=")"/>
            <m:sepChr m:val=""/>
            <m:grow/>
          </m:dPr>
          <m:e>
            <m:r>
              <m:t>1</m:t>
            </m:r>
            <m:r>
              <m:rPr>
                <m:sty m:val="p"/>
              </m:rPr>
              <m:t>,</m:t>
            </m:r>
            <m:r>
              <m:t>2</m:t>
            </m:r>
            <m:r>
              <m:rPr>
                <m:sty m:val="p"/>
              </m:rPr>
              <m:t>,</m:t>
            </m:r>
            <m:r>
              <m:t>3</m:t>
            </m:r>
          </m:e>
        </m:d>
      </m:oMath>
      <w:r>
        <w:t>.</w:t>
      </w:r>
    </w:p>
    <w:p>
      <w:pPr>
        <w:numPr>
          <w:ilvl w:val="0"/>
          <w:numId w:val="1007"/>
        </w:numPr>
        <w:pStyle w:val="Compact"/>
      </w:pPr>
      <w:r>
        <w:t>Enumerate subgroup closure under composition and inverse.</w:t>
      </w:r>
    </w:p>
    <w:p>
      <w:pPr>
        <w:numPr>
          <w:ilvl w:val="0"/>
          <w:numId w:val="1007"/>
        </w:numPr>
        <w:pStyle w:val="Compact"/>
      </w:pPr>
      <w:r>
        <w:t>Enumerate left cosets and compute Bayes accuracy by majority label within each memory coset.</w:t>
      </w:r>
    </w:p>
    <w:p>
      <w:pPr>
        <w:keepLines/>
        <w:numPr>
          <w:ilvl w:val="0"/>
          <w:numId w:val="1007"/>
        </w:numPr>
        <w:pStyle w:val="Compact"/>
        <w:spacing w:before="100" w:after="140"/>
        <w:jc w:val="center"/>
      </w:pPr>
      <w:r>
        <w:t>Compute cover norms from explicitly repeated residuals and normalize by</w:t>
      </w:r>
      <w:r>
        <w:t xml:space="preserve"> </w:t>
      </w:r>
      <m:oMath>
        <m:sSup>
          <m:e>
            <m:r>
              <m:t>m</m:t>
            </m:r>
          </m:e>
          <m:sup>
            <m:r>
              <m:rPr>
                <m:sty m:val="p"/>
              </m:rPr>
              <m:t>−</m:t>
            </m:r>
            <m:r>
              <m:t>1</m:t>
            </m:r>
            <m:r>
              <m:rPr>
                <m:sty m:val="p"/>
              </m:rPr>
              <m:t>/</m:t>
            </m:r>
            <m:r>
              <m:t>2</m:t>
            </m:r>
          </m:sup>
        </m:sSup>
      </m:oMath>
      <w:r>
        <w:t>.</w:t>
      </w:r>
    </w:p>
    <w:p>
      <w:pPr>
        <w:keepLines/>
        <w:numPr>
          <w:ilvl w:val="0"/>
          <w:numId w:val="1007"/>
        </w:numPr>
        <w:pStyle w:val="Compact"/>
        <w:spacing w:before="100" w:after="140"/>
        <w:jc w:val="center"/>
      </w:pPr>
      <w:r>
        <w:t>Iterate the displayed</w:t>
      </w:r>
      <w:r>
        <w:t xml:space="preserve"> </w:t>
      </w:r>
      <m:oMath>
        <m:r>
          <m:t>3</m:t>
        </m:r>
        <m:r>
          <m:rPr>
            <m:sty m:val="p"/>
          </m:rPr>
          <m:t>×</m:t>
        </m:r>
        <m:r>
          <m:t>3</m:t>
        </m:r>
      </m:oMath>
      <w:r>
        <w:t xml:space="preserve"> </w:t>
      </w:r>
      <w:r>
        <w:t>monodromy and a diagonal 1.05 baseline for 250 steps.</w:t>
      </w:r>
    </w:p>
    <w:p>
      <w:pPr>
        <w:pStyle w:val="FirstParagraph"/>
      </w:pPr>
      <w:r>
        <w:t>No random seed is required. Numerical equality is checked against closed forms. Source code is supplied alongside the working manuscript during development and can be included in a public repository at submission.</w:t>
      </w:r>
    </w:p>
    <w:bookmarkEnd w:id="78"/>
    <w:bookmarkStart w:id="79" w:name="references"/>
    <w:p>
      <w:pPr>
        <w:pStyle w:val="Heading1"/>
      </w:pPr>
      <w:r>
        <w:t>References</w:t>
      </w:r>
    </w:p>
    <w:p>
      <w:pPr>
        <w:numPr>
          <w:ilvl w:val="0"/>
          <w:numId w:val="1008"/>
        </w:numPr>
        <w:pStyle w:val="Compact"/>
        <w:spacing w:after="80" w:line="240" w:lineRule="auto"/>
      </w:pPr>
      <w:r>
        <w:rPr>
          <w:rFonts w:ascii="Calibri" w:hAnsi="Calibri" w:eastAsia="Calibri"/>
          <w:sz w:val="18"/>
        </w:rPr>
        <w:t>Bengio, Y., Simard, P., and Frasconi, P.</w:t>
      </w:r>
      <w:r>
        <w:rPr>
          <w:rFonts w:ascii="Calibri" w:hAnsi="Calibri" w:eastAsia="Calibri"/>
          <w:sz w:val="18"/>
        </w:rPr>
        <w:t xml:space="preserve"> </w:t>
      </w:r>
      <w:r>
        <w:rPr>
          <w:rFonts w:ascii="Calibri" w:hAnsi="Calibri" w:eastAsia="Calibri"/>
          <w:sz w:val="18"/>
        </w:rPr>
        <w:t>"</w:t>
      </w:r>
      <w:r>
        <w:rPr>
          <w:rFonts w:ascii="Calibri" w:hAnsi="Calibri" w:eastAsia="Calibri"/>
          <w:sz w:val="18"/>
        </w:rPr>
        <w:t>Learning Long-Term Dependencies with Gradient Descent Is Difficult.</w:t>
      </w:r>
      <w:r>
        <w:rPr>
          <w:rFonts w:ascii="Calibri" w:hAnsi="Calibri" w:eastAsia="Calibri"/>
          <w:sz w:val="18"/>
        </w:rPr>
        <w:t>"</w:t>
      </w:r>
      <w:r>
        <w:rPr>
          <w:rFonts w:ascii="Calibri" w:hAnsi="Calibri" w:eastAsia="Calibri"/>
          <w:sz w:val="18"/>
        </w:rPr>
        <w:t xml:space="preserve"> </w:t>
      </w:r>
      <w:r>
        <w:rPr>
          <w:iCs/>
          <w:rFonts w:ascii="Calibri" w:hAnsi="Calibri" w:eastAsia="Calibri"/>
          <w:i/>
          <w:sz w:val="18"/>
        </w:rPr>
        <w:t>IEEE Transactions on Neural Networks</w:t>
      </w:r>
      <w:r>
        <w:rPr>
          <w:rFonts w:ascii="Calibri" w:hAnsi="Calibri" w:eastAsia="Calibri"/>
          <w:sz w:val="18"/>
        </w:rPr>
        <w:t xml:space="preserve"> </w:t>
      </w:r>
      <w:r>
        <w:rPr>
          <w:rFonts w:ascii="Calibri" w:hAnsi="Calibri" w:eastAsia="Calibri"/>
          <w:sz w:val="18"/>
        </w:rPr>
        <w:t>5(2), 157-166 (1994). https://doi.org/10.1109/72.279181</w:t>
      </w:r>
    </w:p>
    <w:p>
      <w:pPr>
        <w:numPr>
          <w:ilvl w:val="0"/>
          <w:numId w:val="1008"/>
        </w:numPr>
        <w:pStyle w:val="Compact"/>
        <w:spacing w:after="80" w:line="240" w:lineRule="auto"/>
      </w:pPr>
      <w:r>
        <w:rPr>
          <w:rFonts w:ascii="Calibri" w:hAnsi="Calibri" w:eastAsia="Calibri"/>
          <w:sz w:val="18"/>
        </w:rPr>
        <w:t>Pascanu, R., Mikolov, T., and Bengio, Y.</w:t>
      </w:r>
      <w:r>
        <w:rPr>
          <w:rFonts w:ascii="Calibri" w:hAnsi="Calibri" w:eastAsia="Calibri"/>
          <w:sz w:val="18"/>
        </w:rPr>
        <w:t xml:space="preserve"> </w:t>
      </w:r>
      <w:r>
        <w:rPr>
          <w:rFonts w:ascii="Calibri" w:hAnsi="Calibri" w:eastAsia="Calibri"/>
          <w:sz w:val="18"/>
        </w:rPr>
        <w:t>"</w:t>
      </w:r>
      <w:r>
        <w:rPr>
          <w:rFonts w:ascii="Calibri" w:hAnsi="Calibri" w:eastAsia="Calibri"/>
          <w:sz w:val="18"/>
        </w:rPr>
        <w:t>On the Difficulty of Training Recurrent Neural Networks.</w:t>
      </w:r>
      <w:r>
        <w:rPr>
          <w:rFonts w:ascii="Calibri" w:hAnsi="Calibri" w:eastAsia="Calibri"/>
          <w:sz w:val="18"/>
        </w:rPr>
        <w:t>"</w:t>
      </w:r>
      <w:r>
        <w:rPr>
          <w:rFonts w:ascii="Calibri" w:hAnsi="Calibri" w:eastAsia="Calibri"/>
          <w:sz w:val="18"/>
        </w:rPr>
        <w:t xml:space="preserve"> </w:t>
      </w:r>
      <w:r>
        <w:rPr>
          <w:iCs/>
          <w:rFonts w:ascii="Calibri" w:hAnsi="Calibri" w:eastAsia="Calibri"/>
          <w:i/>
          <w:sz w:val="18"/>
        </w:rPr>
        <w:t>Proceedings of ICML</w:t>
      </w:r>
      <w:r>
        <w:rPr>
          <w:rFonts w:ascii="Calibri" w:hAnsi="Calibri" w:eastAsia="Calibri"/>
          <w:sz w:val="18"/>
        </w:rPr>
        <w:t>, 1310-1318 (2013). https://proceedings.mlr.press/v28/pascanu13.html</w:t>
      </w:r>
    </w:p>
    <w:p>
      <w:pPr>
        <w:numPr>
          <w:ilvl w:val="0"/>
          <w:numId w:val="1008"/>
        </w:numPr>
        <w:pStyle w:val="Compact"/>
        <w:spacing w:after="80" w:line="240" w:lineRule="auto"/>
      </w:pPr>
      <w:r>
        <w:rPr>
          <w:rFonts w:ascii="Calibri" w:hAnsi="Calibri" w:eastAsia="Calibri"/>
          <w:sz w:val="18"/>
        </w:rPr>
        <w:t>Hochreiter, S., and Schmidhuber, J.</w:t>
      </w:r>
      <w:r>
        <w:rPr>
          <w:rFonts w:ascii="Calibri" w:hAnsi="Calibri" w:eastAsia="Calibri"/>
          <w:sz w:val="18"/>
        </w:rPr>
        <w:t xml:space="preserve"> </w:t>
      </w:r>
      <w:r>
        <w:rPr>
          <w:rFonts w:ascii="Calibri" w:hAnsi="Calibri" w:eastAsia="Calibri"/>
          <w:sz w:val="18"/>
        </w:rPr>
        <w:t>"</w:t>
      </w:r>
      <w:r>
        <w:rPr>
          <w:rFonts w:ascii="Calibri" w:hAnsi="Calibri" w:eastAsia="Calibri"/>
          <w:sz w:val="18"/>
        </w:rPr>
        <w:t>Long Short-Term Memory.</w:t>
      </w:r>
      <w:r>
        <w:rPr>
          <w:rFonts w:ascii="Calibri" w:hAnsi="Calibri" w:eastAsia="Calibri"/>
          <w:sz w:val="18"/>
        </w:rPr>
        <w:t>"</w:t>
      </w:r>
      <w:r>
        <w:rPr>
          <w:rFonts w:ascii="Calibri" w:hAnsi="Calibri" w:eastAsia="Calibri"/>
          <w:sz w:val="18"/>
        </w:rPr>
        <w:t xml:space="preserve"> </w:t>
      </w:r>
      <w:r>
        <w:rPr>
          <w:iCs/>
          <w:rFonts w:ascii="Calibri" w:hAnsi="Calibri" w:eastAsia="Calibri"/>
          <w:i/>
          <w:sz w:val="18"/>
        </w:rPr>
        <w:t>Neural Computation</w:t>
      </w:r>
      <w:r>
        <w:rPr>
          <w:rFonts w:ascii="Calibri" w:hAnsi="Calibri" w:eastAsia="Calibri"/>
          <w:sz w:val="18"/>
        </w:rPr>
        <w:t xml:space="preserve"> </w:t>
      </w:r>
      <w:r>
        <w:rPr>
          <w:rFonts w:ascii="Calibri" w:hAnsi="Calibri" w:eastAsia="Calibri"/>
          <w:sz w:val="18"/>
        </w:rPr>
        <w:t>9(8), 1735-1780 (1997). https://doi.org/10.1162/neco.1997.9.8.1735</w:t>
      </w:r>
    </w:p>
    <w:p>
      <w:pPr>
        <w:numPr>
          <w:ilvl w:val="0"/>
          <w:numId w:val="1008"/>
        </w:numPr>
        <w:pStyle w:val="Compact"/>
        <w:spacing w:after="80" w:line="240" w:lineRule="auto"/>
      </w:pPr>
      <w:r>
        <w:rPr>
          <w:rFonts w:ascii="Calibri" w:hAnsi="Calibri" w:eastAsia="Calibri"/>
          <w:sz w:val="18"/>
        </w:rPr>
        <w:t>Arjovsky, M., Shah, A., and Bengio, Y.</w:t>
      </w:r>
      <w:r>
        <w:rPr>
          <w:rFonts w:ascii="Calibri" w:hAnsi="Calibri" w:eastAsia="Calibri"/>
          <w:sz w:val="18"/>
        </w:rPr>
        <w:t xml:space="preserve"> </w:t>
      </w:r>
      <w:r>
        <w:rPr>
          <w:rFonts w:ascii="Calibri" w:hAnsi="Calibri" w:eastAsia="Calibri"/>
          <w:sz w:val="18"/>
        </w:rPr>
        <w:t>"</w:t>
      </w:r>
      <w:r>
        <w:rPr>
          <w:rFonts w:ascii="Calibri" w:hAnsi="Calibri" w:eastAsia="Calibri"/>
          <w:sz w:val="18"/>
        </w:rPr>
        <w:t>Unitary Evolution Recurrent Neural Networks.</w:t>
      </w:r>
      <w:r>
        <w:rPr>
          <w:rFonts w:ascii="Calibri" w:hAnsi="Calibri" w:eastAsia="Calibri"/>
          <w:sz w:val="18"/>
        </w:rPr>
        <w:t>"</w:t>
      </w:r>
      <w:r>
        <w:rPr>
          <w:rFonts w:ascii="Calibri" w:hAnsi="Calibri" w:eastAsia="Calibri"/>
          <w:sz w:val="18"/>
        </w:rPr>
        <w:t xml:space="preserve"> </w:t>
      </w:r>
      <w:r>
        <w:rPr>
          <w:iCs/>
          <w:rFonts w:ascii="Calibri" w:hAnsi="Calibri" w:eastAsia="Calibri"/>
          <w:i/>
          <w:sz w:val="18"/>
        </w:rPr>
        <w:t>Proceedings of ICML</w:t>
      </w:r>
      <w:r>
        <w:rPr>
          <w:rFonts w:ascii="Calibri" w:hAnsi="Calibri" w:eastAsia="Calibri"/>
          <w:sz w:val="18"/>
        </w:rPr>
        <w:t>, 1120-1128 (2016). https://proceedings.mlr.press/v48/arjovsky16.html</w:t>
      </w:r>
    </w:p>
    <w:p>
      <w:pPr>
        <w:numPr>
          <w:ilvl w:val="0"/>
          <w:numId w:val="1008"/>
        </w:numPr>
        <w:pStyle w:val="Compact"/>
        <w:spacing w:after="80" w:line="240" w:lineRule="auto"/>
      </w:pPr>
      <w:r>
        <w:rPr>
          <w:rFonts w:ascii="Calibri" w:hAnsi="Calibri" w:eastAsia="Calibri"/>
          <w:sz w:val="18"/>
        </w:rPr>
        <w:t>Wisdom, S., Powers, T., Hershey, J. R., Le Roux, J., and Atlas, L.</w:t>
      </w:r>
      <w:r>
        <w:rPr>
          <w:rFonts w:ascii="Calibri" w:hAnsi="Calibri" w:eastAsia="Calibri"/>
          <w:sz w:val="18"/>
        </w:rPr>
        <w:t xml:space="preserve"> </w:t>
      </w:r>
      <w:r>
        <w:rPr>
          <w:rFonts w:ascii="Calibri" w:hAnsi="Calibri" w:eastAsia="Calibri"/>
          <w:sz w:val="18"/>
        </w:rPr>
        <w:t>"</w:t>
      </w:r>
      <w:r>
        <w:rPr>
          <w:rFonts w:ascii="Calibri" w:hAnsi="Calibri" w:eastAsia="Calibri"/>
          <w:sz w:val="18"/>
        </w:rPr>
        <w:t>Full-Capacity Unitary Recurrent Neural Networks.</w:t>
      </w:r>
      <w:r>
        <w:rPr>
          <w:rFonts w:ascii="Calibri" w:hAnsi="Calibri" w:eastAsia="Calibri"/>
          <w:sz w:val="18"/>
        </w:rPr>
        <w:t>"</w:t>
      </w:r>
      <w:r>
        <w:rPr>
          <w:rFonts w:ascii="Calibri" w:hAnsi="Calibri" w:eastAsia="Calibri"/>
          <w:sz w:val="18"/>
        </w:rPr>
        <w:t xml:space="preserve"> </w:t>
      </w:r>
      <w:r>
        <w:rPr>
          <w:iCs/>
          <w:rFonts w:ascii="Calibri" w:hAnsi="Calibri" w:eastAsia="Calibri"/>
          <w:i/>
          <w:sz w:val="18"/>
        </w:rPr>
        <w:t>Advances in Neural Information Processing Systems</w:t>
      </w:r>
      <w:r>
        <w:rPr>
          <w:rFonts w:ascii="Calibri" w:hAnsi="Calibri" w:eastAsia="Calibri"/>
          <w:sz w:val="18"/>
        </w:rPr>
        <w:t xml:space="preserve"> </w:t>
      </w:r>
      <w:r>
        <w:rPr>
          <w:rFonts w:ascii="Calibri" w:hAnsi="Calibri" w:eastAsia="Calibri"/>
          <w:sz w:val="18"/>
        </w:rPr>
        <w:t>29 (2016). https://proceedings.neurips.cc/paper/2016/hash/d9ff90f4000eacd3a6c9cb27f78994cf-Abstract.html</w:t>
      </w:r>
    </w:p>
    <w:p>
      <w:pPr>
        <w:numPr>
          <w:ilvl w:val="0"/>
          <w:numId w:val="1008"/>
        </w:numPr>
        <w:pStyle w:val="Compact"/>
        <w:spacing w:after="80" w:line="240" w:lineRule="auto"/>
      </w:pPr>
      <w:r>
        <w:rPr>
          <w:rFonts w:ascii="Calibri" w:hAnsi="Calibri" w:eastAsia="Calibri"/>
          <w:sz w:val="18"/>
        </w:rPr>
        <w:t>Jing, L., Gülçehre, Ç., Peurifoy, J., Shen, Y., Tegmark, M., Soljačić, M., and Bengio, Y.</w:t>
      </w:r>
      <w:r>
        <w:rPr>
          <w:rFonts w:ascii="Calibri" w:hAnsi="Calibri" w:eastAsia="Calibri"/>
          <w:sz w:val="18"/>
        </w:rPr>
        <w:t xml:space="preserve"> </w:t>
      </w:r>
      <w:r>
        <w:rPr>
          <w:rFonts w:ascii="Calibri" w:hAnsi="Calibri" w:eastAsia="Calibri"/>
          <w:sz w:val="18"/>
        </w:rPr>
        <w:t>"</w:t>
      </w:r>
      <w:r>
        <w:rPr>
          <w:rFonts w:ascii="Calibri" w:hAnsi="Calibri" w:eastAsia="Calibri"/>
          <w:sz w:val="18"/>
        </w:rPr>
        <w:t>Gated Orthogonal Recurrent Units: On Learning to Forget.</w:t>
      </w:r>
      <w:r>
        <w:rPr>
          <w:rFonts w:ascii="Calibri" w:hAnsi="Calibri" w:eastAsia="Calibri"/>
          <w:sz w:val="18"/>
        </w:rPr>
        <w:t>"</w:t>
      </w:r>
      <w:r>
        <w:rPr>
          <w:rFonts w:ascii="Calibri" w:hAnsi="Calibri" w:eastAsia="Calibri"/>
          <w:sz w:val="18"/>
        </w:rPr>
        <w:t xml:space="preserve"> </w:t>
      </w:r>
      <w:r>
        <w:rPr>
          <w:iCs/>
          <w:rFonts w:ascii="Calibri" w:hAnsi="Calibri" w:eastAsia="Calibri"/>
          <w:i/>
          <w:sz w:val="18"/>
        </w:rPr>
        <w:t>Neural Computation</w:t>
      </w:r>
      <w:r>
        <w:rPr>
          <w:rFonts w:ascii="Calibri" w:hAnsi="Calibri" w:eastAsia="Calibri"/>
          <w:sz w:val="18"/>
        </w:rPr>
        <w:t xml:space="preserve"> </w:t>
      </w:r>
      <w:r>
        <w:rPr>
          <w:rFonts w:ascii="Calibri" w:hAnsi="Calibri" w:eastAsia="Calibri"/>
          <w:sz w:val="18"/>
        </w:rPr>
        <w:t>31(4), 765-783 (2019). https://doi.org/10.1162/neco_a_01174</w:t>
      </w:r>
    </w:p>
    <w:p>
      <w:pPr>
        <w:numPr>
          <w:ilvl w:val="0"/>
          <w:numId w:val="1008"/>
        </w:numPr>
        <w:pStyle w:val="Compact"/>
        <w:spacing w:after="80" w:line="240" w:lineRule="auto"/>
      </w:pPr>
      <w:r>
        <w:rPr>
          <w:rFonts w:ascii="Calibri" w:hAnsi="Calibri" w:eastAsia="Calibri"/>
          <w:sz w:val="18"/>
        </w:rPr>
        <w:t>Williams, R. J., and Zipser, D.</w:t>
      </w:r>
      <w:r>
        <w:rPr>
          <w:rFonts w:ascii="Calibri" w:hAnsi="Calibri" w:eastAsia="Calibri"/>
          <w:sz w:val="18"/>
        </w:rPr>
        <w:t xml:space="preserve"> </w:t>
      </w:r>
      <w:r>
        <w:rPr>
          <w:rFonts w:ascii="Calibri" w:hAnsi="Calibri" w:eastAsia="Calibri"/>
          <w:sz w:val="18"/>
        </w:rPr>
        <w:t>"</w:t>
      </w:r>
      <w:r>
        <w:rPr>
          <w:rFonts w:ascii="Calibri" w:hAnsi="Calibri" w:eastAsia="Calibri"/>
          <w:sz w:val="18"/>
        </w:rPr>
        <w:t>Gradient-Based Learning Algorithms for Recurrent Networks and Their Computational Complexity.</w:t>
      </w:r>
      <w:r>
        <w:rPr>
          <w:rFonts w:ascii="Calibri" w:hAnsi="Calibri" w:eastAsia="Calibri"/>
          <w:sz w:val="18"/>
        </w:rPr>
        <w:t>"</w:t>
      </w:r>
      <w:r>
        <w:rPr>
          <w:rFonts w:ascii="Calibri" w:hAnsi="Calibri" w:eastAsia="Calibri"/>
          <w:sz w:val="18"/>
        </w:rPr>
        <w:t xml:space="preserve"> </w:t>
      </w:r>
      <w:r>
        <w:rPr>
          <w:rFonts w:ascii="Calibri" w:hAnsi="Calibri" w:eastAsia="Calibri"/>
          <w:sz w:val="18"/>
        </w:rPr>
        <w:t>In</w:t>
      </w:r>
      <w:r>
        <w:rPr>
          <w:rFonts w:ascii="Calibri" w:hAnsi="Calibri" w:eastAsia="Calibri"/>
          <w:sz w:val="18"/>
        </w:rPr>
        <w:t xml:space="preserve"> </w:t>
      </w:r>
      <w:r>
        <w:rPr>
          <w:iCs/>
          <w:rFonts w:ascii="Calibri" w:hAnsi="Calibri" w:eastAsia="Calibri"/>
          <w:i/>
          <w:sz w:val="18"/>
        </w:rPr>
        <w:t>Backpropagation: Theory, Architectures, and Applications</w:t>
      </w:r>
      <w:r>
        <w:rPr>
          <w:rFonts w:ascii="Calibri" w:hAnsi="Calibri" w:eastAsia="Calibri"/>
          <w:sz w:val="18"/>
        </w:rPr>
        <w:t>, 433-486 (1995).</w:t>
      </w:r>
    </w:p>
    <w:p>
      <w:pPr>
        <w:numPr>
          <w:ilvl w:val="0"/>
          <w:numId w:val="1008"/>
        </w:numPr>
        <w:pStyle w:val="Compact"/>
        <w:spacing w:after="80" w:line="240" w:lineRule="auto"/>
      </w:pPr>
      <w:r>
        <w:rPr>
          <w:rFonts w:ascii="Calibri" w:hAnsi="Calibri" w:eastAsia="Calibri"/>
          <w:sz w:val="18"/>
        </w:rPr>
        <w:t>Gu, A., Goel, K., and Ré, C.</w:t>
      </w:r>
      <w:r>
        <w:rPr>
          <w:rFonts w:ascii="Calibri" w:hAnsi="Calibri" w:eastAsia="Calibri"/>
          <w:sz w:val="18"/>
        </w:rPr>
        <w:t xml:space="preserve"> </w:t>
      </w:r>
      <w:r>
        <w:rPr>
          <w:rFonts w:ascii="Calibri" w:hAnsi="Calibri" w:eastAsia="Calibri"/>
          <w:sz w:val="18"/>
        </w:rPr>
        <w:t>"</w:t>
      </w:r>
      <w:r>
        <w:rPr>
          <w:rFonts w:ascii="Calibri" w:hAnsi="Calibri" w:eastAsia="Calibri"/>
          <w:sz w:val="18"/>
        </w:rPr>
        <w:t>Efficiently Modeling Long Sequences with Structured State Spaces.</w:t>
      </w:r>
      <w:r>
        <w:rPr>
          <w:rFonts w:ascii="Calibri" w:hAnsi="Calibri" w:eastAsia="Calibri"/>
          <w:sz w:val="18"/>
        </w:rPr>
        <w:t>"</w:t>
      </w:r>
      <w:r>
        <w:rPr>
          <w:rFonts w:ascii="Calibri" w:hAnsi="Calibri" w:eastAsia="Calibri"/>
          <w:sz w:val="18"/>
        </w:rPr>
        <w:t xml:space="preserve"> </w:t>
      </w:r>
      <w:r>
        <w:rPr>
          <w:iCs/>
          <w:rFonts w:ascii="Calibri" w:hAnsi="Calibri" w:eastAsia="Calibri"/>
          <w:i/>
          <w:sz w:val="18"/>
        </w:rPr>
        <w:t>International Conference on Learning Representations</w:t>
      </w:r>
      <w:r>
        <w:rPr>
          <w:rFonts w:ascii="Calibri" w:hAnsi="Calibri" w:eastAsia="Calibri"/>
          <w:sz w:val="18"/>
        </w:rPr>
        <w:t xml:space="preserve"> </w:t>
      </w:r>
      <w:r>
        <w:rPr>
          <w:rFonts w:ascii="Calibri" w:hAnsi="Calibri" w:eastAsia="Calibri"/>
          <w:sz w:val="18"/>
        </w:rPr>
        <w:t>(2022). https://openreview.net/forum?id=uYLFoz1vlAC</w:t>
      </w:r>
    </w:p>
    <w:p>
      <w:pPr>
        <w:numPr>
          <w:ilvl w:val="0"/>
          <w:numId w:val="1008"/>
        </w:numPr>
        <w:pStyle w:val="Compact"/>
        <w:spacing w:after="80" w:line="240" w:lineRule="auto"/>
      </w:pPr>
      <w:r>
        <w:rPr>
          <w:rFonts w:ascii="Calibri" w:hAnsi="Calibri" w:eastAsia="Calibri"/>
          <w:sz w:val="18"/>
        </w:rPr>
        <w:t>Gu, A., and Dao, T.</w:t>
      </w:r>
      <w:r>
        <w:rPr>
          <w:rFonts w:ascii="Calibri" w:hAnsi="Calibri" w:eastAsia="Calibri"/>
          <w:sz w:val="18"/>
        </w:rPr>
        <w:t xml:space="preserve"> </w:t>
      </w:r>
      <w:r>
        <w:rPr>
          <w:rFonts w:ascii="Calibri" w:hAnsi="Calibri" w:eastAsia="Calibri"/>
          <w:sz w:val="18"/>
        </w:rPr>
        <w:t>"</w:t>
      </w:r>
      <w:r>
        <w:rPr>
          <w:rFonts w:ascii="Calibri" w:hAnsi="Calibri" w:eastAsia="Calibri"/>
          <w:sz w:val="18"/>
        </w:rPr>
        <w:t>Mamba: Linear-Time Sequence Modeling with Selective State Spaces.</w:t>
      </w:r>
      <w:r>
        <w:rPr>
          <w:rFonts w:ascii="Calibri" w:hAnsi="Calibri" w:eastAsia="Calibri"/>
          <w:sz w:val="18"/>
        </w:rPr>
        <w:t>"</w:t>
      </w:r>
      <w:r>
        <w:rPr>
          <w:rFonts w:ascii="Calibri" w:hAnsi="Calibri" w:eastAsia="Calibri"/>
          <w:sz w:val="18"/>
        </w:rPr>
        <w:t xml:space="preserve"> </w:t>
      </w:r>
      <w:r>
        <w:rPr>
          <w:iCs/>
          <w:rFonts w:ascii="Calibri" w:hAnsi="Calibri" w:eastAsia="Calibri"/>
          <w:i/>
          <w:sz w:val="18"/>
        </w:rPr>
        <w:t>First Conference on Language Modeling</w:t>
      </w:r>
      <w:r>
        <w:rPr>
          <w:rFonts w:ascii="Calibri" w:hAnsi="Calibri" w:eastAsia="Calibri"/>
          <w:sz w:val="18"/>
        </w:rPr>
        <w:t xml:space="preserve"> </w:t>
      </w:r>
      <w:r>
        <w:rPr>
          <w:rFonts w:ascii="Calibri" w:hAnsi="Calibri" w:eastAsia="Calibri"/>
          <w:sz w:val="18"/>
        </w:rPr>
        <w:t>(2024). https://openreview.net/forum?id=tEYskw1VY2</w:t>
      </w:r>
    </w:p>
    <w:p>
      <w:pPr>
        <w:numPr>
          <w:ilvl w:val="0"/>
          <w:numId w:val="1008"/>
        </w:numPr>
        <w:pStyle w:val="Compact"/>
        <w:spacing w:after="80" w:line="240" w:lineRule="auto"/>
      </w:pPr>
      <w:r>
        <w:rPr>
          <w:rFonts w:ascii="Calibri" w:hAnsi="Calibri" w:eastAsia="Calibri"/>
          <w:sz w:val="18"/>
        </w:rPr>
        <w:t>Bai, S., Kolter, J. Z., and Koltun, V.</w:t>
      </w:r>
      <w:r>
        <w:rPr>
          <w:rFonts w:ascii="Calibri" w:hAnsi="Calibri" w:eastAsia="Calibri"/>
          <w:sz w:val="18"/>
        </w:rPr>
        <w:t xml:space="preserve"> </w:t>
      </w:r>
      <w:r>
        <w:rPr>
          <w:rFonts w:ascii="Calibri" w:hAnsi="Calibri" w:eastAsia="Calibri"/>
          <w:sz w:val="18"/>
        </w:rPr>
        <w:t>"</w:t>
      </w:r>
      <w:r>
        <w:rPr>
          <w:rFonts w:ascii="Calibri" w:hAnsi="Calibri" w:eastAsia="Calibri"/>
          <w:sz w:val="18"/>
        </w:rPr>
        <w:t>Deep Equilibrium Models.</w:t>
      </w:r>
      <w:r>
        <w:rPr>
          <w:rFonts w:ascii="Calibri" w:hAnsi="Calibri" w:eastAsia="Calibri"/>
          <w:sz w:val="18"/>
        </w:rPr>
        <w:t>"</w:t>
      </w:r>
      <w:r>
        <w:rPr>
          <w:rFonts w:ascii="Calibri" w:hAnsi="Calibri" w:eastAsia="Calibri"/>
          <w:sz w:val="18"/>
        </w:rPr>
        <w:t xml:space="preserve"> </w:t>
      </w:r>
      <w:r>
        <w:rPr>
          <w:iCs/>
          <w:rFonts w:ascii="Calibri" w:hAnsi="Calibri" w:eastAsia="Calibri"/>
          <w:i/>
          <w:sz w:val="18"/>
        </w:rPr>
        <w:t>Advances in Neural Information Processing Systems</w:t>
      </w:r>
      <w:r>
        <w:rPr>
          <w:rFonts w:ascii="Calibri" w:hAnsi="Calibri" w:eastAsia="Calibri"/>
          <w:sz w:val="18"/>
        </w:rPr>
        <w:t xml:space="preserve"> </w:t>
      </w:r>
      <w:r>
        <w:rPr>
          <w:rFonts w:ascii="Calibri" w:hAnsi="Calibri" w:eastAsia="Calibri"/>
          <w:sz w:val="18"/>
        </w:rPr>
        <w:t>32 (2019). https://proceedings.neurips.cc/paper/2019/hash/01386bd6d8e091c2ab4c7c7de644d37b-Abstract.html</w:t>
      </w:r>
    </w:p>
    <w:p>
      <w:pPr>
        <w:numPr>
          <w:ilvl w:val="0"/>
          <w:numId w:val="1008"/>
        </w:numPr>
        <w:pStyle w:val="Compact"/>
        <w:spacing w:after="80" w:line="240" w:lineRule="auto"/>
      </w:pPr>
      <w:r>
        <w:rPr>
          <w:rFonts w:ascii="Calibri" w:hAnsi="Calibri" w:eastAsia="Calibri"/>
          <w:sz w:val="18"/>
        </w:rPr>
        <w:t>Curry, J. M.</w:t>
      </w:r>
      <w:r>
        <w:rPr>
          <w:rFonts w:ascii="Calibri" w:hAnsi="Calibri" w:eastAsia="Calibri"/>
          <w:sz w:val="18"/>
        </w:rPr>
        <w:t xml:space="preserve"> </w:t>
      </w:r>
      <w:r>
        <w:rPr>
          <w:iCs/>
          <w:rFonts w:ascii="Calibri" w:hAnsi="Calibri" w:eastAsia="Calibri"/>
          <w:i/>
          <w:sz w:val="18"/>
        </w:rPr>
        <w:t>Sheaves, Cosheaves and Applications</w:t>
      </w:r>
      <w:r>
        <w:rPr>
          <w:rFonts w:ascii="Calibri" w:hAnsi="Calibri" w:eastAsia="Calibri"/>
          <w:sz w:val="18"/>
        </w:rPr>
        <w:t>. Ph.D. thesis, University of Pennsylvania (2014). https://arxiv.org/abs/1303.3255</w:t>
      </w:r>
    </w:p>
    <w:p>
      <w:pPr>
        <w:numPr>
          <w:ilvl w:val="0"/>
          <w:numId w:val="1008"/>
        </w:numPr>
        <w:pStyle w:val="Compact"/>
        <w:spacing w:after="80" w:line="240" w:lineRule="auto"/>
      </w:pPr>
      <w:r>
        <w:rPr>
          <w:rFonts w:ascii="Calibri" w:hAnsi="Calibri" w:eastAsia="Calibri"/>
          <w:sz w:val="18"/>
        </w:rPr>
        <w:t>Robinson, M.</w:t>
      </w:r>
      <w:r>
        <w:rPr>
          <w:rFonts w:ascii="Calibri" w:hAnsi="Calibri" w:eastAsia="Calibri"/>
          <w:sz w:val="18"/>
        </w:rPr>
        <w:t xml:space="preserve"> </w:t>
      </w:r>
      <w:r>
        <w:rPr>
          <w:iCs/>
          <w:rFonts w:ascii="Calibri" w:hAnsi="Calibri" w:eastAsia="Calibri"/>
          <w:i/>
          <w:sz w:val="18"/>
        </w:rPr>
        <w:t>Topological Signal Processing</w:t>
      </w:r>
      <w:r>
        <w:rPr>
          <w:rFonts w:ascii="Calibri" w:hAnsi="Calibri" w:eastAsia="Calibri"/>
          <w:sz w:val="18"/>
        </w:rPr>
        <w:t>. Springer (2014). https://doi.org/10.1007/978-3-642-36104-3</w:t>
      </w:r>
    </w:p>
    <w:p>
      <w:pPr>
        <w:numPr>
          <w:ilvl w:val="0"/>
          <w:numId w:val="1008"/>
        </w:numPr>
        <w:pStyle w:val="Compact"/>
        <w:spacing w:after="80" w:line="240" w:lineRule="auto"/>
      </w:pPr>
      <w:r>
        <w:rPr>
          <w:rFonts w:ascii="Calibri" w:hAnsi="Calibri" w:eastAsia="Calibri"/>
          <w:sz w:val="18"/>
        </w:rPr>
        <w:t>Hansen, J., and Ghrist, R.</w:t>
      </w:r>
      <w:r>
        <w:rPr>
          <w:rFonts w:ascii="Calibri" w:hAnsi="Calibri" w:eastAsia="Calibri"/>
          <w:sz w:val="18"/>
        </w:rPr>
        <w:t xml:space="preserve"> </w:t>
      </w:r>
      <w:r>
        <w:rPr>
          <w:rFonts w:ascii="Calibri" w:hAnsi="Calibri" w:eastAsia="Calibri"/>
          <w:sz w:val="18"/>
        </w:rPr>
        <w:t>"</w:t>
      </w:r>
      <w:r>
        <w:rPr>
          <w:rFonts w:ascii="Calibri" w:hAnsi="Calibri" w:eastAsia="Calibri"/>
          <w:sz w:val="18"/>
        </w:rPr>
        <w:t>Toward a Spectral Theory of Cellular Sheaves.</w:t>
      </w:r>
      <w:r>
        <w:rPr>
          <w:rFonts w:ascii="Calibri" w:hAnsi="Calibri" w:eastAsia="Calibri"/>
          <w:sz w:val="18"/>
        </w:rPr>
        <w:t>"</w:t>
      </w:r>
      <w:r>
        <w:rPr>
          <w:rFonts w:ascii="Calibri" w:hAnsi="Calibri" w:eastAsia="Calibri"/>
          <w:sz w:val="18"/>
        </w:rPr>
        <w:t xml:space="preserve"> </w:t>
      </w:r>
      <w:r>
        <w:rPr>
          <w:iCs/>
          <w:rFonts w:ascii="Calibri" w:hAnsi="Calibri" w:eastAsia="Calibri"/>
          <w:i/>
          <w:sz w:val="18"/>
        </w:rPr>
        <w:t>Journal of Applied and Computational Topology</w:t>
      </w:r>
      <w:r>
        <w:rPr>
          <w:rFonts w:ascii="Calibri" w:hAnsi="Calibri" w:eastAsia="Calibri"/>
          <w:sz w:val="18"/>
        </w:rPr>
        <w:t xml:space="preserve"> </w:t>
      </w:r>
      <w:r>
        <w:rPr>
          <w:rFonts w:ascii="Calibri" w:hAnsi="Calibri" w:eastAsia="Calibri"/>
          <w:sz w:val="18"/>
        </w:rPr>
        <w:t>3, 315-358 (2019). https://doi.org/10.1007/s41468-019-00038-7</w:t>
      </w:r>
    </w:p>
    <w:p>
      <w:pPr>
        <w:numPr>
          <w:ilvl w:val="0"/>
          <w:numId w:val="1008"/>
        </w:numPr>
        <w:pStyle w:val="Compact"/>
        <w:spacing w:after="80" w:line="240" w:lineRule="auto"/>
      </w:pPr>
      <w:r>
        <w:rPr>
          <w:rFonts w:ascii="Calibri" w:hAnsi="Calibri" w:eastAsia="Calibri"/>
          <w:sz w:val="18"/>
        </w:rPr>
        <w:t>Hansen, J., and Gebhart, T.</w:t>
      </w:r>
      <w:r>
        <w:rPr>
          <w:rFonts w:ascii="Calibri" w:hAnsi="Calibri" w:eastAsia="Calibri"/>
          <w:sz w:val="18"/>
        </w:rPr>
        <w:t xml:space="preserve"> </w:t>
      </w:r>
      <w:r>
        <w:rPr>
          <w:rFonts w:ascii="Calibri" w:hAnsi="Calibri" w:eastAsia="Calibri"/>
          <w:sz w:val="18"/>
        </w:rPr>
        <w:t>"</w:t>
      </w:r>
      <w:r>
        <w:rPr>
          <w:rFonts w:ascii="Calibri" w:hAnsi="Calibri" w:eastAsia="Calibri"/>
          <w:sz w:val="18"/>
        </w:rPr>
        <w:t>Sheaf Neural Networks.</w:t>
      </w:r>
      <w:r>
        <w:rPr>
          <w:rFonts w:ascii="Calibri" w:hAnsi="Calibri" w:eastAsia="Calibri"/>
          <w:sz w:val="18"/>
        </w:rPr>
        <w:t>"</w:t>
      </w:r>
      <w:r>
        <w:rPr>
          <w:rFonts w:ascii="Calibri" w:hAnsi="Calibri" w:eastAsia="Calibri"/>
          <w:sz w:val="18"/>
        </w:rPr>
        <w:t xml:space="preserve"> </w:t>
      </w:r>
      <w:r>
        <w:rPr>
          <w:rFonts w:ascii="Calibri" w:hAnsi="Calibri" w:eastAsia="Calibri"/>
          <w:sz w:val="18"/>
        </w:rPr>
        <w:t>NeurIPS 2020 Workshop on Topological Data Analysis and Beyond (2020). https://arxiv.org/abs/2012.06333</w:t>
      </w:r>
    </w:p>
    <w:p>
      <w:pPr>
        <w:numPr>
          <w:ilvl w:val="0"/>
          <w:numId w:val="1008"/>
        </w:numPr>
        <w:pStyle w:val="Compact"/>
        <w:spacing w:after="80" w:line="240" w:lineRule="auto"/>
      </w:pPr>
      <w:r>
        <w:rPr>
          <w:rFonts w:ascii="Calibri" w:hAnsi="Calibri" w:eastAsia="Calibri"/>
          <w:sz w:val="18"/>
        </w:rPr>
        <w:t>Bodnar, C., Di Giovanni, F., Chamberlain, B. P., Liò, P., and Bronstein, M. M.</w:t>
      </w:r>
      <w:r>
        <w:rPr>
          <w:rFonts w:ascii="Calibri" w:hAnsi="Calibri" w:eastAsia="Calibri"/>
          <w:sz w:val="18"/>
        </w:rPr>
        <w:t xml:space="preserve"> </w:t>
      </w:r>
      <w:r>
        <w:rPr>
          <w:rFonts w:ascii="Calibri" w:hAnsi="Calibri" w:eastAsia="Calibri"/>
          <w:sz w:val="18"/>
        </w:rPr>
        <w:t>"</w:t>
      </w:r>
      <w:r>
        <w:rPr>
          <w:rFonts w:ascii="Calibri" w:hAnsi="Calibri" w:eastAsia="Calibri"/>
          <w:sz w:val="18"/>
        </w:rPr>
        <w:t>Neural Sheaf Diffusion: A Topological Perspective on Heterophily and Oversmoothing in GNNs.</w:t>
      </w:r>
      <w:r>
        <w:rPr>
          <w:rFonts w:ascii="Calibri" w:hAnsi="Calibri" w:eastAsia="Calibri"/>
          <w:sz w:val="18"/>
        </w:rPr>
        <w:t>"</w:t>
      </w:r>
      <w:r>
        <w:rPr>
          <w:rFonts w:ascii="Calibri" w:hAnsi="Calibri" w:eastAsia="Calibri"/>
          <w:sz w:val="18"/>
        </w:rPr>
        <w:t xml:space="preserve"> </w:t>
      </w:r>
      <w:r>
        <w:rPr>
          <w:iCs/>
          <w:rFonts w:ascii="Calibri" w:hAnsi="Calibri" w:eastAsia="Calibri"/>
          <w:i/>
          <w:sz w:val="18"/>
        </w:rPr>
        <w:t>Advances in Neural Information Processing Systems</w:t>
      </w:r>
      <w:r>
        <w:rPr>
          <w:rFonts w:ascii="Calibri" w:hAnsi="Calibri" w:eastAsia="Calibri"/>
          <w:sz w:val="18"/>
        </w:rPr>
        <w:t xml:space="preserve"> </w:t>
      </w:r>
      <w:r>
        <w:rPr>
          <w:rFonts w:ascii="Calibri" w:hAnsi="Calibri" w:eastAsia="Calibri"/>
          <w:sz w:val="18"/>
        </w:rPr>
        <w:t>35, 18527-18541 (2022). https://proceedings.neurips.cc/paper_files/paper/2022/hash/75c45fca2aa416ada062b26cc4fb7641-Abstract-Conference.html</w:t>
      </w:r>
    </w:p>
    <w:p>
      <w:pPr>
        <w:numPr>
          <w:ilvl w:val="0"/>
          <w:numId w:val="1008"/>
        </w:numPr>
        <w:pStyle w:val="Compact"/>
        <w:spacing w:after="80" w:line="240" w:lineRule="auto"/>
      </w:pPr>
      <w:r>
        <w:rPr>
          <w:rFonts w:ascii="Calibri" w:hAnsi="Calibri" w:eastAsia="Calibri"/>
          <w:sz w:val="18"/>
        </w:rPr>
        <w:t>Zomorodian, A., and Carlsson, G.</w:t>
      </w:r>
      <w:r>
        <w:rPr>
          <w:rFonts w:ascii="Calibri" w:hAnsi="Calibri" w:eastAsia="Calibri"/>
          <w:sz w:val="18"/>
        </w:rPr>
        <w:t xml:space="preserve"> </w:t>
      </w:r>
      <w:r>
        <w:rPr>
          <w:rFonts w:ascii="Calibri" w:hAnsi="Calibri" w:eastAsia="Calibri"/>
          <w:sz w:val="18"/>
        </w:rPr>
        <w:t>"</w:t>
      </w:r>
      <w:r>
        <w:rPr>
          <w:rFonts w:ascii="Calibri" w:hAnsi="Calibri" w:eastAsia="Calibri"/>
          <w:sz w:val="18"/>
        </w:rPr>
        <w:t>Computing Persistent Homology.</w:t>
      </w:r>
      <w:r>
        <w:rPr>
          <w:rFonts w:ascii="Calibri" w:hAnsi="Calibri" w:eastAsia="Calibri"/>
          <w:sz w:val="18"/>
        </w:rPr>
        <w:t>"</w:t>
      </w:r>
      <w:r>
        <w:rPr>
          <w:rFonts w:ascii="Calibri" w:hAnsi="Calibri" w:eastAsia="Calibri"/>
          <w:sz w:val="18"/>
        </w:rPr>
        <w:t xml:space="preserve"> </w:t>
      </w:r>
      <w:r>
        <w:rPr>
          <w:iCs/>
          <w:rFonts w:ascii="Calibri" w:hAnsi="Calibri" w:eastAsia="Calibri"/>
          <w:i/>
          <w:sz w:val="18"/>
        </w:rPr>
        <w:t>Discrete &amp; Computational Geometry</w:t>
      </w:r>
      <w:r>
        <w:rPr>
          <w:rFonts w:ascii="Calibri" w:hAnsi="Calibri" w:eastAsia="Calibri"/>
          <w:sz w:val="18"/>
        </w:rPr>
        <w:t xml:space="preserve"> </w:t>
      </w:r>
      <w:r>
        <w:rPr>
          <w:rFonts w:ascii="Calibri" w:hAnsi="Calibri" w:eastAsia="Calibri"/>
          <w:sz w:val="18"/>
        </w:rPr>
        <w:t>33, 249-274 (2005). https://doi.org/10.1007/s00454-004-1146-y</w:t>
      </w:r>
    </w:p>
    <w:p>
      <w:pPr>
        <w:numPr>
          <w:ilvl w:val="0"/>
          <w:numId w:val="1008"/>
        </w:numPr>
        <w:pStyle w:val="Compact"/>
        <w:spacing w:after="80" w:line="240" w:lineRule="auto"/>
      </w:pPr>
      <w:r>
        <w:rPr>
          <w:rFonts w:ascii="Calibri" w:hAnsi="Calibri" w:eastAsia="Calibri"/>
          <w:sz w:val="18"/>
        </w:rPr>
        <w:t>Cohen, T. S., and Welling, M.</w:t>
      </w:r>
      <w:r>
        <w:rPr>
          <w:rFonts w:ascii="Calibri" w:hAnsi="Calibri" w:eastAsia="Calibri"/>
          <w:sz w:val="18"/>
        </w:rPr>
        <w:t xml:space="preserve"> </w:t>
      </w:r>
      <w:r>
        <w:rPr>
          <w:rFonts w:ascii="Calibri" w:hAnsi="Calibri" w:eastAsia="Calibri"/>
          <w:sz w:val="18"/>
        </w:rPr>
        <w:t>"</w:t>
      </w:r>
      <w:r>
        <w:rPr>
          <w:rFonts w:ascii="Calibri" w:hAnsi="Calibri" w:eastAsia="Calibri"/>
          <w:sz w:val="18"/>
        </w:rPr>
        <w:t>Group Equivariant Convolutional Networks.</w:t>
      </w:r>
      <w:r>
        <w:rPr>
          <w:rFonts w:ascii="Calibri" w:hAnsi="Calibri" w:eastAsia="Calibri"/>
          <w:sz w:val="18"/>
        </w:rPr>
        <w:t>"</w:t>
      </w:r>
      <w:r>
        <w:rPr>
          <w:rFonts w:ascii="Calibri" w:hAnsi="Calibri" w:eastAsia="Calibri"/>
          <w:sz w:val="18"/>
        </w:rPr>
        <w:t xml:space="preserve"> </w:t>
      </w:r>
      <w:r>
        <w:rPr>
          <w:iCs/>
          <w:rFonts w:ascii="Calibri" w:hAnsi="Calibri" w:eastAsia="Calibri"/>
          <w:i/>
          <w:sz w:val="18"/>
        </w:rPr>
        <w:t>Proceedings of ICML</w:t>
      </w:r>
      <w:r>
        <w:rPr>
          <w:rFonts w:ascii="Calibri" w:hAnsi="Calibri" w:eastAsia="Calibri"/>
          <w:sz w:val="18"/>
        </w:rPr>
        <w:t>, 2990-2999 (2016). https://proceedings.mlr.press/v48/cohenc16.html</w:t>
      </w:r>
    </w:p>
    <w:p>
      <w:pPr>
        <w:numPr>
          <w:ilvl w:val="0"/>
          <w:numId w:val="1008"/>
        </w:numPr>
        <w:pStyle w:val="Compact"/>
        <w:spacing w:after="80" w:line="240" w:lineRule="auto"/>
      </w:pPr>
      <w:r>
        <w:rPr>
          <w:rFonts w:ascii="Calibri" w:hAnsi="Calibri" w:eastAsia="Calibri"/>
          <w:sz w:val="18"/>
        </w:rPr>
        <w:t>Hatcher, A.</w:t>
      </w:r>
      <w:r>
        <w:rPr>
          <w:rFonts w:ascii="Calibri" w:hAnsi="Calibri" w:eastAsia="Calibri"/>
          <w:sz w:val="18"/>
        </w:rPr>
        <w:t xml:space="preserve"> </w:t>
      </w:r>
      <w:r>
        <w:rPr>
          <w:iCs/>
          <w:rFonts w:ascii="Calibri" w:hAnsi="Calibri" w:eastAsia="Calibri"/>
          <w:i/>
          <w:sz w:val="18"/>
        </w:rPr>
        <w:t>Algebraic Topology</w:t>
      </w:r>
      <w:r>
        <w:rPr>
          <w:rFonts w:ascii="Calibri" w:hAnsi="Calibri" w:eastAsia="Calibri"/>
          <w:sz w:val="18"/>
        </w:rPr>
        <w:t>. Cambridge University Press (2002). https://pi.math.cornell.edu/~hatcher/AT/AT.pdf</w:t>
      </w:r>
    </w:p>
    <w:p>
      <w:pPr>
        <w:numPr>
          <w:ilvl w:val="0"/>
          <w:numId w:val="1008"/>
        </w:numPr>
        <w:pStyle w:val="Compact"/>
        <w:spacing w:after="80" w:line="240" w:lineRule="auto"/>
      </w:pPr>
      <w:r>
        <w:rPr>
          <w:rFonts w:ascii="Calibri" w:hAnsi="Calibri" w:eastAsia="Calibri"/>
          <w:sz w:val="18"/>
        </w:rPr>
        <w:t>Brown, K. S.</w:t>
      </w:r>
      <w:r>
        <w:rPr>
          <w:rFonts w:ascii="Calibri" w:hAnsi="Calibri" w:eastAsia="Calibri"/>
          <w:sz w:val="18"/>
        </w:rPr>
        <w:t xml:space="preserve"> </w:t>
      </w:r>
      <w:r>
        <w:rPr>
          <w:iCs/>
          <w:rFonts w:ascii="Calibri" w:hAnsi="Calibri" w:eastAsia="Calibri"/>
          <w:i/>
          <w:sz w:val="18"/>
        </w:rPr>
        <w:t>Cohomology of Groups</w:t>
      </w:r>
      <w:r>
        <w:rPr>
          <w:rFonts w:ascii="Calibri" w:hAnsi="Calibri" w:eastAsia="Calibri"/>
          <w:sz w:val="18"/>
        </w:rPr>
        <w:t>. Springer (1982). https://doi.org/10.1007/978-1-4684-9327-6</w:t>
      </w:r>
    </w:p>
    <w:p>
      <w:pPr>
        <w:numPr>
          <w:ilvl w:val="0"/>
          <w:numId w:val="1008"/>
        </w:numPr>
        <w:pStyle w:val="Compact"/>
        <w:spacing w:after="80" w:line="240" w:lineRule="auto"/>
      </w:pPr>
      <w:r>
        <w:rPr>
          <w:rFonts w:ascii="Calibri" w:hAnsi="Calibri" w:eastAsia="Calibri"/>
          <w:sz w:val="18"/>
        </w:rPr>
        <w:t>Serre, J.-P.</w:t>
      </w:r>
      <w:r>
        <w:rPr>
          <w:rFonts w:ascii="Calibri" w:hAnsi="Calibri" w:eastAsia="Calibri"/>
          <w:sz w:val="18"/>
        </w:rPr>
        <w:t xml:space="preserve"> </w:t>
      </w:r>
      <w:r>
        <w:rPr>
          <w:iCs/>
          <w:rFonts w:ascii="Calibri" w:hAnsi="Calibri" w:eastAsia="Calibri"/>
          <w:i/>
          <w:sz w:val="18"/>
        </w:rPr>
        <w:t>Linear Representations of Finite Groups</w:t>
      </w:r>
      <w:r>
        <w:rPr>
          <w:rFonts w:ascii="Calibri" w:hAnsi="Calibri" w:eastAsia="Calibri"/>
          <w:sz w:val="18"/>
        </w:rPr>
        <w:t>. Springer (1977). https://doi.org/10.1007/978-1-4684-9458-7</w:t>
      </w:r>
    </w:p>
    <w:bookmarkEnd w:id="79"/>
    <w:sectPr>
      <w:headerReference w:type="default" r:id="rId9"/>
      <w:footerReference w:type="default" r:id="rId10"/>
      <w:footerReference w:type="first" r:id="rId11"/>
      <w:pgSz w:w="12240" w:h="15840"/>
      <w:pgMar w:top="1440" w:bottom="1440" w:left="1440" w:right="1440" w:header="708" w:footer="70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C636E"/>
        <w:sz w:val="18"/>
      </w:rPr>
      <w:t xml:space="preserve">Page </w:t>
    </w:r>
    <w:fldSimple w:instr="PAGE">
      <w:r>
        <w:rPr>
          <w:color w:val="5C636E"/>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C636E"/>
        <w:sz w:val="18"/>
      </w:rPr>
      <w:t xml:space="preserve">Page </w:t>
    </w:r>
    <w:fldSimple w:instr="PAGE">
      <w:r>
        <w:rPr>
          <w:color w:val="5C636E"/>
          <w:sz w:val="18"/>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5C636E"/>
        <w:sz w:val="17"/>
      </w:rPr>
      <w:t>FORGETTING IS A SUBGROUP  |  DRAFT MANUSCRIPT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60" w:line="320" w:lineRule="auto"/>
      <w:jc w:val="both"/>
    </w:pPr>
    <w:rPr>
      <w:rFonts w:ascii="Calibri" w:hAnsi="Calibri"/>
      <w:color w:val="000000"/>
      <w:sz w:val="22"/>
    </w:rPr>
  </w:style>
  <w:style w:styleId="BodyText" w:type="paragraph">
    <w:name w:val="Body Text"/>
    <w:basedOn w:val="Normal"/>
    <w:link w:val="BodyTextChar"/>
    <w:pPr>
      <w:widowControl/>
      <w:spacing w:after="160" w:before="0" w:line="320" w:lineRule="auto"/>
      <w:jc w:val="both"/>
    </w:pPr>
    <w:qFormat/>
    <w:rPr>
      <w:rFonts w:ascii="Calibri" w:hAnsi="Calibri"/>
      <w:color w:val="000000"/>
      <w:sz w:val="22"/>
    </w:rPr>
  </w:style>
  <w:style w:customStyle="1" w:styleId="FirstParagraph" w:type="paragraph">
    <w:name w:val="First Paragraph"/>
    <w:basedOn w:val="BodyText"/>
    <w:next w:val="BodyText"/>
    <w:qFormat/>
    <w:pPr>
      <w:widowControl/>
      <w:spacing w:before="0" w:after="160" w:line="320" w:lineRule="auto"/>
      <w:jc w:val="both"/>
    </w:pPr>
    <w:rPr>
      <w:rFonts w:ascii="Calibri" w:hAnsi="Calibri"/>
      <w:color w:val="000000"/>
      <w:sz w:val="22"/>
    </w:rPr>
  </w:style>
  <w:style w:customStyle="1" w:styleId="Compact" w:type="paragraph">
    <w:name w:val="Compact"/>
    <w:basedOn w:val="BodyText"/>
    <w:qFormat/>
    <w:pPr>
      <w:widowControl/>
      <w:spacing w:after="80" w:before="0" w:line="290" w:lineRule="auto"/>
    </w:pPr>
    <w:rPr>
      <w:rFonts w:ascii="Calibri" w:hAnsi="Calibri"/>
      <w:color w:val="000000"/>
      <w:sz w:val="21"/>
    </w:rPr>
  </w:style>
  <w:style w:styleId="Title" w:type="paragraph">
    <w:name w:val="Title"/>
    <w:basedOn w:val="Normal"/>
    <w:next w:val="BodyText"/>
    <w:qFormat/>
    <w:pPr>
      <w:keepNext/>
      <w:keepLines/>
      <w:spacing w:after="240" w:before="360"/>
      <w:jc w:val="center"/>
    </w:pPr>
    <w:rPr>
      <w:rFonts w:asciiTheme="majorHAnsi" w:cstheme="majorBidi" w:eastAsiaTheme="majorEastAsia" w:hAnsiTheme="majorHAnsi" w:ascii="Calibri" w:hAnsi="Calibri"/>
      <w:b/>
      <w:bCs/>
      <w:color w:val="0B2545"/>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after="80"/>
      <w:jc w:val="center"/>
    </w:pPr>
    <w:rPr>
      <w:rFonts w:ascii="Calibri" w:hAnsi="Calibri"/>
      <w:b/>
      <w:color w:val="1F4D78"/>
      <w:sz w:val="23"/>
    </w:rPr>
  </w:style>
  <w:style w:styleId="Date" w:type="paragraph">
    <w:name w:val="Date"/>
    <w:next w:val="BodyText"/>
    <w:qFormat/>
    <w:pPr>
      <w:keepNext/>
      <w:keepLines/>
      <w:spacing w:after="360"/>
      <w:jc w:val="center"/>
    </w:pPr>
    <w:rPr>
      <w:rFonts w:ascii="Calibri" w:hAnsi="Calibri"/>
      <w:b w:val="0"/>
      <w:color w:val="5C636E"/>
      <w:sz w:val="19"/>
    </w:rPr>
  </w:style>
  <w:style w:customStyle="1" w:styleId="AbstractTitle" w:type="paragraph">
    <w:name w:val="Abstract Title"/>
    <w:basedOn w:val="Normal"/>
    <w:next w:val="Abstract"/>
    <w:qFormat/>
    <w:pPr>
      <w:keepNext/>
      <w:keepLines/>
      <w:jc w:val="center"/>
      <w:spacing w:after="100" w:before="160"/>
    </w:pPr>
    <w:rPr>
      <w:color w:val="1F4D78"/>
      <w:sz w:val="26"/>
      <w:szCs w:val="20"/>
      <w:rFonts w:ascii="Calibri" w:hAnsi="Calibri"/>
      <w:b/>
    </w:rPr>
  </w:style>
  <w:style w:customStyle="1" w:styleId="Abstract" w:type="paragraph">
    <w:name w:val="Abstract"/>
    <w:basedOn w:val="Normal"/>
    <w:next w:val="BodyText"/>
    <w:qFormat/>
    <w:pPr>
      <w:keepNext/>
      <w:keepLines/>
      <w:spacing w:after="120" w:before="100" w:line="276" w:lineRule="auto"/>
      <w:jc w:val="both"/>
    </w:pPr>
    <w:rPr>
      <w:rFonts w:ascii="Calibri" w:hAnsi="Calibri"/>
      <w:color w:val="232323"/>
      <w:sz w:val="19"/>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360"/>
      <w:outlineLvl w:val="0"/>
    </w:pPr>
    <w:rPr>
      <w:rFonts w:asciiTheme="majorHAnsi" w:cstheme="majorBidi" w:eastAsiaTheme="majorEastAsia" w:hAnsiTheme="majorHAnsi" w:ascii="Calibri" w:hAnsi="Calibri"/>
      <w:b/>
      <w:bCs/>
      <w:color w:val="2E74B5"/>
      <w:sz w:val="32"/>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Calibri" w:hAnsi="Calibri"/>
      <w:b/>
      <w:bCs/>
      <w:color w:val="2E74B5"/>
      <w:sz w:val="26"/>
      <w:szCs w:val="28"/>
    </w:rPr>
  </w:style>
  <w:style w:styleId="Heading3" w:type="paragraph">
    <w:name w:val="Heading 3"/>
    <w:basedOn w:val="Normal"/>
    <w:next w:val="BodyText"/>
    <w:uiPriority w:val="9"/>
    <w:unhideWhenUsed/>
    <w:qFormat/>
    <w:pPr>
      <w:keepNext/>
      <w:keepLines/>
      <w:spacing w:after="80" w:before="160"/>
      <w:outlineLvl w:val="2"/>
    </w:pPr>
    <w:rPr>
      <w:rFonts w:asciiTheme="majorHAnsi" w:cstheme="majorBidi" w:eastAsiaTheme="majorEastAsia" w:hAnsiTheme="majorHAnsi" w:ascii="Calibri" w:hAnsi="Calibr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keepNext w:val="0"/>
      <w:keepLines/>
      <w:spacing w:before="80" w:after="180"/>
      <w:jc w:val="center"/>
    </w:pPr>
    <w:rPr>
      <w:rFonts w:ascii="Calibri" w:hAnsi="Calibri"/>
      <w:i/>
      <w:color w:val="5C636E"/>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60" Type="http://schemas.openxmlformats.org/officeDocument/2006/relationships/image" Target="media/rId60.png"/><Relationship Id="rId51" Type="http://schemas.openxmlformats.org/officeDocument/2006/relationships/image" Target="media/rId51.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Forgetting Is a Subgroup: Coset Registers and Finite-by-Unipotent Recurrent Memory</dc:title>
  <dc:creator>Debi Prasad Ghosh</dc:creator>
  <cp:keywords>recurrent memory; subgroup; coset register; cellular sheaf; lifting obstruction</cp:keywords>
  <dcterms:created xsi:type="dcterms:W3CDTF">2026-08-28T09:45:22Z</dcterms:created>
  <dcterms:modified xsi:type="dcterms:W3CDTF">2026-08-28T09:45:22Z</dcterms:modified>
  <dc:subject>Subgroup-valued forgetting, cellular sheaves, and recurrent memory</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Recurrent models must decide which distinctions between histories to preserve. In standard architectures that decision is implicit in a compressed hidden state, so it cannot be inspected, transferred, or changed without retraining. We make forgetting an explicit algebraic object. Transitions over a semantic graph generate a path groupoid; after choosing a base object, a learned finite quotient \Gamma fixes which composite routes count as equal. A learned orthogonal representation \tau:\Gamma\to O(d) transports features, while memory is a right-updated left-coset register J\gamma_t\in J\backslash\Gamma. The subgroup J is the forgetting policy. The associated covering graph need not be materialized: its cellular cochain complex is isomorphic to the base complex with stalks tensored by \mathbb{R}[J\backslash\Gamma] and edge maps \rho_e\otimes P_J(g_e), giving work linear, rather than quadratic, in sheet count. An implicit reconciliation layer uses L_J+\mu I, so forward inference and adjoint credit assignment solve with the same sparse self-adjoint operator. Granularity cannot in general be learned as the stabilizer of a continuously optimized task vector: under a faithful finite-group action, nontrivial stabilizers occur only on a measure-zero union of fixed subspaces. We instead select J by closure-aware task risk on the subgroup lattice. Any nested chain has at most \lfloor\log_2[\Gamma:J_0]\rfloor strict refinements, but admissible granularities form a lattice rather than a single chain. Our central theorem is negative and exact: for a finite m-sheeted cover, normalized pullback is an isometry onto a reducing subspace of the pulled-back sheaf Laplacian and commutes with the connecting morphism. Consequently, finite refinement conserves the harmonic norm of every inherited lifting obstruction; branching cannot repair an inherited interpretation, only supersede it with a section unavailable at coarser granularity. Maschke splitting shows that a nonzero obstruction requires the middle extension to escape the common finite quotient of its endpoints. On the circle this escaping component is the unipotent block of an iterate of the monodromy, yielding polynomial rather than exponential accumulation. Exact S_3 experiments recover the legal branching state counts 6\to3\to1 and 6\to2\to1, expose the impossibility of the often-assumed chain 6\to3\to2\to1, verify zero-shot subgroup switching with transport frozen, and numerically confirm obstruction conservation on covers. The proposal is a structured memory-transport subsystem, not a claim about an entire nonlinear network or a specific cortical mechanism.</vt:lpwstr>
  </property>
  <property fmtid="{D5CDD505-2E9C-101B-9397-08002B2CF9AE}" pid="3" name="date">
    <vt:lpwstr>Draft manuscript — August 2026</vt:lpwstr>
  </property>
</Properties>
</file>