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40"/>
        <w:jc w:val="center"/>
      </w:pPr>
      <w:r>
        <w:rPr>
          <w:rFonts w:ascii="Aptos Display" w:hAnsi="Aptos Display" w:eastAsia="Aptos Display"/>
          <w:b/>
          <w:i w:val="0"/>
          <w:color w:val="163752"/>
          <w:sz w:val="50"/>
        </w:rPr>
        <w:t>Grid Modules as Symmetry-Broken Motion-Group Orbits</w:t>
      </w:r>
    </w:p>
    <w:p>
      <w:pPr>
        <w:spacing w:after="600"/>
        <w:jc w:val="center"/>
      </w:pPr>
      <w:r>
        <w:rPr>
          <w:rFonts w:ascii="Aptos" w:hAnsi="Aptos" w:eastAsia="Aptos"/>
          <w:b w:val="0"/>
          <w:i w:val="0"/>
          <w:color w:val="2A5B7E"/>
          <w:sz w:val="26"/>
        </w:rPr>
        <w:t>From SE(2) covariance to frequency shells, finite directional frames, and relative position codes</w:t>
      </w:r>
    </w:p>
    <w:p>
      <w:pPr>
        <w:spacing w:after="80"/>
        <w:jc w:val="center"/>
      </w:pPr>
      <w:r>
        <w:rPr>
          <w:rFonts w:ascii="Aptos" w:hAnsi="Aptos" w:eastAsia="Aptos"/>
          <w:b/>
          <w:color w:val="181F26"/>
          <w:sz w:val="24"/>
        </w:rPr>
        <w:t>Debiprasad Ghosh</w:t>
      </w:r>
    </w:p>
    <w:p>
      <w:pPr>
        <w:spacing w:after="40"/>
        <w:jc w:val="center"/>
      </w:pPr>
      <w:r>
        <w:rPr>
          <w:rFonts w:ascii="Aptos" w:hAnsi="Aptos" w:eastAsia="Aptos"/>
          <w:color w:val="5A636C"/>
          <w:sz w:val="21"/>
        </w:rPr>
        <w:t>Debias Parametric Guru, Kolkata, India</w:t>
      </w:r>
    </w:p>
    <w:p>
      <w:pPr>
        <w:spacing w:after="720"/>
        <w:jc w:val="center"/>
      </w:pPr>
      <w:r>
        <w:rPr>
          <w:rFonts w:ascii="Aptos" w:hAnsi="Aptos" w:eastAsia="Aptos"/>
          <w:color w:val="5A636C"/>
          <w:sz w:val="20"/>
        </w:rPr>
        <w:t>28 August 2026</w:t>
      </w:r>
    </w:p>
    <w:p>
      <w:pPr>
        <w:ind w:left="936" w:right="936"/>
        <w:jc w:val="center"/>
      </w:pPr>
      <w:r>
        <w:rPr>
          <w:rFonts w:ascii="Aptos" w:hAnsi="Aptos" w:eastAsia="Aptos"/>
          <w:i/>
          <w:color w:val="5A636C"/>
          <w:sz w:val="19"/>
        </w:rPr>
        <w:t>Theory preprint. The paper derives constraints and provides numerical consistency checks; it does not claim a new biological mechanism or a completed benchmark against Mixed RoPE.</w:t>
      </w:r>
    </w:p>
    <w:p>
      <w:r/>
    </w:p>
    <w:p>
      <w:pPr>
        <w:spacing w:after="100"/>
      </w:pPr>
      <w:r>
        <w:rPr>
          <w:rFonts w:ascii="Aptos Display" w:hAnsi="Aptos Display" w:eastAsia="Aptos Display"/>
          <w:b/>
          <w:i w:val="0"/>
          <w:color w:val="163752"/>
          <w:sz w:val="28"/>
        </w:rPr>
        <w:t>Abstract</w:t>
      </w:r>
    </w:p>
    <w:p>
      <w:pPr>
        <w:spacing w:after="180"/>
        <w:ind w:left="259" w:right="259"/>
      </w:pPr>
      <w:r>
        <w:t>For any unitary representation π: G → U(V), inner products between group-encoded states depend on the relative element: ⟨π(g)q, π(h)k⟩ = ⟨q, π(g⁻¹h)k⟩. Rotary position embedding is an efficient translation-group instance, while group-equivariant attention is established for more general groups. This paper asks what the same principle implies for biological spatial codes when G is the group SE(2) of embodied planar motion. For translations, g⁻¹h is allocentric displacement. For SE(2), it is displacement rotated into the first agent's frame together with relative heading, providing a precise representation-theoretic distinction between allocentric and egocentric relative coding. The nontrivial unitary irreducible representations of SE(2) are induced from translation characters whose rotational orbits are circles of fixed spatial-frequency radius and are realized on L²(S¹). Restriction to translations therefore produces equal-magnitude plane-wave components, and rotationally invariant weighting of one orbit has an isotropic second moment. We propose that a grid module can be interpreted as a finite, lattice-compatible, symmetry-broken sample of one such orbit, not as an exact finite-dimensional SE(2) irrep. The parent orbit supplies common within-module scale and isotropy; real finite codes retain conjugate directions; crystallographic compatibility restricts discrete rotational orders; and separate positivity, precision, and packing arguments are still required to select hexagonal over square organization. We derive a finite steerable-shell relative encoding, relate toroidal attractor translation to rotary action in the Fourier basis, and numerically quantify how finite directional banks approximate the continuous isotropic Bessel kernel. The contribution is a derivation and cross-domain mapping, not a claim that relative group attention or grid-cell group representations are new.</w:t>
      </w:r>
    </w:p>
    <w:p>
      <w:pPr>
        <w:ind w:left="259"/>
        <w:pBdr>
          <w:bottom w:val="single" w:sz="4" w:space="5" w:color="CAD6DE"/>
        </w:pBdr>
      </w:pPr>
      <w:r>
        <w:rPr>
          <w:rFonts w:ascii="Aptos" w:hAnsi="Aptos" w:eastAsia="Aptos"/>
          <w:b/>
          <w:color w:val="163752"/>
          <w:sz w:val="19"/>
        </w:rPr>
        <w:t xml:space="preserve">Keywords: </w:t>
      </w:r>
      <w:r>
        <w:rPr>
          <w:rFonts w:ascii="Aptos" w:hAnsi="Aptos" w:eastAsia="Aptos"/>
          <w:color w:val="5A636C"/>
          <w:sz w:val="19"/>
        </w:rPr>
        <w:t>grid cells; SE(2); unitary representation; induced representation; symmetry breaking; rotary position embedding; equivariant attention; frequency shell; allocentric; egocentric</w:t>
      </w:r>
    </w:p>
    <w:p>
      <w:pPr>
        <w:pStyle w:val="Heading1"/>
      </w:pPr>
      <w:r>
        <w:t>1. Introduction</w:t>
      </w:r>
    </w:p>
    <w:p>
      <w:r>
        <w:t>Grid cells in medial entorhinal cortex fire at multiple locations arranged approximately on a triangular lattice, and cells are organized into modules with shared scale and orientation [1–3]. Their population activity can exhibit a toroidal manifold consistent with continuous-attractor dynamics [4]. A large theoretical literature explains grid-like patterns using oscillatory interference, attractor dynamics, efficient coding, path-integration objectives, conformal metrics, nonnegativity, and packing [5–10]. Recent work has also formulated path integration as a group representation and shown that biological and functional constraints can favor modular hexagonal codes [8,9].</w:t>
      </w:r>
    </w:p>
    <w:p>
      <w:r>
        <w:t>In machine learning, rotary position embedding (RoPE) applies position-dependent unitary rotations to queries and keys so that attention depends on relative displacement [11]. Group-equivariant attention, Lie-group attention, and irrep-based geometric transformers are established beyond translations [12–15]. It would therefore be too strong to claim that grid cells 'implement RoPE,' or that using a motion group in attention is a new architecture. The useful question is narrower: can the representation theory of embodied planar motion derive some constraints that grid-cell models usually impose separately?</w:t>
      </w:r>
    </w:p>
    <w:p>
      <w:r>
        <w:t>The group of planar rigid motions is SE(2) = R² semidirect SO(2). Its nonzero-momentum unitary irreducible representations are induced from circular orbits in the dual of the translation subgroup. One irrep has one orbit radius. When restricted to translations, it contains plane waves whose wavevectors have that common magnitude and whose directions sweep the circle. Rotationally invariant weighting yields isotropy. These facts suggest a parent object for a grid module: a fixed-radius motion-group orbit, later reduced to a finite directional set by biological resources and lattice compatibility.</w:t>
      </w:r>
    </w:p>
    <w:p>
      <w:r>
        <w:t>This is a symmetry-breaking account, not an identification. Nontrivial SE(2) irreps are infinite dimensional, whereas a finite neural population or embedding bank is not. A grid module is periodic under a translation lattice and has only finite rotational symmetry. The claim is therefore that finite modules inherit scale and second-moment constraints from an SE(2) parent orbit while breaking its continuous rotational symmetry. Hexagonality is not obtained from covariance alone; square and hexagonal tight frames both exist. The remaining choice must come from other objectives already studied in the literature.</w:t>
      </w:r>
    </w:p>
    <w:p>
      <w:pPr>
        <w:pStyle w:val="Heading2"/>
      </w:pPr>
      <w:r>
        <w:t>1.1 Contributions and non-claims</w:t>
      </w:r>
    </w:p>
    <w:p>
      <w:pPr>
        <w:pStyle w:val="ListBullet"/>
        <w:spacing w:after="60" w:line="269" w:lineRule="auto"/>
        <w:ind w:left="605" w:hanging="288"/>
      </w:pPr>
      <w:r>
        <w:t>A clean relative-coordinate result: R² encodes allocentric displacement, whereas SE(2) encodes egocentric displacement plus relative heading.</w:t>
      </w:r>
    </w:p>
    <w:p>
      <w:pPr>
        <w:pStyle w:val="ListBullet"/>
        <w:spacing w:after="60" w:line="269" w:lineRule="auto"/>
        <w:ind w:left="605" w:hanging="288"/>
      </w:pPr>
      <w:r>
        <w:t>A derivation of equal within-module spatial frequency and parent isotropy from a single induced SE(2) representation orbit.</w:t>
      </w:r>
    </w:p>
    <w:p>
      <w:pPr>
        <w:pStyle w:val="ListBullet"/>
        <w:spacing w:after="60" w:line="269" w:lineRule="auto"/>
        <w:ind w:left="605" w:hanging="288"/>
      </w:pPr>
      <w:r>
        <w:t>A finite symmetry-breaking interpretation connecting continuous circular momentum orbits to conjugate directional stars and lattice-compatible grid codes.</w:t>
      </w:r>
    </w:p>
    <w:p>
      <w:pPr>
        <w:pStyle w:val="ListBullet"/>
        <w:spacing w:after="60" w:line="269" w:lineRule="auto"/>
        <w:ind w:left="605" w:hanging="288"/>
      </w:pPr>
      <w:r>
        <w:t>A proposition showing that translation of a toroidal attractor is rotary in its Fourier basis.</w:t>
      </w:r>
    </w:p>
    <w:p>
      <w:pPr>
        <w:pStyle w:val="ListBullet"/>
        <w:spacing w:after="60" w:line="269" w:lineRule="auto"/>
        <w:ind w:left="605" w:hanging="288"/>
      </w:pPr>
      <w:r>
        <w:t>A finite steerable-shell encoding that exposes the approximation cost of truncating L²(S¹).</w:t>
      </w:r>
    </w:p>
    <w:p>
      <w:pPr>
        <w:pStyle w:val="ListBullet"/>
        <w:spacing w:after="60" w:line="269" w:lineRule="auto"/>
        <w:ind w:left="605" w:hanging="288"/>
      </w:pPr>
      <w:r>
        <w:t>Numerical checks of isotropic-kernel approximation as the number of retained orbit directions increases.</w:t>
      </w:r>
    </w:p>
    <w:p>
      <w:r>
        <w:t>We do not claim that group-equivariant attention, translation representations of grid cells, Fourier plane-wave models, or the benefits of hexagonal packing are new. We also do not claim that covariance alone selects sixfold symmetry, that the brain implements the specific finite encoding proposed here, or that an ML benchmark has been completed.</w:t>
      </w:r>
    </w:p>
    <w:p>
      <w:pPr>
        <w:pStyle w:val="Heading1"/>
      </w:pPr>
      <w:r>
        <w:t>2. Relative Group Encoding</w:t>
      </w:r>
    </w:p>
    <w:p>
      <w:pPr>
        <w:pStyle w:val="Heading2"/>
      </w:pPr>
      <w:r>
        <w:t>2.1 The general identity</w:t>
      </w:r>
    </w:p>
    <w:p>
      <w:pPr>
        <w:pStyle w:val="Theorem"/>
        <w:shd w:fill="EAF1F6"/>
      </w:pPr>
      <w:r>
        <w:rPr>
          <w:rFonts w:ascii="Aptos" w:hAnsi="Aptos" w:eastAsia="Aptos"/>
          <w:b/>
          <w:color w:val="163752"/>
        </w:rPr>
        <w:t xml:space="preserve">Proposition 1 (relative element in an invariant inner product). </w:t>
      </w:r>
      <w:r>
        <w:t>Let π: G → U(V) be a unitary representation on a real or complex inner-product space. Then for all g,h ∈ G and q,k ∈ V, ⟨π(g)q, π(h)k⟩ = ⟨q, π(g⁻¹h)k⟩.</w:t>
      </w:r>
    </w:p>
    <w:p>
      <w:r>
        <w:t>Proof. Unitarity gives π(g)* = π(g)⁻¹ = π(g⁻¹). Move π(g) from the first argument to the second and use the homomorphism property. □</w:t>
      </w:r>
    </w:p>
    <w:p>
      <w:r>
        <w:t>The identity is not specific to SE(2) and is not itself the novelty of RoPE. RoPE's practical contribution is a cheap block-diagonal parameterization for an abelian translation group: position-dependent angles can be folded into queries and keys in linear time. For a nonabelian group, the same relative-element identity remains valid, but an efficient finite representation may require directional channels, harmonics, or approximate equivariance.</w:t>
      </w:r>
    </w:p>
    <w:p>
      <w:pPr>
        <w:pStyle w:val="Heading2"/>
      </w:pPr>
      <w:r>
        <w:t>2.2 Allocentric and egocentric relative coordinates</w:t>
      </w:r>
    </w:p>
    <w:p>
      <w:r>
        <w:t>Write g = (x(g), θ(g)), with x(g) ∈ R² and θ(g) ∈ S¹. The SE(2) group law and inverse are:</w:t>
      </w:r>
    </w:p>
    <w:p>
      <w:pPr>
        <w:pStyle w:val="Equation"/>
      </w:pPr>
      <w:r>
        <w:t>(x,θ)(y,φ) = (x + R(θ)y, θ + φ),      (x,θ)⁻¹ = (−R(−θ)x, −θ)</w:t>
      </w:r>
    </w:p>
    <w:p>
      <w:pPr>
        <w:pStyle w:val="Equation"/>
      </w:pPr>
      <w:r>
        <w:t>g⁻¹h = (R(−θ(g))(x(h) − x(g)), θ(h) − θ(g))</w:t>
      </w:r>
    </w:p>
    <w:p>
      <w:r>
        <w:t>For the translation group, the relative element is simply x(h) − x(g), a displacement expressed in the fixed environmental frame. For SE(2), the displacement is rotated into the first pose's frame and is accompanied by relative heading. The choice of group is therefore the choice of relative coordinate system:</w:t>
      </w:r>
    </w:p>
    <w:tbl>
      <w:tblPr>
        <w:tblStyle w:val="TableGrid"/>
        <w:tblW w:type="dxa" w:w="9360"/>
        <w:jc w:val="center"/>
        <w:tblLayout w:type="fixed"/>
        <w:tblLook w:firstColumn="1" w:firstRow="1" w:lastColumn="0" w:lastRow="0" w:noHBand="0" w:noVBand="1" w:val="04A0"/>
        <w:tblInd w:w="120" w:type="dxa"/>
      </w:tblPr>
      <w:tblGrid>
        <w:gridCol w:w="1700"/>
        <w:gridCol w:w="3700"/>
        <w:gridCol w:w="3960"/>
      </w:tblGrid>
      <w:tr>
        <w:trPr>
          <w:tblHeader w:val="true"/>
          <w:cantSplit/>
        </w:trPr>
        <w:tc>
          <w:tcPr>
            <w:tcW w:type="dxa" w:w="1700"/>
            <w:shd w:fill="DDE8EF"/>
            <w:vAlign w:val="center"/>
          </w:tcPr>
          <w:p>
            <w:pPr>
              <w:jc w:val="left"/>
            </w:pPr>
            <w:r>
              <w:rPr>
                <w:rFonts w:ascii="Aptos" w:hAnsi="Aptos" w:eastAsia="Aptos"/>
                <w:b/>
                <w:color w:val="163752"/>
                <w:sz w:val="17"/>
              </w:rPr>
              <w:t>Group</w:t>
            </w:r>
          </w:p>
        </w:tc>
        <w:tc>
          <w:tcPr>
            <w:tcW w:type="dxa" w:w="3700"/>
            <w:shd w:fill="DDE8EF"/>
            <w:vAlign w:val="center"/>
          </w:tcPr>
          <w:p>
            <w:pPr>
              <w:jc w:val="left"/>
            </w:pPr>
            <w:r>
              <w:rPr>
                <w:rFonts w:ascii="Aptos" w:hAnsi="Aptos" w:eastAsia="Aptos"/>
                <w:b/>
                <w:color w:val="163752"/>
                <w:sz w:val="17"/>
              </w:rPr>
              <w:t>Relative element</w:t>
            </w:r>
          </w:p>
        </w:tc>
        <w:tc>
          <w:tcPr>
            <w:tcW w:type="dxa" w:w="3960"/>
            <w:shd w:fill="DDE8EF"/>
            <w:vAlign w:val="center"/>
          </w:tcPr>
          <w:p>
            <w:pPr>
              <w:jc w:val="left"/>
            </w:pPr>
            <w:r>
              <w:rPr>
                <w:rFonts w:ascii="Aptos" w:hAnsi="Aptos" w:eastAsia="Aptos"/>
                <w:b/>
                <w:color w:val="163752"/>
                <w:sz w:val="17"/>
              </w:rPr>
              <w:t>Coding interpretation</w:t>
            </w:r>
          </w:p>
        </w:tc>
      </w:tr>
      <w:tr>
        <w:trPr>
          <w:cantSplit/>
        </w:trPr>
        <w:tc>
          <w:tcPr>
            <w:tcW w:type="dxa" w:w="1700"/>
            <w:vAlign w:val="center"/>
          </w:tcPr>
          <w:p>
            <w:pPr>
              <w:spacing w:after="20"/>
            </w:pPr>
            <w:r>
              <w:rPr>
                <w:rFonts w:ascii="Aptos" w:hAnsi="Aptos" w:eastAsia="Aptos"/>
                <w:color w:val="181F26"/>
                <w:sz w:val="17"/>
              </w:rPr>
              <w:t>(R²,+)</w:t>
            </w:r>
          </w:p>
        </w:tc>
        <w:tc>
          <w:tcPr>
            <w:tcW w:type="dxa" w:w="3700"/>
            <w:vAlign w:val="center"/>
          </w:tcPr>
          <w:p>
            <w:pPr>
              <w:spacing w:after="20"/>
            </w:pPr>
            <w:r>
              <w:rPr>
                <w:rFonts w:ascii="Aptos" w:hAnsi="Aptos" w:eastAsia="Aptos"/>
                <w:color w:val="181F26"/>
                <w:sz w:val="17"/>
              </w:rPr>
              <w:t>x(h) − x(g)</w:t>
            </w:r>
          </w:p>
        </w:tc>
        <w:tc>
          <w:tcPr>
            <w:tcW w:type="dxa" w:w="3960"/>
            <w:vAlign w:val="center"/>
          </w:tcPr>
          <w:p>
            <w:pPr>
              <w:spacing w:after="20"/>
            </w:pPr>
            <w:r>
              <w:rPr>
                <w:rFonts w:ascii="Aptos" w:hAnsi="Aptos" w:eastAsia="Aptos"/>
                <w:color w:val="181F26"/>
                <w:sz w:val="17"/>
              </w:rPr>
              <w:t>Allocentric displacement</w:t>
            </w:r>
          </w:p>
        </w:tc>
      </w:tr>
      <w:tr>
        <w:trPr>
          <w:cantSplit/>
        </w:trPr>
        <w:tc>
          <w:tcPr>
            <w:tcW w:type="dxa" w:w="1700"/>
            <w:vAlign w:val="center"/>
          </w:tcPr>
          <w:p>
            <w:pPr>
              <w:spacing w:after="20"/>
            </w:pPr>
            <w:r>
              <w:rPr>
                <w:rFonts w:ascii="Aptos" w:hAnsi="Aptos" w:eastAsia="Aptos"/>
                <w:color w:val="181F26"/>
                <w:sz w:val="17"/>
              </w:rPr>
              <w:t>SE(2)</w:t>
            </w:r>
          </w:p>
        </w:tc>
        <w:tc>
          <w:tcPr>
            <w:tcW w:type="dxa" w:w="3700"/>
            <w:vAlign w:val="center"/>
          </w:tcPr>
          <w:p>
            <w:pPr>
              <w:spacing w:after="20"/>
            </w:pPr>
            <w:r>
              <w:rPr>
                <w:rFonts w:ascii="Aptos" w:hAnsi="Aptos" w:eastAsia="Aptos"/>
                <w:color w:val="181F26"/>
                <w:sz w:val="17"/>
              </w:rPr>
              <w:t>R(−θ(g))(x(h) − x(g)), Δθ</w:t>
            </w:r>
          </w:p>
        </w:tc>
        <w:tc>
          <w:tcPr>
            <w:tcW w:type="dxa" w:w="3960"/>
            <w:vAlign w:val="center"/>
          </w:tcPr>
          <w:p>
            <w:pPr>
              <w:spacing w:after="20"/>
            </w:pPr>
            <w:r>
              <w:rPr>
                <w:rFonts w:ascii="Aptos" w:hAnsi="Aptos" w:eastAsia="Aptos"/>
                <w:color w:val="181F26"/>
                <w:sz w:val="17"/>
              </w:rPr>
              <w:t>Egocentric displacement plus relative heading</w:t>
            </w:r>
          </w:p>
        </w:tc>
      </w:tr>
    </w:tbl>
    <w:p>
      <w:pPr>
        <w:spacing w:after="20"/>
      </w:pPr>
    </w:p>
    <w:p>
      <w:r>
        <w:t>This mapping is biologically testable at the level of representational content. Allocentric spatial codes are associated with medial entorhinal and hippocampal systems, while egocentric boundary and movement-related codes are prominent in retrosplenial, parietal, and postrhinal circuits [16–19]. The anatomical division is not absolute, and mixed selectivity is common. The representation-theoretic result should therefore motivate comparative decoding of the two relative coordinates, not a one-region/one-group identity.</w:t>
      </w:r>
    </w:p>
    <w:p>
      <w:pPr>
        <w:pStyle w:val="Heading1"/>
      </w:pPr>
      <w:r>
        <w:t>3. Unitary Representations of SE(2)</w:t>
      </w:r>
    </w:p>
    <w:p>
      <w:pPr>
        <w:pStyle w:val="Heading2"/>
      </w:pPr>
      <w:r>
        <w:t>3.1 Circular momentum orbits</w:t>
      </w:r>
    </w:p>
    <w:p>
      <w:r>
        <w:t>The translation subgroup N = R² is normal and abelian. Its unitary characters are χₚ(x) = exp(i p·x), indexed by p ∈ R². Rotations act on the dual by p ↦ R(θ)p. Nonzero orbits are circles |p| = κ. Mackey induction associates to each radius κ &gt; 0 a nontrivial irreducible representation on L²(S¹), up to conventions and stabilizer labels [20–22]. One convenient convention is:</w:t>
      </w:r>
    </w:p>
    <w:p>
      <w:pPr>
        <w:pStyle w:val="Equation"/>
      </w:pPr>
      <w:r>
        <w:t>(πκ(x,θ)f)(φ) = exp(i κ x·u(φ)) f(φ − θ),      u(φ) = (cosφ, sinφ)</w:t>
      </w:r>
    </w:p>
    <w:p>
      <w:r>
        <w:t>The formula satisfies the SE(2) group law. Translation multiplies each angular channel by a phase whose wavevector is κu(φ); rotation shifts the angular argument. Restricting πκ to translations therefore reveals a continuum of characters on a single frequency circle. Distinct κ label distinct spatial-frequency shells.</w:t>
      </w:r>
    </w:p>
    <w:p>
      <w:pPr>
        <w:pStyle w:val="Heading2"/>
      </w:pPr>
      <w:r>
        <w:t>3.2 Equal magnitude and isotropic second moment</w:t>
      </w:r>
    </w:p>
    <w:p>
      <w:pPr>
        <w:pStyle w:val="Theorem"/>
        <w:shd w:fill="EAF1F6"/>
      </w:pPr>
      <w:r>
        <w:rPr>
          <w:rFonts w:ascii="Aptos" w:hAnsi="Aptos" w:eastAsia="Aptos"/>
          <w:b/>
          <w:color w:val="163752"/>
        </w:rPr>
        <w:t xml:space="preserve">Proposition 2 (shell constraints). </w:t>
      </w:r>
      <w:r>
        <w:t>For one nonzero SE(2) orbit of radius κ, every translation character has wavevector magnitude κ. Under uniform angular measure, the second moment is isotropic: ∫₀²π κ²u(φ)u(φ)ᵀ dφ/(2π) = (κ²/2)I.</w:t>
      </w:r>
    </w:p>
    <w:p>
      <w:r>
        <w:t>The first statement is the definition of the orbit. The second follows by integrating cos²φ and sin²φ to 1/2 and the cross term sinφ cosφ to zero. Thus a single orbit supplies both common scale and a parent tight-frame condition. In the path-integration models of Gao et al. and the actionable-representation framework of Dorrell et al. [8,9], group structure and isotropic scaling are explicit constraints or consequences of optimization. The orbit view organizes them as two faces of one embodied-motion representation.</w:t>
      </w:r>
    </w:p>
    <w:p>
      <w:pPr>
        <w:pStyle w:val="Equation"/>
      </w:pPr>
      <w:r>
        <w:t>Σⱼ kⱼ kⱼᵀ = cI</w:t>
      </w:r>
    </w:p>
    <w:p>
      <w:r>
        <w:t>A finite set of retained directions approximates the integral. Uniform full-circle samples satisfy the second-moment identity exactly for many N, but exact second-moment isotropy is weaker than full rotational equivariance. Higher angular moments and kernels still reveal the finite symmetry. This distinction prevents a tight frame from being mistaken for an exact finite-dimensional SE(2) irrep.</w:t>
      </w:r>
    </w:p>
    <w:p>
      <w:pPr>
        <w:pStyle w:val="Heading1"/>
      </w:pPr>
      <w:r>
        <w:t>4. Symmetry Breaking to a Grid Module</w:t>
      </w:r>
    </w:p>
    <w:p>
      <w:pPr>
        <w:pStyle w:val="Heading2"/>
      </w:pPr>
      <w:r>
        <w:t>4.1 From continuum to a directional star</w:t>
      </w:r>
    </w:p>
    <w:p>
      <w:r>
        <w:t>A biological or computational implementation retains finitely many angular channels φⱼ. For a real-valued code, complex plane waves occur in conjugate pairs ±kⱼ. Three unoriented axes therefore produce six directed wavevectors, the familiar reciprocal-lattice star of a triangular spatial lattice. Two orthogonal axes produce four directed wavevectors and a square lattice. Both can satisfy the second-moment tight-frame condition.</w:t>
      </w:r>
    </w:p>
    <w:p>
      <w:r>
        <w:t>If the finite direction set must be preserved by a rotation subgroup that also preserves a two-dimensional lattice, the crystallographic restriction theorem permits rotational orders 1, 2, 3, 4, and 6. This narrows the admissible symmetry-breaking patterns but does not choose order six. Sixfold organization can be favored by densest packing, coding precision, nonnegativity, or objectives over pairwise position discrimination [6,8,9]. Those arguments remain necessary and should be cited rather than absorbed into SE(2) covariance.</w:t>
      </w:r>
    </w:p>
    <w:p>
      <w:pPr>
        <w:pStyle w:val="Heading2"/>
      </w:pPr>
      <w:r>
        <w:t>4.2 Modules as radii</w:t>
      </w:r>
    </w:p>
    <w:p>
      <w:r>
        <w:t>One orbit radius κ produces one spatial scale λ proportional to 2π/κ, modified by the geometry of the selected reciprocal lattice. Multiple modules correspond naturally to a direct sum or mixture of representations with different radii. This does not derive the experimentally observed scale ratio between modules [2]; it explains why within-module common scale and between-module scale diversity are structurally compatible. A separate optimization or developmental mechanism is needed to select the radii and their ratios.</w:t>
      </w:r>
    </w:p>
    <w:tbl>
      <w:tblPr>
        <w:tblStyle w:val="TableGrid"/>
        <w:tblW w:type="dxa" w:w="9360"/>
        <w:jc w:val="center"/>
        <w:tblLayout w:type="fixed"/>
        <w:tblLook w:firstColumn="1" w:firstRow="1" w:lastColumn="0" w:lastRow="0" w:noHBand="0" w:noVBand="1" w:val="04A0"/>
        <w:tblInd w:w="120" w:type="dxa"/>
      </w:tblPr>
      <w:tblGrid>
        <w:gridCol w:w="2900"/>
        <w:gridCol w:w="2900"/>
        <w:gridCol w:w="3560"/>
      </w:tblGrid>
      <w:tr>
        <w:trPr>
          <w:tblHeader w:val="true"/>
          <w:cantSplit/>
        </w:trPr>
        <w:tc>
          <w:tcPr>
            <w:tcW w:type="dxa" w:w="2900"/>
            <w:shd w:fill="DDE8EF"/>
            <w:vAlign w:val="center"/>
          </w:tcPr>
          <w:p>
            <w:pPr>
              <w:jc w:val="left"/>
            </w:pPr>
            <w:r>
              <w:rPr>
                <w:rFonts w:ascii="Aptos" w:hAnsi="Aptos" w:eastAsia="Aptos"/>
                <w:b/>
                <w:color w:val="163752"/>
                <w:sz w:val="17"/>
              </w:rPr>
              <w:t>Observed/model property</w:t>
            </w:r>
          </w:p>
        </w:tc>
        <w:tc>
          <w:tcPr>
            <w:tcW w:type="dxa" w:w="2900"/>
            <w:shd w:fill="DDE8EF"/>
            <w:vAlign w:val="center"/>
          </w:tcPr>
          <w:p>
            <w:pPr>
              <w:jc w:val="left"/>
            </w:pPr>
            <w:r>
              <w:rPr>
                <w:rFonts w:ascii="Aptos" w:hAnsi="Aptos" w:eastAsia="Aptos"/>
                <w:b/>
                <w:color w:val="163752"/>
                <w:sz w:val="17"/>
              </w:rPr>
              <w:t>Orbit contribution</w:t>
            </w:r>
          </w:p>
        </w:tc>
        <w:tc>
          <w:tcPr>
            <w:tcW w:type="dxa" w:w="3560"/>
            <w:shd w:fill="DDE8EF"/>
            <w:vAlign w:val="center"/>
          </w:tcPr>
          <w:p>
            <w:pPr>
              <w:jc w:val="left"/>
            </w:pPr>
            <w:r>
              <w:rPr>
                <w:rFonts w:ascii="Aptos" w:hAnsi="Aptos" w:eastAsia="Aptos"/>
                <w:b/>
                <w:color w:val="163752"/>
                <w:sz w:val="17"/>
              </w:rPr>
              <w:t>Additional requirement</w:t>
            </w:r>
          </w:p>
        </w:tc>
      </w:tr>
      <w:tr>
        <w:trPr>
          <w:cantSplit/>
        </w:trPr>
        <w:tc>
          <w:tcPr>
            <w:tcW w:type="dxa" w:w="2900"/>
            <w:vAlign w:val="center"/>
          </w:tcPr>
          <w:p>
            <w:pPr>
              <w:spacing w:after="20"/>
            </w:pPr>
            <w:r>
              <w:rPr>
                <w:rFonts w:ascii="Aptos" w:hAnsi="Aptos" w:eastAsia="Aptos"/>
                <w:color w:val="181F26"/>
                <w:sz w:val="17"/>
              </w:rPr>
              <w:t>Common scale within a module</w:t>
            </w:r>
          </w:p>
        </w:tc>
        <w:tc>
          <w:tcPr>
            <w:tcW w:type="dxa" w:w="2900"/>
            <w:vAlign w:val="center"/>
          </w:tcPr>
          <w:p>
            <w:pPr>
              <w:spacing w:after="20"/>
            </w:pPr>
            <w:r>
              <w:rPr>
                <w:rFonts w:ascii="Aptos" w:hAnsi="Aptos" w:eastAsia="Aptos"/>
                <w:color w:val="181F26"/>
                <w:sz w:val="17"/>
              </w:rPr>
              <w:t>Single radius κ</w:t>
            </w:r>
          </w:p>
        </w:tc>
        <w:tc>
          <w:tcPr>
            <w:tcW w:type="dxa" w:w="3560"/>
            <w:vAlign w:val="center"/>
          </w:tcPr>
          <w:p>
            <w:pPr>
              <w:spacing w:after="20"/>
            </w:pPr>
            <w:r>
              <w:rPr>
                <w:rFonts w:ascii="Aptos" w:hAnsi="Aptos" w:eastAsia="Aptos"/>
                <w:color w:val="181F26"/>
                <w:sz w:val="17"/>
              </w:rPr>
              <w:t>Stable shell selection</w:t>
            </w:r>
          </w:p>
        </w:tc>
      </w:tr>
      <w:tr>
        <w:trPr>
          <w:cantSplit/>
        </w:trPr>
        <w:tc>
          <w:tcPr>
            <w:tcW w:type="dxa" w:w="2900"/>
            <w:vAlign w:val="center"/>
          </w:tcPr>
          <w:p>
            <w:pPr>
              <w:spacing w:after="20"/>
            </w:pPr>
            <w:r>
              <w:rPr>
                <w:rFonts w:ascii="Aptos" w:hAnsi="Aptos" w:eastAsia="Aptos"/>
                <w:color w:val="181F26"/>
                <w:sz w:val="17"/>
              </w:rPr>
              <w:t>Isotropic local metric</w:t>
            </w:r>
          </w:p>
        </w:tc>
        <w:tc>
          <w:tcPr>
            <w:tcW w:type="dxa" w:w="2900"/>
            <w:vAlign w:val="center"/>
          </w:tcPr>
          <w:p>
            <w:pPr>
              <w:spacing w:after="20"/>
            </w:pPr>
            <w:r>
              <w:rPr>
                <w:rFonts w:ascii="Aptos" w:hAnsi="Aptos" w:eastAsia="Aptos"/>
                <w:color w:val="181F26"/>
                <w:sz w:val="17"/>
              </w:rPr>
              <w:t>Uniform parent orbit / tight second moment</w:t>
            </w:r>
          </w:p>
        </w:tc>
        <w:tc>
          <w:tcPr>
            <w:tcW w:type="dxa" w:w="3560"/>
            <w:vAlign w:val="center"/>
          </w:tcPr>
          <w:p>
            <w:pPr>
              <w:spacing w:after="20"/>
            </w:pPr>
            <w:r>
              <w:rPr>
                <w:rFonts w:ascii="Aptos" w:hAnsi="Aptos" w:eastAsia="Aptos"/>
                <w:color w:val="181F26"/>
                <w:sz w:val="17"/>
              </w:rPr>
              <w:t>Sufficient phase coverage</w:t>
            </w:r>
          </w:p>
        </w:tc>
      </w:tr>
      <w:tr>
        <w:trPr>
          <w:cantSplit/>
        </w:trPr>
        <w:tc>
          <w:tcPr>
            <w:tcW w:type="dxa" w:w="2900"/>
            <w:vAlign w:val="center"/>
          </w:tcPr>
          <w:p>
            <w:pPr>
              <w:spacing w:after="20"/>
            </w:pPr>
            <w:r>
              <w:rPr>
                <w:rFonts w:ascii="Aptos" w:hAnsi="Aptos" w:eastAsia="Aptos"/>
                <w:color w:val="181F26"/>
                <w:sz w:val="17"/>
              </w:rPr>
              <w:t>Finite directional set</w:t>
            </w:r>
          </w:p>
        </w:tc>
        <w:tc>
          <w:tcPr>
            <w:tcW w:type="dxa" w:w="2900"/>
            <w:vAlign w:val="center"/>
          </w:tcPr>
          <w:p>
            <w:pPr>
              <w:spacing w:after="20"/>
            </w:pPr>
            <w:r>
              <w:rPr>
                <w:rFonts w:ascii="Aptos" w:hAnsi="Aptos" w:eastAsia="Aptos"/>
                <w:color w:val="181F26"/>
                <w:sz w:val="17"/>
              </w:rPr>
              <w:t>Truncation of S¹</w:t>
            </w:r>
          </w:p>
        </w:tc>
        <w:tc>
          <w:tcPr>
            <w:tcW w:type="dxa" w:w="3560"/>
            <w:vAlign w:val="center"/>
          </w:tcPr>
          <w:p>
            <w:pPr>
              <w:spacing w:after="20"/>
            </w:pPr>
            <w:r>
              <w:rPr>
                <w:rFonts w:ascii="Aptos" w:hAnsi="Aptos" w:eastAsia="Aptos"/>
                <w:color w:val="181F26"/>
                <w:sz w:val="17"/>
              </w:rPr>
              <w:t>Resource and symmetry breaking</w:t>
            </w:r>
          </w:p>
        </w:tc>
      </w:tr>
      <w:tr>
        <w:trPr>
          <w:cantSplit/>
        </w:trPr>
        <w:tc>
          <w:tcPr>
            <w:tcW w:type="dxa" w:w="2900"/>
            <w:vAlign w:val="center"/>
          </w:tcPr>
          <w:p>
            <w:pPr>
              <w:spacing w:after="20"/>
            </w:pPr>
            <w:r>
              <w:rPr>
                <w:rFonts w:ascii="Aptos" w:hAnsi="Aptos" w:eastAsia="Aptos"/>
                <w:color w:val="181F26"/>
                <w:sz w:val="17"/>
              </w:rPr>
              <w:t>Hexagonal lattice</w:t>
            </w:r>
          </w:p>
        </w:tc>
        <w:tc>
          <w:tcPr>
            <w:tcW w:type="dxa" w:w="2900"/>
            <w:vAlign w:val="center"/>
          </w:tcPr>
          <w:p>
            <w:pPr>
              <w:spacing w:after="20"/>
            </w:pPr>
            <w:r>
              <w:rPr>
                <w:rFonts w:ascii="Aptos" w:hAnsi="Aptos" w:eastAsia="Aptos"/>
                <w:color w:val="181F26"/>
                <w:sz w:val="17"/>
              </w:rPr>
              <w:t>Allows order-six star</w:t>
            </w:r>
          </w:p>
        </w:tc>
        <w:tc>
          <w:tcPr>
            <w:tcW w:type="dxa" w:w="3560"/>
            <w:vAlign w:val="center"/>
          </w:tcPr>
          <w:p>
            <w:pPr>
              <w:spacing w:after="20"/>
            </w:pPr>
            <w:r>
              <w:rPr>
                <w:rFonts w:ascii="Aptos" w:hAnsi="Aptos" w:eastAsia="Aptos"/>
                <w:color w:val="181F26"/>
                <w:sz w:val="17"/>
              </w:rPr>
              <w:t>Packing, positivity, or precision objective</w:t>
            </w:r>
          </w:p>
        </w:tc>
      </w:tr>
      <w:tr>
        <w:trPr>
          <w:cantSplit/>
        </w:trPr>
        <w:tc>
          <w:tcPr>
            <w:tcW w:type="dxa" w:w="2900"/>
            <w:vAlign w:val="center"/>
          </w:tcPr>
          <w:p>
            <w:pPr>
              <w:spacing w:after="20"/>
            </w:pPr>
            <w:r>
              <w:rPr>
                <w:rFonts w:ascii="Aptos" w:hAnsi="Aptos" w:eastAsia="Aptos"/>
                <w:color w:val="181F26"/>
                <w:sz w:val="17"/>
              </w:rPr>
              <w:t>Multiple modules</w:t>
            </w:r>
          </w:p>
        </w:tc>
        <w:tc>
          <w:tcPr>
            <w:tcW w:type="dxa" w:w="2900"/>
            <w:vAlign w:val="center"/>
          </w:tcPr>
          <w:p>
            <w:pPr>
              <w:spacing w:after="20"/>
            </w:pPr>
            <w:r>
              <w:rPr>
                <w:rFonts w:ascii="Aptos" w:hAnsi="Aptos" w:eastAsia="Aptos"/>
                <w:color w:val="181F26"/>
                <w:sz w:val="17"/>
              </w:rPr>
              <w:t>Direct sum over κ</w:t>
            </w:r>
          </w:p>
        </w:tc>
        <w:tc>
          <w:tcPr>
            <w:tcW w:type="dxa" w:w="3560"/>
            <w:vAlign w:val="center"/>
          </w:tcPr>
          <w:p>
            <w:pPr>
              <w:spacing w:after="20"/>
            </w:pPr>
            <w:r>
              <w:rPr>
                <w:rFonts w:ascii="Aptos" w:hAnsi="Aptos" w:eastAsia="Aptos"/>
                <w:color w:val="181F26"/>
                <w:sz w:val="17"/>
              </w:rPr>
              <w:t>Radius-selection mechanism</w:t>
            </w:r>
          </w:p>
        </w:tc>
      </w:tr>
      <w:tr>
        <w:trPr>
          <w:cantSplit/>
        </w:trPr>
        <w:tc>
          <w:tcPr>
            <w:tcW w:type="dxa" w:w="2900"/>
            <w:vAlign w:val="center"/>
          </w:tcPr>
          <w:p>
            <w:pPr>
              <w:spacing w:after="20"/>
            </w:pPr>
            <w:r>
              <w:rPr>
                <w:rFonts w:ascii="Aptos" w:hAnsi="Aptos" w:eastAsia="Aptos"/>
                <w:color w:val="181F26"/>
                <w:sz w:val="17"/>
              </w:rPr>
              <w:t>Boundary distortion</w:t>
            </w:r>
          </w:p>
        </w:tc>
        <w:tc>
          <w:tcPr>
            <w:tcW w:type="dxa" w:w="2900"/>
            <w:vAlign w:val="center"/>
          </w:tcPr>
          <w:p>
            <w:pPr>
              <w:spacing w:after="20"/>
            </w:pPr>
            <w:r>
              <w:rPr>
                <w:rFonts w:ascii="Aptos" w:hAnsi="Aptos" w:eastAsia="Aptos"/>
                <w:color w:val="181F26"/>
                <w:sz w:val="17"/>
              </w:rPr>
              <w:t>Broken global SE(2) symmetry</w:t>
            </w:r>
          </w:p>
        </w:tc>
        <w:tc>
          <w:tcPr>
            <w:tcW w:type="dxa" w:w="3560"/>
            <w:vAlign w:val="center"/>
          </w:tcPr>
          <w:p>
            <w:pPr>
              <w:spacing w:after="20"/>
            </w:pPr>
            <w:r>
              <w:rPr>
                <w:rFonts w:ascii="Aptos" w:hAnsi="Aptos" w:eastAsia="Aptos"/>
                <w:color w:val="181F26"/>
                <w:sz w:val="17"/>
              </w:rPr>
              <w:t>Environment-dependent local model</w:t>
            </w:r>
          </w:p>
        </w:tc>
      </w:tr>
    </w:tbl>
    <w:p>
      <w:pPr>
        <w:spacing w:after="20"/>
      </w:pPr>
    </w:p>
    <w:p>
      <w:pPr>
        <w:pStyle w:val="Heading1"/>
      </w:pPr>
      <w:r>
        <w:t>5. Toroidal Attractors Are Rotary in Fourier Coordinates</w:t>
      </w:r>
    </w:p>
    <w:p>
      <w:r>
        <w:t>Let a grid-module population state be a function a on a two-torus T² = R²/Λ, with translation action (τₓ a)(u) = a(u − x). Expand a in Fourier modes indexed by the reciprocal lattice Λ*:</w:t>
      </w:r>
    </w:p>
    <w:p>
      <w:pPr>
        <w:pStyle w:val="Equation"/>
      </w:pPr>
      <w:r>
        <w:t>a(u) = Σ(k∈Λ*) âₖ exp(i k·u)</w:t>
      </w:r>
    </w:p>
    <w:p>
      <w:pPr>
        <w:pStyle w:val="Theorem"/>
        <w:shd w:fill="EAF1F6"/>
      </w:pPr>
      <w:r>
        <w:rPr>
          <w:rFonts w:ascii="Aptos" w:hAnsi="Aptos" w:eastAsia="Aptos"/>
          <w:b/>
          <w:color w:val="163752"/>
        </w:rPr>
        <w:t xml:space="preserve">Proposition 3 (Fourier rotary action). </w:t>
      </w:r>
      <w:r>
        <w:t>Under translation by x, the Fourier coefficient âₖ transforms as âₖ ↦ exp(−i k·x) âₖ. In a real sine–cosine basis, each conjugate pair ±k is a two-dimensional rotation through angle k·x.</w:t>
      </w:r>
    </w:p>
    <w:p>
      <w:r>
        <w:t>Proof. Substitute u − x into the Fourier expansion. The factor exp(−ik·x) multiplies each mode. Splitting a complex coefficient into real and imaginary parts yields a planar rotation. □</w:t>
      </w:r>
    </w:p>
    <w:p>
      <w:r>
        <w:t>This proposition explains why a toroidal continuous attractor and a rotary spatial encoding can be two coordinate descriptions of the same translation action. It is a clean unifying identity, but not evidence that a biological circuit computes transformer attention. The attractor describes recurrent population dynamics; RoPE describes how relative phase enters a query–key inner product.</w:t>
      </w:r>
    </w:p>
    <w:p>
      <w:pPr>
        <w:pStyle w:val="Heading1"/>
      </w:pPr>
      <w:r>
        <w:t>6. A Finite Steerable-Shell Relative Encoding</w:t>
      </w:r>
    </w:p>
    <w:p>
      <w:r>
        <w:t>The induced representation suggests a concrete finite approximation. Allocate N angular channels per shell κ. A feature q has components qⱼ. Translation by x multiplies qⱼ by exp(iκx·uⱼ). Rotation by θ shifts the angular bank; for θ on the discrete subgroup 2πm/N this is an exact cyclic permutation, and arbitrary θ can be approximated by Fourier-domain phase shifts or interpolation. The resulting query and key transforms retain the relative-element identity exactly on the represented subgroup and approximately for continuous rotations.</w:t>
      </w:r>
    </w:p>
    <w:p>
      <w:pPr>
        <w:pStyle w:val="Equation"/>
      </w:pPr>
      <w:r>
        <w:t>[π̂κ(x,θ)q]ⱼ = exp(iκx·uⱼ) · [Sθ q]_j</w:t>
      </w:r>
    </w:p>
    <w:p>
      <w:r>
        <w:t>This differs from Mixed RoPE. Mixed RoPE for two-dimensional coordinates learns independent frequency vectors in commuting translation generators [23,24]. The shell constraint ties their magnitudes and organizes their directions as samples of a rotational orbit. It also carries an explicit heading action Sθ. LieRE and Lie-group attention provide broader learned or equivariant constructions [13,15]; the proposal here is a structured low-dimensional approximation chosen for interpretability and its biological mapping, not a claim of universal architectural superiority.</w:t>
      </w:r>
    </w:p>
    <w:p>
      <w:r>
        <w:t>For N channels and dₛ feature dimensions per shell, translation-phase application costs O(Ndₛ). Exact discrete rotations are permutations; arbitrary rotations cost O(Ndₛ log N) with FFT shifting or O(Ndₛ) with local interpolation. Approximation error depends on angular bandwidth and interpolation. The parent SE(2) irrep is infinite dimensional, so finite exact equivariance to all continuous rotations is not available under this truncation.</w:t>
      </w:r>
    </w:p>
    <w:p>
      <w:pPr>
        <w:pStyle w:val="Heading1"/>
      </w:pPr>
      <w:r>
        <w:t>7. Numerical Consistency Check: Isotropic Kernel Approximation</w:t>
      </w:r>
    </w:p>
    <w:p>
      <w:r>
        <w:t>Uniformly integrating translation characters over a full frequency circle yields the isotropic kernel J₀(κr), where r is displacement magnitude and J₀ is the Bessel function of the first kind. We approximated this integral by equally weighted directional samples and measured maximum absolute error for 0 ≤ r ≤ 10 at κ = 1. The computation is deterministic and tests only angular quadrature; it is not a learning benchmark.</w:t>
      </w:r>
    </w:p>
    <w:p>
      <w:pPr>
        <w:pStyle w:val="Equation"/>
      </w:pPr>
      <w:r>
        <w:t>J₀(κr) = (1/2π)∫₀²π exp(iκr cosφ)dφ  ≈  (1/N)Σⱼ exp(iκr cosφⱼ)</w:t>
      </w:r>
    </w:p>
    <w:p>
      <w:pPr>
        <w:keepNext/>
        <w:jc w:val="center"/>
      </w:pPr>
      <w:r/>
    </w:p>
    <w:p>
      <w:pPr>
        <w:pStyle w:val="Caption"/>
        <w:keepNext w:val="0"/>
        <w:jc w:val="center"/>
      </w:pPr>
      <w:r>
        <w:t>Figure 1. Finite frequency-shell approximation. Left: continuous isotropic Bessel kernel and selected directional banks. Right: maximum error as angular samples increase. Small banks reproduce the second moment but not all higher-order angular structure.</w:t>
      </w:r>
    </w:p>
    <w:tbl>
      <w:tblPr>
        <w:tblStyle w:val="TableGrid"/>
        <w:tblW w:type="dxa" w:w="9360"/>
        <w:jc w:val="center"/>
        <w:tblLayout w:type="fixed"/>
        <w:tblLook w:firstColumn="1" w:firstRow="1" w:lastColumn="0" w:lastRow="0" w:noHBand="0" w:noVBand="1" w:val="04A0"/>
        <w:tblInd w:w="120" w:type="dxa"/>
      </w:tblPr>
      <w:tblGrid>
        <w:gridCol w:w="4200"/>
        <w:gridCol w:w="5160"/>
      </w:tblGrid>
      <w:tr>
        <w:trPr>
          <w:tblHeader w:val="true"/>
          <w:cantSplit/>
        </w:trPr>
        <w:tc>
          <w:tcPr>
            <w:tcW w:type="dxa" w:w="4200"/>
            <w:shd w:fill="DDE8EF"/>
            <w:vAlign w:val="center"/>
          </w:tcPr>
          <w:p>
            <w:pPr>
              <w:jc w:val="left"/>
            </w:pPr>
            <w:r>
              <w:rPr>
                <w:rFonts w:ascii="Aptos" w:hAnsi="Aptos" w:eastAsia="Aptos"/>
                <w:b/>
                <w:color w:val="163752"/>
                <w:sz w:val="17"/>
              </w:rPr>
              <w:t>Retained directions N</w:t>
            </w:r>
          </w:p>
        </w:tc>
        <w:tc>
          <w:tcPr>
            <w:tcW w:type="dxa" w:w="5160"/>
            <w:shd w:fill="DDE8EF"/>
            <w:vAlign w:val="center"/>
          </w:tcPr>
          <w:p>
            <w:pPr>
              <w:jc w:val="left"/>
            </w:pPr>
            <w:r>
              <w:rPr>
                <w:rFonts w:ascii="Aptos" w:hAnsi="Aptos" w:eastAsia="Aptos"/>
                <w:b/>
                <w:color w:val="163752"/>
                <w:sz w:val="17"/>
              </w:rPr>
              <w:t>Maximum |finite shell − J₀|</w:t>
            </w:r>
          </w:p>
        </w:tc>
      </w:tr>
      <w:tr>
        <w:trPr>
          <w:cantSplit/>
        </w:trPr>
        <w:tc>
          <w:tcPr>
            <w:tcW w:type="dxa" w:w="4200"/>
            <w:vAlign w:val="center"/>
          </w:tcPr>
          <w:p>
            <w:pPr>
              <w:spacing w:after="20"/>
            </w:pPr>
            <w:r>
              <w:rPr>
                <w:rFonts w:ascii="Aptos" w:hAnsi="Aptos" w:eastAsia="Aptos"/>
                <w:color w:val="181F26"/>
                <w:sz w:val="17"/>
              </w:rPr>
              <w:t>4</w:t>
            </w:r>
          </w:p>
        </w:tc>
        <w:tc>
          <w:tcPr>
            <w:tcW w:type="dxa" w:w="5160"/>
            <w:vAlign w:val="center"/>
          </w:tcPr>
          <w:p>
            <w:pPr>
              <w:spacing w:after="20"/>
            </w:pPr>
            <w:r>
              <w:rPr>
                <w:rFonts w:ascii="Aptos" w:hAnsi="Aptos" w:eastAsia="Aptos"/>
                <w:color w:val="181F26"/>
                <w:sz w:val="17"/>
              </w:rPr>
              <w:t>0.86139</w:t>
            </w:r>
          </w:p>
        </w:tc>
      </w:tr>
      <w:tr>
        <w:trPr>
          <w:cantSplit/>
        </w:trPr>
        <w:tc>
          <w:tcPr>
            <w:tcW w:type="dxa" w:w="4200"/>
            <w:vAlign w:val="center"/>
          </w:tcPr>
          <w:p>
            <w:pPr>
              <w:spacing w:after="20"/>
            </w:pPr>
            <w:r>
              <w:rPr>
                <w:rFonts w:ascii="Aptos" w:hAnsi="Aptos" w:eastAsia="Aptos"/>
                <w:color w:val="181F26"/>
                <w:sz w:val="17"/>
              </w:rPr>
              <w:t>6</w:t>
            </w:r>
          </w:p>
        </w:tc>
        <w:tc>
          <w:tcPr>
            <w:tcW w:type="dxa" w:w="5160"/>
            <w:vAlign w:val="center"/>
          </w:tcPr>
          <w:p>
            <w:pPr>
              <w:spacing w:after="20"/>
            </w:pPr>
            <w:r>
              <w:rPr>
                <w:rFonts w:ascii="Aptos" w:hAnsi="Aptos" w:eastAsia="Aptos"/>
                <w:color w:val="181F26"/>
                <w:sz w:val="17"/>
              </w:rPr>
              <w:t>0.69815</w:t>
            </w:r>
          </w:p>
        </w:tc>
      </w:tr>
      <w:tr>
        <w:trPr>
          <w:cantSplit/>
        </w:trPr>
        <w:tc>
          <w:tcPr>
            <w:tcW w:type="dxa" w:w="4200"/>
            <w:vAlign w:val="center"/>
          </w:tcPr>
          <w:p>
            <w:pPr>
              <w:spacing w:after="20"/>
            </w:pPr>
            <w:r>
              <w:rPr>
                <w:rFonts w:ascii="Aptos" w:hAnsi="Aptos" w:eastAsia="Aptos"/>
                <w:color w:val="181F26"/>
                <w:sz w:val="17"/>
              </w:rPr>
              <w:t>8</w:t>
            </w:r>
          </w:p>
        </w:tc>
        <w:tc>
          <w:tcPr>
            <w:tcW w:type="dxa" w:w="5160"/>
            <w:vAlign w:val="center"/>
          </w:tcPr>
          <w:p>
            <w:pPr>
              <w:spacing w:after="20"/>
            </w:pPr>
            <w:r>
              <w:rPr>
                <w:rFonts w:ascii="Aptos" w:hAnsi="Aptos" w:eastAsia="Aptos"/>
                <w:color w:val="181F26"/>
                <w:sz w:val="17"/>
              </w:rPr>
              <w:t>0.65075</w:t>
            </w:r>
          </w:p>
        </w:tc>
      </w:tr>
      <w:tr>
        <w:trPr>
          <w:cantSplit/>
        </w:trPr>
        <w:tc>
          <w:tcPr>
            <w:tcW w:type="dxa" w:w="4200"/>
            <w:vAlign w:val="center"/>
          </w:tcPr>
          <w:p>
            <w:pPr>
              <w:spacing w:after="20"/>
            </w:pPr>
            <w:r>
              <w:rPr>
                <w:rFonts w:ascii="Aptos" w:hAnsi="Aptos" w:eastAsia="Aptos"/>
                <w:color w:val="181F26"/>
                <w:sz w:val="17"/>
              </w:rPr>
              <w:t>12</w:t>
            </w:r>
          </w:p>
        </w:tc>
        <w:tc>
          <w:tcPr>
            <w:tcW w:type="dxa" w:w="5160"/>
            <w:vAlign w:val="center"/>
          </w:tcPr>
          <w:p>
            <w:pPr>
              <w:spacing w:after="20"/>
            </w:pPr>
            <w:r>
              <w:rPr>
                <w:rFonts w:ascii="Aptos" w:hAnsi="Aptos" w:eastAsia="Aptos"/>
                <w:color w:val="181F26"/>
                <w:sz w:val="17"/>
              </w:rPr>
              <w:t>0.12674</w:t>
            </w:r>
          </w:p>
        </w:tc>
      </w:tr>
      <w:tr>
        <w:trPr>
          <w:cantSplit/>
        </w:trPr>
        <w:tc>
          <w:tcPr>
            <w:tcW w:type="dxa" w:w="4200"/>
            <w:vAlign w:val="center"/>
          </w:tcPr>
          <w:p>
            <w:pPr>
              <w:spacing w:after="20"/>
            </w:pPr>
            <w:r>
              <w:rPr>
                <w:rFonts w:ascii="Aptos" w:hAnsi="Aptos" w:eastAsia="Aptos"/>
                <w:color w:val="181F26"/>
                <w:sz w:val="17"/>
              </w:rPr>
              <w:t>24</w:t>
            </w:r>
          </w:p>
        </w:tc>
        <w:tc>
          <w:tcPr>
            <w:tcW w:type="dxa" w:w="5160"/>
            <w:vAlign w:val="center"/>
          </w:tcPr>
          <w:p>
            <w:pPr>
              <w:spacing w:after="20"/>
            </w:pPr>
            <w:r>
              <w:rPr>
                <w:rFonts w:ascii="Aptos" w:hAnsi="Aptos" w:eastAsia="Aptos"/>
                <w:color w:val="181F26"/>
                <w:sz w:val="17"/>
              </w:rPr>
              <w:t>0.00000</w:t>
            </w:r>
          </w:p>
        </w:tc>
      </w:tr>
    </w:tbl>
    <w:p>
      <w:pPr>
        <w:spacing w:after="20"/>
      </w:pPr>
    </w:p>
    <w:p>
      <w:r>
        <w:t>The result illustrates the precise trade. Four or six directions can provide a lattice-compatible low-order frame, but their kernels retain anisotropic higher-order signatures at larger displacement. Increasing N approaches the continuous orbit. A biological grid module may prefer a small star because periodic lattice coding is the objective; a machine-learning encoding may prefer a larger bank when approximate continuous rotation equivariance is more important than crystalline periodicity.</w:t>
      </w:r>
    </w:p>
    <w:p>
      <w:pPr>
        <w:pStyle w:val="Heading1"/>
      </w:pPr>
      <w:r>
        <w:t>8. Testable Predictions</w:t>
      </w:r>
    </w:p>
    <w:p>
      <w:pPr>
        <w:pStyle w:val="ListBullet"/>
        <w:spacing w:after="60" w:line="269" w:lineRule="auto"/>
        <w:ind w:left="605" w:hanging="288"/>
      </w:pPr>
      <w:r>
        <w:t>Within a module, frequency estimates should concentrate near a common radius more strongly than would be explained by fitting a generic collection of plane waves.</w:t>
      </w:r>
    </w:p>
    <w:p>
      <w:pPr>
        <w:pStyle w:val="ListBullet"/>
        <w:spacing w:after="60" w:line="269" w:lineRule="auto"/>
        <w:ind w:left="605" w:hanging="288"/>
      </w:pPr>
      <w:r>
        <w:t>Population-level second moments of directional wavevectors should be closer to isotropic than individual-cell maps, even when finite higher moments reveal sixfold symmetry.</w:t>
      </w:r>
    </w:p>
    <w:p>
      <w:pPr>
        <w:pStyle w:val="ListBullet"/>
        <w:spacing w:after="60" w:line="269" w:lineRule="auto"/>
        <w:ind w:left="605" w:hanging="288"/>
      </w:pPr>
      <w:r>
        <w:t>Tasks requiring egocentric displacement and relative heading should be better decoded by an SE(2) relative coordinate than by allocentric displacement alone, particularly in retrosplenial/postrhinal populations.</w:t>
      </w:r>
    </w:p>
    <w:p>
      <w:pPr>
        <w:pStyle w:val="ListBullet"/>
        <w:spacing w:after="60" w:line="269" w:lineRule="auto"/>
        <w:ind w:left="605" w:hanging="288"/>
      </w:pPr>
      <w:r>
        <w:t>Boundary-induced distortions should first appear as changes in local transition law or angular weighting, not necessarily as changes in the parent shell radius.</w:t>
      </w:r>
    </w:p>
    <w:p>
      <w:pPr>
        <w:pStyle w:val="ListBullet"/>
        <w:spacing w:after="60" w:line="269" w:lineRule="auto"/>
        <w:ind w:left="605" w:hanging="288"/>
      </w:pPr>
      <w:r>
        <w:t>Across modules, scale changes should correspond primarily to radius changes, while within-module orientation changes should act approximately as angular shifts of the directional bank.</w:t>
      </w:r>
    </w:p>
    <w:p>
      <w:pPr>
        <w:pStyle w:val="ListBullet"/>
        <w:spacing w:after="60" w:line="269" w:lineRule="auto"/>
        <w:ind w:left="605" w:hanging="288"/>
      </w:pPr>
      <w:r>
        <w:t>In ML, shell-constrained frequencies should improve rotation-consistent extrapolation when the task has approximate SE(2) symmetry, but may underperform unconstrained Mixed RoPE when the data contain privileged directions.</w:t>
      </w:r>
    </w:p>
    <w:p>
      <w:pPr>
        <w:pStyle w:val="Heading1"/>
      </w:pPr>
      <w:r>
        <w:t>9. Proposed Machine-Learning Evaluation</w:t>
      </w:r>
    </w:p>
    <w:p>
      <w:r>
        <w:t>A fair evaluation should compare positional encodings rather than entire equivariant architectures. Candidate baselines are axial 2D RoPE, Mixed RoPE, LieRE, and a parameter-matched shell encoding. Tasks should include synthetic pose-to-pose kernels with exact SE(2) labels, rotated-image classification, embodied trajectory prediction, and resolution/rotation extrapolation. The primary ablations are shell tying, heading channels, number of angular samples, fixed versus learned radii, and discrete versus interpolated rotation.</w:t>
      </w:r>
    </w:p>
    <w:tbl>
      <w:tblPr>
        <w:tblStyle w:val="TableGrid"/>
        <w:tblW w:type="dxa" w:w="9360"/>
        <w:jc w:val="center"/>
        <w:tblLayout w:type="fixed"/>
        <w:tblLook w:firstColumn="1" w:firstRow="1" w:lastColumn="0" w:lastRow="0" w:noHBand="0" w:noVBand="1" w:val="04A0"/>
        <w:tblInd w:w="120" w:type="dxa"/>
      </w:tblPr>
      <w:tblGrid>
        <w:gridCol w:w="3000"/>
        <w:gridCol w:w="3100"/>
        <w:gridCol w:w="3260"/>
      </w:tblGrid>
      <w:tr>
        <w:trPr>
          <w:tblHeader w:val="true"/>
          <w:cantSplit/>
        </w:trPr>
        <w:tc>
          <w:tcPr>
            <w:tcW w:type="dxa" w:w="3000"/>
            <w:shd w:fill="DDE8EF"/>
            <w:vAlign w:val="center"/>
          </w:tcPr>
          <w:p>
            <w:pPr>
              <w:jc w:val="left"/>
            </w:pPr>
            <w:r>
              <w:rPr>
                <w:rFonts w:ascii="Aptos" w:hAnsi="Aptos" w:eastAsia="Aptos"/>
                <w:b/>
                <w:color w:val="163752"/>
                <w:sz w:val="17"/>
              </w:rPr>
              <w:t>Question</w:t>
            </w:r>
          </w:p>
        </w:tc>
        <w:tc>
          <w:tcPr>
            <w:tcW w:type="dxa" w:w="3100"/>
            <w:shd w:fill="DDE8EF"/>
            <w:vAlign w:val="center"/>
          </w:tcPr>
          <w:p>
            <w:pPr>
              <w:jc w:val="left"/>
            </w:pPr>
            <w:r>
              <w:rPr>
                <w:rFonts w:ascii="Aptos" w:hAnsi="Aptos" w:eastAsia="Aptos"/>
                <w:b/>
                <w:color w:val="163752"/>
                <w:sz w:val="17"/>
              </w:rPr>
              <w:t>Ablation</w:t>
            </w:r>
          </w:p>
        </w:tc>
        <w:tc>
          <w:tcPr>
            <w:tcW w:type="dxa" w:w="3260"/>
            <w:shd w:fill="DDE8EF"/>
            <w:vAlign w:val="center"/>
          </w:tcPr>
          <w:p>
            <w:pPr>
              <w:jc w:val="left"/>
            </w:pPr>
            <w:r>
              <w:rPr>
                <w:rFonts w:ascii="Aptos" w:hAnsi="Aptos" w:eastAsia="Aptos"/>
                <w:b/>
                <w:color w:val="163752"/>
                <w:sz w:val="17"/>
              </w:rPr>
              <w:t>Metric</w:t>
            </w:r>
          </w:p>
        </w:tc>
      </w:tr>
      <w:tr>
        <w:trPr>
          <w:cantSplit/>
        </w:trPr>
        <w:tc>
          <w:tcPr>
            <w:tcW w:type="dxa" w:w="3000"/>
            <w:vAlign w:val="center"/>
          </w:tcPr>
          <w:p>
            <w:pPr>
              <w:spacing w:after="20"/>
            </w:pPr>
            <w:r>
              <w:rPr>
                <w:rFonts w:ascii="Aptos" w:hAnsi="Aptos" w:eastAsia="Aptos"/>
                <w:color w:val="181F26"/>
                <w:sz w:val="17"/>
              </w:rPr>
              <w:t>Does one radius help?</w:t>
            </w:r>
          </w:p>
        </w:tc>
        <w:tc>
          <w:tcPr>
            <w:tcW w:type="dxa" w:w="3100"/>
            <w:vAlign w:val="center"/>
          </w:tcPr>
          <w:p>
            <w:pPr>
              <w:spacing w:after="20"/>
            </w:pPr>
            <w:r>
              <w:rPr>
                <w:rFonts w:ascii="Aptos" w:hAnsi="Aptos" w:eastAsia="Aptos"/>
                <w:color w:val="181F26"/>
                <w:sz w:val="17"/>
              </w:rPr>
              <w:t>Tied shell vs free frequency magnitudes</w:t>
            </w:r>
          </w:p>
        </w:tc>
        <w:tc>
          <w:tcPr>
            <w:tcW w:type="dxa" w:w="3260"/>
            <w:vAlign w:val="center"/>
          </w:tcPr>
          <w:p>
            <w:pPr>
              <w:spacing w:after="20"/>
            </w:pPr>
            <w:r>
              <w:rPr>
                <w:rFonts w:ascii="Aptos" w:hAnsi="Aptos" w:eastAsia="Aptos"/>
                <w:color w:val="181F26"/>
                <w:sz w:val="17"/>
              </w:rPr>
              <w:t>Accuracy and rotation extrapolation</w:t>
            </w:r>
          </w:p>
        </w:tc>
      </w:tr>
      <w:tr>
        <w:trPr>
          <w:cantSplit/>
        </w:trPr>
        <w:tc>
          <w:tcPr>
            <w:tcW w:type="dxa" w:w="3000"/>
            <w:vAlign w:val="center"/>
          </w:tcPr>
          <w:p>
            <w:pPr>
              <w:spacing w:after="20"/>
            </w:pPr>
            <w:r>
              <w:rPr>
                <w:rFonts w:ascii="Aptos" w:hAnsi="Aptos" w:eastAsia="Aptos"/>
                <w:color w:val="181F26"/>
                <w:sz w:val="17"/>
              </w:rPr>
              <w:t>Does heading action matter?</w:t>
            </w:r>
          </w:p>
        </w:tc>
        <w:tc>
          <w:tcPr>
            <w:tcW w:type="dxa" w:w="3100"/>
            <w:vAlign w:val="center"/>
          </w:tcPr>
          <w:p>
            <w:pPr>
              <w:spacing w:after="20"/>
            </w:pPr>
            <w:r>
              <w:rPr>
                <w:rFonts w:ascii="Aptos" w:hAnsi="Aptos" w:eastAsia="Aptos"/>
                <w:color w:val="181F26"/>
                <w:sz w:val="17"/>
              </w:rPr>
              <w:t>Angular shift on/off</w:t>
            </w:r>
          </w:p>
        </w:tc>
        <w:tc>
          <w:tcPr>
            <w:tcW w:type="dxa" w:w="3260"/>
            <w:vAlign w:val="center"/>
          </w:tcPr>
          <w:p>
            <w:pPr>
              <w:spacing w:after="20"/>
            </w:pPr>
            <w:r>
              <w:rPr>
                <w:rFonts w:ascii="Aptos" w:hAnsi="Aptos" w:eastAsia="Aptos"/>
                <w:color w:val="181F26"/>
                <w:sz w:val="17"/>
              </w:rPr>
              <w:t>Relative-pose prediction</w:t>
            </w:r>
          </w:p>
        </w:tc>
      </w:tr>
      <w:tr>
        <w:trPr>
          <w:cantSplit/>
        </w:trPr>
        <w:tc>
          <w:tcPr>
            <w:tcW w:type="dxa" w:w="3000"/>
            <w:vAlign w:val="center"/>
          </w:tcPr>
          <w:p>
            <w:pPr>
              <w:spacing w:after="20"/>
            </w:pPr>
            <w:r>
              <w:rPr>
                <w:rFonts w:ascii="Aptos" w:hAnsi="Aptos" w:eastAsia="Aptos"/>
                <w:color w:val="181F26"/>
                <w:sz w:val="17"/>
              </w:rPr>
              <w:t>What is the truncation cost?</w:t>
            </w:r>
          </w:p>
        </w:tc>
        <w:tc>
          <w:tcPr>
            <w:tcW w:type="dxa" w:w="3100"/>
            <w:vAlign w:val="center"/>
          </w:tcPr>
          <w:p>
            <w:pPr>
              <w:spacing w:after="20"/>
            </w:pPr>
            <w:r>
              <w:rPr>
                <w:rFonts w:ascii="Aptos" w:hAnsi="Aptos" w:eastAsia="Aptos"/>
                <w:color w:val="181F26"/>
                <w:sz w:val="17"/>
              </w:rPr>
              <w:t>N = 4, 6, 8, 12, 24</w:t>
            </w:r>
          </w:p>
        </w:tc>
        <w:tc>
          <w:tcPr>
            <w:tcW w:type="dxa" w:w="3260"/>
            <w:vAlign w:val="center"/>
          </w:tcPr>
          <w:p>
            <w:pPr>
              <w:spacing w:after="20"/>
            </w:pPr>
            <w:r>
              <w:rPr>
                <w:rFonts w:ascii="Aptos" w:hAnsi="Aptos" w:eastAsia="Aptos"/>
                <w:color w:val="181F26"/>
                <w:sz w:val="17"/>
              </w:rPr>
              <w:t>Equivariance defect and latency</w:t>
            </w:r>
          </w:p>
        </w:tc>
      </w:tr>
      <w:tr>
        <w:trPr>
          <w:cantSplit/>
        </w:trPr>
        <w:tc>
          <w:tcPr>
            <w:tcW w:type="dxa" w:w="3000"/>
            <w:vAlign w:val="center"/>
          </w:tcPr>
          <w:p>
            <w:pPr>
              <w:spacing w:after="20"/>
            </w:pPr>
            <w:r>
              <w:rPr>
                <w:rFonts w:ascii="Aptos" w:hAnsi="Aptos" w:eastAsia="Aptos"/>
                <w:color w:val="181F26"/>
                <w:sz w:val="17"/>
              </w:rPr>
              <w:t>Is crystallinity useful?</w:t>
            </w:r>
          </w:p>
        </w:tc>
        <w:tc>
          <w:tcPr>
            <w:tcW w:type="dxa" w:w="3100"/>
            <w:vAlign w:val="center"/>
          </w:tcPr>
          <w:p>
            <w:pPr>
              <w:spacing w:after="20"/>
            </w:pPr>
            <w:r>
              <w:rPr>
                <w:rFonts w:ascii="Aptos" w:hAnsi="Aptos" w:eastAsia="Aptos"/>
                <w:color w:val="181F26"/>
                <w:sz w:val="17"/>
              </w:rPr>
              <w:t>Sixfold star vs dense shell</w:t>
            </w:r>
          </w:p>
        </w:tc>
        <w:tc>
          <w:tcPr>
            <w:tcW w:type="dxa" w:w="3260"/>
            <w:vAlign w:val="center"/>
          </w:tcPr>
          <w:p>
            <w:pPr>
              <w:spacing w:after="20"/>
            </w:pPr>
            <w:r>
              <w:rPr>
                <w:rFonts w:ascii="Aptos" w:hAnsi="Aptos" w:eastAsia="Aptos"/>
                <w:color w:val="181F26"/>
                <w:sz w:val="17"/>
              </w:rPr>
              <w:t>Periodic localization vs general vision</w:t>
            </w:r>
          </w:p>
        </w:tc>
      </w:tr>
      <w:tr>
        <w:trPr>
          <w:cantSplit/>
        </w:trPr>
        <w:tc>
          <w:tcPr>
            <w:tcW w:type="dxa" w:w="3000"/>
            <w:vAlign w:val="center"/>
          </w:tcPr>
          <w:p>
            <w:pPr>
              <w:spacing w:after="20"/>
            </w:pPr>
            <w:r>
              <w:rPr>
                <w:rFonts w:ascii="Aptos" w:hAnsi="Aptos" w:eastAsia="Aptos"/>
                <w:color w:val="181F26"/>
                <w:sz w:val="17"/>
              </w:rPr>
              <w:t>Is the gain structural?</w:t>
            </w:r>
          </w:p>
        </w:tc>
        <w:tc>
          <w:tcPr>
            <w:tcW w:type="dxa" w:w="3100"/>
            <w:vAlign w:val="center"/>
          </w:tcPr>
          <w:p>
            <w:pPr>
              <w:spacing w:after="20"/>
            </w:pPr>
            <w:r>
              <w:rPr>
                <w:rFonts w:ascii="Aptos" w:hAnsi="Aptos" w:eastAsia="Aptos"/>
                <w:color w:val="181F26"/>
                <w:sz w:val="17"/>
              </w:rPr>
              <w:t>Parameter-matched Mixed RoPE</w:t>
            </w:r>
          </w:p>
        </w:tc>
        <w:tc>
          <w:tcPr>
            <w:tcW w:type="dxa" w:w="3260"/>
            <w:vAlign w:val="center"/>
          </w:tcPr>
          <w:p>
            <w:pPr>
              <w:spacing w:after="20"/>
            </w:pPr>
            <w:r>
              <w:rPr>
                <w:rFonts w:ascii="Aptos" w:hAnsi="Aptos" w:eastAsia="Aptos"/>
                <w:color w:val="181F26"/>
                <w:sz w:val="17"/>
              </w:rPr>
              <w:t>Held-out task performance</w:t>
            </w:r>
          </w:p>
        </w:tc>
      </w:tr>
    </w:tbl>
    <w:p>
      <w:pPr>
        <w:spacing w:after="20"/>
      </w:pPr>
    </w:p>
    <w:p>
      <w:r>
        <w:t>Until this benchmark is run, the ML contribution is a construction and hypothesis. The paper's theory survives a negative benchmark: the representation-theoretic derivation concerns the constraints inherited from an embodied-motion orbit, not a guarantee that those constraints improve every dataset.</w:t>
      </w:r>
    </w:p>
    <w:p>
      <w:pPr>
        <w:pStyle w:val="Heading1"/>
      </w:pPr>
      <w:r>
        <w:t>10. Relationship to Prior Work</w:t>
      </w:r>
    </w:p>
    <w:p>
      <w:r>
        <w:t>Gao et al. formulate grid-cell path integration using group representations and an isotropic scaling condition [8]. Dorrell et al. derive modular hexagonal grids from actionable representations plus biological and functional constraints [9]. Plane-wave and conformal-isometry accounts relate wavevector arrangements to grid geometry [6,7,10]. The present paper does not replace those results. Its specific sharpening is to use the semidirect-product group SE(2), whose circular momentum orbits package equal magnitude and parent isotropy before finite symmetry breaking.</w:t>
      </w:r>
    </w:p>
    <w:p>
      <w:r>
        <w:t>SE(2) has a long history in harmonic analysis, robotics, and cortical modeling. Citti, Sarti, Petitot, and collaborators use SE(2)-like position-orientation geometry to model contour integration in primary visual cortex [25,26]. That work makes the machinery familiar and is the closest conceptual neighbor, but its base variable and scientific target are orientation columns in V1 rather than grid-module frequency shells. A complete novelty claim should remain conditional on continued literature review across mathematical neuroscience and equivariance.</w:t>
      </w:r>
    </w:p>
    <w:p>
      <w:r>
        <w:t>RoPE and its multidimensional variants efficiently realize relative translation representations [11,23,24]. GSA-Nets, LieTransformer, SE(3)-Transformers, and related work establish group-equivariant attention [12–15]. Accordingly, relative group embedding is background. The bridge offered here is explanatory: motion-group representation theory provides a common language for allocentric/egocentric coding, grid-module constraints, and structured relative-position banks.</w:t>
      </w:r>
    </w:p>
    <w:p>
      <w:pPr>
        <w:pStyle w:val="Heading1"/>
      </w:pPr>
      <w:r>
        <w:t>11. Limitations</w:t>
      </w:r>
    </w:p>
    <w:p>
      <w:r>
        <w:t>The interpretation is normative and representational, not mechanistic. A neural circuit could generate grid patterns without explicitly instantiating an induced representation. Finite observed modules are noisy, distorted by boundaries, and may contain within-module variability [27]. The circular orbit is appropriate for Euclidean planar motion; uneven terrain, anisotropic costs, three-dimensional movement, or non-Euclidean task spaces require different groups or homogeneous spaces. The crystallographic argument assumes a lattice-compatible periodic code and therefore cannot explain nonperiodic spatial representations.</w:t>
      </w:r>
    </w:p>
    <w:p>
      <w:r>
        <w:t>The anatomical allocentric/egocentric mapping is simplified, because neural regions mix reference frames and transform between them. The numerical experiment tests quadrature, not coding efficiency or biological likelihood. Finally, a single orbit does not determine module spacing ratios, phases, firing-rate nonnegativity, or the number of cells. Those remain independent empirical and optimization questions.</w:t>
      </w:r>
    </w:p>
    <w:p>
      <w:pPr>
        <w:pStyle w:val="Heading1"/>
      </w:pPr>
      <w:r>
        <w:t>12. Conclusion</w:t>
      </w:r>
    </w:p>
    <w:p>
      <w:r>
        <w:t>The most defensible statement is not that grid cells are RoPE. It is that both can be analyzed as relative group representations, and that choosing SE(2) as the embodied parent has concrete consequences. Its relative element is egocentric displacement plus relative heading. Its nonzero irreducible representations live on fixed-radius momentum circles. Restriction to translations yields equal-magnitude plane waves; rotational averaging yields isotropy; finite resources break the circle into a lattice-compatible directional star. This derives part of grid modularity from motion covariance while leaving hexagonal selection to the objectives that genuinely distinguish hexagonal from square codes.</w:t>
      </w:r>
    </w:p>
    <w:p>
      <w:pPr>
        <w:pStyle w:val="Equation"/>
      </w:pPr>
      <w:r>
        <w:t>SE(2) covariance → frequency shell → finite tight frame → lattice-compatible grid code</w:t>
      </w:r>
    </w:p>
    <w:p>
      <w:pPr>
        <w:pStyle w:val="Heading1"/>
      </w:pPr>
      <w:r>
        <w:t>Appendix A. Implementation Sketch</w:t>
      </w:r>
    </w:p>
    <w:p>
      <w:r>
        <w:t>For each attention head, choose shell radii κₛ and angular samples φⱼ. Store complex pairs as real two-dimensional blocks. Given pose (x,θ), multiply each block by the translation phase κₛ x·u(φⱼ); then circularly shift angular channels by θ. For discrete headings aligned to the bank, use an index permutation. For continuous headings, use a Fourier shift or differentiable circular interpolation. Apply the same unitary action to queries and keys so the inner product depends on the relative pose represented by the approximation.</w:t>
      </w:r>
    </w:p>
    <w:p>
      <w:pPr>
        <w:pStyle w:val="Heading1"/>
      </w:pPr>
      <w:r>
        <w:t>References</w:t>
      </w:r>
    </w:p>
    <w:p>
      <w:pPr>
        <w:spacing w:after="60" w:line="240" w:lineRule="auto"/>
        <w:ind w:left="403" w:hanging="403"/>
      </w:pPr>
      <w:r>
        <w:rPr>
          <w:rFonts w:ascii="Aptos" w:hAnsi="Aptos" w:eastAsia="Aptos"/>
          <w:b/>
          <w:color w:val="163752"/>
          <w:sz w:val="17"/>
        </w:rPr>
        <w:t xml:space="preserve">[1] </w:t>
      </w:r>
      <w:r>
        <w:rPr>
          <w:rFonts w:ascii="Aptos" w:hAnsi="Aptos" w:eastAsia="Aptos"/>
          <w:color w:val="181F26"/>
          <w:sz w:val="17"/>
        </w:rPr>
        <w:t>Hafting, T., Fyhn, M., Molden, S., Moser, M.-B., &amp; Moser, E. I. (2005). Microstructure of a spatial map in the entorhinal cortex. Nature, 436, 801–806. https://doi.org/10.1038/nature03721</w:t>
      </w:r>
    </w:p>
    <w:p>
      <w:pPr>
        <w:spacing w:after="60" w:line="240" w:lineRule="auto"/>
        <w:ind w:left="403" w:hanging="403"/>
      </w:pPr>
      <w:r>
        <w:rPr>
          <w:rFonts w:ascii="Aptos" w:hAnsi="Aptos" w:eastAsia="Aptos"/>
          <w:b/>
          <w:color w:val="163752"/>
          <w:sz w:val="17"/>
        </w:rPr>
        <w:t xml:space="preserve">[2] </w:t>
      </w:r>
      <w:r>
        <w:rPr>
          <w:rFonts w:ascii="Aptos" w:hAnsi="Aptos" w:eastAsia="Aptos"/>
          <w:color w:val="181F26"/>
          <w:sz w:val="17"/>
        </w:rPr>
        <w:t>Stensola, H., Stensola, T., Solstad, T., et al. (2012). The entorhinal grid map is discretized. Nature, 492, 72–78. https://doi.org/10.1038/nature11649</w:t>
      </w:r>
    </w:p>
    <w:p>
      <w:pPr>
        <w:spacing w:after="60" w:line="240" w:lineRule="auto"/>
        <w:ind w:left="403" w:hanging="403"/>
      </w:pPr>
      <w:r>
        <w:rPr>
          <w:rFonts w:ascii="Aptos" w:hAnsi="Aptos" w:eastAsia="Aptos"/>
          <w:b/>
          <w:color w:val="163752"/>
          <w:sz w:val="17"/>
        </w:rPr>
        <w:t xml:space="preserve">[3] </w:t>
      </w:r>
      <w:r>
        <w:rPr>
          <w:rFonts w:ascii="Aptos" w:hAnsi="Aptos" w:eastAsia="Aptos"/>
          <w:color w:val="181F26"/>
          <w:sz w:val="17"/>
        </w:rPr>
        <w:t>Barry, C., Hayman, R., Burgess, N., &amp; Jeffery, K. J. (2007). Experience-dependent rescaling of entorhinal grids. Nature Neuroscience, 10, 682–684. https://doi.org/10.1038/nn1905</w:t>
      </w:r>
    </w:p>
    <w:p>
      <w:pPr>
        <w:spacing w:after="60" w:line="240" w:lineRule="auto"/>
        <w:ind w:left="403" w:hanging="403"/>
      </w:pPr>
      <w:r>
        <w:rPr>
          <w:rFonts w:ascii="Aptos" w:hAnsi="Aptos" w:eastAsia="Aptos"/>
          <w:b/>
          <w:color w:val="163752"/>
          <w:sz w:val="17"/>
        </w:rPr>
        <w:t xml:space="preserve">[4] </w:t>
      </w:r>
      <w:r>
        <w:rPr>
          <w:rFonts w:ascii="Aptos" w:hAnsi="Aptos" w:eastAsia="Aptos"/>
          <w:color w:val="181F26"/>
          <w:sz w:val="17"/>
        </w:rPr>
        <w:t>Gardner, R. J., Hermansen, E., Pachitariu, M., et al. (2022). Toroidal topology of population activity in grid cells. Nature, 602, 123–128. https://doi.org/10.1038/s41586-021-04268-7</w:t>
      </w:r>
    </w:p>
    <w:p>
      <w:pPr>
        <w:spacing w:after="60" w:line="240" w:lineRule="auto"/>
        <w:ind w:left="403" w:hanging="403"/>
      </w:pPr>
      <w:r>
        <w:rPr>
          <w:rFonts w:ascii="Aptos" w:hAnsi="Aptos" w:eastAsia="Aptos"/>
          <w:b/>
          <w:color w:val="163752"/>
          <w:sz w:val="17"/>
        </w:rPr>
        <w:t xml:space="preserve">[5] </w:t>
      </w:r>
      <w:r>
        <w:rPr>
          <w:rFonts w:ascii="Aptos" w:hAnsi="Aptos" w:eastAsia="Aptos"/>
          <w:color w:val="181F26"/>
          <w:sz w:val="17"/>
        </w:rPr>
        <w:t>Fuhs, M. C., &amp; Touretzky, D. S. (2006). A spin glass model of path integration in rat medial entorhinal cortex. Journal of Neuroscience, 26, 4266–4276. https://doi.org/10.1523/JNEUROSCI.4353-05.2006</w:t>
      </w:r>
    </w:p>
    <w:p>
      <w:pPr>
        <w:spacing w:after="60" w:line="240" w:lineRule="auto"/>
        <w:ind w:left="403" w:hanging="403"/>
      </w:pPr>
      <w:r>
        <w:rPr>
          <w:rFonts w:ascii="Aptos" w:hAnsi="Aptos" w:eastAsia="Aptos"/>
          <w:b/>
          <w:color w:val="163752"/>
          <w:sz w:val="17"/>
        </w:rPr>
        <w:t xml:space="preserve">[6] </w:t>
      </w:r>
      <w:r>
        <w:rPr>
          <w:rFonts w:ascii="Aptos" w:hAnsi="Aptos" w:eastAsia="Aptos"/>
          <w:color w:val="181F26"/>
          <w:sz w:val="17"/>
        </w:rPr>
        <w:t>Mathis, A., Stemmler, M. B., &amp; Herz, A. V. M. (2015). Probable nature of higher-dimensional symmetries underlying mammalian grid-cell activity patterns. eLife, 4, e05979. https://doi.org/10.7554/eLife.05979</w:t>
      </w:r>
    </w:p>
    <w:p>
      <w:pPr>
        <w:spacing w:after="60" w:line="240" w:lineRule="auto"/>
        <w:ind w:left="403" w:hanging="403"/>
      </w:pPr>
      <w:r>
        <w:rPr>
          <w:rFonts w:ascii="Aptos" w:hAnsi="Aptos" w:eastAsia="Aptos"/>
          <w:b/>
          <w:color w:val="163752"/>
          <w:sz w:val="17"/>
        </w:rPr>
        <w:t xml:space="preserve">[7] </w:t>
      </w:r>
      <w:r>
        <w:rPr>
          <w:rFonts w:ascii="Aptos" w:hAnsi="Aptos" w:eastAsia="Aptos"/>
          <w:color w:val="181F26"/>
          <w:sz w:val="17"/>
        </w:rPr>
        <w:t>Schaeffer, R., Khona, M., &amp; Fiete, I. R. (2024). No free lunch from deep learning in neuroscience: A case study through models of the entorhinal–hippocampal circuit. Neuron, 112, 1181–1197. https://doi.org/10.1016/j.neuron.2024.01.009</w:t>
      </w:r>
    </w:p>
    <w:p>
      <w:pPr>
        <w:spacing w:after="60" w:line="240" w:lineRule="auto"/>
        <w:ind w:left="403" w:hanging="403"/>
      </w:pPr>
      <w:r>
        <w:rPr>
          <w:rFonts w:ascii="Aptos" w:hAnsi="Aptos" w:eastAsia="Aptos"/>
          <w:b/>
          <w:color w:val="163752"/>
          <w:sz w:val="17"/>
        </w:rPr>
        <w:t xml:space="preserve">[8] </w:t>
      </w:r>
      <w:r>
        <w:rPr>
          <w:rFonts w:ascii="Aptos" w:hAnsi="Aptos" w:eastAsia="Aptos"/>
          <w:color w:val="181F26"/>
          <w:sz w:val="17"/>
        </w:rPr>
        <w:t>Gao, R., Xie, J., Wei, X.-X., Zhu, S.-C., &amp; Wu, Y. N. (2021). On path integration of grid cells: Group representation and isotropic scaling. Advances in Neural Information Processing Systems, 34, 27304–27316.</w:t>
      </w:r>
    </w:p>
    <w:p>
      <w:pPr>
        <w:spacing w:after="60" w:line="240" w:lineRule="auto"/>
        <w:ind w:left="403" w:hanging="403"/>
      </w:pPr>
      <w:r>
        <w:rPr>
          <w:rFonts w:ascii="Aptos" w:hAnsi="Aptos" w:eastAsia="Aptos"/>
          <w:b/>
          <w:color w:val="163752"/>
          <w:sz w:val="17"/>
        </w:rPr>
        <w:t xml:space="preserve">[9] </w:t>
      </w:r>
      <w:r>
        <w:rPr>
          <w:rFonts w:ascii="Aptos" w:hAnsi="Aptos" w:eastAsia="Aptos"/>
          <w:color w:val="181F26"/>
          <w:sz w:val="17"/>
        </w:rPr>
        <w:t>Dorrell, W., Latham, P. E., Behrens, T. E. J., &amp; Whittington, J. C. R. (2023). Actionable neural representations: Grid cells from minimal constraints. International Conference on Learning Representations. arXiv:2209.15563</w:t>
      </w:r>
    </w:p>
    <w:p>
      <w:pPr>
        <w:spacing w:after="60" w:line="240" w:lineRule="auto"/>
        <w:ind w:left="403" w:hanging="403"/>
      </w:pPr>
      <w:r>
        <w:rPr>
          <w:rFonts w:ascii="Aptos" w:hAnsi="Aptos" w:eastAsia="Aptos"/>
          <w:b/>
          <w:color w:val="163752"/>
          <w:sz w:val="17"/>
        </w:rPr>
        <w:t xml:space="preserve">[10] </w:t>
      </w:r>
      <w:r>
        <w:rPr>
          <w:rFonts w:ascii="Aptos" w:hAnsi="Aptos" w:eastAsia="Aptos"/>
          <w:color w:val="181F26"/>
          <w:sz w:val="17"/>
        </w:rPr>
        <w:t>Kirkeby, A., et al. (2025). Hexagons all the way down: Grid cells as a conformal isometric map of space. PLOS Computational Biology, 21. https://doi.org/10.1371/journal.pcbi.1012814</w:t>
      </w:r>
    </w:p>
    <w:p>
      <w:pPr>
        <w:spacing w:after="60" w:line="240" w:lineRule="auto"/>
        <w:ind w:left="403" w:hanging="403"/>
      </w:pPr>
      <w:r>
        <w:rPr>
          <w:rFonts w:ascii="Aptos" w:hAnsi="Aptos" w:eastAsia="Aptos"/>
          <w:b/>
          <w:color w:val="163752"/>
          <w:sz w:val="17"/>
        </w:rPr>
        <w:t xml:space="preserve">[11] </w:t>
      </w:r>
      <w:r>
        <w:rPr>
          <w:rFonts w:ascii="Aptos" w:hAnsi="Aptos" w:eastAsia="Aptos"/>
          <w:color w:val="181F26"/>
          <w:sz w:val="17"/>
        </w:rPr>
        <w:t>Su, J., Lu, Y., Pan, S., Murtadha, A., Wen, B., &amp; Liu, Y. (2024). RoFormer: Enhanced transformer with rotary position embedding. Neurocomputing, 568, 127063. https://doi.org/10.1016/j.neucom.2023.127063</w:t>
      </w:r>
    </w:p>
    <w:p>
      <w:pPr>
        <w:spacing w:after="60" w:line="240" w:lineRule="auto"/>
        <w:ind w:left="403" w:hanging="403"/>
      </w:pPr>
      <w:r>
        <w:rPr>
          <w:rFonts w:ascii="Aptos" w:hAnsi="Aptos" w:eastAsia="Aptos"/>
          <w:b/>
          <w:color w:val="163752"/>
          <w:sz w:val="17"/>
        </w:rPr>
        <w:t xml:space="preserve">[12] </w:t>
      </w:r>
      <w:r>
        <w:rPr>
          <w:rFonts w:ascii="Aptos" w:hAnsi="Aptos" w:eastAsia="Aptos"/>
          <w:color w:val="181F26"/>
          <w:sz w:val="17"/>
        </w:rPr>
        <w:t>Romero, D. W., &amp; Cordonnier, J.-B. (2021). Group equivariant stand-alone self-attention for vision. International Conference on Learning Representations. arXiv:2010.00977</w:t>
      </w:r>
    </w:p>
    <w:p>
      <w:pPr>
        <w:spacing w:after="60" w:line="240" w:lineRule="auto"/>
        <w:ind w:left="403" w:hanging="403"/>
      </w:pPr>
      <w:r>
        <w:rPr>
          <w:rFonts w:ascii="Aptos" w:hAnsi="Aptos" w:eastAsia="Aptos"/>
          <w:b/>
          <w:color w:val="163752"/>
          <w:sz w:val="17"/>
        </w:rPr>
        <w:t xml:space="preserve">[13] </w:t>
      </w:r>
      <w:r>
        <w:rPr>
          <w:rFonts w:ascii="Aptos" w:hAnsi="Aptos" w:eastAsia="Aptos"/>
          <w:color w:val="181F26"/>
          <w:sz w:val="17"/>
        </w:rPr>
        <w:t>Hutchinson, M., Le Lan, C., Zaidi, S., Dupont, E., Teh, Y. W., &amp; Kim, H. (2021). LieTransformer: Equivariant self-attention for Lie groups. Proceedings of ICML, PMLR 139, 4533–4543.</w:t>
      </w:r>
    </w:p>
    <w:p>
      <w:pPr>
        <w:spacing w:after="60" w:line="240" w:lineRule="auto"/>
        <w:ind w:left="403" w:hanging="403"/>
      </w:pPr>
      <w:r>
        <w:rPr>
          <w:rFonts w:ascii="Aptos" w:hAnsi="Aptos" w:eastAsia="Aptos"/>
          <w:b/>
          <w:color w:val="163752"/>
          <w:sz w:val="17"/>
        </w:rPr>
        <w:t xml:space="preserve">[14] </w:t>
      </w:r>
      <w:r>
        <w:rPr>
          <w:rFonts w:ascii="Aptos" w:hAnsi="Aptos" w:eastAsia="Aptos"/>
          <w:color w:val="181F26"/>
          <w:sz w:val="17"/>
        </w:rPr>
        <w:t>Fuchs, F. B., Worrall, D. E., Fischer, V., &amp; Welling, M. (2020). SE(3)-Transformers: 3D roto-translation equivariant attention networks. Advances in Neural Information Processing Systems, 33, 1970–1981.</w:t>
      </w:r>
    </w:p>
    <w:p>
      <w:pPr>
        <w:spacing w:after="60" w:line="240" w:lineRule="auto"/>
        <w:ind w:left="403" w:hanging="403"/>
      </w:pPr>
      <w:r>
        <w:rPr>
          <w:rFonts w:ascii="Aptos" w:hAnsi="Aptos" w:eastAsia="Aptos"/>
          <w:b/>
          <w:color w:val="163752"/>
          <w:sz w:val="17"/>
        </w:rPr>
        <w:t xml:space="preserve">[15] </w:t>
      </w:r>
      <w:r>
        <w:rPr>
          <w:rFonts w:ascii="Aptos" w:hAnsi="Aptos" w:eastAsia="Aptos"/>
          <w:color w:val="181F26"/>
          <w:sz w:val="17"/>
        </w:rPr>
        <w:t>Ostmeier, S., et al. (2024). LieRE: Generalizing rotary position encodings to higher dimensional spaces. arXiv:2406.10322.</w:t>
      </w:r>
    </w:p>
    <w:p>
      <w:pPr>
        <w:spacing w:after="60" w:line="240" w:lineRule="auto"/>
        <w:ind w:left="403" w:hanging="403"/>
      </w:pPr>
      <w:r>
        <w:rPr>
          <w:rFonts w:ascii="Aptos" w:hAnsi="Aptos" w:eastAsia="Aptos"/>
          <w:b/>
          <w:color w:val="163752"/>
          <w:sz w:val="17"/>
        </w:rPr>
        <w:t xml:space="preserve">[16] </w:t>
      </w:r>
      <w:r>
        <w:rPr>
          <w:rFonts w:ascii="Aptos" w:hAnsi="Aptos" w:eastAsia="Aptos"/>
          <w:color w:val="181F26"/>
          <w:sz w:val="17"/>
        </w:rPr>
        <w:t>Alexander, A. S., &amp; Nitz, D. A. (2015). Retrosplenial cortex maps the conjunction of internal and external spaces. Nature Neuroscience, 18, 1143–1151. https://doi.org/10.1038/nn.4058</w:t>
      </w:r>
    </w:p>
    <w:p>
      <w:pPr>
        <w:spacing w:after="60" w:line="240" w:lineRule="auto"/>
        <w:ind w:left="403" w:hanging="403"/>
      </w:pPr>
      <w:r>
        <w:rPr>
          <w:rFonts w:ascii="Aptos" w:hAnsi="Aptos" w:eastAsia="Aptos"/>
          <w:b/>
          <w:color w:val="163752"/>
          <w:sz w:val="17"/>
        </w:rPr>
        <w:t xml:space="preserve">[17] </w:t>
      </w:r>
      <w:r>
        <w:rPr>
          <w:rFonts w:ascii="Aptos" w:hAnsi="Aptos" w:eastAsia="Aptos"/>
          <w:color w:val="181F26"/>
          <w:sz w:val="17"/>
        </w:rPr>
        <w:t>Gofman, X., Tocker, G., Weiss, S., et al. (2019). Dissociation between postrhinal cortex and downstream parahippocampal regions in the representation of egocentric boundaries. Current Biology, 29, 2751–2757.e4. https://doi.org/10.1016/j.cub.2019.07.007</w:t>
      </w:r>
    </w:p>
    <w:p>
      <w:pPr>
        <w:spacing w:after="60" w:line="240" w:lineRule="auto"/>
        <w:ind w:left="403" w:hanging="403"/>
      </w:pPr>
      <w:r>
        <w:rPr>
          <w:rFonts w:ascii="Aptos" w:hAnsi="Aptos" w:eastAsia="Aptos"/>
          <w:b/>
          <w:color w:val="163752"/>
          <w:sz w:val="17"/>
        </w:rPr>
        <w:t xml:space="preserve">[18] </w:t>
      </w:r>
      <w:r>
        <w:rPr>
          <w:rFonts w:ascii="Aptos" w:hAnsi="Aptos" w:eastAsia="Aptos"/>
          <w:color w:val="181F26"/>
          <w:sz w:val="17"/>
        </w:rPr>
        <w:t>Wang, C., Chen, X., &amp; Knierim, J. J. (2020). Egocentric and allocentric representations of space in the rodent brain. Current Opinion in Neurobiology, 60, 12–20. https://doi.org/10.1016/j.conb.2019.11.005</w:t>
      </w:r>
    </w:p>
    <w:p>
      <w:pPr>
        <w:spacing w:after="60" w:line="240" w:lineRule="auto"/>
        <w:ind w:left="403" w:hanging="403"/>
      </w:pPr>
      <w:r>
        <w:rPr>
          <w:rFonts w:ascii="Aptos" w:hAnsi="Aptos" w:eastAsia="Aptos"/>
          <w:b/>
          <w:color w:val="163752"/>
          <w:sz w:val="17"/>
        </w:rPr>
        <w:t xml:space="preserve">[19] </w:t>
      </w:r>
      <w:r>
        <w:rPr>
          <w:rFonts w:ascii="Aptos" w:hAnsi="Aptos" w:eastAsia="Aptos"/>
          <w:color w:val="181F26"/>
          <w:sz w:val="17"/>
        </w:rPr>
        <w:t>Hinman, J. R., Chapman, G. W., &amp; Hasselmo, M. E. (2019). Neuronal representation of environmental boundaries in egocentric coordinates. Nature Communications, 10, 2772. https://doi.org/10.1038/s41467-019-10722-y</w:t>
      </w:r>
    </w:p>
    <w:p>
      <w:pPr>
        <w:spacing w:after="60" w:line="240" w:lineRule="auto"/>
        <w:ind w:left="403" w:hanging="403"/>
      </w:pPr>
      <w:r>
        <w:rPr>
          <w:rFonts w:ascii="Aptos" w:hAnsi="Aptos" w:eastAsia="Aptos"/>
          <w:b/>
          <w:color w:val="163752"/>
          <w:sz w:val="17"/>
        </w:rPr>
        <w:t xml:space="preserve">[20] </w:t>
      </w:r>
      <w:r>
        <w:rPr>
          <w:rFonts w:ascii="Aptos" w:hAnsi="Aptos" w:eastAsia="Aptos"/>
          <w:color w:val="181F26"/>
          <w:sz w:val="17"/>
        </w:rPr>
        <w:t>Mackey, G. W. (1976). The Theory of Unitary Group Representations. University of Chicago Press.</w:t>
      </w:r>
    </w:p>
    <w:p>
      <w:pPr>
        <w:spacing w:after="60" w:line="240" w:lineRule="auto"/>
        <w:ind w:left="403" w:hanging="403"/>
      </w:pPr>
      <w:r>
        <w:rPr>
          <w:rFonts w:ascii="Aptos" w:hAnsi="Aptos" w:eastAsia="Aptos"/>
          <w:b/>
          <w:color w:val="163752"/>
          <w:sz w:val="17"/>
        </w:rPr>
        <w:t xml:space="preserve">[21] </w:t>
      </w:r>
      <w:r>
        <w:rPr>
          <w:rFonts w:ascii="Aptos" w:hAnsi="Aptos" w:eastAsia="Aptos"/>
          <w:color w:val="181F26"/>
          <w:sz w:val="17"/>
        </w:rPr>
        <w:t>Vilenkin, N. J., &amp; Klimyk, A. U. (1991). Representation of Lie Groups and Special Functions, Vol. 1. Kluwer Academic.</w:t>
      </w:r>
    </w:p>
    <w:p>
      <w:pPr>
        <w:spacing w:after="60" w:line="240" w:lineRule="auto"/>
        <w:ind w:left="403" w:hanging="403"/>
      </w:pPr>
      <w:r>
        <w:rPr>
          <w:rFonts w:ascii="Aptos" w:hAnsi="Aptos" w:eastAsia="Aptos"/>
          <w:b/>
          <w:color w:val="163752"/>
          <w:sz w:val="17"/>
        </w:rPr>
        <w:t xml:space="preserve">[22] </w:t>
      </w:r>
      <w:r>
        <w:rPr>
          <w:rFonts w:ascii="Aptos" w:hAnsi="Aptos" w:eastAsia="Aptos"/>
          <w:color w:val="181F26"/>
          <w:sz w:val="17"/>
        </w:rPr>
        <w:t>Chirikjian, G. S., &amp; Kyatkin, A. B. (2001). Engineering Applications of Noncommutative Harmonic Analysis. CRC Press.</w:t>
      </w:r>
    </w:p>
    <w:p>
      <w:pPr>
        <w:spacing w:after="60" w:line="240" w:lineRule="auto"/>
        <w:ind w:left="403" w:hanging="403"/>
      </w:pPr>
      <w:r>
        <w:rPr>
          <w:rFonts w:ascii="Aptos" w:hAnsi="Aptos" w:eastAsia="Aptos"/>
          <w:b/>
          <w:color w:val="163752"/>
          <w:sz w:val="17"/>
        </w:rPr>
        <w:t xml:space="preserve">[23] </w:t>
      </w:r>
      <w:r>
        <w:rPr>
          <w:rFonts w:ascii="Aptos" w:hAnsi="Aptos" w:eastAsia="Aptos"/>
          <w:color w:val="181F26"/>
          <w:sz w:val="17"/>
        </w:rPr>
        <w:t>Heo, B., Park, S., Han, D., &amp; Yun, S. (2024). Rotary position embedding for vision transformer. European Conference on Computer Vision. arXiv:2403.13298</w:t>
      </w:r>
    </w:p>
    <w:p>
      <w:pPr>
        <w:spacing w:after="60" w:line="240" w:lineRule="auto"/>
        <w:ind w:left="403" w:hanging="403"/>
      </w:pPr>
      <w:r>
        <w:rPr>
          <w:rFonts w:ascii="Aptos" w:hAnsi="Aptos" w:eastAsia="Aptos"/>
          <w:b/>
          <w:color w:val="163752"/>
          <w:sz w:val="17"/>
        </w:rPr>
        <w:t xml:space="preserve">[24] </w:t>
      </w:r>
      <w:r>
        <w:rPr>
          <w:rFonts w:ascii="Aptos" w:hAnsi="Aptos" w:eastAsia="Aptos"/>
          <w:color w:val="181F26"/>
          <w:sz w:val="17"/>
        </w:rPr>
        <w:t>van de Geijn, C., Lüddecke, T., Turishcheva, P., &amp; Ecker, A. S. (2025). A circular argument: Does RoPE need to be equivariant for vision? arXiv:2511.08368.</w:t>
      </w:r>
    </w:p>
    <w:p>
      <w:pPr>
        <w:spacing w:after="60" w:line="240" w:lineRule="auto"/>
        <w:ind w:left="403" w:hanging="403"/>
      </w:pPr>
      <w:r>
        <w:rPr>
          <w:rFonts w:ascii="Aptos" w:hAnsi="Aptos" w:eastAsia="Aptos"/>
          <w:b/>
          <w:color w:val="163752"/>
          <w:sz w:val="17"/>
        </w:rPr>
        <w:t xml:space="preserve">[25] </w:t>
      </w:r>
      <w:r>
        <w:rPr>
          <w:rFonts w:ascii="Aptos" w:hAnsi="Aptos" w:eastAsia="Aptos"/>
          <w:color w:val="181F26"/>
          <w:sz w:val="17"/>
        </w:rPr>
        <w:t>Citti, G., &amp; Sarti, A. (2006). A cortical based model of perceptual completion in the roto-translation space. Journal of Mathematical Imaging and Vision, 24, 307–326. https://doi.org/10.1007/s10851-005-3630-2</w:t>
      </w:r>
    </w:p>
    <w:p>
      <w:pPr>
        <w:spacing w:after="60" w:line="240" w:lineRule="auto"/>
        <w:ind w:left="403" w:hanging="403"/>
      </w:pPr>
      <w:r>
        <w:rPr>
          <w:rFonts w:ascii="Aptos" w:hAnsi="Aptos" w:eastAsia="Aptos"/>
          <w:b/>
          <w:color w:val="163752"/>
          <w:sz w:val="17"/>
        </w:rPr>
        <w:t xml:space="preserve">[26] </w:t>
      </w:r>
      <w:r>
        <w:rPr>
          <w:rFonts w:ascii="Aptos" w:hAnsi="Aptos" w:eastAsia="Aptos"/>
          <w:color w:val="181F26"/>
          <w:sz w:val="17"/>
        </w:rPr>
        <w:t>Petitot, J. (2003). The neurogeometry of pinwheels as a sub-Riemannian contact structure. Journal of Physiology-Paris, 97, 265–309. https://doi.org/10.1016/j.jphysparis.2003.10.010</w:t>
      </w:r>
    </w:p>
    <w:p>
      <w:pPr>
        <w:spacing w:after="60" w:line="240" w:lineRule="auto"/>
        <w:ind w:left="403" w:hanging="403"/>
      </w:pPr>
      <w:r>
        <w:rPr>
          <w:rFonts w:ascii="Aptos" w:hAnsi="Aptos" w:eastAsia="Aptos"/>
          <w:b/>
          <w:color w:val="163752"/>
          <w:sz w:val="17"/>
        </w:rPr>
        <w:t xml:space="preserve">[27] </w:t>
      </w:r>
      <w:r>
        <w:rPr>
          <w:rFonts w:ascii="Aptos" w:hAnsi="Aptos" w:eastAsia="Aptos"/>
          <w:color w:val="181F26"/>
          <w:sz w:val="17"/>
        </w:rPr>
        <w:t>Redman, W. T., et al. (2025). Robust variability of grid cell properties within individual grid modules. Nature Communications, 16. https://doi.org/10.1038/s41467-025-56889-1</w:t>
      </w:r>
    </w:p>
    <w:sectPr w:rsidR="00FC693F" w:rsidRPr="0006063C" w:rsidSect="00034616">
      <w:headerReference w:type="default" r:id="rId9"/>
      <w:footerReference w:type="default" r:id="rId10"/>
      <w:pgSz w:w="12240" w:h="15840"/>
      <w:pgMar w:top="1181" w:right="1325" w:bottom="1181" w:left="1325"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A636C"/>
        <w:sz w:val="16"/>
      </w:rPr>
      <w:t xml:space="preserve">PREPRINT DRAFT  |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5" w:color="CBD5DC"/>
      </w:pBdr>
    </w:pPr>
    <w:r>
      <w:rPr>
        <w:rFonts w:ascii="Aptos" w:hAnsi="Aptos" w:eastAsia="Aptos"/>
        <w:b/>
        <w:color w:val="5A636C"/>
        <w:sz w:val="16"/>
      </w:rPr>
      <w:t>GRID MODULES AS MOTION-GROUP ORBITS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jc w:val="both"/>
    </w:pPr>
    <w:rPr>
      <w:rFonts w:ascii="Aptos" w:hAnsi="Aptos"/>
      <w:color w:val="181F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63752"/>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A5B7E"/>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637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160"/>
    </w:pPr>
    <w:rPr>
      <w:rFonts w:ascii="Aptos" w:hAnsi="Aptos"/>
      <w:i w:val="0"/>
      <w:iCs/>
      <w:color w:val="5A636C"/>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Aptos" w:hAnsi="Aptos"/>
      <w:b/>
      <w:bCs/>
      <w:i/>
      <w:color w:val="5A636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140"/>
      <w:jc w:val="center"/>
    </w:pPr>
    <w:rPr>
      <w:rFonts w:ascii="Cambria Math" w:hAnsi="Cambria Math"/>
      <w:sz w:val="21"/>
    </w:rPr>
  </w:style>
  <w:style w:type="paragraph" w:customStyle="1" w:styleId="Theorem">
    <w:name w:val="Theorem"/>
    <w:pPr>
      <w:spacing w:before="120" w:after="120" w:line="269" w:lineRule="auto"/>
      <w:ind w:left="317" w:right="173"/>
    </w:pPr>
    <w:rPr>
      <w:rFonts w:ascii="Aptos" w:hAnsi="Aptos"/>
      <w:color w:val="181F2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 Modules as Symmetry-Broken Motion-Group Orbits</dc:title>
  <dc:subject>Neuroscience-AGI research preprint</dc:subject>
  <dc:creator>Debiprasad Ghosh</dc:creator>
  <cp:keywords>provenance, neural transport, SE(2), grid cells, defensible intelligence</cp:keywords>
  <dc:description>Prepared as a complete preprint draft; empirical claims are limited to cited work and explicitly labelled synthetic validation.</dc:description>
  <cp:lastModifiedBy/>
  <cp:revision>1</cp:revision>
  <dcterms:created xsi:type="dcterms:W3CDTF">2013-12-23T23:15:00Z</dcterms:created>
  <dcterms:modified xsi:type="dcterms:W3CDTF">2013-12-23T23:15:00Z</dcterms:modified>
  <cp:category/>
</cp:coreProperties>
</file>