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AF7E" w14:textId="77777777" w:rsidR="007A6184" w:rsidRPr="001F3295" w:rsidRDefault="00000000" w:rsidP="00396E59">
      <w:pPr>
        <w:pStyle w:val="Title"/>
        <w:rPr>
          <w:sz w:val="66"/>
          <w:szCs w:val="54"/>
        </w:rPr>
      </w:pPr>
      <w:r w:rsidRPr="001F3295">
        <w:rPr>
          <w:sz w:val="66"/>
          <w:szCs w:val="54"/>
        </w:rPr>
        <w:t>Autoregressive Sheaf Evolution</w:t>
      </w:r>
      <w:r w:rsidRPr="001F3295">
        <w:rPr>
          <w:sz w:val="66"/>
          <w:szCs w:val="54"/>
        </w:rPr>
        <w:br/>
        <w:t>for Memory Consolidation</w:t>
      </w:r>
    </w:p>
    <w:p w14:paraId="152E445A" w14:textId="77777777" w:rsidR="007A6184" w:rsidRPr="001F3295" w:rsidRDefault="00000000" w:rsidP="00396E59">
      <w:pPr>
        <w:pStyle w:val="Subtitle"/>
        <w:rPr>
          <w:color w:val="00B0F0"/>
          <w:sz w:val="28"/>
          <w:szCs w:val="34"/>
        </w:rPr>
      </w:pPr>
      <w:r w:rsidRPr="001F3295">
        <w:rPr>
          <w:color w:val="00B0F0"/>
          <w:sz w:val="28"/>
          <w:szCs w:val="34"/>
        </w:rPr>
        <w:t>An optimisation proposal and a testable neocortical interpretation</w:t>
      </w:r>
    </w:p>
    <w:p w14:paraId="2B00E06D" w14:textId="77777777" w:rsidR="007A6184" w:rsidRDefault="00000000" w:rsidP="00396E59">
      <w:pPr>
        <w:pStyle w:val="Author"/>
      </w:pPr>
      <w:r>
        <w:t>Debi Prasad Ghosh</w:t>
      </w:r>
    </w:p>
    <w:p w14:paraId="5BAE841F" w14:textId="77777777" w:rsidR="007A6184" w:rsidRDefault="00000000" w:rsidP="00396E59">
      <w:pPr>
        <w:pStyle w:val="Author"/>
      </w:pPr>
      <w:r>
        <w:t>Founder and Principal Engineer, Debias Parametric Guru, Kolkata, India</w:t>
      </w:r>
    </w:p>
    <w:p w14:paraId="510F80E3" w14:textId="3B2A5AEC" w:rsidR="007A6184" w:rsidRDefault="00000000" w:rsidP="00396E59">
      <w:pPr>
        <w:pStyle w:val="Date"/>
      </w:pPr>
      <w:r>
        <w:t>Version 3 · 18 October 2026</w:t>
      </w:r>
      <w:r w:rsidR="00BE0017">
        <w:t xml:space="preserve"> ·</w:t>
      </w:r>
      <w:r w:rsidR="00BE0017">
        <w:t xml:space="preserve"> </w:t>
      </w:r>
      <w:r w:rsidR="00BE0017" w:rsidRPr="00BE0017">
        <w:t>https://doi.org/10.13140/RG.2.2.24882.36805</w:t>
      </w:r>
    </w:p>
    <w:p w14:paraId="5AD06652" w14:textId="3192D04F" w:rsidR="007A6184" w:rsidRDefault="003928F7" w:rsidP="00396E59">
      <w:pPr>
        <w:pStyle w:val="Heading11"/>
        <w:jc w:val="both"/>
      </w:pPr>
      <w:bookmarkStart w:id="0" w:name="proposal-in-one-sentence"/>
      <w:r>
        <w:t>Philosophy</w:t>
      </w:r>
    </w:p>
    <w:p w14:paraId="07F23A2C" w14:textId="5A75C772" w:rsidR="007A6184" w:rsidRDefault="00000000" w:rsidP="00396E59">
      <w:pPr>
        <w:pStyle w:val="FirstParagraph"/>
        <w:jc w:val="both"/>
      </w:pPr>
      <w:r>
        <w:rPr>
          <w:b/>
          <w:bCs/>
        </w:rPr>
        <w:t xml:space="preserve">Use </w:t>
      </w:r>
      <w:r w:rsidR="003928F7" w:rsidRPr="003928F7">
        <w:rPr>
          <w:b/>
          <w:bCs/>
        </w:rPr>
        <w:t xml:space="preserve">Autoregressive Sheaf Evolution </w:t>
      </w:r>
      <w:r>
        <w:rPr>
          <w:b/>
          <w:bCs/>
        </w:rPr>
        <w:t>to search for a small, reusable and locally compatible long-term representation that preserves the task-relevant information in recent experience while protecting previously learned knowledge.</w:t>
      </w:r>
      <w:r>
        <w:t xml:space="preserve"> In a cortical interpretation, ASE describes a candidate computation performed by interacting cortical representations during replay and learning; slow plasticity stores the accepted result.</w:t>
      </w:r>
      <w:r w:rsidR="003928F7">
        <w:t xml:space="preserve"> </w:t>
      </w:r>
    </w:p>
    <w:p w14:paraId="72AE706A" w14:textId="77777777" w:rsidR="007A6184" w:rsidRDefault="00000000" w:rsidP="00396E59">
      <w:pPr>
        <w:pStyle w:val="BodyText"/>
        <w:jc w:val="both"/>
      </w:pPr>
      <w:r>
        <w:t>The object being optimised is a memory system: its retained exemplars, local latent codes, retrieval rules and, where trainable, a small set of slow parameters. The objective combines predictive fidelity, old-task retention, compatibility, storage and retrieval cost. Local consistency helps construct candidates. Behavioural evaluation decides whether they deserve to become durable memory.</w:t>
      </w:r>
    </w:p>
    <w:p w14:paraId="205CB2F0" w14:textId="77777777" w:rsidR="007A6184" w:rsidRDefault="00000000" w:rsidP="00396E59">
      <w:pPr>
        <w:pStyle w:val="Heading21"/>
        <w:jc w:val="both"/>
      </w:pPr>
      <w:bookmarkStart w:id="1" w:name="abstract"/>
      <w:r>
        <w:t>Abstract</w:t>
      </w:r>
    </w:p>
    <w:p w14:paraId="08A72127" w14:textId="65750457" w:rsidR="007A6184" w:rsidRDefault="00000000" w:rsidP="003F496C">
      <w:pPr>
        <w:pStyle w:val="FirstParagraph"/>
        <w:jc w:val="both"/>
      </w:pPr>
      <w:r>
        <w:t>Memory consolidation is formulated as a constrained optimisation over durable codes, retained exemplars and slow parameter updates. Autoregressive Sheaf Evolution supplies a candidate construction process: partial descriptions agree on calibrated shared observables, local reads recombine evaluated candidates, and an independent admission test protects old-task performance. We prove a soft-energy descent bound with a fixed anchor and a separate proximal bound when the anchor follows the current state. Compatible data admit coordinate compression, subject to an information floor determined by the future task. A finite-candidate retention certificate extends across sequential writes only when confidence and degradation budgets are allocated across batches. Strong priority suppresses evidence coverage, but does not by itself force the exact unregularised conditional read to abandon a feature. A fixed positive prior, an explicit cutoff or a finite computation budget changes that conclusion. The cortical interpretation is sharpened by a stable continuous-time circuit with separate representation and error populations, including finite error dynamics. Its settling rates depend on observation curvature, priors and both time constants. Least coverage gives a worst-case timing bound for a much narrower coordinate-overwrite model. Recent experiments support task-dependent, coordinated replay; they do not establish that cortex implements ASE, and procedural replay can be independent of the hippocampus. The supplied computations are reproduced and 29 new construction checks pass. Comparative optimisation gains and biological identification remain open, with seven explicit tests.</w:t>
      </w:r>
      <w:bookmarkStart w:id="2" w:name="what-changed-in-version-3"/>
      <w:bookmarkEnd w:id="1"/>
    </w:p>
    <w:p w14:paraId="0EAF94C9" w14:textId="77777777" w:rsidR="007A6184" w:rsidRDefault="00000000" w:rsidP="00396E59">
      <w:pPr>
        <w:pStyle w:val="Heading11"/>
        <w:jc w:val="both"/>
      </w:pPr>
      <w:bookmarkStart w:id="3" w:name="what-moves-from-short-term-to-long-term"/>
      <w:bookmarkEnd w:id="0"/>
      <w:bookmarkEnd w:id="2"/>
      <w:r>
        <w:t>1 What moves from short term to long term</w:t>
      </w:r>
    </w:p>
    <w:p w14:paraId="00EB9EAB" w14:textId="77777777" w:rsidR="007A6184" w:rsidRDefault="00000000" w:rsidP="00396E59">
      <w:pPr>
        <w:pStyle w:val="FirstParagraph"/>
        <w:jc w:val="both"/>
      </w:pPr>
      <w:r>
        <w:t xml:space="preserve">A useful operational definition of consolidation is </w:t>
      </w:r>
      <w:r>
        <w:rPr>
          <w:b/>
          <w:bCs/>
        </w:rPr>
        <w:t>reduced dependence on the original history at a declared task tolerance</w:t>
      </w:r>
      <w:r>
        <w:t xml:space="preserve">. Let </w:t>
      </w:r>
      <m:oMath>
        <m:r>
          <w:rPr>
            <w:rFonts w:ascii="Cambria Math" w:hAnsi="Cambria Math"/>
          </w:rPr>
          <m:t>H</m:t>
        </m:r>
      </m:oMath>
      <w:r>
        <w:t xml:space="preserve"> be the recent history, </w:t>
      </w:r>
      <m:oMath>
        <m:r>
          <w:rPr>
            <w:rFonts w:ascii="Cambria Math" w:hAnsi="Cambria Math"/>
          </w:rPr>
          <m:t>Q</m:t>
        </m:r>
      </m:oMath>
      <w:r>
        <w:t xml:space="preserve"> a future query, </w:t>
      </w:r>
      <m:oMath>
        <m:r>
          <w:rPr>
            <w:rFonts w:ascii="Cambria Math" w:hAnsi="Cambria Math"/>
          </w:rPr>
          <m:t>W</m:t>
        </m:r>
      </m:oMath>
      <w:r>
        <w:t xml:space="preserve"> the pre-existing slow system and </w:t>
      </w:r>
      <m:oMath>
        <m:r>
          <w:rPr>
            <w:rFonts w:ascii="Cambria Math" w:hAnsi="Cambria Math"/>
          </w:rPr>
          <m:t>M</m:t>
        </m:r>
      </m:oMath>
      <w:r>
        <w:t xml:space="preserve"> the durable update. Consolidation succeeds for a task distribution when a decoder using </w:t>
      </w:r>
      <m:oMath>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e>
        </m:d>
      </m:oMath>
      <w:r>
        <w:t xml:space="preserve"> reproduces the required response without reopening </w:t>
      </w:r>
      <m:oMath>
        <m:r>
          <w:rPr>
            <w:rFonts w:ascii="Cambria Math" w:hAnsi="Cambria Math"/>
          </w:rPr>
          <m:t>H</m:t>
        </m:r>
        <m:r>
          <m:rPr>
            <m:nor/>
          </m:rPr>
          <m:t>:</m:t>
        </m:r>
      </m:oMath>
    </w:p>
    <w:p w14:paraId="6A32A9B6" w14:textId="77777777" w:rsidR="007A6184" w:rsidRDefault="00000000" w:rsidP="00396E59">
      <w:pPr>
        <w:pStyle w:val="Equation"/>
        <w:jc w:val="both"/>
      </w:pPr>
      <w:r>
        <w:tab/>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w:rPr>
            <w:rFonts w:ascii="Cambria Math" w:hAnsi="Cambria Math"/>
          </w:rPr>
          <m:t> </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oMath>
      <w:r>
        <w:tab/>
        <w:t>(1)</w:t>
      </w:r>
    </w:p>
    <w:p w14:paraId="34A58FAC" w14:textId="77777777" w:rsidR="007A6184" w:rsidRDefault="00000000" w:rsidP="00396E59">
      <w:pPr>
        <w:pStyle w:val="BodyText"/>
        <w:jc w:val="both"/>
      </w:pPr>
      <w:r>
        <w:lastRenderedPageBreak/>
        <w:t>The approximation is measured by an explicit loss, not by visual similarity between embeddings. Examples include correct answers to engineering queries, decisions under changed loads, recognition under a missing modality, or prediction of a later event. The task family determines which information may be discarded.</w:t>
      </w:r>
    </w:p>
    <w:p w14:paraId="4E8595A5" w14:textId="77777777" w:rsidR="007A6184" w:rsidRDefault="00000000" w:rsidP="00396E59">
      <w:pPr>
        <w:pStyle w:val="BodyText"/>
        <w:jc w:val="both"/>
      </w:pPr>
      <w:r>
        <w:t xml:space="preserve">A memory may become durable in two ways. </w:t>
      </w:r>
      <w:r>
        <w:rPr>
          <w:b/>
          <w:bCs/>
        </w:rPr>
        <w:t>External consolidation</w:t>
      </w:r>
      <w:r>
        <w:t xml:space="preserve"> writes a persistent exemplar, schema, rule or latent code into an addressable store. </w:t>
      </w:r>
      <w:r>
        <w:rPr>
          <w:b/>
          <w:bCs/>
        </w:rPr>
        <w:t>Parametric consolidation</w:t>
      </w:r>
      <w:r>
        <w:t xml:space="preserve"> changes the slow decoder or its adapters so that future responses depend less on retrieving that exemplar. An unchanged backbone with a growing database performs the first kind. Claiming the second requires demonstrating useful performance when access to the original buffer, and where appropriate the new exemplar, is withdrawn.</w:t>
      </w:r>
    </w:p>
    <w:p w14:paraId="75CAC4D0" w14:textId="77777777" w:rsidR="007A6184" w:rsidRDefault="00000000" w:rsidP="00396E59">
      <w:pPr>
        <w:pStyle w:val="BodyText"/>
        <w:jc w:val="both"/>
      </w:pPr>
      <w:r>
        <w:t>The proposal therefore uses two outcome measures: retained task performance and the amount of historical evidence consulted at inference. Reduced context use alone is insufficient if accuracy falls. Improved accuracy with an ever-growing episode bank is useful, but does not establish compression or parametric consolidation.</w:t>
      </w:r>
    </w:p>
    <w:p w14:paraId="7EED52A6" w14:textId="77777777" w:rsidR="007A6184" w:rsidRDefault="00000000" w:rsidP="00396E59">
      <w:pPr>
        <w:pStyle w:val="Heading21"/>
        <w:jc w:val="both"/>
      </w:pPr>
      <w:bookmarkStart w:id="4" w:name="X324848ac38fa55a88858a24d7bc5e715db0aee8"/>
      <w:r>
        <w:t>1.1 Three memory roles and two learning timescales</w:t>
      </w:r>
    </w:p>
    <w:p w14:paraId="7188AA81" w14:textId="77777777" w:rsidR="007A6184" w:rsidRDefault="00000000" w:rsidP="00396E59">
      <w:pPr>
        <w:pStyle w:val="FirstParagraph"/>
        <w:jc w:val="both"/>
      </w:pPr>
      <w:r>
        <w:t>Working memory is the presently usable task state. An episodic buffer retains recoverable experiences after they leave that state. Long-term memory is the durable system of exemplars, associations and learned parameters. These are functional roles, not a claim that each occupies one anatomical location. Human working-memory experiments can reveal latent information after its actively decoded representation has fallen, so present activity cannot simply be equated with all temporary storage [5].</w:t>
      </w:r>
    </w:p>
    <w:p w14:paraId="23020EFA" w14:textId="77777777" w:rsidR="007A6184" w:rsidRDefault="00000000" w:rsidP="00396E59">
      <w:pPr>
        <w:pStyle w:val="BodyText"/>
        <w:jc w:val="both"/>
      </w:pPr>
      <w:r>
        <w:t xml:space="preserve">In the proposed implementation, fast inference updates an active code </w:t>
      </w:r>
      <m:oMath>
        <m:r>
          <w:rPr>
            <w:rFonts w:ascii="Cambria Math" w:hAnsi="Cambria Math"/>
          </w:rPr>
          <m:t>z</m:t>
        </m:r>
        <m:r>
          <m:rPr>
            <m:nor/>
          </m:rPr>
          <m:t>.</m:t>
        </m:r>
      </m:oMath>
      <w:r>
        <w:t xml:space="preserve"> Slow consolidation updates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θ</m:t>
            </m:r>
          </m:e>
        </m:d>
      </m:oMath>
      <w:r>
        <w:t xml:space="preserve"> over batches of replay. Use </w:t>
      </w:r>
      <m:oMath>
        <m:r>
          <w:rPr>
            <w:rFonts w:ascii="Cambria Math" w:hAnsi="Cambria Math"/>
          </w:rPr>
          <m:t>t</m:t>
        </m:r>
      </m:oMath>
      <w:r>
        <w:t xml:space="preserve"> for ASE computational depth, </w:t>
      </w:r>
      <m:oMath>
        <m:r>
          <w:rPr>
            <w:rFonts w:ascii="Cambria Math" w:hAnsi="Cambria Math"/>
          </w:rPr>
          <m:t>k</m:t>
        </m:r>
      </m:oMath>
      <w:r>
        <w:t xml:space="preserve"> for consolidation events and </w:t>
      </w:r>
      <m:oMath>
        <m:r>
          <m:rPr>
            <m:scr m:val="script"/>
            <m:sty m:val="p"/>
          </m:rPr>
          <w:rPr>
            <w:rFonts w:ascii="Cambria Math" w:hAnsi="Cambria Math"/>
          </w:rPr>
          <m:t>l</m:t>
        </m:r>
      </m:oMath>
      <w:r>
        <w:t xml:space="preserve"> for anatomical lamina. They are different indices. A sixteen-step optimiser is not a claim that cortex has sixteen anatomical layers, and a barcode indexed by </w:t>
      </w:r>
      <m:oMath>
        <m:r>
          <w:rPr>
            <w:rFonts w:ascii="Cambria Math" w:hAnsi="Cambria Math"/>
          </w:rPr>
          <m:t>t</m:t>
        </m:r>
      </m:oMath>
      <w:r>
        <w:t xml:space="preserve"> does not describe the lifetime of an engram indexed by </w:t>
      </w:r>
      <m:oMath>
        <m:r>
          <w:rPr>
            <w:rFonts w:ascii="Cambria Math" w:hAnsi="Cambria Math"/>
          </w:rPr>
          <m:t>k</m:t>
        </m:r>
        <m:r>
          <m:rPr>
            <m:nor/>
          </m:rPr>
          <m:t>.</m:t>
        </m:r>
      </m:oMath>
    </w:p>
    <w:p w14:paraId="210546E4" w14:textId="77777777" w:rsidR="007A6184" w:rsidRDefault="00000000" w:rsidP="00396E59">
      <w:pPr>
        <w:pStyle w:val="Heading11"/>
        <w:jc w:val="both"/>
      </w:pPr>
      <w:bookmarkStart w:id="5" w:name="the-objects-ase-must-keep-separate"/>
      <w:bookmarkEnd w:id="3"/>
      <w:bookmarkEnd w:id="4"/>
      <w:r>
        <w:t>2 The objects ASE must keep separate</w:t>
      </w:r>
    </w:p>
    <w:p w14:paraId="627D69E6" w14:textId="77777777" w:rsidR="007A6184" w:rsidRDefault="00000000" w:rsidP="00396E59">
      <w:pPr>
        <w:pStyle w:val="FirstParagraph"/>
        <w:jc w:val="both"/>
      </w:pPr>
      <w:r>
        <w:t>The distinction between evidence and proposed solutions is essential. A population optimiser searches an archive of evaluated candidates. A memory learner also consumes experiences. Combining those two kinds of records without a type distinction would allow a proposed memory to become its own evidence.</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77"/>
        <w:gridCol w:w="3881"/>
        <w:gridCol w:w="4306"/>
      </w:tblGrid>
      <w:tr w:rsidR="007A6184" w14:paraId="2D3F5985" w14:textId="77777777">
        <w:trPr>
          <w:cnfStyle w:val="100000000000" w:firstRow="1" w:lastRow="0" w:firstColumn="0" w:lastColumn="0" w:oddVBand="0" w:evenVBand="0" w:oddHBand="0" w:evenHBand="0" w:firstRowFirstColumn="0" w:firstRowLastColumn="0" w:lastRowFirstColumn="0" w:lastRowLastColumn="0"/>
          <w:cantSplit/>
          <w:tblHeader/>
        </w:trPr>
        <w:tc>
          <w:tcPr>
            <w:tcW w:w="1944" w:type="dxa"/>
            <w:shd w:val="clear" w:color="auto" w:fill="E7EBEF"/>
            <w:tcMar>
              <w:top w:w="60" w:type="dxa"/>
              <w:left w:w="85" w:type="dxa"/>
              <w:bottom w:w="60" w:type="dxa"/>
              <w:right w:w="85" w:type="dxa"/>
            </w:tcMar>
            <w:vAlign w:val="center"/>
          </w:tcPr>
          <w:p w14:paraId="00548AEE" w14:textId="77777777" w:rsidR="007A6184" w:rsidRDefault="00000000" w:rsidP="00396E59">
            <w:pPr>
              <w:pStyle w:val="Compact"/>
              <w:spacing w:before="20" w:after="40" w:line="254" w:lineRule="auto"/>
              <w:jc w:val="both"/>
            </w:pPr>
            <w:r>
              <w:rPr>
                <w:sz w:val="20"/>
              </w:rPr>
              <w:t>Object</w:t>
            </w:r>
          </w:p>
        </w:tc>
        <w:tc>
          <w:tcPr>
            <w:tcW w:w="3816" w:type="dxa"/>
            <w:shd w:val="clear" w:color="auto" w:fill="E7EBEF"/>
            <w:tcMar>
              <w:top w:w="60" w:type="dxa"/>
              <w:left w:w="85" w:type="dxa"/>
              <w:bottom w:w="60" w:type="dxa"/>
              <w:right w:w="85" w:type="dxa"/>
            </w:tcMar>
            <w:vAlign w:val="center"/>
          </w:tcPr>
          <w:p w14:paraId="46626EEE" w14:textId="77777777" w:rsidR="007A6184" w:rsidRDefault="00000000" w:rsidP="00396E59">
            <w:pPr>
              <w:pStyle w:val="Compact"/>
              <w:spacing w:before="20" w:after="40" w:line="254" w:lineRule="auto"/>
              <w:jc w:val="both"/>
            </w:pPr>
            <w:r>
              <w:rPr>
                <w:sz w:val="20"/>
              </w:rPr>
              <w:t>Contents</w:t>
            </w:r>
          </w:p>
        </w:tc>
        <w:tc>
          <w:tcPr>
            <w:tcW w:w="4234" w:type="dxa"/>
            <w:shd w:val="clear" w:color="auto" w:fill="E7EBEF"/>
            <w:tcMar>
              <w:top w:w="60" w:type="dxa"/>
              <w:left w:w="85" w:type="dxa"/>
              <w:bottom w:w="60" w:type="dxa"/>
              <w:right w:w="85" w:type="dxa"/>
            </w:tcMar>
            <w:vAlign w:val="center"/>
          </w:tcPr>
          <w:p w14:paraId="49466938" w14:textId="77777777" w:rsidR="007A6184" w:rsidRDefault="00000000" w:rsidP="00396E59">
            <w:pPr>
              <w:pStyle w:val="Compact"/>
              <w:spacing w:before="20" w:after="40" w:line="254" w:lineRule="auto"/>
              <w:jc w:val="both"/>
            </w:pPr>
            <w:r>
              <w:rPr>
                <w:sz w:val="20"/>
              </w:rPr>
              <w:t>Role and update rule</w:t>
            </w:r>
          </w:p>
        </w:tc>
      </w:tr>
      <w:tr w:rsidR="007A6184" w14:paraId="204FAA79" w14:textId="77777777">
        <w:trPr>
          <w:cantSplit/>
        </w:trPr>
        <w:tc>
          <w:tcPr>
            <w:tcW w:w="1944" w:type="dxa"/>
            <w:shd w:val="clear" w:color="auto" w:fill="FFFFFF"/>
            <w:tcMar>
              <w:top w:w="60" w:type="dxa"/>
              <w:left w:w="85" w:type="dxa"/>
              <w:bottom w:w="60" w:type="dxa"/>
              <w:right w:w="85" w:type="dxa"/>
            </w:tcMar>
            <w:vAlign w:val="center"/>
          </w:tcPr>
          <w:p w14:paraId="725A046D" w14:textId="77777777" w:rsidR="007A6184" w:rsidRDefault="00000000" w:rsidP="00396E59">
            <w:pPr>
              <w:pStyle w:val="Compact"/>
              <w:spacing w:before="20" w:after="40" w:line="254" w:lineRule="auto"/>
              <w:jc w:val="both"/>
            </w:pPr>
            <w:r>
              <w:rPr>
                <w:sz w:val="20"/>
              </w:rPr>
              <w:t xml:space="preserve">Evidence buffer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k</m:t>
                  </m:r>
                </m:sub>
              </m:sSub>
            </m:oMath>
          </w:p>
        </w:tc>
        <w:tc>
          <w:tcPr>
            <w:tcW w:w="3816" w:type="dxa"/>
            <w:shd w:val="clear" w:color="auto" w:fill="FFFFFF"/>
            <w:tcMar>
              <w:top w:w="60" w:type="dxa"/>
              <w:left w:w="85" w:type="dxa"/>
              <w:bottom w:w="60" w:type="dxa"/>
              <w:right w:w="85" w:type="dxa"/>
            </w:tcMar>
            <w:vAlign w:val="center"/>
          </w:tcPr>
          <w:p w14:paraId="0268C3E2" w14:textId="77777777" w:rsidR="007A6184" w:rsidRDefault="00000000" w:rsidP="00396E59">
            <w:pPr>
              <w:pStyle w:val="Compact"/>
              <w:spacing w:before="20" w:after="40" w:line="254" w:lineRule="auto"/>
              <w:jc w:val="both"/>
            </w:pPr>
            <w:r>
              <w:rPr>
                <w:sz w:val="20"/>
              </w:rPr>
              <w:t>Episodes, partial observations, task labels, provenance and uncertainty</w:t>
            </w:r>
          </w:p>
        </w:tc>
        <w:tc>
          <w:tcPr>
            <w:tcW w:w="4234" w:type="dxa"/>
            <w:shd w:val="clear" w:color="auto" w:fill="FFFFFF"/>
            <w:tcMar>
              <w:top w:w="60" w:type="dxa"/>
              <w:left w:w="85" w:type="dxa"/>
              <w:bottom w:w="60" w:type="dxa"/>
              <w:right w:w="85" w:type="dxa"/>
            </w:tcMar>
            <w:vAlign w:val="center"/>
          </w:tcPr>
          <w:p w14:paraId="082F795D" w14:textId="77777777" w:rsidR="007A6184" w:rsidRDefault="00000000" w:rsidP="00396E59">
            <w:pPr>
              <w:pStyle w:val="Compact"/>
              <w:spacing w:before="20" w:after="40" w:line="254" w:lineRule="auto"/>
              <w:jc w:val="both"/>
            </w:pPr>
            <w:r>
              <w:rPr>
                <w:sz w:val="20"/>
              </w:rPr>
              <w:t>Supplies replay and evaluation targets; synthetic completions retain their synthetic status</w:t>
            </w:r>
          </w:p>
        </w:tc>
      </w:tr>
      <w:tr w:rsidR="007A6184" w14:paraId="76027285" w14:textId="77777777">
        <w:trPr>
          <w:cantSplit/>
        </w:trPr>
        <w:tc>
          <w:tcPr>
            <w:tcW w:w="1944" w:type="dxa"/>
            <w:shd w:val="clear" w:color="auto" w:fill="F7F8F9"/>
            <w:tcMar>
              <w:top w:w="60" w:type="dxa"/>
              <w:left w:w="85" w:type="dxa"/>
              <w:bottom w:w="60" w:type="dxa"/>
              <w:right w:w="85" w:type="dxa"/>
            </w:tcMar>
            <w:vAlign w:val="center"/>
          </w:tcPr>
          <w:p w14:paraId="2B4BAB95" w14:textId="77777777" w:rsidR="007A6184" w:rsidRDefault="00000000" w:rsidP="00396E59">
            <w:pPr>
              <w:pStyle w:val="Compact"/>
              <w:spacing w:before="20" w:after="40" w:line="254" w:lineRule="auto"/>
              <w:jc w:val="both"/>
            </w:pPr>
            <w:r>
              <w:rPr>
                <w:sz w:val="20"/>
              </w:rPr>
              <w:t xml:space="preserve">Search archive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oMath>
          </w:p>
        </w:tc>
        <w:tc>
          <w:tcPr>
            <w:tcW w:w="3816" w:type="dxa"/>
            <w:shd w:val="clear" w:color="auto" w:fill="F7F8F9"/>
            <w:tcMar>
              <w:top w:w="60" w:type="dxa"/>
              <w:left w:w="85" w:type="dxa"/>
              <w:bottom w:w="60" w:type="dxa"/>
              <w:right w:w="85" w:type="dxa"/>
            </w:tcMar>
            <w:vAlign w:val="center"/>
          </w:tcPr>
          <w:p w14:paraId="1102303C" w14:textId="77777777" w:rsidR="007A6184" w:rsidRDefault="00000000" w:rsidP="00396E59">
            <w:pPr>
              <w:pStyle w:val="Compact"/>
              <w:spacing w:before="20" w:after="40" w:line="254" w:lineRule="auto"/>
              <w:jc w:val="both"/>
            </w:pPr>
            <w:r>
              <w:rPr>
                <w:sz w:val="20"/>
              </w:rPr>
              <w:t>Evaluated memory packages, local candidate coordinates, measured losses and costs</w:t>
            </w:r>
          </w:p>
        </w:tc>
        <w:tc>
          <w:tcPr>
            <w:tcW w:w="4234" w:type="dxa"/>
            <w:shd w:val="clear" w:color="auto" w:fill="F7F8F9"/>
            <w:tcMar>
              <w:top w:w="60" w:type="dxa"/>
              <w:left w:w="85" w:type="dxa"/>
              <w:bottom w:w="60" w:type="dxa"/>
              <w:right w:w="85" w:type="dxa"/>
            </w:tcMar>
            <w:vAlign w:val="center"/>
          </w:tcPr>
          <w:p w14:paraId="1C01395D" w14:textId="77777777" w:rsidR="007A6184" w:rsidRDefault="00000000" w:rsidP="00396E59">
            <w:pPr>
              <w:pStyle w:val="Compact"/>
              <w:spacing w:before="20" w:after="40" w:line="254" w:lineRule="auto"/>
              <w:jc w:val="both"/>
            </w:pPr>
            <w:r>
              <w:rPr>
                <w:sz w:val="20"/>
              </w:rPr>
              <w:t>Guides ASE proposals; a low loss is an evaluation result, not a new observed episode</w:t>
            </w:r>
          </w:p>
        </w:tc>
      </w:tr>
      <w:tr w:rsidR="007A6184" w14:paraId="1441D012" w14:textId="77777777">
        <w:trPr>
          <w:cantSplit/>
        </w:trPr>
        <w:tc>
          <w:tcPr>
            <w:tcW w:w="1944" w:type="dxa"/>
            <w:shd w:val="clear" w:color="auto" w:fill="FFFFFF"/>
            <w:tcMar>
              <w:top w:w="60" w:type="dxa"/>
              <w:left w:w="85" w:type="dxa"/>
              <w:bottom w:w="60" w:type="dxa"/>
              <w:right w:w="85" w:type="dxa"/>
            </w:tcMar>
            <w:vAlign w:val="center"/>
          </w:tcPr>
          <w:p w14:paraId="56F056AF" w14:textId="77777777" w:rsidR="007A6184" w:rsidRDefault="00000000" w:rsidP="00396E59">
            <w:pPr>
              <w:pStyle w:val="Compact"/>
              <w:spacing w:before="20" w:after="40" w:line="254" w:lineRule="auto"/>
              <w:jc w:val="both"/>
            </w:pPr>
            <w:r>
              <w:rPr>
                <w:sz w:val="20"/>
              </w:rPr>
              <w:t xml:space="preserve">Persistent memory </w:t>
            </w:r>
            <m:oMath>
              <m:sSub>
                <m:sSubPr>
                  <m:ctrlPr>
                    <w:rPr>
                      <w:rFonts w:ascii="Cambria Math" w:hAnsi="Cambria Math"/>
                    </w:rPr>
                  </m:ctrlPr>
                </m:sSubPr>
                <m:e>
                  <m:r>
                    <w:rPr>
                      <w:rFonts w:ascii="Cambria Math" w:hAnsi="Cambria Math"/>
                    </w:rPr>
                    <m:t>M</m:t>
                  </m:r>
                </m:e>
                <m:sub>
                  <m:r>
                    <w:rPr>
                      <w:rFonts w:ascii="Cambria Math" w:hAnsi="Cambria Math"/>
                    </w:rPr>
                    <m:t>k</m:t>
                  </m:r>
                </m:sub>
              </m:sSub>
            </m:oMath>
          </w:p>
        </w:tc>
        <w:tc>
          <w:tcPr>
            <w:tcW w:w="3816" w:type="dxa"/>
            <w:shd w:val="clear" w:color="auto" w:fill="FFFFFF"/>
            <w:tcMar>
              <w:top w:w="60" w:type="dxa"/>
              <w:left w:w="85" w:type="dxa"/>
              <w:bottom w:w="60" w:type="dxa"/>
              <w:right w:w="85" w:type="dxa"/>
            </w:tcMar>
            <w:vAlign w:val="center"/>
          </w:tcPr>
          <w:p w14:paraId="5D3A4B45" w14:textId="77777777" w:rsidR="007A6184" w:rsidRDefault="00000000" w:rsidP="00396E59">
            <w:pPr>
              <w:pStyle w:val="Compact"/>
              <w:spacing w:before="20" w:after="40" w:line="254" w:lineRule="auto"/>
              <w:jc w:val="both"/>
            </w:pPr>
            <w:r>
              <w:rPr>
                <w:sz w:val="20"/>
              </w:rPr>
              <w:t>Accepted exemplars, shared codes, schemas, indices and metadata</w:t>
            </w:r>
          </w:p>
        </w:tc>
        <w:tc>
          <w:tcPr>
            <w:tcW w:w="4234" w:type="dxa"/>
            <w:shd w:val="clear" w:color="auto" w:fill="FFFFFF"/>
            <w:tcMar>
              <w:top w:w="60" w:type="dxa"/>
              <w:left w:w="85" w:type="dxa"/>
              <w:bottom w:w="60" w:type="dxa"/>
              <w:right w:w="85" w:type="dxa"/>
            </w:tcMar>
            <w:vAlign w:val="center"/>
          </w:tcPr>
          <w:p w14:paraId="20666BC9" w14:textId="77777777" w:rsidR="007A6184" w:rsidRDefault="00000000" w:rsidP="00396E59">
            <w:pPr>
              <w:pStyle w:val="Compact"/>
              <w:spacing w:before="20" w:after="40" w:line="254" w:lineRule="auto"/>
              <w:jc w:val="both"/>
            </w:pPr>
            <w:r>
              <w:rPr>
                <w:sz w:val="20"/>
              </w:rPr>
              <w:t>Available after the recent buffer is detached; storage cost includes its supporting maps</w:t>
            </w:r>
          </w:p>
        </w:tc>
      </w:tr>
      <w:tr w:rsidR="007A6184" w14:paraId="00178EF0" w14:textId="77777777">
        <w:trPr>
          <w:cantSplit/>
        </w:trPr>
        <w:tc>
          <w:tcPr>
            <w:tcW w:w="1944" w:type="dxa"/>
            <w:shd w:val="clear" w:color="auto" w:fill="F7F8F9"/>
            <w:tcMar>
              <w:top w:w="60" w:type="dxa"/>
              <w:left w:w="85" w:type="dxa"/>
              <w:bottom w:w="60" w:type="dxa"/>
              <w:right w:w="85" w:type="dxa"/>
            </w:tcMar>
            <w:vAlign w:val="center"/>
          </w:tcPr>
          <w:p w14:paraId="3BD7F20B" w14:textId="77777777" w:rsidR="007A6184" w:rsidRDefault="00000000" w:rsidP="00396E59">
            <w:pPr>
              <w:pStyle w:val="Compact"/>
              <w:spacing w:before="20" w:after="40" w:line="254" w:lineRule="auto"/>
              <w:jc w:val="both"/>
            </w:pPr>
            <w:r>
              <w:rPr>
                <w:sz w:val="20"/>
              </w:rPr>
              <w:t xml:space="preserve">Slow parameters </w:t>
            </w:r>
            <m:oMath>
              <m:sSub>
                <m:sSubPr>
                  <m:ctrlPr>
                    <w:rPr>
                      <w:rFonts w:ascii="Cambria Math" w:hAnsi="Cambria Math"/>
                    </w:rPr>
                  </m:ctrlPr>
                </m:sSubPr>
                <m:e>
                  <m:r>
                    <w:rPr>
                      <w:rFonts w:ascii="Cambria Math" w:hAnsi="Cambria Math"/>
                    </w:rPr>
                    <m:t>θ</m:t>
                  </m:r>
                </m:e>
                <m:sub>
                  <m:r>
                    <w:rPr>
                      <w:rFonts w:ascii="Cambria Math" w:hAnsi="Cambria Math"/>
                    </w:rPr>
                    <m:t>k</m:t>
                  </m:r>
                </m:sub>
              </m:sSub>
            </m:oMath>
          </w:p>
        </w:tc>
        <w:tc>
          <w:tcPr>
            <w:tcW w:w="3816" w:type="dxa"/>
            <w:shd w:val="clear" w:color="auto" w:fill="F7F8F9"/>
            <w:tcMar>
              <w:top w:w="60" w:type="dxa"/>
              <w:left w:w="85" w:type="dxa"/>
              <w:bottom w:w="60" w:type="dxa"/>
              <w:right w:w="85" w:type="dxa"/>
            </w:tcMar>
            <w:vAlign w:val="center"/>
          </w:tcPr>
          <w:p w14:paraId="666D6FFA" w14:textId="77777777" w:rsidR="007A6184" w:rsidRDefault="00000000" w:rsidP="00396E59">
            <w:pPr>
              <w:pStyle w:val="Compact"/>
              <w:spacing w:before="20" w:after="40" w:line="254" w:lineRule="auto"/>
              <w:jc w:val="both"/>
            </w:pPr>
            <w:r>
              <w:rPr>
                <w:sz w:val="20"/>
              </w:rPr>
              <w:t>Decoder and adapter weights; calibrated observation maps when learned</w:t>
            </w:r>
          </w:p>
        </w:tc>
        <w:tc>
          <w:tcPr>
            <w:tcW w:w="4234" w:type="dxa"/>
            <w:shd w:val="clear" w:color="auto" w:fill="F7F8F9"/>
            <w:tcMar>
              <w:top w:w="60" w:type="dxa"/>
              <w:left w:w="85" w:type="dxa"/>
              <w:bottom w:w="60" w:type="dxa"/>
              <w:right w:w="85" w:type="dxa"/>
            </w:tcMar>
            <w:vAlign w:val="center"/>
          </w:tcPr>
          <w:p w14:paraId="0F6DBDD0" w14:textId="77777777" w:rsidR="007A6184" w:rsidRDefault="00000000" w:rsidP="00396E59">
            <w:pPr>
              <w:pStyle w:val="Compact"/>
              <w:spacing w:before="20" w:after="40" w:line="254" w:lineRule="auto"/>
              <w:jc w:val="both"/>
            </w:pPr>
            <w:r>
              <w:rPr>
                <w:sz w:val="20"/>
              </w:rPr>
              <w:t>Updated during consolidation; prior behaviour is tested before commitment</w:t>
            </w:r>
          </w:p>
        </w:tc>
      </w:tr>
      <w:tr w:rsidR="007A6184" w14:paraId="055EF347" w14:textId="77777777">
        <w:trPr>
          <w:cantSplit/>
        </w:trPr>
        <w:tc>
          <w:tcPr>
            <w:tcW w:w="1944" w:type="dxa"/>
            <w:shd w:val="clear" w:color="auto" w:fill="FFFFFF"/>
            <w:tcMar>
              <w:top w:w="60" w:type="dxa"/>
              <w:left w:w="85" w:type="dxa"/>
              <w:bottom w:w="60" w:type="dxa"/>
              <w:right w:w="85" w:type="dxa"/>
            </w:tcMar>
            <w:vAlign w:val="center"/>
          </w:tcPr>
          <w:p w14:paraId="22D32D69" w14:textId="77777777" w:rsidR="007A6184" w:rsidRDefault="00000000" w:rsidP="00396E59">
            <w:pPr>
              <w:pStyle w:val="Compact"/>
              <w:spacing w:before="20" w:after="40" w:line="254" w:lineRule="auto"/>
              <w:jc w:val="both"/>
            </w:pPr>
            <w:r>
              <w:rPr>
                <w:sz w:val="20"/>
              </w:rPr>
              <w:t xml:space="preserve">Active state </w:t>
            </w:r>
            <m:oMath>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t</m:t>
                  </m:r>
                </m:sub>
              </m:sSub>
            </m:oMath>
          </w:p>
        </w:tc>
        <w:tc>
          <w:tcPr>
            <w:tcW w:w="3816" w:type="dxa"/>
            <w:shd w:val="clear" w:color="auto" w:fill="FFFFFF"/>
            <w:tcMar>
              <w:top w:w="60" w:type="dxa"/>
              <w:left w:w="85" w:type="dxa"/>
              <w:bottom w:w="60" w:type="dxa"/>
              <w:right w:w="85" w:type="dxa"/>
            </w:tcMar>
            <w:vAlign w:val="center"/>
          </w:tcPr>
          <w:p w14:paraId="1A81CCAC" w14:textId="77777777" w:rsidR="007A6184" w:rsidRDefault="00000000" w:rsidP="00396E59">
            <w:pPr>
              <w:pStyle w:val="Compact"/>
              <w:spacing w:before="20" w:after="40" w:line="254" w:lineRule="auto"/>
              <w:jc w:val="both"/>
            </w:pPr>
            <w:r>
              <w:rPr>
                <w:sz w:val="20"/>
              </w:rPr>
              <w:t>A candidate code or a query-conditioned assignment of local codes</w:t>
            </w:r>
          </w:p>
        </w:tc>
        <w:tc>
          <w:tcPr>
            <w:tcW w:w="4234" w:type="dxa"/>
            <w:shd w:val="clear" w:color="auto" w:fill="FFFFFF"/>
            <w:tcMar>
              <w:top w:w="60" w:type="dxa"/>
              <w:left w:w="85" w:type="dxa"/>
              <w:bottom w:w="60" w:type="dxa"/>
              <w:right w:w="85" w:type="dxa"/>
            </w:tcMar>
            <w:vAlign w:val="center"/>
          </w:tcPr>
          <w:p w14:paraId="00959417" w14:textId="77777777" w:rsidR="007A6184" w:rsidRDefault="00000000" w:rsidP="00396E59">
            <w:pPr>
              <w:pStyle w:val="Compact"/>
              <w:spacing w:before="20" w:after="40" w:line="254" w:lineRule="auto"/>
              <w:jc w:val="both"/>
            </w:pPr>
            <w:r>
              <w:rPr>
                <w:sz w:val="20"/>
              </w:rPr>
              <w:t>Changes during one search or recall trajectory; it is not itself a permanent write</w:t>
            </w:r>
          </w:p>
        </w:tc>
      </w:tr>
    </w:tbl>
    <w:p w14:paraId="26A791C2" w14:textId="77777777" w:rsidR="007A6184" w:rsidRDefault="00000000" w:rsidP="00396E59">
      <w:pPr>
        <w:pStyle w:val="BodyText"/>
        <w:spacing w:before="140"/>
        <w:jc w:val="both"/>
      </w:pPr>
      <w:r>
        <w:t xml:space="preserve">The search archive is not an inference-time memory unless it is explicitly included in </w:t>
      </w:r>
      <m:oMath>
        <m:r>
          <w:rPr>
            <w:rFonts w:ascii="Cambria Math" w:hAnsi="Cambria Math"/>
          </w:rPr>
          <m:t>M</m:t>
        </m:r>
      </m:oMath>
      <w:r>
        <w:t xml:space="preserve"> and charged to the storage budget. Buffer-removal tests also prohibit undeclared access to that archive.</w:t>
      </w:r>
    </w:p>
    <w:p w14:paraId="058F8FD6" w14:textId="77777777" w:rsidR="007A6184" w:rsidRDefault="00000000" w:rsidP="00396E59">
      <w:pPr>
        <w:pStyle w:val="BodyText"/>
        <w:jc w:val="both"/>
      </w:pPr>
      <w:r>
        <w:t xml:space="preserve">The long-term state is </w:t>
      </w: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e>
        </m:d>
        <m:r>
          <m:rPr>
            <m:nor/>
          </m:rPr>
          <m:t>.</m:t>
        </m:r>
      </m:oMath>
      <w:r>
        <w:t xml:space="preserve"> A proposal may change either component or both. To keep the first implementation tractable, freeze the backbone, feature encoders and restriction maps within each consolidation </w:t>
      </w:r>
      <w:r>
        <w:lastRenderedPageBreak/>
        <w:t>batch. Search over a low-dimensional adapter, a collection of local codes and explicit exemplar-selection variables. Updating all neural weights with a population method is not the proposed starting point.</w:t>
      </w:r>
    </w:p>
    <w:p w14:paraId="6F8DBC73" w14:textId="77777777" w:rsidR="007A6184" w:rsidRDefault="00000000" w:rsidP="00396E59">
      <w:pPr>
        <w:pStyle w:val="CaptionedFigure"/>
        <w:jc w:val="both"/>
      </w:pPr>
      <w:r>
        <w:rPr>
          <w:noProof/>
        </w:rPr>
        <w:drawing>
          <wp:inline distT="0" distB="0" distL="0" distR="0" wp14:anchorId="1CED93E0" wp14:editId="614EC1E1">
            <wp:extent cx="6337300" cy="2503202"/>
            <wp:effectExtent l="0" t="0" r="0" b="0"/>
            <wp:docPr id="26" name="Picture" descr="Figure 1. Information and proposals follow different paths. The evidence buffer supplies replay targets. The search archive contains evaluated candidate memories. ASE constructs a candidate, which is trained or compiled and tested before it updates durable memory. The old slow state supplies retention targets and remains available for rollback."/>
            <wp:cNvGraphicFramePr/>
            <a:graphic xmlns:a="http://schemas.openxmlformats.org/drawingml/2006/main">
              <a:graphicData uri="http://schemas.openxmlformats.org/drawingml/2006/picture">
                <pic:pic xmlns:pic="http://schemas.openxmlformats.org/drawingml/2006/picture">
                  <pic:nvPicPr>
                    <pic:cNvPr id="27" name="Picture" descr="fig/architecture.png"/>
                    <pic:cNvPicPr>
                      <a:picLocks noChangeAspect="1" noChangeArrowheads="1"/>
                    </pic:cNvPicPr>
                  </pic:nvPicPr>
                  <pic:blipFill>
                    <a:blip r:embed="rId7"/>
                    <a:stretch>
                      <a:fillRect/>
                    </a:stretch>
                  </pic:blipFill>
                  <pic:spPr bwMode="auto">
                    <a:xfrm>
                      <a:off x="0" y="0"/>
                      <a:ext cx="6337300" cy="2503202"/>
                    </a:xfrm>
                    <a:prstGeom prst="rect">
                      <a:avLst/>
                    </a:prstGeom>
                    <a:noFill/>
                    <a:ln w="9525">
                      <a:noFill/>
                      <a:headEnd/>
                      <a:tailEnd/>
                    </a:ln>
                  </pic:spPr>
                </pic:pic>
              </a:graphicData>
            </a:graphic>
          </wp:inline>
        </w:drawing>
      </w:r>
    </w:p>
    <w:p w14:paraId="2B8376B6" w14:textId="77777777" w:rsidR="007A6184" w:rsidRDefault="00000000" w:rsidP="00396E59">
      <w:pPr>
        <w:pStyle w:val="ImageCaption"/>
        <w:keepLines/>
        <w:jc w:val="both"/>
      </w:pPr>
      <w:r>
        <w:t>Figure 1. Information and proposals follow different paths. The evidence buffer supplies replay targets. The search archive contains evaluated candidate memories. ASE constructs a candidate, which is trained or compiled and tested before it updates durable memory. The old slow state supplies retention targets and remains available for rollback.</w:t>
      </w:r>
    </w:p>
    <w:p w14:paraId="6D6DE7C6" w14:textId="77777777" w:rsidR="007A6184" w:rsidRDefault="00000000" w:rsidP="00396E59">
      <w:pPr>
        <w:pStyle w:val="Heading21"/>
        <w:jc w:val="both"/>
      </w:pPr>
      <w:bookmarkStart w:id="6" w:name="the-four-bases"/>
      <w:r>
        <w:t>2.1 The four bases</w:t>
      </w:r>
    </w:p>
    <w:p w14:paraId="2C6197F5" w14:textId="77777777" w:rsidR="007A6184" w:rsidRDefault="00000000" w:rsidP="00396E59">
      <w:pPr>
        <w:pStyle w:val="FirstParagraph"/>
        <w:jc w:val="both"/>
      </w:pPr>
      <w:r>
        <w:rPr>
          <w:b/>
          <w:bCs/>
        </w:rPr>
        <w:t>Cover base.</w:t>
      </w:r>
      <w:r>
        <w:t xml:space="preserve"> At computational layer </w:t>
      </w:r>
      <m:oMath>
        <m:r>
          <w:rPr>
            <w:rFonts w:ascii="Cambria Math" w:hAnsi="Cambria Math"/>
          </w:rPr>
          <m:t>t</m:t>
        </m:r>
        <m:r>
          <m:rPr>
            <m:nor/>
          </m:rPr>
          <m:t>,</m:t>
        </m:r>
      </m:oMath>
      <w:r>
        <w:t xml:space="preserve"> a latent domain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has an open cover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nor/>
          </m:rPr>
          <m:t>.</m:t>
        </m:r>
      </m:oMath>
      <w:r>
        <w:t xml:space="preserve"> The nerve describes local geometric neighbourhoods. Scale determines a resolution policy; it does not guarantee a good or Leray cover.</w:t>
      </w:r>
    </w:p>
    <w:p w14:paraId="370F63C0" w14:textId="77777777" w:rsidR="007A6184" w:rsidRDefault="00000000" w:rsidP="00396E59">
      <w:pPr>
        <w:pStyle w:val="BodyText"/>
        <w:jc w:val="both"/>
      </w:pPr>
      <w:r>
        <w:rPr>
          <w:b/>
          <w:bCs/>
        </w:rPr>
        <w:t>Context base.</w:t>
      </w:r>
      <w:r>
        <w:t xml:space="preserve"> A family of observed variable subsets describes which modalities or features co-occur. Its nerve or incidence structure records partial information. It is not automatically the nerve of an open cover of latent space.</w:t>
      </w:r>
    </w:p>
    <w:p w14:paraId="64729D1B" w14:textId="77777777" w:rsidR="007A6184" w:rsidRDefault="00000000" w:rsidP="00396E59">
      <w:pPr>
        <w:pStyle w:val="BodyText"/>
        <w:jc w:val="both"/>
      </w:pPr>
      <w:r>
        <w:rPr>
          <w:b/>
          <w:bCs/>
        </w:rPr>
        <w:t>Layer order.</w:t>
      </w:r>
      <w:r>
        <w:t xml:space="preserve"> The chain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indexes one computation. Specified linear maps and pathwise tangents live here.</w:t>
      </w:r>
    </w:p>
    <w:p w14:paraId="1C020547" w14:textId="77777777" w:rsidR="007A6184" w:rsidRDefault="00000000" w:rsidP="00396E59">
      <w:pPr>
        <w:pStyle w:val="BodyText"/>
        <w:jc w:val="both"/>
      </w:pPr>
      <w:r>
        <w:rPr>
          <w:b/>
          <w:bCs/>
        </w:rPr>
        <w:t>Observation star.</w:t>
      </w:r>
      <w:r>
        <w:t xml:space="preserve"> At a query or candidate, the centre receives partial observations from retrieved records. The star determines a harmonic read. It is auxiliary and is not the cover nerve [1, 2].</w:t>
      </w:r>
    </w:p>
    <w:p w14:paraId="149140EC" w14:textId="77777777" w:rsidR="007A6184" w:rsidRDefault="00000000" w:rsidP="00396E59">
      <w:pPr>
        <w:pStyle w:val="BodyText"/>
        <w:jc w:val="both"/>
      </w:pPr>
      <w:r>
        <w:t>Here the four bases are the cover base with its nerve, the context base, the layer order and the observation star, following Part I. The underlying latent domain is recorded together with its cover; it is not silently substituted for the context base. An implementation records the base for every operator. A comparison between changing bases requires a declared refinement, pullback or correspondence. Rectangular restrictions represent partial observations; they are not invertible coordinate transformations.</w:t>
      </w:r>
    </w:p>
    <w:p w14:paraId="23746631" w14:textId="77777777" w:rsidR="007A6184" w:rsidRDefault="00000000" w:rsidP="00396E59">
      <w:pPr>
        <w:pStyle w:val="Heading11"/>
        <w:jc w:val="both"/>
      </w:pPr>
      <w:bookmarkStart w:id="7" w:name="the-consolidation-optimisation-problem"/>
      <w:bookmarkEnd w:id="5"/>
      <w:bookmarkEnd w:id="6"/>
      <w:r>
        <w:t>3 The consolidation optimisation problem</w:t>
      </w:r>
    </w:p>
    <w:p w14:paraId="43813214" w14:textId="77777777" w:rsidR="007A6184" w:rsidRDefault="00000000" w:rsidP="00396E59">
      <w:pPr>
        <w:pStyle w:val="FirstParagraph"/>
        <w:jc w:val="both"/>
      </w:pPr>
      <w:r>
        <w:t xml:space="preserve">Let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e>
        </m:d>
      </m:oMath>
      <w:r>
        <w:t xml:space="preserve"> be the current slow state. A candidate package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Δθ</m:t>
            </m:r>
          </m:e>
        </m:d>
      </m:oMath>
      <w:r>
        <w:t xml:space="preserve"> specifies a branch or schema </w:t>
      </w:r>
      <m:oMath>
        <m:r>
          <w:rPr>
            <w:rFonts w:ascii="Cambria Math" w:hAnsi="Cambria Math"/>
          </w:rPr>
          <m:t>b</m:t>
        </m:r>
        <m:r>
          <m:rPr>
            <m:nor/>
          </m:rPr>
          <m:t>,</m:t>
        </m:r>
      </m:oMath>
      <w:r>
        <w:t xml:space="preserve"> a memory update and a permitted parameter update. Its decoder is </w:t>
      </w:r>
      <m:oMath>
        <m:sSub>
          <m:sSubPr>
            <m:ctrlPr>
              <w:rPr>
                <w:rFonts w:ascii="Cambria Math" w:hAnsi="Cambria Math"/>
              </w:rPr>
            </m:ctrlPr>
          </m:sSubPr>
          <m:e>
            <m:r>
              <w:rPr>
                <w:rFonts w:ascii="Cambria Math" w:hAnsi="Cambria Math"/>
              </w:rPr>
              <m:t>f</m:t>
            </m:r>
          </m:e>
          <m:sub>
            <m:r>
              <w:rPr>
                <w:rFonts w:ascii="Cambria Math" w:hAnsi="Cambria Math"/>
              </w:rPr>
              <m:t>u</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r>
              <w:rPr>
                <w:rFonts w:ascii="Cambria Math" w:hAnsi="Cambria Math"/>
              </w:rPr>
              <m:t>Δθ</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M</m:t>
            </m:r>
          </m:e>
        </m:d>
        <m:r>
          <m:rPr>
            <m:nor/>
          </m:rPr>
          <m:t>.</m:t>
        </m:r>
      </m:oMath>
      <w:r>
        <w:t xml:space="preserve"> A branch can represent distinct task contexts, source identities or mutually exclusive hypotheses. Branch labels are retained when their distinction matters for future queries. At inference, cues or a trained router must choose a branch; an oracle test label is unavailable.</w:t>
      </w:r>
    </w:p>
    <w:p w14:paraId="4E6AFFA8" w14:textId="77777777" w:rsidR="007A6184" w:rsidRDefault="00000000" w:rsidP="00396E59">
      <w:pPr>
        <w:pStyle w:val="BodyText"/>
        <w:jc w:val="both"/>
      </w:pPr>
      <w:r>
        <w:t>Use normalised task losses to define</w:t>
      </w:r>
    </w:p>
    <w:p w14:paraId="79DEBA6D" w14:textId="77777777" w:rsidR="007A6184" w:rsidRDefault="00000000" w:rsidP="00396E59">
      <w:pPr>
        <w:pStyle w:val="Equation"/>
        <w:jc w:val="both"/>
      </w:pPr>
      <w:r>
        <w:tab/>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recent</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m:rPr>
                <m:sty m:val="p"/>
              </m:rPr>
              <w:rPr>
                <w:rFonts w:ascii="Cambria Math" w:hAnsi="Cambria Math"/>
              </w:rPr>
              <m:t>old</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m:rPr>
                <m:sty m:val="p"/>
              </m:rPr>
              <w:rPr>
                <w:rFonts w:ascii="Cambria Math" w:hAnsi="Cambria Math"/>
              </w:rPr>
              <m:t>glue</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store</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C</m:t>
            </m:r>
          </m:e>
          <m:sub>
            <m:r>
              <m:rPr>
                <m:sty m:val="p"/>
              </m:rPr>
              <w:rPr>
                <w:rFonts w:ascii="Cambria Math" w:hAnsi="Cambria Math"/>
              </w:rPr>
              <m:t>query</m:t>
            </m:r>
          </m:sub>
        </m:sSub>
        <m:d>
          <m:dPr>
            <m:ctrlPr>
              <w:rPr>
                <w:rFonts w:ascii="Cambria Math" w:hAnsi="Cambria Math"/>
              </w:rPr>
            </m:ctrlPr>
          </m:dPr>
          <m:e>
            <m:r>
              <w:rPr>
                <w:rFonts w:ascii="Cambria Math" w:hAnsi="Cambria Math"/>
              </w:rPr>
              <m:t>u</m:t>
            </m:r>
          </m:e>
        </m:d>
        <m:r>
          <m:rPr>
            <m:sty m:val="p"/>
          </m:rPr>
          <w:rPr>
            <w:rFonts w:ascii="Cambria Math" w:hAnsi="Cambria Math"/>
          </w:rPr>
          <m:t>.</m:t>
        </m:r>
      </m:oMath>
      <w:r>
        <w:tab/>
        <w:t>(2)</w:t>
      </w:r>
    </w:p>
    <w:p w14:paraId="70A2E51A" w14:textId="77777777" w:rsidR="007A6184" w:rsidRDefault="00000000" w:rsidP="00396E59">
      <w:pPr>
        <w:pStyle w:val="BodyText"/>
        <w:jc w:val="both"/>
      </w:pPr>
      <w:r>
        <w:lastRenderedPageBreak/>
        <w:t xml:space="preserve">Here </w:t>
      </w:r>
      <m:oMath>
        <m:sSub>
          <m:sSubPr>
            <m:ctrlPr>
              <w:rPr>
                <w:rFonts w:ascii="Cambria Math" w:hAnsi="Cambria Math"/>
              </w:rPr>
            </m:ctrlPr>
          </m:sSubPr>
          <m:e>
            <m:r>
              <w:rPr>
                <w:rFonts w:ascii="Cambria Math" w:hAnsi="Cambria Math"/>
              </w:rPr>
              <m:t>D</m:t>
            </m:r>
          </m:e>
          <m:sub>
            <m:r>
              <m:rPr>
                <m:sty m:val="p"/>
              </m:rPr>
              <w:rPr>
                <w:rFonts w:ascii="Cambria Math" w:hAnsi="Cambria Math"/>
              </w:rPr>
              <m:t>recent</m:t>
            </m:r>
          </m:sub>
        </m:sSub>
      </m:oMath>
      <w:r>
        <w:t xml:space="preserve"> measures performance on recent evidence or a frozen teacher distribution; </w:t>
      </w:r>
      <m:oMath>
        <m:sSub>
          <m:sSubPr>
            <m:ctrlPr>
              <w:rPr>
                <w:rFonts w:ascii="Cambria Math" w:hAnsi="Cambria Math"/>
              </w:rPr>
            </m:ctrlPr>
          </m:sSubPr>
          <m:e>
            <m:r>
              <w:rPr>
                <w:rFonts w:ascii="Cambria Math" w:hAnsi="Cambria Math"/>
              </w:rPr>
              <m:t>D</m:t>
            </m:r>
          </m:e>
          <m:sub>
            <m:r>
              <m:rPr>
                <m:sty m:val="p"/>
              </m:rPr>
              <w:rPr>
                <w:rFonts w:ascii="Cambria Math" w:hAnsi="Cambria Math"/>
              </w:rPr>
              <m:t>old</m:t>
            </m:r>
          </m:sub>
        </m:sSub>
      </m:oMath>
      <w:r>
        <w:t xml:space="preserve"> measures retention on old training anchors; </w:t>
      </w:r>
      <m:oMath>
        <m:sSub>
          <m:sSubPr>
            <m:ctrlPr>
              <w:rPr>
                <w:rFonts w:ascii="Cambria Math" w:hAnsi="Cambria Math"/>
              </w:rPr>
            </m:ctrlPr>
          </m:sSubPr>
          <m:e>
            <m:r>
              <w:rPr>
                <w:rFonts w:ascii="Cambria Math" w:hAnsi="Cambria Math"/>
              </w:rPr>
              <m:t>E</m:t>
            </m:r>
          </m:e>
          <m:sub>
            <m:r>
              <m:rPr>
                <m:sty m:val="p"/>
              </m:rPr>
              <w:rPr>
                <w:rFonts w:ascii="Cambria Math" w:hAnsi="Cambria Math"/>
              </w:rPr>
              <m:t>glue</m:t>
            </m:r>
          </m:sub>
        </m:sSub>
      </m:oMath>
      <w:r>
        <w:t xml:space="preserve"> penalises disagreements on genuinely shared observables; </w:t>
      </w:r>
      <m:oMath>
        <m:sSub>
          <m:sSubPr>
            <m:ctrlPr>
              <w:rPr>
                <w:rFonts w:ascii="Cambria Math" w:hAnsi="Cambria Math"/>
              </w:rPr>
            </m:ctrlPr>
          </m:sSubPr>
          <m:e>
            <m:r>
              <w:rPr>
                <w:rFonts w:ascii="Cambria Math" w:hAnsi="Cambria Math"/>
              </w:rPr>
              <m:t>C</m:t>
            </m:r>
          </m:e>
          <m:sub>
            <m:r>
              <m:rPr>
                <m:sty m:val="p"/>
              </m:rPr>
              <w:rPr>
                <w:rFonts w:ascii="Cambria Math" w:hAnsi="Cambria Math"/>
              </w:rPr>
              <m:t>store</m:t>
            </m:r>
          </m:sub>
        </m:sSub>
      </m:oMath>
      <w:r>
        <w:t xml:space="preserve"> counts all persisted bytes, including adapters, maps, routing, metadata and retained rollback versions; and </w:t>
      </w:r>
      <m:oMath>
        <m:sSub>
          <m:sSubPr>
            <m:ctrlPr>
              <w:rPr>
                <w:rFonts w:ascii="Cambria Math" w:hAnsi="Cambria Math"/>
              </w:rPr>
            </m:ctrlPr>
          </m:sSubPr>
          <m:e>
            <m:r>
              <w:rPr>
                <w:rFonts w:ascii="Cambria Math" w:hAnsi="Cambria Math"/>
              </w:rPr>
              <m:t>C</m:t>
            </m:r>
          </m:e>
          <m:sub>
            <m:r>
              <m:rPr>
                <m:sty m:val="p"/>
              </m:rPr>
              <w:rPr>
                <w:rFonts w:ascii="Cambria Math" w:hAnsi="Cambria Math"/>
              </w:rPr>
              <m:t>query</m:t>
            </m:r>
          </m:sub>
        </m:sSub>
      </m:oMath>
      <w:r>
        <w:t xml:space="preserve"> measures expected inference cost. The objective coefficients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oMath>
      <w:r>
        <w:t xml:space="preserve"> are nonnegative and have declared scales. The search is also subject to explicit constraints:</w:t>
      </w:r>
    </w:p>
    <w:p w14:paraId="343BF9E0"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C</m:t>
            </m:r>
          </m:e>
          <m:sub>
            <m:r>
              <m:rPr>
                <m:sty m:val="p"/>
              </m:rPr>
              <w:rPr>
                <w:rFonts w:ascii="Cambria Math" w:hAnsi="Cambria Math"/>
              </w:rPr>
              <m:t>store</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query</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r>
          <m:rPr>
            <m:sty m:val="p"/>
          </m:rPr>
          <w:rPr>
            <w:rFonts w:ascii="Cambria Math" w:hAnsi="Cambria Math"/>
          </w:rPr>
          <m:t>.</m:t>
        </m:r>
      </m:oMath>
      <w:r>
        <w:tab/>
        <w:t>(3)</w:t>
      </w:r>
    </w:p>
    <w:p w14:paraId="7BEDE1B6" w14:textId="77777777" w:rsidR="007A6184" w:rsidRDefault="00000000" w:rsidP="00396E59">
      <w:pPr>
        <w:pStyle w:val="BodyText"/>
        <w:jc w:val="both"/>
      </w:pPr>
      <w:r>
        <w:t xml:space="preserve">The admissible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k</m:t>
            </m:r>
          </m:sub>
        </m:sSub>
      </m:oMath>
      <w:r>
        <w:t xml:space="preserve"> includes branch semantics, provenance rules and any exact feasibility conditions. Held-out old-task protection is applied separately at final admission. An objective penalty cannot replace a hard requirement merely because its coefficient is large.</w:t>
      </w:r>
    </w:p>
    <w:p w14:paraId="6FF8ED10" w14:textId="77777777" w:rsidR="007A6184" w:rsidRDefault="00000000" w:rsidP="00396E59">
      <w:pPr>
        <w:pStyle w:val="BodyText"/>
        <w:jc w:val="both"/>
      </w:pPr>
      <w:r>
        <w:t xml:space="preserve">For </w:t>
      </w:r>
      <m:oMath>
        <m:r>
          <w:rPr>
            <w:rFonts w:ascii="Cambria Math" w:hAnsi="Cambria Math"/>
          </w:rPr>
          <m:t>0</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1</m:t>
        </m:r>
        <m:r>
          <m:rPr>
            <m:nor/>
          </m:rPr>
          <m:t>,</m:t>
        </m:r>
      </m:oMath>
      <w:r>
        <w:t xml:space="preserve"> a practical recent-loss term mixes labelled task loss and teacher distillation:</w:t>
      </w:r>
    </w:p>
    <w:p w14:paraId="3BAB7905" w14:textId="77777777" w:rsidR="007A6184" w:rsidRDefault="00000000" w:rsidP="00396E59">
      <w:pPr>
        <w:pStyle w:val="Equation"/>
        <w:keepNext/>
        <w:jc w:val="both"/>
      </w:pPr>
      <w:r>
        <w:tab/>
      </w:r>
      <m:oMath>
        <m:sSub>
          <m:sSubPr>
            <m:ctrlPr>
              <w:rPr>
                <w:rFonts w:ascii="Cambria Math" w:hAnsi="Cambria Math"/>
              </w:rPr>
            </m:ctrlPr>
          </m:sSubPr>
          <m:e>
            <m:r>
              <w:rPr>
                <w:rFonts w:ascii="Cambria Math" w:hAnsi="Cambria Math"/>
              </w:rPr>
              <m:t>D</m:t>
            </m:r>
          </m:e>
          <m:sub>
            <m:r>
              <m:rPr>
                <m:sty m:val="p"/>
              </m:rPr>
              <w:rPr>
                <w:rFonts w:ascii="Cambria Math" w:hAnsi="Cambria Math"/>
              </w:rPr>
              <m:t>recent</m:t>
            </m:r>
          </m:sub>
        </m:sSub>
        <m:d>
          <m:dPr>
            <m:ctrlPr>
              <w:rPr>
                <w:rFonts w:ascii="Cambria Math" w:hAnsi="Cambria Math"/>
              </w:rPr>
            </m:ctrlPr>
          </m:dPr>
          <m:e>
            <m:r>
              <w:rPr>
                <w:rFonts w:ascii="Cambria Math" w:hAnsi="Cambria Math"/>
              </w:rPr>
              <m:t>u</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k</m:t>
                </m:r>
              </m:sub>
            </m:sSub>
          </m:sub>
        </m:sSub>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u</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y</m:t>
            </m:r>
          </m:e>
        </m:d>
      </m:oMath>
    </w:p>
    <w:p w14:paraId="3C4E988C" w14:textId="77777777" w:rsidR="007A6184" w:rsidRDefault="00000000" w:rsidP="00396E59">
      <w:pPr>
        <w:pStyle w:val="Equation"/>
        <w:jc w:val="both"/>
      </w:pPr>
      <w:r>
        <w:tab/>
      </w:r>
      <m:oMath>
        <m:r>
          <w:rPr>
            <w:rFonts w:ascii="Cambria Math" w:hAnsi="Cambria Math"/>
          </w:rPr>
          <m:t> </m:t>
        </m:r>
        <m:r>
          <m:rPr>
            <m:sty m:val="p"/>
          </m:rPr>
          <w:rPr>
            <w:rFonts w:ascii="Cambria Math" w:hAnsi="Cambria Math"/>
          </w:rPr>
          <m:t>+</m:t>
        </m:r>
        <m:r>
          <w:rPr>
            <w:rFonts w:ascii="Cambria Math" w:hAnsi="Cambria Math"/>
          </w:rPr>
          <m:t>ρ </m:t>
        </m:r>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k</m:t>
                </m:r>
              </m:sub>
            </m:sSub>
          </m:sub>
        </m:sSub>
        <m:r>
          <m:rPr>
            <m:sty m:val="p"/>
          </m:rP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teach</m:t>
                </m:r>
              </m:sub>
            </m:sSub>
            <m:d>
              <m:dPr>
                <m:ctrlPr>
                  <w:rPr>
                    <w:rFonts w:ascii="Cambria Math" w:hAnsi="Cambria Math"/>
                  </w:rPr>
                </m:ctrlPr>
              </m:dPr>
              <m:e>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d>
              <m:dPr>
                <m:ctrlPr>
                  <w:rPr>
                    <w:rFonts w:ascii="Cambria Math" w:hAnsi="Cambria Math"/>
                  </w:rPr>
                </m:ctrlPr>
              </m:dPr>
              <m:e>
                <m:r>
                  <m:rPr>
                    <m:sty m:val="p"/>
                  </m:rPr>
                  <w:rPr>
                    <w:rFonts w:ascii="Cambria Math" w:hAnsi="Cambria Math"/>
                  </w:rPr>
                  <m:t>⋅∣</m:t>
                </m:r>
                <m:r>
                  <w:rPr>
                    <w:rFonts w:ascii="Cambria Math" w:hAnsi="Cambria Math"/>
                  </w:rPr>
                  <m:t>q</m:t>
                </m:r>
              </m:e>
            </m:d>
          </m:e>
        </m:d>
        <m:r>
          <m:rPr>
            <m:sty m:val="p"/>
          </m:rPr>
          <w:rPr>
            <w:rFonts w:ascii="Cambria Math" w:hAnsi="Cambria Math"/>
          </w:rPr>
          <m:t>.</m:t>
        </m:r>
      </m:oMath>
      <w:r>
        <w:tab/>
        <w:t>(4)</w:t>
      </w:r>
    </w:p>
    <w:p w14:paraId="2E3F03A2" w14:textId="77777777" w:rsidR="007A6184" w:rsidRDefault="00000000" w:rsidP="00396E59">
      <w:pPr>
        <w:pStyle w:val="BodyText"/>
        <w:jc w:val="both"/>
      </w:pPr>
      <w:r>
        <w:t>For discrete responses, the candidate distribution must have adequate support for this KL term to be finite. For continuous outputs, use a declared predictive distribution or a suitably scaled regression loss. A teacher can preserve a mistake; measured agreement with it is fidelity to that teacher, not a truth certificate. Labelled tests and independent verification remain distinct.</w:t>
      </w:r>
    </w:p>
    <w:p w14:paraId="427B3059" w14:textId="77777777" w:rsidR="007A6184" w:rsidRDefault="00000000" w:rsidP="00396E59">
      <w:pPr>
        <w:pStyle w:val="Heading21"/>
        <w:jc w:val="both"/>
      </w:pPr>
      <w:bookmarkStart w:id="8" w:name="a-durable-memory-is-a-family-of-sections"/>
      <w:r>
        <w:t>3.1 A durable memory is a family of sections</w:t>
      </w:r>
    </w:p>
    <w:p w14:paraId="0AFA9FA6" w14:textId="77777777" w:rsidR="007A6184" w:rsidRDefault="00000000" w:rsidP="00396E59">
      <w:pPr>
        <w:pStyle w:val="FirstParagraph"/>
        <w:jc w:val="both"/>
      </w:pPr>
      <w:r>
        <w:t xml:space="preserve">The target is not one global section that represents every episode simultaneously. That would average incompatible experiences. The target is a query- and branch-conditioned decoder </w:t>
      </w:r>
      <m:oMath>
        <m:r>
          <w:rPr>
            <w:rFonts w:ascii="Cambria Math" w:hAnsi="Cambria Math"/>
          </w:rPr>
          <m:t>q</m:t>
        </m:r>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b</m:t>
            </m:r>
          </m:e>
        </m:d>
      </m:oMath>
      <w:r>
        <w:t xml:space="preserve"> whose local descriptions agree where they refer to the same quantity. Two different people, dates or task rules can require different sections. A global section within one declared context is compatible with multiple contextual memories in the same system.</w:t>
      </w:r>
    </w:p>
    <w:p w14:paraId="4BCB6A90" w14:textId="77777777" w:rsidR="007A6184" w:rsidRDefault="00000000" w:rsidP="00396E59">
      <w:pPr>
        <w:pStyle w:val="BodyText"/>
        <w:jc w:val="both"/>
      </w:pPr>
      <w:r>
        <w:t xml:space="preserve">Restriction maps must not be learned solely by minimising </w:t>
      </w:r>
      <m:oMath>
        <m:sSub>
          <m:sSubPr>
            <m:ctrlPr>
              <w:rPr>
                <w:rFonts w:ascii="Cambria Math" w:hAnsi="Cambria Math"/>
              </w:rPr>
            </m:ctrlPr>
          </m:sSubPr>
          <m:e>
            <m:r>
              <w:rPr>
                <w:rFonts w:ascii="Cambria Math" w:hAnsi="Cambria Math"/>
              </w:rPr>
              <m:t>E</m:t>
            </m:r>
          </m:e>
          <m:sub>
            <m:r>
              <m:rPr>
                <m:sty m:val="p"/>
              </m:rPr>
              <w:rPr>
                <w:rFonts w:ascii="Cambria Math" w:hAnsi="Cambria Math"/>
              </w:rPr>
              <m:t>glue</m:t>
            </m:r>
          </m:sub>
        </m:sSub>
        <m:r>
          <m:rPr>
            <m:nor/>
          </m:rPr>
          <m:t>.</m:t>
        </m:r>
      </m:oMath>
      <w:r>
        <w:t xml:space="preserve"> Setting every map to zero makes all residuals vanish while destroying information. Calibrate maps against observable shared quantities, fix their ranks or impose suitable normalisation, and test them out of sample. When geometry changes, treat it as a model update with its own validation cost.</w:t>
      </w:r>
    </w:p>
    <w:p w14:paraId="55C3E62F" w14:textId="77777777" w:rsidR="007A6184" w:rsidRDefault="00000000" w:rsidP="00396E59">
      <w:pPr>
        <w:pStyle w:val="Heading11"/>
        <w:jc w:val="both"/>
      </w:pPr>
      <w:bookmarkStart w:id="9" w:name="a-solvable-horizontal-consolidation-step"/>
      <w:bookmarkEnd w:id="7"/>
      <w:bookmarkEnd w:id="8"/>
      <w:r>
        <w:t>4 A solvable horizontal consolidation step</w:t>
      </w:r>
    </w:p>
    <w:p w14:paraId="57628B0A" w14:textId="77777777" w:rsidR="007A6184" w:rsidRDefault="00000000" w:rsidP="00396E59">
      <w:pPr>
        <w:pStyle w:val="FirstParagraph"/>
        <w:jc w:val="both"/>
      </w:pPr>
      <w:r>
        <w:t xml:space="preserve">Work on one fixed, dimensionless context or cover model with cochain space </w:t>
      </w:r>
      <m:oMath>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rPr>
          <m:t>F</m:t>
        </m:r>
        <m:d>
          <m:dPr>
            <m:ctrlPr>
              <w:rPr>
                <w:rFonts w:ascii="Cambria Math" w:hAnsi="Cambria Math"/>
              </w:rPr>
            </m:ctrlPr>
          </m:dPr>
          <m:e>
            <m:r>
              <w:rPr>
                <w:rFonts w:ascii="Cambria Math" w:hAnsi="Cambria Math"/>
              </w:rPr>
              <m:t>v</m:t>
            </m:r>
          </m:e>
        </m:d>
      </m:oMath>
      <w:r>
        <w:t xml:space="preserve"> and coboundary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[11]. For an edge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nor/>
          </m:rPr>
          <m:t>,</m:t>
        </m:r>
      </m:oMath>
      <w:r>
        <w:t xml:space="preserve"> the component of </w:t>
      </w:r>
      <m:oMath>
        <m:r>
          <w:rPr>
            <w:rFonts w:ascii="Cambria Math" w:hAnsi="Cambria Math"/>
          </w:rPr>
          <m:t>δx</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we</m:t>
            </m:r>
          </m:sub>
        </m:sSub>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x</m:t>
            </m:r>
          </m:e>
          <m:sub>
            <m:r>
              <w:rPr>
                <w:rFonts w:ascii="Cambria Math" w:hAnsi="Cambria Math"/>
              </w:rPr>
              <m:t>v</m:t>
            </m:r>
          </m:sub>
        </m:sSub>
        <m:r>
          <m:rPr>
            <m:nor/>
          </m:rPr>
          <m:t>.</m:t>
        </m:r>
      </m:oMath>
      <w:r>
        <w:t xml:space="preserve"> Higher-dimensional extensions obey the commuting-diamond identities of Part I. On a graph, there are no triangle identities to assume unless triangles are actually added.</w:t>
      </w:r>
    </w:p>
    <w:p w14:paraId="7A7CE309" w14:textId="77777777" w:rsidR="007A6184" w:rsidRDefault="00000000" w:rsidP="00396E59">
      <w:pPr>
        <w:pStyle w:val="BodyText"/>
        <w:jc w:val="both"/>
      </w:pPr>
      <w:r>
        <w:rPr>
          <w:b/>
          <w:bCs/>
        </w:rPr>
        <w:t>Units come first.</w:t>
      </w:r>
      <w:r>
        <w:t xml:space="preserve"> Divide physical quantities by declared tolerances, or carry corresponding positive metrics. Let </w:t>
      </w:r>
      <m:oMath>
        <m:r>
          <w:rPr>
            <w:rFonts w:ascii="Cambria Math" w:hAnsi="Cambria Math"/>
          </w:rPr>
          <m:t>W</m:t>
        </m:r>
        <m:r>
          <m:rPr>
            <m:sty m:val="p"/>
          </m:rPr>
          <w:rPr>
            <w:rFonts w:ascii="Cambria Math" w:hAnsi="Cambria Math"/>
          </w:rPr>
          <m:t>≻</m:t>
        </m:r>
        <m:r>
          <w:rPr>
            <w:rFonts w:ascii="Cambria Math" w:hAnsi="Cambria Math"/>
          </w:rPr>
          <m:t>0</m:t>
        </m:r>
      </m:oMath>
      <w:r>
        <w:t xml:space="preserve"> measure overlap residuals and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oMath>
      <w:r>
        <w:t xml:space="preserve"> measure observation residuals. Under an overlap coordinate change </w:t>
      </w:r>
      <m:oMath>
        <m:sSub>
          <m:sSubPr>
            <m:ctrlPr>
              <w:rPr>
                <w:rFonts w:ascii="Cambria Math" w:hAnsi="Cambria Math"/>
              </w:rPr>
            </m:ctrlPr>
          </m:sSubPr>
          <m:e>
            <m:r>
              <w:rPr>
                <w:rFonts w:ascii="Cambria Math" w:hAnsi="Cambria Math"/>
              </w:rPr>
              <m:t>A</m:t>
            </m:r>
          </m:e>
          <m:sub>
            <m:r>
              <w:rPr>
                <w:rFonts w:ascii="Cambria Math" w:hAnsi="Cambria Math"/>
              </w:rPr>
              <m:t>e</m:t>
            </m:r>
          </m:sub>
        </m:sSub>
        <m:r>
          <m:rPr>
            <m:nor/>
          </m:rPr>
          <m:t>,</m:t>
        </m:r>
      </m:oMath>
      <w:r>
        <w:t xml:space="preserve"> use </w:t>
      </w:r>
      <m:oMath>
        <m:sSubSup>
          <m:sSubSupPr>
            <m:ctrlPr>
              <w:rPr>
                <w:rFonts w:ascii="Cambria Math" w:hAnsi="Cambria Math"/>
              </w:rPr>
            </m:ctrlPr>
          </m:sSubSupPr>
          <m:e>
            <m:r>
              <w:rPr>
                <w:rFonts w:ascii="Cambria Math" w:hAnsi="Cambria Math"/>
              </w:rPr>
              <m:t>A</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e</m:t>
            </m:r>
          </m:sub>
        </m:sSub>
        <m:sSubSup>
          <m:sSubSupPr>
            <m:ctrlPr>
              <w:rPr>
                <w:rFonts w:ascii="Cambria Math" w:hAnsi="Cambria Math"/>
              </w:rPr>
            </m:ctrlPr>
          </m:sSubSupPr>
          <m:e>
            <m:r>
              <w:rPr>
                <w:rFonts w:ascii="Cambria Math" w:hAnsi="Cambria Math"/>
              </w:rPr>
              <m:t>A</m:t>
            </m:r>
          </m:e>
          <m:sub>
            <m:r>
              <w:rPr>
                <w:rFonts w:ascii="Cambria Math" w:hAnsi="Cambria Math"/>
              </w:rPr>
              <m:t>e</m:t>
            </m:r>
          </m:sub>
          <m:sup>
            <m:r>
              <m:rPr>
                <m:sty m:val="p"/>
              </m:rPr>
              <w:rPr>
                <w:rFonts w:ascii="Cambria Math" w:hAnsi="Cambria Math"/>
              </w:rPr>
              <m:t>-</m:t>
            </m:r>
            <m:r>
              <w:rPr>
                <w:rFonts w:ascii="Cambria Math" w:hAnsi="Cambria Math"/>
              </w:rPr>
              <m:t>1</m:t>
            </m:r>
          </m:sup>
        </m:sSubSup>
        <m:r>
          <m:rPr>
            <m:nor/>
          </m:rPr>
          <m:t>,</m:t>
        </m:r>
      </m:oMath>
      <w:r>
        <w:t xml:space="preserve"> transforming vertex metrics consistently. All transposes, eigenvalues and circuit norms below refer to these fixed normalised or whitened coordinates.</w:t>
      </w:r>
    </w:p>
    <w:p w14:paraId="241EB965" w14:textId="77777777" w:rsidR="007A6184" w:rsidRDefault="00000000" w:rsidP="00396E59">
      <w:pPr>
        <w:pStyle w:val="BodyText"/>
        <w:jc w:val="both"/>
      </w:pPr>
      <w:r>
        <w:t xml:space="preserve">Distinguish the variable </w:t>
      </w:r>
      <m:oMath>
        <m:r>
          <w:rPr>
            <w:rFonts w:ascii="Cambria Math" w:hAnsi="Cambria Math"/>
          </w:rPr>
          <m:t>x</m:t>
        </m:r>
        <m:r>
          <m:rPr>
            <m:nor/>
          </m:rPr>
          <m:t>,</m:t>
        </m:r>
      </m:oMath>
      <w:r>
        <w:t xml:space="preserve"> the current retrieval query </w:t>
      </w:r>
      <m:oMath>
        <m:r>
          <w:rPr>
            <w:rFonts w:ascii="Cambria Math" w:hAnsi="Cambria Math"/>
          </w:rPr>
          <m:t>z</m:t>
        </m:r>
      </m:oMath>
      <w:r>
        <w:t xml:space="preserve"> and a prior anchor </w:t>
      </w:r>
      <m:oMath>
        <m:r>
          <w:rPr>
            <w:rFonts w:ascii="Cambria Math" w:hAnsi="Cambria Math"/>
          </w:rPr>
          <m:t>q</m:t>
        </m:r>
        <m:r>
          <m:rPr>
            <m:nor/>
          </m:rPr>
          <m:t>.</m:t>
        </m:r>
      </m:oMath>
      <w:r>
        <w:t xml:space="preserve"> They can have equal numerical values without having the same role. With calibrated maps </w:t>
      </w:r>
      <m:oMath>
        <m:sSub>
          <m:sSubPr>
            <m:ctrlPr>
              <w:rPr>
                <w:rFonts w:ascii="Cambria Math" w:hAnsi="Cambria Math"/>
              </w:rPr>
            </m:ctrlPr>
          </m:sSubPr>
          <m:e>
            <m:r>
              <w:rPr>
                <w:rFonts w:ascii="Cambria Math" w:hAnsi="Cambria Math"/>
              </w:rPr>
              <m:t>H</m:t>
            </m:r>
          </m:e>
          <m:sub>
            <m:r>
              <w:rPr>
                <w:rFonts w:ascii="Cambria Math" w:hAnsi="Cambria Math"/>
              </w:rPr>
              <m:t>i</m:t>
            </m:r>
          </m:sub>
        </m:sSub>
        <m:r>
          <m:rPr>
            <m:nor/>
          </m:rPr>
          <m:t>,</m:t>
        </m:r>
      </m:oMath>
      <w:r>
        <w:t xml:space="preserve"> observations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frozen nonnegative weights </w:t>
      </w:r>
      <m:oMath>
        <m:sSub>
          <m:sSubPr>
            <m:ctrlPr>
              <w:rPr>
                <w:rFonts w:ascii="Cambria Math" w:hAnsi="Cambria Math"/>
              </w:rPr>
            </m:ctrlPr>
          </m:sSubPr>
          <m:e>
            <m:r>
              <w:rPr>
                <w:rFonts w:ascii="Cambria Math" w:hAnsi="Cambria Math"/>
              </w:rPr>
              <m:t>ω</m:t>
            </m:r>
          </m:e>
          <m:sub>
            <m:r>
              <w:rPr>
                <w:rFonts w:ascii="Cambria Math" w:hAnsi="Cambria Math"/>
              </w:rPr>
              <m:t>it</m:t>
            </m:r>
          </m:sub>
        </m:sSub>
        <m:d>
          <m:dPr>
            <m:ctrlPr>
              <w:rPr>
                <w:rFonts w:ascii="Cambria Math" w:hAnsi="Cambria Math"/>
              </w:rPr>
            </m:ctrlPr>
          </m:dPr>
          <m:e>
            <m:r>
              <w:rPr>
                <w:rFonts w:ascii="Cambria Math" w:hAnsi="Cambria Math"/>
              </w:rPr>
              <m:t>z</m:t>
            </m:r>
          </m:e>
        </m:d>
        <m:r>
          <m:rPr>
            <m:nor/>
          </m:rPr>
          <m:t>,</m:t>
        </m:r>
      </m:oMath>
      <w:r>
        <w:t xml:space="preserve"> set</w:t>
      </w:r>
    </w:p>
    <w:p w14:paraId="49BB2B89"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t</m:t>
                </m:r>
              </m:sub>
            </m:sSub>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t</m:t>
                </m:r>
              </m:sub>
            </m:sSub>
          </m:num>
          <m:den>
            <m:r>
              <w:rPr>
                <w:rFonts w:ascii="Cambria Math" w:hAnsi="Cambria Math"/>
              </w:rPr>
              <m:t>2</m:t>
            </m:r>
          </m:den>
        </m:f>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t</m:t>
                </m:r>
              </m:sub>
            </m:sSub>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it</m:t>
                </m:r>
              </m:sub>
            </m:sSub>
          </m:e>
        </m:nary>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Λ</m:t>
                </m:r>
              </m:e>
              <m:sub>
                <m:r>
                  <w:rPr>
                    <w:rFonts w:ascii="Cambria Math" w:hAnsi="Cambria Math"/>
                  </w:rPr>
                  <m:t>i</m:t>
                </m:r>
              </m:sub>
            </m:sSub>
          </m:sub>
          <m:sup>
            <m:r>
              <w:rPr>
                <w:rFonts w:ascii="Cambria Math" w:hAnsi="Cambria Math"/>
              </w:rPr>
              <m:t>2</m:t>
            </m:r>
          </m:sup>
        </m:sSubSup>
        <m:r>
          <m:rPr>
            <m:sty m:val="p"/>
          </m:rPr>
          <w:rPr>
            <w:rFonts w:ascii="Cambria Math" w:hAnsi="Cambria Math"/>
          </w:rPr>
          <m:t>.</m:t>
        </m:r>
      </m:oMath>
      <w:r>
        <w:tab/>
        <w:t>(5)</w:t>
      </w:r>
    </w:p>
    <w:p w14:paraId="2C820A6D" w14:textId="77777777" w:rsidR="007A6184" w:rsidRDefault="00000000" w:rsidP="00396E59">
      <w:pPr>
        <w:pStyle w:val="BodyText"/>
        <w:jc w:val="both"/>
      </w:pPr>
      <w:r>
        <w:lastRenderedPageBreak/>
        <w:t xml:space="preserve">Here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0</m:t>
        </m:r>
        <m:r>
          <m:rPr>
            <m:nor/>
          </m:rPr>
          <m:t>.</m:t>
        </m:r>
      </m:oMath>
      <w:r>
        <w:t xml:space="preserve"> Maps, metrics, gains and the anchor are frozen during this quadratic solve. Evidence reads use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from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k</m:t>
            </m:r>
          </m:sub>
        </m:sSub>
        <m:r>
          <m:rPr>
            <m:nor/>
          </m:rPr>
          <m:t>;</m:t>
        </m:r>
      </m:oMath>
      <w:r>
        <w:t xml:space="preserve"> search reads use partial codes from evaluated candidates in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nor/>
          </m:rPr>
          <m:t>.</m:t>
        </m:r>
      </m:oMath>
      <w:r>
        <w:t xml:space="preserve"> Shared algebra does not erase their different provenance.</w:t>
      </w:r>
    </w:p>
    <w:p w14:paraId="13D6C168" w14:textId="77777777" w:rsidR="007A6184" w:rsidRDefault="00000000" w:rsidP="00396E59">
      <w:pPr>
        <w:pStyle w:val="BodyText"/>
        <w:keepNext/>
        <w:jc w:val="both"/>
      </w:pPr>
      <w:r>
        <w:rPr>
          <w:b/>
          <w:bCs/>
        </w:rPr>
        <w:t>Proposition 1 — Unique regularised harmonic read.</w:t>
      </w:r>
      <w:r>
        <w:t xml:space="preserve"> Put</w:t>
      </w:r>
    </w:p>
    <w:p w14:paraId="30C66309"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it</m:t>
                </m:r>
              </m:sub>
            </m:sSub>
          </m:e>
        </m:nary>
        <m:d>
          <m:dPr>
            <m:ctrlPr>
              <w:rPr>
                <w:rFonts w:ascii="Cambria Math" w:hAnsi="Cambria Math"/>
              </w:rPr>
            </m:ctrlPr>
          </m:dPr>
          <m:e>
            <m:r>
              <w:rPr>
                <w:rFonts w:ascii="Cambria Math" w:hAnsi="Cambria Math"/>
              </w:rPr>
              <m:t>z</m:t>
            </m:r>
          </m:e>
        </m:d>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oMath>
      <w:r>
        <w:tab/>
        <w:t>(6)</w:t>
      </w:r>
    </w:p>
    <w:p w14:paraId="45D22936" w14:textId="77777777" w:rsidR="007A6184" w:rsidRDefault="00000000" w:rsidP="00396E59">
      <w:pPr>
        <w:pStyle w:val="BodyText"/>
        <w:jc w:val="both"/>
      </w:pPr>
      <w:r>
        <w:t xml:space="preserve">If </w:t>
      </w:r>
      <m:oMath>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m:t>
        </m:r>
        <m:r>
          <m:rPr>
            <m:nor/>
          </m:rPr>
          <m:t>,</m:t>
        </m:r>
      </m:oMath>
      <w:r>
        <w:t xml:space="preserve"> the unique minimiser is</w:t>
      </w:r>
    </w:p>
    <w:p w14:paraId="2A83C766"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q</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z</m:t>
                </m:r>
              </m:e>
            </m:d>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it</m:t>
                    </m:r>
                  </m:sub>
                </m:sSub>
              </m:e>
            </m:nary>
            <m:d>
              <m:dPr>
                <m:ctrlPr>
                  <w:rPr>
                    <w:rFonts w:ascii="Cambria Math" w:hAnsi="Cambria Math"/>
                  </w:rPr>
                </m:ctrlPr>
              </m:dPr>
              <m:e>
                <m:r>
                  <w:rPr>
                    <w:rFonts w:ascii="Cambria Math" w:hAnsi="Cambria Math"/>
                  </w:rPr>
                  <m:t>z</m:t>
                </m:r>
              </m:e>
            </m:d>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oMath>
      <w:r>
        <w:tab/>
        <w:t>(7)</w:t>
      </w:r>
    </w:p>
    <w:p w14:paraId="1C85522C" w14:textId="77777777" w:rsidR="007A6184" w:rsidRDefault="00000000" w:rsidP="00396E59">
      <w:pPr>
        <w:pStyle w:val="BodyText"/>
        <w:jc w:val="both"/>
      </w:pPr>
      <w:r>
        <w:rPr>
          <w:i/>
          <w:iCs/>
        </w:rPr>
        <w:t>Proof.</w:t>
      </w:r>
      <w:r>
        <w:t xml:space="preserve"> Expanding (5) gives Hessian </w:t>
      </w:r>
      <m:oMath>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z</m:t>
            </m:r>
          </m:e>
        </m:d>
      </m:oMath>
      <w:r>
        <w:t xml:space="preserve"> and the displayed normal equations. Positive definiteness gives strict convexity and coercivity. Solve the linear system rather than explicitly computing an inverse. </w:t>
      </w:r>
      <m:oMath>
        <m:r>
          <m:rPr>
            <m:sty m:val="p"/>
          </m:rPr>
          <w:rPr>
            <w:rFonts w:ascii="Cambria Math" w:hAnsi="Cambria Math"/>
          </w:rPr>
          <m:t>▫</m:t>
        </m:r>
      </m:oMath>
    </w:p>
    <w:p w14:paraId="41AE2BB7" w14:textId="77777777" w:rsidR="007A6184" w:rsidRDefault="00000000" w:rsidP="00396E59">
      <w:pPr>
        <w:pStyle w:val="BodyText"/>
        <w:jc w:val="both"/>
      </w:pPr>
      <w:r>
        <w:t xml:space="preserve">A positive definite prior suffices. More generally, the weighted prior, compatibility and observation operators must have no common null direction. If </w:t>
      </w:r>
      <m:oMath>
        <m:r>
          <w:rPr>
            <w:rFonts w:ascii="Cambria Math" w:hAnsi="Cambria Math"/>
          </w:rPr>
          <m:t>A</m:t>
        </m:r>
      </m:oMath>
      <w:r>
        <w:t xml:space="preserve"> is singular, the right-hand side </w:t>
      </w:r>
      <m:oMath>
        <m:r>
          <w:rPr>
            <w:rFonts w:ascii="Cambria Math" w:hAnsi="Cambria Math"/>
          </w:rPr>
          <m:t>b</m:t>
        </m:r>
      </m:oMath>
      <w:r>
        <w:t xml:space="preserve"> lies in its range for this least-squares construction, and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Aq</m:t>
            </m:r>
          </m:e>
        </m:d>
      </m:oMath>
      <w:r>
        <w:t xml:space="preserve"> is the minimiser retaining the component of </w:t>
      </w:r>
      <m:oMath>
        <m:r>
          <w:rPr>
            <w:rFonts w:ascii="Cambria Math" w:hAnsi="Cambria Math"/>
          </w:rPr>
          <m:t>q</m:t>
        </m:r>
      </m:oMath>
      <w:r>
        <w:t xml:space="preserve"> in </w:t>
      </w:r>
      <m:oMath>
        <m:r>
          <m:rPr>
            <m:sty m:val="p"/>
          </m:rPr>
          <w:rPr>
            <w:rFonts w:ascii="Cambria Math" w:hAnsi="Cambria Math"/>
          </w:rPr>
          <m:t>ker</m:t>
        </m:r>
        <m:r>
          <w:rPr>
            <w:rFonts w:ascii="Cambria Math" w:hAnsi="Cambria Math"/>
          </w:rPr>
          <m:t>A</m:t>
        </m:r>
        <m:r>
          <m:rPr>
            <m:nor/>
          </m:rPr>
          <m:t>.</m:t>
        </m:r>
      </m:oMath>
      <w:r>
        <w:t xml:space="preserve"> A coordinate is retained verbatim only when it belongs to that complete unobserved subspace. Compatibility can constrain a coordinate missing from all individual observations. An unobserved value is a prior, not a recalled fact.</w:t>
      </w:r>
    </w:p>
    <w:p w14:paraId="51CFDB21" w14:textId="77777777" w:rsidR="007A6184" w:rsidRDefault="00000000" w:rsidP="00396E59">
      <w:pPr>
        <w:pStyle w:val="BodyText"/>
        <w:jc w:val="both"/>
      </w:pPr>
      <w:r>
        <w:t xml:space="preserve">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r>
          <m:rPr>
            <m:nor/>
          </m:rPr>
          <m:t>,</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r>
          <w:rPr>
            <w:rFonts w:ascii="Cambria Math" w:hAnsi="Cambria Math"/>
          </w:rPr>
          <m:t>0</m:t>
        </m:r>
        <m:r>
          <m:rPr>
            <m:nor/>
          </m: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I</m:t>
        </m:r>
        <m:r>
          <m:rPr>
            <m:nor/>
          </m:rPr>
          <m:t>,</m:t>
        </m:r>
      </m:oMath>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I</m:t>
        </m:r>
      </m:oMath>
      <w:r>
        <w:t xml:space="preserve"> and weights summing to one, (7) is the ADE weighted mean. Rectangular observations permit recombination. A general metric-weighted read is a sum of linear operators applied to records; it need not lie in their ordinary convex hull, even with complete observations [14].</w:t>
      </w:r>
    </w:p>
    <w:p w14:paraId="2E165E0D" w14:textId="77777777" w:rsidR="007A6184" w:rsidRDefault="00000000" w:rsidP="00396E59">
      <w:pPr>
        <w:pStyle w:val="BodyText"/>
        <w:jc w:val="both"/>
      </w:pPr>
      <w:r>
        <w:t xml:space="preserve">For fixed weights, gradient descent on (5) converges for step size 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e>
        </m:d>
        <m:r>
          <m:rPr>
            <m:nor/>
          </m:rPr>
          <m:t>.</m:t>
        </m:r>
      </m:oMath>
      <w:r>
        <w:t xml:space="preserve"> For recomputed weights, take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r>
          <w:rPr>
            <w:rFonts w:ascii="Cambria Math" w:hAnsi="Cambria Math"/>
          </w:rPr>
          <m:t>0</m:t>
        </m:r>
        <m:r>
          <m:rPr>
            <m:nor/>
          </m:rPr>
          <m:t>,</m:t>
        </m:r>
      </m:oMath>
      <w:r>
        <w:t xml:space="preserve">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&gt;</m:t>
        </m:r>
        <m:r>
          <w:rPr>
            <w:rFonts w:ascii="Cambria Math" w:hAnsi="Cambria Math"/>
          </w:rPr>
          <m:t>0</m:t>
        </m:r>
        <m:r>
          <m:rPr>
            <m:nor/>
          </m:rPr>
          <m:t>,</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Λ</m:t>
                </m:r>
              </m:e>
              <m:sub>
                <m:r>
                  <w:rPr>
                    <w:rFonts w:ascii="Cambria Math" w:hAnsi="Cambria Math"/>
                  </w:rPr>
                  <m:t>i</m:t>
                </m:r>
              </m:sub>
            </m:sSub>
          </m:sub>
          <m:sup>
            <m:r>
              <w:rPr>
                <w:rFonts w:ascii="Cambria Math" w:hAnsi="Cambria Math"/>
              </w:rPr>
              <m:t>2</m:t>
            </m:r>
          </m:sup>
        </m:sSubSup>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it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m:rPr>
            <m:nor/>
          </m:rPr>
          <m:t>.</m:t>
        </m:r>
      </m:oMath>
    </w:p>
    <w:p w14:paraId="2B22E321" w14:textId="77777777" w:rsidR="007A6184" w:rsidRDefault="00000000" w:rsidP="00396E59">
      <w:pPr>
        <w:pStyle w:val="BodyText"/>
        <w:keepNext/>
        <w:jc w:val="both"/>
      </w:pPr>
      <w:r>
        <w:rPr>
          <w:b/>
          <w:bCs/>
        </w:rPr>
        <w:t>Theorem 2 — Soft read descent with a fixed anchor.</w:t>
      </w:r>
      <w:r>
        <w:t xml:space="preserve"> Define</w:t>
      </w:r>
    </w:p>
    <w:p w14:paraId="74702A9F" w14:textId="77777777" w:rsidR="007A6184" w:rsidRDefault="00000000" w:rsidP="00396E59">
      <w:pPr>
        <w:pStyle w:val="Equation"/>
        <w:jc w:val="both"/>
      </w:pPr>
      <w:r>
        <w:tab/>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q</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t</m:t>
                </m:r>
              </m:sub>
            </m:sSub>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t</m:t>
                </m:r>
              </m:sub>
            </m:sSub>
          </m:num>
          <m:den>
            <m:r>
              <w:rPr>
                <w:rFonts w:ascii="Cambria Math" w:hAnsi="Cambria Math"/>
              </w:rPr>
              <m:t>2</m:t>
            </m:r>
          </m:den>
        </m:f>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m:rPr>
            <m:sty m:val="p"/>
          </m:rPr>
          <w:rPr>
            <w:rFonts w:ascii="Cambria Math" w:hAnsi="Cambria Math"/>
          </w:rPr>
          <m:t>.</m:t>
        </m:r>
      </m:oMath>
      <w:r>
        <w:tab/>
        <w:t>(8)</w:t>
      </w:r>
    </w:p>
    <w:p w14:paraId="0E201A77" w14:textId="77777777" w:rsidR="007A6184" w:rsidRDefault="00000000" w:rsidP="00396E59">
      <w:pPr>
        <w:pStyle w:val="BodyText"/>
        <w:jc w:val="both"/>
      </w:pPr>
      <w:r>
        <w:t xml:space="preserve">At a query </w:t>
      </w:r>
      <m:oMath>
        <m:r>
          <w:rPr>
            <w:rFonts w:ascii="Cambria Math" w:hAnsi="Cambria Math"/>
          </w:rPr>
          <m:t>z</m:t>
        </m:r>
        <m:r>
          <m:rPr>
            <m:nor/>
          </m:rPr>
          <m:t>,</m:t>
        </m:r>
      </m:oMath>
      <w:r>
        <w:t xml:space="preserve"> compute </w:t>
      </w:r>
      <m:oMath>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m:t>
        </m:r>
      </m:oMath>
      <w:r>
        <w:t xml:space="preserve"> and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q</m:t>
            </m:r>
          </m:sub>
        </m:sSub>
        <m:d>
          <m:dPr>
            <m:ctrlPr>
              <w:rPr>
                <w:rFonts w:ascii="Cambria Math" w:hAnsi="Cambria Math"/>
              </w:rPr>
            </m:ctrlPr>
          </m:dPr>
          <m:e>
            <m:r>
              <w:rPr>
                <w:rFonts w:ascii="Cambria Math" w:hAnsi="Cambria Math"/>
              </w:rPr>
              <m:t>z</m:t>
            </m:r>
          </m:e>
        </m:d>
        <m:r>
          <m:rPr>
            <m:nor/>
          </m:rPr>
          <m:t>.</m:t>
        </m:r>
      </m:oMath>
      <w:r>
        <w:t xml:space="preserve"> For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r>
          <m:rPr>
            <m:nor/>
          </m:rPr>
          <m:t>,</m:t>
        </m:r>
      </m:oMath>
    </w:p>
    <w:p w14:paraId="00A3EEB9" w14:textId="77777777" w:rsidR="007A6184" w:rsidRDefault="00000000" w:rsidP="00396E59">
      <w:pPr>
        <w:pStyle w:val="Equation"/>
        <w:jc w:val="both"/>
      </w:pPr>
      <w:r>
        <w:tab/>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q</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R</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z</m:t>
                </m:r>
              </m:e>
            </m:d>
          </m:sub>
          <m:sup>
            <m:r>
              <w:rPr>
                <w:rFonts w:ascii="Cambria Math" w:hAnsi="Cambria Math"/>
              </w:rPr>
              <m:t>2</m:t>
            </m:r>
          </m:sup>
        </m:sSubSup>
        <m:r>
          <m:rPr>
            <m:sty m:val="p"/>
          </m:rPr>
          <w:rPr>
            <w:rFonts w:ascii="Cambria Math" w:hAnsi="Cambria Math"/>
          </w:rPr>
          <m:t>.</m:t>
        </m:r>
      </m:oMath>
      <w:r>
        <w:tab/>
        <w:t>(9)</w:t>
      </w:r>
    </w:p>
    <w:p w14:paraId="2C09D81F" w14:textId="77777777" w:rsidR="007A6184" w:rsidRDefault="00000000" w:rsidP="00396E59">
      <w:pPr>
        <w:pStyle w:val="BodyText"/>
        <w:jc w:val="both"/>
      </w:pPr>
      <w:r>
        <w:t xml:space="preserve">Moreover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z</m:t>
            </m:r>
          </m:e>
        </m:d>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R</m:t>
            </m:r>
          </m:e>
        </m:d>
        <m:r>
          <m:rPr>
            <m:nor/>
          </m:rPr>
          <m:t>,</m:t>
        </m:r>
      </m:oMath>
      <w:r>
        <w:t xml:space="preserve"> so exact fixed points are stationary points.</w:t>
      </w:r>
    </w:p>
    <w:p w14:paraId="10B4D77C" w14:textId="77777777" w:rsidR="007A6184" w:rsidRDefault="00000000" w:rsidP="00396E59">
      <w:pPr>
        <w:pStyle w:val="BodyText"/>
        <w:jc w:val="both"/>
      </w:pPr>
      <w:r>
        <w:rPr>
          <w:i/>
          <w:iCs/>
        </w:rPr>
        <w:t>Proof.</w:t>
      </w:r>
      <w:r>
        <w:t xml:space="preserve"> The function </w:t>
      </w: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is concave with gradient equal to the soft weights. Its tangent majorises the soft energy by (5) plus a constant, with equality at </w:t>
      </w:r>
      <m:oMath>
        <m:r>
          <w:rPr>
            <w:rFonts w:ascii="Cambria Math" w:hAnsi="Cambria Math"/>
          </w:rPr>
          <m:t>z</m:t>
        </m:r>
        <m:r>
          <m:rPr>
            <m:nor/>
          </m:rPr>
          <m:t>.</m:t>
        </m:r>
      </m:oMath>
      <w:r>
        <w:t xml:space="preserve"> The quadratic difference along </w:t>
      </w:r>
      <m:oMath>
        <m:r>
          <w:rPr>
            <w:rFonts w:ascii="Cambria Math" w:hAnsi="Cambria Math"/>
          </w:rPr>
          <m:t>R</m:t>
        </m:r>
        <m:r>
          <m:rPr>
            <m:sty m:val="p"/>
          </m:rPr>
          <w:rPr>
            <w:rFonts w:ascii="Cambria Math" w:hAnsi="Cambria Math"/>
          </w:rPr>
          <m:t>-</m:t>
        </m:r>
        <m:r>
          <w:rPr>
            <w:rFonts w:ascii="Cambria Math" w:hAnsi="Cambria Math"/>
          </w:rPr>
          <m:t>z</m:t>
        </m:r>
      </m:oMath>
      <w:r>
        <w:t xml:space="preserve"> gives (9). Differentiation gives the gradient identity. </w:t>
      </w:r>
      <m:oMath>
        <m:r>
          <m:rPr>
            <m:sty m:val="p"/>
          </m:rPr>
          <w:rPr>
            <w:rFonts w:ascii="Cambria Math" w:hAnsi="Cambria Math"/>
          </w:rPr>
          <m:t>▫</m:t>
        </m:r>
      </m:oMath>
    </w:p>
    <w:p w14:paraId="04BB7433" w14:textId="5A522656" w:rsidR="007A6184" w:rsidRDefault="00000000" w:rsidP="00396E59">
      <w:pPr>
        <w:pStyle w:val="BodyText"/>
        <w:jc w:val="both"/>
      </w:pPr>
      <w:r>
        <w:t xml:space="preserve">This extends Part II’s majorise–minimise result [14]. The interval is sharp: one quadratic record gives equality. The reproduced V2 run has 2,000 trials and 0 violations, and steps between 2.05 and 3 increased </w:t>
      </w:r>
      <w:r w:rsidR="003F496C">
        <w:t>energies</w:t>
      </w:r>
      <w:r>
        <w:t xml:space="preserve"> in 1,787 of 1,978 eligible trials. The theorem keeps </w:t>
      </w:r>
      <m:oMath>
        <m:r>
          <w:rPr>
            <w:rFonts w:ascii="Cambria Math" w:hAnsi="Cambria Math"/>
          </w:rPr>
          <m:t>q</m:t>
        </m:r>
        <m:r>
          <m:rPr>
            <m:nor/>
          </m:rPr>
          <m:t>,</m:t>
        </m:r>
      </m:oMath>
      <w:r>
        <w:t xml:space="preserve"> the records, maps, metrics, scale, prior weights and coefficients fixed over the iteration being analysed. Recomputed weights alone are allowed. Changing a schedule, adding noise or changing the archive does not inherit this common energy.</w:t>
      </w:r>
    </w:p>
    <w:p w14:paraId="26657094" w14:textId="77777777" w:rsidR="007A6184" w:rsidRDefault="00000000" w:rsidP="00396E59">
      <w:pPr>
        <w:pStyle w:val="Heading21"/>
        <w:jc w:val="both"/>
      </w:pPr>
      <w:bookmarkStart w:id="10" w:name="X691c417b3511549afcfd5d370bcd2c9175b5bd3"/>
      <w:r>
        <w:t>4.1 When the anchor follows the current state</w:t>
      </w:r>
    </w:p>
    <w:p w14:paraId="1C9CA7C3" w14:textId="77777777" w:rsidR="007A6184" w:rsidRDefault="00000000" w:rsidP="00396E59">
      <w:pPr>
        <w:pStyle w:val="FirstParagraph"/>
        <w:jc w:val="both"/>
      </w:pPr>
      <w:r>
        <w:t xml:space="preserve">Writing </w:t>
      </w:r>
      <m:oMath>
        <m:r>
          <w:rPr>
            <w:rFonts w:ascii="Cambria Math" w:hAnsi="Cambria Math"/>
          </w:rPr>
          <m:t>q</m:t>
        </m:r>
        <m:r>
          <m:rPr>
            <m:sty m:val="p"/>
          </m:rPr>
          <w:rPr>
            <w:rFonts w:ascii="Cambria Math" w:hAnsi="Cambria Math"/>
          </w:rPr>
          <m:t>=</m:t>
        </m:r>
        <m:r>
          <w:rPr>
            <w:rFonts w:ascii="Cambria Math" w:hAnsi="Cambria Math"/>
          </w:rPr>
          <m:t>z</m:t>
        </m:r>
      </m:oMath>
      <w:r>
        <w:t xml:space="preserve"> at each update changes the objective in (8). It is useful to treat that term as a proximal penalty instead of claiming it is an unchanged memory prior. Put</w:t>
      </w:r>
    </w:p>
    <w:p w14:paraId="40DC9255" w14:textId="77777777" w:rsidR="007A6184" w:rsidRDefault="00000000" w:rsidP="00396E59">
      <w:pPr>
        <w:pStyle w:val="Equation"/>
        <w:jc w:val="both"/>
      </w:pPr>
      <w:r>
        <w:tab/>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β</m:t>
            </m:r>
          </m:num>
          <m:den>
            <m:r>
              <w:rPr>
                <w:rFonts w:ascii="Cambria Math" w:hAnsi="Cambria Math"/>
              </w:rPr>
              <m:t>2</m:t>
            </m:r>
          </m:den>
        </m:f>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up>
        </m:sSup>
        <m:r>
          <m:rPr>
            <m:sty m:val="p"/>
          </m:rPr>
          <w:rPr>
            <w:rFonts w:ascii="Cambria Math" w:hAnsi="Cambria Math"/>
          </w:rPr>
          <m:t>.</m:t>
        </m:r>
      </m:oMath>
      <w:r>
        <w:tab/>
        <w:t>(10)</w:t>
      </w:r>
    </w:p>
    <w:p w14:paraId="68E6A8B2" w14:textId="77777777" w:rsidR="007A6184" w:rsidRDefault="00000000" w:rsidP="00396E59">
      <w:pPr>
        <w:pStyle w:val="BodyText"/>
        <w:jc w:val="both"/>
      </w:pPr>
      <w:r>
        <w:lastRenderedPageBreak/>
        <w:t xml:space="preserve">At </w:t>
      </w:r>
      <m:oMath>
        <m:r>
          <w:rPr>
            <w:rFonts w:ascii="Cambria Math" w:hAnsi="Cambria Math"/>
          </w:rPr>
          <m:t>z</m:t>
        </m:r>
        <m:r>
          <m:rPr>
            <m:nor/>
          </m:rPr>
          <m:t>,</m:t>
        </m:r>
      </m:oMath>
      <w:r>
        <w:t xml:space="preserve"> let </w:t>
      </w:r>
      <m:oMath>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d>
          <m:dPr>
            <m:ctrlPr>
              <w:rPr>
                <w:rFonts w:ascii="Cambria Math" w:hAnsi="Cambria Math"/>
              </w:rPr>
            </m:ctrlPr>
          </m:dPr>
          <m:e>
            <m:r>
              <w:rPr>
                <w:rFonts w:ascii="Cambria Math" w:hAnsi="Cambria Math"/>
              </w:rPr>
              <m:t>z</m:t>
            </m:r>
          </m:e>
        </m:d>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w:t>
      </w:r>
      <m:oMath>
        <m:r>
          <w:rPr>
            <w:rFonts w:ascii="Cambria Math" w:hAnsi="Cambria Math"/>
          </w:rPr>
          <m:t>P</m:t>
        </m:r>
        <m:r>
          <m:rPr>
            <m:sty m:val="p"/>
          </m:rPr>
          <w:rPr>
            <w:rFonts w:ascii="Cambria Math" w:hAnsi="Cambria Math"/>
          </w:rPr>
          <m:t>≽</m:t>
        </m:r>
        <m:r>
          <w:rPr>
            <w:rFonts w:ascii="Cambria Math" w:hAnsi="Cambria Math"/>
          </w:rPr>
          <m:t>0</m:t>
        </m:r>
        <m:r>
          <m:rPr>
            <m:nor/>
          </m:rPr>
          <m:t>,</m:t>
        </m:r>
      </m:oMath>
      <w:r>
        <w:t xml:space="preserve"> with </w:t>
      </w:r>
      <m:oMath>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nor/>
          </m:rPr>
          <m:t>.</m:t>
        </m:r>
      </m:oMath>
      <w:r>
        <w:t xml:space="preserve"> Let </w:t>
      </w:r>
      <m:oMath>
        <m:r>
          <w:rPr>
            <w:rFonts w:ascii="Cambria Math" w:hAnsi="Cambria Math"/>
          </w:rPr>
          <m:t>R</m:t>
        </m:r>
      </m:oMath>
      <w:r>
        <w:t xml:space="preserve"> minimise the frozen quadratic majorant of </w:t>
      </w:r>
      <m:oMath>
        <m:r>
          <w:rPr>
            <w:rFonts w:ascii="Cambria Math" w:hAnsi="Cambria Math"/>
          </w:rPr>
          <m:t>F</m:t>
        </m:r>
      </m:oMath>
      <w:r>
        <w:t xml:space="preserve"> plus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P</m:t>
            </m:r>
          </m:sub>
          <m:sup>
            <m:r>
              <w:rPr>
                <w:rFonts w:ascii="Cambria Math" w:hAnsi="Cambria Math"/>
              </w:rPr>
              <m:t>2</m:t>
            </m:r>
          </m:sup>
        </m:sSubSup>
        <m:r>
          <m:rPr>
            <m:nor/>
          </m:rPr>
          <m:t>,</m:t>
        </m:r>
      </m:oMath>
      <w:r>
        <w:t xml:space="preserve"> and write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z</m:t>
        </m:r>
        <m:r>
          <m:rPr>
            <m:nor/>
          </m:rPr>
          <m:t>.</m:t>
        </m:r>
      </m:oMath>
    </w:p>
    <w:p w14:paraId="73E2A6B4" w14:textId="77777777" w:rsidR="007A6184" w:rsidRDefault="00000000" w:rsidP="00396E59">
      <w:pPr>
        <w:pStyle w:val="BodyText"/>
        <w:keepNext/>
        <w:jc w:val="both"/>
      </w:pPr>
      <w:r>
        <w:rPr>
          <w:b/>
          <w:bCs/>
        </w:rPr>
        <w:t>Corollary 2.1 — Proximal soft read descent.</w:t>
      </w:r>
      <w:r>
        <w:t xml:space="preserve"> For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r>
          <m:rPr>
            <m:nor/>
          </m:rPr>
          <m:t>,</m:t>
        </m:r>
      </m:oMath>
    </w:p>
    <w:p w14:paraId="592232C3" w14:textId="77777777" w:rsidR="007A6184" w:rsidRDefault="00000000" w:rsidP="00396E59">
      <w:pPr>
        <w:pStyle w:val="Equation"/>
        <w:jc w:val="both"/>
      </w:pPr>
      <w:r>
        <w:tab/>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ad</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sSubSup>
          <m:sSubSupPr>
            <m:ctrlPr>
              <w:rPr>
                <w:rFonts w:ascii="Cambria Math" w:hAnsi="Cambria Math"/>
              </w:rPr>
            </m:ctrlPr>
          </m:sSubSupPr>
          <m:e>
            <m:r>
              <m:rPr>
                <m:sty m:val="p"/>
              </m:rPr>
              <w:rPr>
                <w:rFonts w:ascii="Cambria Math" w:hAnsi="Cambria Math"/>
              </w:rPr>
              <m:t>∥</m:t>
            </m:r>
          </m:e>
          <m:sub>
            <m:r>
              <w:rPr>
                <w:rFonts w:ascii="Cambria Math" w:hAnsi="Cambria Math"/>
              </w:rPr>
              <m:t>P</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d</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B</m:t>
                </m:r>
              </m:e>
              <m:sub>
                <m:r>
                  <w:rPr>
                    <w:rFonts w:ascii="Cambria Math" w:hAnsi="Cambria Math"/>
                  </w:rPr>
                  <m:t>z</m:t>
                </m:r>
              </m:sub>
            </m:sSub>
          </m:sub>
          <m:sup>
            <m:r>
              <w:rPr>
                <w:rFonts w:ascii="Cambria Math" w:hAnsi="Cambria Math"/>
              </w:rPr>
              <m:t>2</m:t>
            </m:r>
          </m:sup>
        </m:sSubSup>
        <m:r>
          <m:rPr>
            <m:sty m:val="p"/>
          </m:rPr>
          <w:rPr>
            <w:rFonts w:ascii="Cambria Math" w:hAnsi="Cambria Math"/>
          </w:rPr>
          <m:t>.</m:t>
        </m:r>
      </m:oMath>
      <w:r>
        <w:tab/>
        <w:t>(11)</w:t>
      </w:r>
    </w:p>
    <w:p w14:paraId="100247EC" w14:textId="77777777" w:rsidR="007A6184" w:rsidRDefault="00000000" w:rsidP="00396E59">
      <w:pPr>
        <w:pStyle w:val="BodyText"/>
        <w:jc w:val="both"/>
      </w:pPr>
      <w:r>
        <w:rPr>
          <w:i/>
          <w:iCs/>
        </w:rPr>
        <w:t>Proof.</w:t>
      </w:r>
      <w:r>
        <w:t xml:space="preserve"> The tangent majorant of </w:t>
      </w:r>
      <m:oMath>
        <m:r>
          <w:rPr>
            <w:rFonts w:ascii="Cambria Math" w:hAnsi="Cambria Math"/>
          </w:rPr>
          <m:t>F</m:t>
        </m:r>
      </m:oMath>
      <w:r>
        <w:t xml:space="preserve"> has curvature </w:t>
      </w:r>
      <m:oMath>
        <m:sSub>
          <m:sSubPr>
            <m:ctrlPr>
              <w:rPr>
                <w:rFonts w:ascii="Cambria Math" w:hAnsi="Cambria Math"/>
              </w:rPr>
            </m:ctrlPr>
          </m:sSubPr>
          <m:e>
            <m:r>
              <w:rPr>
                <w:rFonts w:ascii="Cambria Math" w:hAnsi="Cambria Math"/>
              </w:rPr>
              <m:t>B</m:t>
            </m:r>
          </m:e>
          <m:sub>
            <m:r>
              <w:rPr>
                <w:rFonts w:ascii="Cambria Math" w:hAnsi="Cambria Math"/>
              </w:rPr>
              <m:t>z</m:t>
            </m:r>
          </m:sub>
        </m:sSub>
        <m:r>
          <m:rPr>
            <m:nor/>
          </m:rPr>
          <m:t>.</m:t>
        </m:r>
      </m:oMath>
      <w:r>
        <w:t xml:space="preserve"> Its gradient at </w:t>
      </w:r>
      <m:oMath>
        <m:r>
          <w:rPr>
            <w:rFonts w:ascii="Cambria Math" w:hAnsi="Cambria Math"/>
          </w:rPr>
          <m:t>z</m:t>
        </m:r>
      </m:oMath>
      <w:r>
        <w:t xml:space="preserve"> is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z</m:t>
                </m:r>
              </m:sub>
            </m:sSub>
            <m:r>
              <m:rPr>
                <m:sty m:val="p"/>
              </m:rPr>
              <w:rPr>
                <w:rFonts w:ascii="Cambria Math" w:hAnsi="Cambria Math"/>
              </w:rPr>
              <m:t>+</m:t>
            </m:r>
            <m:r>
              <w:rPr>
                <w:rFonts w:ascii="Cambria Math" w:hAnsi="Cambria Math"/>
              </w:rPr>
              <m:t>P</m:t>
            </m:r>
          </m:e>
        </m:d>
        <m:r>
          <w:rPr>
            <w:rFonts w:ascii="Cambria Math" w:hAnsi="Cambria Math"/>
          </w:rPr>
          <m:t>d</m:t>
        </m:r>
        <m:r>
          <m:rPr>
            <m:nor/>
          </m:rPr>
          <m:t>.</m:t>
        </m:r>
      </m:oMath>
      <w:r>
        <w:t xml:space="preserve"> Substituting </w:t>
      </w:r>
      <m:oMath>
        <m:r>
          <w:rPr>
            <w:rFonts w:ascii="Cambria Math" w:hAnsi="Cambria Math"/>
          </w:rPr>
          <m:t>ad</m:t>
        </m:r>
      </m:oMath>
      <w:r>
        <w:t xml:space="preserve"> into its quadratic difference gives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sSubSup>
          <m:sSubSupPr>
            <m:ctrlPr>
              <w:rPr>
                <w:rFonts w:ascii="Cambria Math" w:hAnsi="Cambria Math"/>
              </w:rPr>
            </m:ctrlPr>
          </m:sSubSupPr>
          <m:e>
            <m:r>
              <m:rPr>
                <m:sty m:val="p"/>
              </m:rPr>
              <w:rPr>
                <w:rFonts w:ascii="Cambria Math" w:hAnsi="Cambria Math"/>
              </w:rPr>
              <m:t>∥</m:t>
            </m:r>
          </m:e>
          <m:sub>
            <m:r>
              <w:rPr>
                <w:rFonts w:ascii="Cambria Math" w:hAnsi="Cambria Math"/>
              </w:rPr>
              <m:t>P</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d</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B</m:t>
                </m:r>
              </m:e>
              <m:sub>
                <m:r>
                  <w:rPr>
                    <w:rFonts w:ascii="Cambria Math" w:hAnsi="Cambria Math"/>
                  </w:rPr>
                  <m:t>z</m:t>
                </m:r>
              </m:sub>
            </m:sSub>
          </m:sub>
          <m:sup>
            <m:r>
              <w:rPr>
                <w:rFonts w:ascii="Cambria Math" w:hAnsi="Cambria Math"/>
              </w:rPr>
              <m:t>2</m:t>
            </m:r>
          </m:sup>
        </m:sSubSup>
        <m:r>
          <m:rPr>
            <m:nor/>
          </m:rPr>
          <m:t>.</m:t>
        </m:r>
      </m:oMath>
      <w:r>
        <w:t xml:space="preserve"> Tangency transfers the inequality to </w:t>
      </w:r>
      <m:oMath>
        <m:r>
          <w:rPr>
            <w:rFonts w:ascii="Cambria Math" w:hAnsi="Cambria Math"/>
          </w:rPr>
          <m:t>F</m:t>
        </m:r>
        <m:r>
          <m:rPr>
            <m:nor/>
          </m:rPr>
          <m:t>.</m:t>
        </m:r>
      </m:oMath>
      <w:r>
        <w:t xml:space="preserve"> </w:t>
      </w:r>
      <m:oMath>
        <m:r>
          <m:rPr>
            <m:sty m:val="p"/>
          </m:rPr>
          <w:rPr>
            <w:rFonts w:ascii="Cambria Math" w:hAnsi="Cambria Math"/>
          </w:rPr>
          <m:t>▫</m:t>
        </m:r>
      </m:oMath>
    </w:p>
    <w:p w14:paraId="428DDD7C" w14:textId="77777777" w:rsidR="007A6184" w:rsidRDefault="00000000" w:rsidP="00396E59">
      <w:pPr>
        <w:pStyle w:val="BodyText"/>
        <w:jc w:val="both"/>
      </w:pPr>
      <w:r>
        <w:t xml:space="preserve">The new general-map test checks 1,000 problems with 0 violations at the declared tolerance; the independently differenced gradient has maximum relative discrepancy </w:t>
      </w:r>
      <m:oMath>
        <m:r>
          <w:rPr>
            <w:rFonts w:ascii="Cambria Math" w:hAnsi="Cambria Math"/>
          </w:rPr>
          <m:t>8.49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m:rPr>
            <m:nor/>
          </m:rPr>
          <m:t>.</m:t>
        </m:r>
      </m:oMath>
      <w:r>
        <w:t xml:space="preserve"> Re-anchoring damps a step. It does not protect the old decoder across a durable write. A persistent prior tied to the old system must be represented separately and evaluated on old tasks.</w:t>
      </w:r>
    </w:p>
    <w:p w14:paraId="5776B317" w14:textId="77777777" w:rsidR="007A6184" w:rsidRDefault="00000000" w:rsidP="00396E59">
      <w:pPr>
        <w:pStyle w:val="Heading11"/>
        <w:jc w:val="both"/>
      </w:pPr>
      <w:bookmarkStart w:id="11" w:name="what-ase-adds-to-the-optimiser"/>
      <w:bookmarkEnd w:id="9"/>
      <w:bookmarkEnd w:id="10"/>
      <w:r>
        <w:t>5 What ASE adds to the optimiser</w:t>
      </w:r>
    </w:p>
    <w:p w14:paraId="7FC15969" w14:textId="33F3890A" w:rsidR="007A6184" w:rsidRDefault="00000000" w:rsidP="00396E59">
      <w:pPr>
        <w:pStyle w:val="FirstParagraph"/>
        <w:jc w:val="both"/>
      </w:pPr>
      <w:r>
        <w:t xml:space="preserve">Equation (7) is a local solver. ASE supplies an archive-based proposal process around it. For each branch, encode candidate packages in a fixed search space, or use explicitly compared charts. Initialise tokens from current memory, selected evaluated candidates and prescribed exploratory seeds. Retrieve nearby, branch-compatible candidates from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nor/>
          </m:rPr>
          <m:t>.</m:t>
        </m:r>
      </m:oMath>
      <w:r>
        <w:t xml:space="preserve"> Fitness and distance determine the read weights. Write </w:t>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oMath>
      <w:r>
        <w:t xml:space="preserve"> for the layer read with its declared anchor, fixed within </w:t>
      </w:r>
      <w:r w:rsidR="003F496C">
        <w:t>it</w:t>
      </w:r>
      <w:r>
        <w:t xml:space="preserve"> solve. Then apply</w:t>
      </w:r>
    </w:p>
    <w:p w14:paraId="37900C1A"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oMath>
      <w:r>
        <w:tab/>
        <w:t>(12)</w:t>
      </w:r>
    </w:p>
    <w:p w14:paraId="2C2D1E22" w14:textId="77777777" w:rsidR="007A6184" w:rsidRDefault="00000000" w:rsidP="00396E59">
      <w:pPr>
        <w:pStyle w:val="BodyText"/>
        <w:jc w:val="both"/>
      </w:pPr>
      <w:r>
        <w:t>The schedule is prescribed within a run. Its scale controls locality and exploration. The archive stores actual evaluations of decoded memory packages. A proposed latent code receives no fitness credit until its decoder, training procedure and task tests have run. An ASE trajectory is not asserted to be an exact posterior sample.</w:t>
      </w:r>
    </w:p>
    <w:p w14:paraId="59E9CC47" w14:textId="77777777" w:rsidR="007A6184" w:rsidRDefault="00000000" w:rsidP="00396E59">
      <w:pPr>
        <w:pStyle w:val="BodyText"/>
        <w:jc w:val="both"/>
      </w:pPr>
      <w:r>
        <w:t>A first implementation uses a small population to search low-dimensional codes, exemplar subsets, replay allocation and adapter hyperparameters. Gradient methods train adapters inside each candidate evaluation. The fixed quadratic block should be solved directly; ASE is justified only if the remaining nonconvex, discrete or branch-structured problem benefits from its proposal mechanism. A direct quadratic solver is therefore a required control, not an adversary to be hidden.</w:t>
      </w:r>
    </w:p>
    <w:p w14:paraId="794E9608" w14:textId="77777777" w:rsidR="007A6184" w:rsidRDefault="00000000" w:rsidP="00396E59">
      <w:pPr>
        <w:pStyle w:val="BodyText"/>
        <w:keepNext/>
        <w:jc w:val="both"/>
      </w:pPr>
      <w:r>
        <w:rPr>
          <w:b/>
          <w:bCs/>
        </w:rPr>
        <w:t>Proposition 3 — Schedule separation remains pathwise.</w:t>
      </w:r>
      <w:r>
        <w:t xml:space="preserve"> Write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nor/>
          </m:rPr>
          <m:t>.</m:t>
        </m:r>
      </m:oMath>
      <w:r>
        <w:t xml:space="preserve"> For every realised sequence of reads and noise increments,</w:t>
      </w:r>
    </w:p>
    <w:p w14:paraId="56DEB3BB" w14:textId="77777777" w:rsidR="007A6184" w:rsidRDefault="00000000" w:rsidP="00396E59">
      <w:pPr>
        <w:pStyle w:val="Equation"/>
        <w:keepNext/>
        <w:jc w:val="both"/>
      </w:pPr>
      <w:r>
        <w:tab/>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a</m:t>
                    </m:r>
                  </m:e>
                  <m:sub>
                    <m:r>
                      <w:rPr>
                        <w:rFonts w:ascii="Cambria Math" w:hAnsi="Cambria Math"/>
                      </w:rPr>
                      <m:t>t</m:t>
                    </m:r>
                  </m:sub>
                </m:sSub>
              </m:e>
            </m:nary>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j</m:t>
                </m:r>
              </m:sub>
            </m:sSub>
          </m:e>
        </m:nary>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j</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i</m:t>
                    </m:r>
                  </m:sub>
                </m:sSub>
              </m:e>
            </m:nary>
          </m:e>
        </m:d>
        <m:sSub>
          <m:sSubPr>
            <m:ctrlPr>
              <w:rPr>
                <w:rFonts w:ascii="Cambria Math" w:hAnsi="Cambria Math"/>
              </w:rPr>
            </m:ctrlPr>
          </m:sSubPr>
          <m:e>
            <m:r>
              <w:rPr>
                <w:rFonts w:ascii="Cambria Math" w:hAnsi="Cambria Math"/>
              </w:rPr>
              <m:t>R</m:t>
            </m:r>
          </m:e>
          <m:sub>
            <m:r>
              <w:rPr>
                <w:rFonts w:ascii="Cambria Math" w:hAnsi="Cambria Math"/>
              </w:rPr>
              <m:t>j</m:t>
            </m:r>
          </m:sub>
        </m:sSub>
      </m:oMath>
    </w:p>
    <w:p w14:paraId="38A1EC78" w14:textId="77777777" w:rsidR="007A6184" w:rsidRDefault="00000000" w:rsidP="00396E59">
      <w:pPr>
        <w:pStyle w:val="Equation"/>
        <w:jc w:val="both"/>
      </w:pPr>
      <w:r>
        <w:tab/>
      </w:r>
      <m:oMath>
        <m:r>
          <w:rPr>
            <w:rFonts w:ascii="Cambria Math" w:hAnsi="Cambria Math"/>
          </w:rPr>
          <m:t> </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j</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i</m:t>
                        </m:r>
                      </m:sub>
                    </m:sSub>
                  </m:e>
                </m:nary>
              </m:e>
            </m:d>
          </m:e>
        </m:nary>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m:t>
        </m:r>
      </m:oMath>
      <w:r>
        <w:tab/>
        <w:t>(13)</w:t>
      </w:r>
    </w:p>
    <w:p w14:paraId="36F981C6" w14:textId="77777777" w:rsidR="007A6184" w:rsidRDefault="00000000" w:rsidP="00396E59">
      <w:pPr>
        <w:pStyle w:val="BodyText"/>
        <w:jc w:val="both"/>
      </w:pPr>
      <w:r>
        <w:t>The coefficients of the initial state and all reads are nonnegative and sum to one.</w:t>
      </w:r>
    </w:p>
    <w:p w14:paraId="1CF45C07" w14:textId="77777777" w:rsidR="007A6184" w:rsidRDefault="00000000" w:rsidP="00396E59">
      <w:pPr>
        <w:pStyle w:val="BodyText"/>
        <w:jc w:val="both"/>
      </w:pPr>
      <w:r>
        <w:rPr>
          <w:i/>
          <w:iCs/>
        </w:rPr>
        <w:t>Proof.</w:t>
      </w:r>
      <w:r>
        <w:t xml:space="preserve"> Substitute (12) recursively from </w:t>
      </w:r>
      <m:oMath>
        <m:r>
          <w:rPr>
            <w:rFonts w:ascii="Cambria Math" w:hAnsi="Cambria Math"/>
          </w:rPr>
          <m:t>t</m:t>
        </m:r>
        <m:r>
          <m:rPr>
            <m:sty m:val="p"/>
          </m:rPr>
          <w:rPr>
            <w:rFonts w:ascii="Cambria Math" w:hAnsi="Cambria Math"/>
          </w:rPr>
          <m:t>=</m:t>
        </m:r>
        <m:r>
          <w:rPr>
            <w:rFonts w:ascii="Cambria Math" w:hAnsi="Cambria Math"/>
          </w:rPr>
          <m:t>1</m:t>
        </m:r>
      </m:oMath>
      <w:r>
        <w:t xml:space="preserve"> back to </w:t>
      </w:r>
      <m:oMath>
        <m:r>
          <w:rPr>
            <w:rFonts w:ascii="Cambria Math" w:hAnsi="Cambria Math"/>
          </w:rPr>
          <m:t>T</m:t>
        </m:r>
        <m:r>
          <m:rPr>
            <m:nor/>
          </m:rPr>
          <m:t>.</m:t>
        </m:r>
      </m:oMath>
      <w:r>
        <w:t xml:space="preserve"> The coefficient sum telescopes because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nor/>
          </m:rPr>
          <m:t>.</m:t>
        </m:r>
      </m:oMath>
      <w:r>
        <w:t xml:space="preserve"> No independence assumption is needed. </w:t>
      </w:r>
      <m:oMath>
        <m:r>
          <m:rPr>
            <m:sty m:val="p"/>
          </m:rPr>
          <w:rPr>
            <w:rFonts w:ascii="Cambria Math" w:hAnsi="Cambria Math"/>
          </w:rPr>
          <m:t>▫</m:t>
        </m:r>
      </m:oMath>
    </w:p>
    <w:p w14:paraId="657B3CE0" w14:textId="77777777" w:rsidR="007A6184" w:rsidRDefault="00000000" w:rsidP="00396E59">
      <w:pPr>
        <w:pStyle w:val="BodyText"/>
        <w:jc w:val="both"/>
      </w:pPr>
      <w:r>
        <w:t>Thus the schedule controls how much each read can influence the final proposed code. The identity does not determine what the read means, prove preservation of an episode, or guarantee a successful parameter update. A convex combination of inaccurate reads can remain inaccurate, and local recombination can leave the convex hull of complete archived packages.</w:t>
      </w:r>
    </w:p>
    <w:p w14:paraId="43DB5064" w14:textId="77777777" w:rsidR="007A6184" w:rsidRDefault="00000000" w:rsidP="00396E59">
      <w:pPr>
        <w:pStyle w:val="Heading21"/>
        <w:jc w:val="both"/>
      </w:pPr>
      <w:bookmarkStart w:id="12" w:name="one-consolidation-cycle"/>
      <w:r>
        <w:lastRenderedPageBreak/>
        <w:t>5.1 One consolidation cycle</w:t>
      </w:r>
    </w:p>
    <w:p w14:paraId="4FA7DF33" w14:textId="77777777" w:rsidR="007A6184" w:rsidRDefault="00000000" w:rsidP="00396E59">
      <w:pPr>
        <w:pStyle w:val="Compact"/>
        <w:numPr>
          <w:ilvl w:val="0"/>
          <w:numId w:val="3"/>
        </w:numPr>
        <w:jc w:val="both"/>
      </w:pPr>
      <w:r>
        <w:t>Freeze encoders, maps, the current slow model, task losses and the training portion of the replay buffer.</w:t>
      </w:r>
    </w:p>
    <w:p w14:paraId="762A7D51" w14:textId="77777777" w:rsidR="007A6184" w:rsidRDefault="00000000" w:rsidP="00396E59">
      <w:pPr>
        <w:pStyle w:val="Compact"/>
        <w:numPr>
          <w:ilvl w:val="0"/>
          <w:numId w:val="3"/>
        </w:numPr>
        <w:jc w:val="both"/>
      </w:pPr>
      <w:r>
        <w:t>Form branch-specific candidate encodings; include the unchanged slow state as a feasible fallback.</w:t>
      </w:r>
    </w:p>
    <w:p w14:paraId="57168BCE" w14:textId="77777777" w:rsidR="007A6184" w:rsidRDefault="00000000" w:rsidP="00396E59">
      <w:pPr>
        <w:pStyle w:val="Compact"/>
        <w:numPr>
          <w:ilvl w:val="0"/>
          <w:numId w:val="3"/>
        </w:numPr>
        <w:jc w:val="both"/>
      </w:pPr>
      <w:r>
        <w:t xml:space="preserve">Use ASE to propose packages. Evaluate each using the same permitted replay and inner training budget; append its measured outcome to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nor/>
          </m:rPr>
          <m:t>.</m:t>
        </m:r>
      </m:oMath>
    </w:p>
    <w:p w14:paraId="16FE2F96" w14:textId="77777777" w:rsidR="007A6184" w:rsidRDefault="00000000" w:rsidP="00396E59">
      <w:pPr>
        <w:pStyle w:val="Compact"/>
        <w:numPr>
          <w:ilvl w:val="0"/>
          <w:numId w:val="3"/>
        </w:numPr>
        <w:jc w:val="both"/>
      </w:pPr>
      <w:r>
        <w:t>Retain a Pareto set for fidelity, old-task retention, persisted bytes and inference cost. Select candidates on development data.</w:t>
      </w:r>
    </w:p>
    <w:p w14:paraId="3074477D" w14:textId="77777777" w:rsidR="007A6184" w:rsidRDefault="00000000" w:rsidP="00396E59">
      <w:pPr>
        <w:pStyle w:val="Compact"/>
        <w:numPr>
          <w:ilvl w:val="0"/>
          <w:numId w:val="3"/>
        </w:numPr>
        <w:jc w:val="both"/>
      </w:pPr>
      <w:r>
        <w:t>Freeze the finalists before exposing the final retention holdout. Apply the admission rule of Section 7 and the exact feasibility checks.</w:t>
      </w:r>
    </w:p>
    <w:p w14:paraId="77E75083" w14:textId="77777777" w:rsidR="007A6184" w:rsidRDefault="00000000" w:rsidP="00396E59">
      <w:pPr>
        <w:pStyle w:val="Compact"/>
        <w:numPr>
          <w:ilvl w:val="0"/>
          <w:numId w:val="3"/>
        </w:numPr>
        <w:jc w:val="both"/>
      </w:pPr>
      <w:r>
        <w:t>Commit one accepted package atomically with its maps and provenance; retain a rollback version. Remove source-buffer access only according to the tested consolidation claim.</w:t>
      </w:r>
    </w:p>
    <w:p w14:paraId="0008A416" w14:textId="77777777" w:rsidR="007A6184" w:rsidRDefault="00000000" w:rsidP="00396E59">
      <w:pPr>
        <w:pStyle w:val="FirstParagraph"/>
        <w:jc w:val="both"/>
      </w:pPr>
      <w:r>
        <w:t>Replays prioritised by uncertainty or expected gain are a policy to compare against uniform replay. Prioritisation is not automatically unbiased: use importance corrections when an unbiased task-risk estimate is required, and evaluate on the declared task distribution.</w:t>
      </w:r>
    </w:p>
    <w:p w14:paraId="668B8215" w14:textId="77777777" w:rsidR="007A6184" w:rsidRDefault="00000000" w:rsidP="00396E59">
      <w:pPr>
        <w:pStyle w:val="Heading21"/>
        <w:jc w:val="both"/>
      </w:pPr>
      <w:bookmarkStart w:id="13" w:name="priority-coverage-and-numerical-policy"/>
      <w:bookmarkEnd w:id="12"/>
      <w:r>
        <w:t>5.2 Priority coverage and numerical policy</w:t>
      </w:r>
    </w:p>
    <w:p w14:paraId="110A5246" w14:textId="77777777" w:rsidR="007A6184" w:rsidRDefault="00000000" w:rsidP="00396E59">
      <w:pPr>
        <w:pStyle w:val="FirstParagraph"/>
        <w:jc w:val="both"/>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0</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J</m:t>
                </m:r>
              </m:e>
              <m:sub>
                <m:r>
                  <w:rPr>
                    <w:rFonts w:ascii="Cambria Math" w:hAnsi="Cambria Math"/>
                  </w:rPr>
                  <m:t>i</m:t>
                </m:r>
              </m:sub>
            </m:sSub>
          </m:sup>
        </m:sSup>
        <m:r>
          <m:rPr>
            <m:nor/>
          </m:rPr>
          <m:t>,</m:t>
        </m:r>
      </m:oMath>
      <w:r>
        <w:t xml:space="preserve"> with </w:t>
      </w:r>
      <m:oMath>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0</m:t>
            </m:r>
          </m:sup>
        </m:sSubSup>
        <m:r>
          <m:rPr>
            <m:sty m:val="p"/>
          </m:rPr>
          <w:rPr>
            <w:rFonts w:ascii="Cambria Math" w:hAnsi="Cambria Math"/>
          </w:rPr>
          <m:t>&gt;</m:t>
        </m:r>
        <m:r>
          <w:rPr>
            <w:rFonts w:ascii="Cambria Math" w:hAnsi="Cambria Math"/>
          </w:rPr>
          <m:t>0</m:t>
        </m:r>
      </m:oMath>
      <w:r>
        <w:t xml:space="preserve"> and priority gain </w:t>
      </w:r>
      <m:oMath>
        <m:r>
          <w:rPr>
            <w:rFonts w:ascii="Cambria Math" w:hAnsi="Cambria Math"/>
          </w:rPr>
          <m:t>τ</m:t>
        </m:r>
        <m:r>
          <m:rPr>
            <m:sty m:val="p"/>
          </m:rPr>
          <w:rPr>
            <w:rFonts w:ascii="Cambria Math" w:hAnsi="Cambria Math"/>
          </w:rPr>
          <m:t>≥</m:t>
        </m:r>
        <m:r>
          <w:rPr>
            <w:rFonts w:ascii="Cambria Math" w:hAnsi="Cambria Math"/>
          </w:rPr>
          <m:t>0</m:t>
        </m:r>
        <m:r>
          <m:rPr>
            <m:nor/>
          </m:rPr>
          <m:t>.</m:t>
        </m:r>
      </m:oMath>
      <w:r>
        <w:t xml:space="preserve"> Smaller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means greater priority. To prioritise high surprise or high loss, use a decreasing score such as minus surprise; using the positive loss would favour low-loss records. The letter </w:t>
      </w:r>
      <m:oMath>
        <m:r>
          <w:rPr>
            <w:rFonts w:ascii="Cambria Math" w:hAnsi="Cambria Math"/>
          </w:rPr>
          <m:t>τ</m:t>
        </m:r>
      </m:oMath>
      <w:r>
        <w:t xml:space="preserve"> separates priority from the compatibility coefficient </w:t>
      </w:r>
      <m:oMath>
        <m:r>
          <w:rPr>
            <w:rFonts w:ascii="Cambria Math" w:hAnsi="Cambria Math"/>
          </w:rPr>
          <m:t>β</m:t>
        </m:r>
        <m:r>
          <m:rPr>
            <m:nor/>
          </m:rPr>
          <m:t>.</m:t>
        </m:r>
      </m:oMath>
    </w:p>
    <w:p w14:paraId="54030518" w14:textId="77777777" w:rsidR="007A6184" w:rsidRDefault="00000000" w:rsidP="00396E59">
      <w:pPr>
        <w:pStyle w:val="BodyText"/>
        <w:keepNext/>
        <w:jc w:val="both"/>
      </w:pPr>
      <w:r>
        <w:rPr>
          <w:b/>
          <w:bCs/>
        </w:rPr>
        <w:t>Proposition 4 — Prioritisation suppresses evidence coverage.</w:t>
      </w:r>
      <w:r>
        <w:t xml:space="preserve"> Suppose </w:t>
      </w:r>
      <m:oMath>
        <m:r>
          <w:rPr>
            <w:rFonts w:ascii="Cambria Math" w:hAnsi="Cambria Math"/>
          </w:rPr>
          <m:t>J</m:t>
        </m:r>
      </m:oMath>
      <w:r>
        <w:t xml:space="preserve"> has a unique minimiser </w:t>
      </w:r>
      <m:oMath>
        <m:r>
          <w:rPr>
            <w:rFonts w:ascii="Cambria Math" w:hAnsi="Cambria Math"/>
          </w:rPr>
          <m:t>ι</m:t>
        </m:r>
      </m:oMath>
      <w:r>
        <w:t xml:space="preserve"> and gap </w:t>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r>
              <m:rPr>
                <m:sty m:val="p"/>
              </m:rPr>
              <w:rPr>
                <w:rFonts w:ascii="Cambria Math" w:hAnsi="Cambria Math"/>
              </w:rPr>
              <m:t>≠</m:t>
            </m:r>
            <m:r>
              <w:rPr>
                <w:rFonts w:ascii="Cambria Math" w:hAnsi="Cambria Math"/>
              </w:rPr>
              <m:t>ι</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ι</m:t>
                </m:r>
              </m:sub>
            </m:sSub>
          </m:e>
        </m:d>
        <m:r>
          <m:rPr>
            <m:sty m:val="p"/>
          </m:rPr>
          <w:rPr>
            <w:rFonts w:ascii="Cambria Math" w:hAnsi="Cambria Math"/>
          </w:rPr>
          <m:t>&gt;</m:t>
        </m:r>
        <m:r>
          <w:rPr>
            <w:rFonts w:ascii="Cambria Math" w:hAnsi="Cambria Math"/>
          </w:rPr>
          <m:t>0</m:t>
        </m:r>
        <m:r>
          <m:rPr>
            <m:nor/>
          </m:rPr>
          <m:t>.</m:t>
        </m:r>
      </m:oMath>
      <w:r>
        <w:t xml:space="preserve"> With coordinate masks </w:t>
      </w:r>
      <m:oMath>
        <m:sSub>
          <m:sSubPr>
            <m:ctrlPr>
              <w:rPr>
                <w:rFonts w:ascii="Cambria Math" w:hAnsi="Cambria Math"/>
              </w:rPr>
            </m:ctrlPr>
          </m:sSubPr>
          <m:e>
            <m:r>
              <w:rPr>
                <w:rFonts w:ascii="Cambria Math" w:hAnsi="Cambria Math"/>
              </w:rPr>
              <m:t>S</m:t>
            </m:r>
          </m:e>
          <m:sub>
            <m:r>
              <w:rPr>
                <w:rFonts w:ascii="Cambria Math" w:hAnsi="Cambria Math"/>
              </w:rPr>
              <m:t>i</m:t>
            </m:r>
          </m:sub>
        </m:sSub>
        <m:r>
          <m:rPr>
            <m:nor/>
          </m:rPr>
          <m:t>,</m:t>
        </m:r>
      </m:oMath>
      <w:r>
        <w:t xml:space="preserve"> define </w:t>
      </w:r>
      <m:oMath>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nor/>
          </m:rPr>
          <m:t>.</m:t>
        </m:r>
      </m:oMath>
      <w:r>
        <w:t xml:space="preserve"> At a fixed query, scale, record set and score vector, any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ι</m:t>
            </m:r>
          </m:sub>
        </m:sSub>
      </m:oMath>
      <w:r>
        <w:t xml:space="preserve"> satisfies</w:t>
      </w:r>
    </w:p>
    <w:p w14:paraId="12E7565E"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τΔ</m:t>
            </m:r>
          </m:sup>
        </m:sSup>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ι</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0</m:t>
                    </m:r>
                  </m:sup>
                </m:sSubSup>
              </m:num>
              <m:den>
                <m:sSubSup>
                  <m:sSubSupPr>
                    <m:ctrlPr>
                      <w:rPr>
                        <w:rFonts w:ascii="Cambria Math" w:hAnsi="Cambria Math"/>
                      </w:rPr>
                    </m:ctrlPr>
                  </m:sSubSupPr>
                  <m:e>
                    <m:r>
                      <w:rPr>
                        <w:rFonts w:ascii="Cambria Math" w:hAnsi="Cambria Math"/>
                      </w:rPr>
                      <m:t>π</m:t>
                    </m:r>
                  </m:e>
                  <m:sub>
                    <m:r>
                      <w:rPr>
                        <w:rFonts w:ascii="Cambria Math" w:hAnsi="Cambria Math"/>
                      </w:rPr>
                      <m:t>ι</m:t>
                    </m:r>
                  </m:sub>
                  <m:sup>
                    <m:r>
                      <w:rPr>
                        <w:rFonts w:ascii="Cambria Math" w:hAnsi="Cambria Math"/>
                      </w:rPr>
                      <m:t>0</m:t>
                    </m:r>
                  </m:sup>
                </m:sSubSup>
              </m:den>
            </m:f>
          </m:e>
        </m:nary>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ι</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num>
              <m:den>
                <m:sSup>
                  <m:sSupPr>
                    <m:ctrlPr>
                      <w:rPr>
                        <w:rFonts w:ascii="Cambria Math" w:hAnsi="Cambria Math"/>
                      </w:rPr>
                    </m:ctrlPr>
                  </m:sSupPr>
                  <m:e>
                    <m:r>
                      <w:rPr>
                        <w:rFonts w:ascii="Cambria Math" w:hAnsi="Cambria Math"/>
                      </w:rPr>
                      <m:t>s</m:t>
                    </m:r>
                  </m:e>
                  <m:sup>
                    <m:r>
                      <w:rPr>
                        <w:rFonts w:ascii="Cambria Math" w:hAnsi="Cambria Math"/>
                      </w:rPr>
                      <m:t>2</m:t>
                    </m:r>
                  </m:sup>
                </m:sSup>
              </m:den>
            </m:f>
          </m:e>
        </m:d>
        <m:r>
          <m:rPr>
            <m:sty m:val="p"/>
          </m:rPr>
          <w:rPr>
            <w:rFonts w:ascii="Cambria Math" w:hAnsi="Cambria Math"/>
          </w:rPr>
          <m:t>.</m:t>
        </m:r>
      </m:oMath>
      <w:r>
        <w:tab/>
        <w:t>(14)</w:t>
      </w:r>
    </w:p>
    <w:p w14:paraId="4FE91629" w14:textId="77777777" w:rsidR="007A6184" w:rsidRDefault="00000000" w:rsidP="00396E59">
      <w:pPr>
        <w:pStyle w:val="BodyText"/>
        <w:jc w:val="both"/>
      </w:pPr>
      <w:r>
        <w:rPr>
          <w:i/>
          <w:iCs/>
        </w:rPr>
        <w:t>Proof.</w:t>
      </w:r>
      <w:r>
        <w:t xml:space="preserve"> Bound </w:t>
      </w:r>
      <m:oMath>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by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ι</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ι</m:t>
            </m:r>
          </m:sub>
        </m:sSub>
        <m:r>
          <m:rPr>
            <m:nor/>
          </m:rPr>
          <m:t>,</m:t>
        </m:r>
      </m:oMath>
      <w:r>
        <w:t xml:space="preserve"> then substitute the exact weight ratios. </w:t>
      </w:r>
      <m:oMath>
        <m:r>
          <m:rPr>
            <m:sty m:val="p"/>
          </m:rPr>
          <w:rPr>
            <w:rFonts w:ascii="Cambria Math" w:hAnsi="Cambria Math"/>
          </w:rPr>
          <m:t>▫</m:t>
        </m:r>
      </m:oMath>
    </w:p>
    <w:p w14:paraId="3C03FDB5" w14:textId="77777777" w:rsidR="007A6184" w:rsidRDefault="00000000" w:rsidP="00396E59">
      <w:pPr>
        <w:pStyle w:val="BodyText"/>
        <w:jc w:val="both"/>
      </w:pPr>
      <w:r>
        <w:t>This is a pointwise coverage theorem. The constant need not remain bounded along a changing query, scale or archive. It does not imply that the exact read copies only the elite: a vanishing numerator divided by a vanishing coverage can have a nonzero, stable ratio.</w:t>
      </w:r>
    </w:p>
    <w:p w14:paraId="0028E84B" w14:textId="77777777" w:rsidR="007A6184" w:rsidRDefault="00000000" w:rsidP="00396E59">
      <w:pPr>
        <w:pStyle w:val="BodyText"/>
        <w:keepNext/>
        <w:jc w:val="both"/>
      </w:pPr>
      <w:r>
        <w:rPr>
          <w:b/>
          <w:bCs/>
        </w:rPr>
        <w:t>Corollary 4.1 — When the prior takes over.</w:t>
      </w:r>
      <w:r>
        <w:t xml:space="preserve"> With diagonal prior entries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0</m:t>
        </m:r>
        <m:r>
          <m:rPr>
            <m:nor/>
          </m:rPr>
          <m:t>,</m:t>
        </m:r>
      </m:oMath>
      <w:r>
        <w:t xml:space="preserve"> identity observation metrics, no compatibility coupling and </w:t>
      </w:r>
      <m:oMath>
        <m:r>
          <w:rPr>
            <w:rFonts w:ascii="Cambria Math" w:hAnsi="Cambria Math"/>
          </w:rPr>
          <m:t>γ</m:t>
        </m:r>
        <m:r>
          <m:rPr>
            <m:sty m:val="p"/>
          </m:rPr>
          <w:rPr>
            <w:rFonts w:ascii="Cambria Math" w:hAnsi="Cambria Math"/>
          </w:rPr>
          <m:t>&gt;</m:t>
        </m:r>
        <m:r>
          <w:rPr>
            <w:rFonts w:ascii="Cambria Math" w:hAnsi="Cambria Math"/>
          </w:rPr>
          <m:t>0</m:t>
        </m:r>
        <m:r>
          <m:rPr>
            <m:nor/>
          </m:rPr>
          <m:t>,</m:t>
        </m:r>
      </m:oMath>
      <w:r>
        <w:t xml:space="preserve"> put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when </w:t>
      </w:r>
      <m:oMath>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&gt;</m:t>
        </m:r>
        <m:r>
          <w:rPr>
            <w:rFonts w:ascii="Cambria Math" w:hAnsi="Cambria Math"/>
          </w:rPr>
          <m:t>0</m:t>
        </m:r>
        <m:r>
          <m:rPr>
            <m:nor/>
          </m:rPr>
          <m:t>.</m:t>
        </m:r>
      </m:oMath>
      <w:r>
        <w:t xml:space="preserve"> Then</w:t>
      </w:r>
    </w:p>
    <w:p w14:paraId="3C642910"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κ</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κ</m:t>
                </m:r>
              </m:e>
              <m:sub>
                <m:r>
                  <w:rPr>
                    <w:rFonts w:ascii="Cambria Math" w:hAnsi="Cambria Math"/>
                  </w:rPr>
                  <m:t>j</m:t>
                </m:r>
              </m:sub>
            </m:sSub>
          </m:den>
        </m:f>
        <m:r>
          <m:rPr>
            <m:sty m:val="p"/>
          </m:rPr>
          <w:rPr>
            <w:rFonts w:ascii="Cambria Math" w:hAnsi="Cambria Math"/>
          </w:rPr>
          <m:t>.</m:t>
        </m:r>
      </m:oMath>
      <w:r>
        <w:tab/>
        <w:t>(15)</w:t>
      </w:r>
    </w:p>
    <w:p w14:paraId="69881DE8" w14:textId="77777777" w:rsidR="007A6184" w:rsidRDefault="00000000" w:rsidP="00396E59">
      <w:pPr>
        <w:pStyle w:val="BodyText"/>
        <w:jc w:val="both"/>
      </w:pPr>
      <w:r>
        <w:t xml:space="preserve">For fixed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bounded </w:t>
      </w:r>
      <m:oMath>
        <m:sSub>
          <m:sSubPr>
            <m:ctrlPr>
              <w:rPr>
                <w:rFonts w:ascii="Cambria Math" w:hAnsi="Cambria Math"/>
              </w:rPr>
            </m:ctrlPr>
          </m:sSubPr>
          <m:e>
            <m:r>
              <w:rPr>
                <w:rFonts w:ascii="Cambria Math" w:hAnsi="Cambria Math"/>
              </w:rPr>
              <m:t>c</m:t>
            </m:r>
          </m:e>
          <m:sub>
            <m:r>
              <w:rPr>
                <w:rFonts w:ascii="Cambria Math" w:hAnsi="Cambria Math"/>
              </w:rPr>
              <m:t>j</m:t>
            </m:r>
          </m:sub>
        </m:sSub>
        <m:r>
          <m:rPr>
            <m:nor/>
          </m:rPr>
          <m:t>,</m:t>
        </m:r>
      </m:oMath>
      <w:r>
        <w:t xml:space="preserve"> </w:t>
      </w:r>
      <m:oMath>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r>
          <w:rPr>
            <w:rFonts w:ascii="Cambria Math" w:hAnsi="Cambria Math"/>
          </w:rPr>
          <m:t>0</m:t>
        </m:r>
      </m:oMath>
      <w:r>
        <w:t xml:space="preserve"> implies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nor/>
          </m:rPr>
          <m:t>.</m:t>
        </m:r>
      </m:oMath>
      <w:r>
        <w:t xml:space="preserve"> For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every finite positive </w:t>
      </w:r>
      <m:oMath>
        <m:sSub>
          <m:sSubPr>
            <m:ctrlPr>
              <w:rPr>
                <w:rFonts w:ascii="Cambria Math" w:hAnsi="Cambria Math"/>
              </w:rPr>
            </m:ctrlPr>
          </m:sSubPr>
          <m:e>
            <m:r>
              <w:rPr>
                <w:rFonts w:ascii="Cambria Math" w:hAnsi="Cambria Math"/>
              </w:rPr>
              <m:t>κ</m:t>
            </m:r>
          </m:e>
          <m:sub>
            <m:r>
              <w:rPr>
                <w:rFonts w:ascii="Cambria Math" w:hAnsi="Cambria Math"/>
              </w:rPr>
              <m:t>j</m:t>
            </m:r>
          </m:sub>
        </m:sSub>
        <m:r>
          <m:rPr>
            <m:nor/>
          </m:rPr>
          <m:t>,</m:t>
        </m:r>
      </m:oMath>
      <w:r>
        <w:t xml:space="preserve"> the exact read is </w:t>
      </w:r>
      <m:oMath>
        <m:sSub>
          <m:sSubPr>
            <m:ctrlPr>
              <w:rPr>
                <w:rFonts w:ascii="Cambria Math" w:hAnsi="Cambria Math"/>
              </w:rPr>
            </m:ctrlPr>
          </m:sSubPr>
          <m:e>
            <m:r>
              <w:rPr>
                <w:rFonts w:ascii="Cambria Math" w:hAnsi="Cambria Math"/>
              </w:rPr>
              <m:t>c</m:t>
            </m:r>
          </m:e>
          <m:sub>
            <m:r>
              <w:rPr>
                <w:rFonts w:ascii="Cambria Math" w:hAnsi="Cambria Math"/>
              </w:rPr>
              <m:t>j</m:t>
            </m:r>
          </m:sub>
        </m:sSub>
        <m:r>
          <m:rPr>
            <m:nor/>
          </m:rPr>
          <m:t>.</m:t>
        </m:r>
      </m:oMath>
      <w:r>
        <w:t xml:space="preserve"> At exactly zero coverage the prior-retention convention applies. With nonzero compatibility, analyse the full operator </w:t>
      </w:r>
      <m:oMath>
        <m:r>
          <w:rPr>
            <w:rFonts w:ascii="Cambria Math" w:hAnsi="Cambria Math"/>
          </w:rPr>
          <m:t>A</m:t>
        </m:r>
        <m:r>
          <m:rPr>
            <m:nor/>
          </m:rPr>
          <m:t>,</m:t>
        </m:r>
      </m:oMath>
      <w:r>
        <w:t xml:space="preserve"> since another coordinate can transmit information through the constraints.</w:t>
      </w:r>
    </w:p>
    <w:p w14:paraId="25F0465E" w14:textId="77777777" w:rsidR="007A6184" w:rsidRDefault="00000000" w:rsidP="00396E59">
      <w:pPr>
        <w:pStyle w:val="BodyText"/>
        <w:jc w:val="both"/>
      </w:pPr>
      <w:r>
        <w:rPr>
          <w:i/>
          <w:iCs/>
        </w:rPr>
        <w:t>Proof.</w:t>
      </w:r>
      <w:r>
        <w:t xml:space="preserve"> The diagonal normal equation gives (15). Its two limits follow directly. </w:t>
      </w:r>
      <m:oMath>
        <m:r>
          <m:rPr>
            <m:sty m:val="p"/>
          </m:rPr>
          <w:rPr>
            <w:rFonts w:ascii="Cambria Math" w:hAnsi="Cambria Math"/>
          </w:rPr>
          <m:t>▫</m:t>
        </m:r>
      </m:oMath>
    </w:p>
    <w:p w14:paraId="0DC84C02" w14:textId="77777777" w:rsidR="007A6184" w:rsidRDefault="00000000" w:rsidP="00396E59">
      <w:pPr>
        <w:pStyle w:val="BodyText"/>
        <w:jc w:val="both"/>
      </w:pPr>
      <w:r>
        <w:rPr>
          <w:b/>
          <w:bCs/>
        </w:rPr>
        <w:t>Counterexample to unconditional composition collapse.</w:t>
      </w:r>
      <w:r>
        <w:t xml:space="preserve"> Two complementary records observe only coordinate one with value 1 and coordinate two with value 7. Freeze equal likelihoods and use priority weights proportional to </w:t>
      </w:r>
      <m:oMath>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m:t>
                </m:r>
              </m:sup>
            </m:sSup>
          </m:e>
        </m:d>
        <m:r>
          <m:rPr>
            <m:nor/>
          </m:rPr>
          <m:t>.</m:t>
        </m:r>
      </m:oMath>
      <w:r>
        <w:t xml:space="preserve"> Set </w:t>
      </w:r>
      <m:oMath>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r>
          <m:rPr>
            <m:nor/>
          </m:rPr>
          <m:t>.</m:t>
        </m:r>
      </m:oMath>
      <w:r>
        <w:t xml:space="preserve"> Every finite </w:t>
      </w:r>
      <m:oMath>
        <m:r>
          <w:rPr>
            <w:rFonts w:ascii="Cambria Math" w:hAnsi="Cambria Math"/>
          </w:rPr>
          <m:t>τ</m:t>
        </m:r>
      </m:oMath>
      <w:r>
        <w:t xml:space="preserve"> gives the exact unregularised read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7</m:t>
            </m:r>
          </m:e>
        </m:d>
        <m:r>
          <m:rPr>
            <m:nor/>
          </m:rPr>
          <m:t>.</m:t>
        </m:r>
      </m:oMath>
      <w:r>
        <w:t xml:space="preserve"> At </w:t>
      </w:r>
      <m:oMath>
        <m:r>
          <w:rPr>
            <w:rFonts w:ascii="Cambria Math" w:hAnsi="Cambria Math"/>
          </w:rPr>
          <m:t>τ</m:t>
        </m:r>
        <m:r>
          <m:rPr>
            <m:sty m:val="p"/>
          </m:rPr>
          <w:rPr>
            <w:rFonts w:ascii="Cambria Math" w:hAnsi="Cambria Math"/>
          </w:rPr>
          <m:t>=</m:t>
        </m:r>
        <m:r>
          <w:rPr>
            <w:rFonts w:ascii="Cambria Math" w:hAnsi="Cambria Math"/>
          </w:rPr>
          <m:t>40</m:t>
        </m:r>
      </m:oMath>
      <w:r>
        <w:t xml:space="preserve"> the second coverage is </w:t>
      </w:r>
      <m:oMath>
        <m:r>
          <w:rPr>
            <w:rFonts w:ascii="Cambria Math" w:hAnsi="Cambria Math"/>
          </w:rPr>
          <m:t>4.25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r>
          <m:rPr>
            <m:nor/>
          </m:rPr>
          <m:t>,</m:t>
        </m:r>
      </m:oMath>
      <w:r>
        <w:t xml:space="preserve"> yet its exact value remains 7. A coverage cutoff of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returns -2 on that </w:t>
      </w:r>
      <w:r>
        <w:lastRenderedPageBreak/>
        <w:t>coordinate; a fixed prior curvature 0.001 approaches the same prior value. Taking the limit of the weights and then applying nullspace retention therefore differs from taking the limit of the exact positive-weight reads.</w:t>
      </w:r>
    </w:p>
    <w:p w14:paraId="5818A39E" w14:textId="20DD0719" w:rsidR="007A6184" w:rsidRDefault="00000000" w:rsidP="00396E59">
      <w:pPr>
        <w:pStyle w:val="BodyText"/>
        <w:jc w:val="both"/>
      </w:pPr>
      <w:r>
        <w:t xml:space="preserve">In the original twelve-record simulation, the smallest coverage at priority 30 was </w:t>
      </w:r>
      <m:oMath>
        <m:r>
          <w:rPr>
            <w:rFonts w:ascii="Cambria Math" w:hAnsi="Cambria Math"/>
          </w:rPr>
          <m:t>2.87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and the reported off-elite error was 0.854. The code explicitly discarded coordinates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m:rPr>
            <m:nor/>
          </m:rPr>
          <m:t>;</m:t>
        </m:r>
      </m:oMath>
      <w:r>
        <w:t xml:space="preserve"> that large final error is a cutoff result, not evidence for an exact-read theorem. Suppression is a meaningful engineering risk under declared regularisation, finite settling budgets or numerical rank thresholds. A coverage floor can mitigate it, but no performance advantage follows without testing the complete learner.</w:t>
      </w:r>
    </w:p>
    <w:p w14:paraId="4449DBC2" w14:textId="77777777" w:rsidR="007A6184" w:rsidRDefault="00000000" w:rsidP="00396E59">
      <w:pPr>
        <w:pStyle w:val="CaptionedFigure"/>
        <w:jc w:val="both"/>
      </w:pPr>
      <w:r>
        <w:rPr>
          <w:noProof/>
        </w:rPr>
        <w:drawing>
          <wp:inline distT="0" distB="0" distL="0" distR="0" wp14:anchorId="2570B5D9" wp14:editId="6FFD08E4">
            <wp:extent cx="6337300" cy="2258505"/>
            <wp:effectExtent l="0" t="0" r="0" b="0"/>
            <wp:docPr id="36" name="Picture" descr="Figure 2. Vanishing coverage does not force a vanishing conditional read. Two complementary records have weights proportional to one and exp minus tau. The exact unregularised second coordinate stays at 7, while a declared coverage cutoff drops it to the prior value minus 2. A fixed positive prior curvature moves it continuously toward that prior. Analytic reads evaluated by the V3 script, not a memory-performance experiment."/>
            <wp:cNvGraphicFramePr/>
            <a:graphic xmlns:a="http://schemas.openxmlformats.org/drawingml/2006/main">
              <a:graphicData uri="http://schemas.openxmlformats.org/drawingml/2006/picture">
                <pic:pic xmlns:pic="http://schemas.openxmlformats.org/drawingml/2006/picture">
                  <pic:nvPicPr>
                    <pic:cNvPr id="37" name="Picture" descr="fig/priority_policies.png"/>
                    <pic:cNvPicPr>
                      <a:picLocks noChangeAspect="1" noChangeArrowheads="1"/>
                    </pic:cNvPicPr>
                  </pic:nvPicPr>
                  <pic:blipFill>
                    <a:blip r:embed="rId8"/>
                    <a:stretch>
                      <a:fillRect/>
                    </a:stretch>
                  </pic:blipFill>
                  <pic:spPr bwMode="auto">
                    <a:xfrm>
                      <a:off x="0" y="0"/>
                      <a:ext cx="6337300" cy="2258505"/>
                    </a:xfrm>
                    <a:prstGeom prst="rect">
                      <a:avLst/>
                    </a:prstGeom>
                    <a:noFill/>
                    <a:ln w="9525">
                      <a:noFill/>
                      <a:headEnd/>
                      <a:tailEnd/>
                    </a:ln>
                  </pic:spPr>
                </pic:pic>
              </a:graphicData>
            </a:graphic>
          </wp:inline>
        </w:drawing>
      </w:r>
    </w:p>
    <w:p w14:paraId="608088E0" w14:textId="77777777" w:rsidR="007A6184" w:rsidRDefault="00000000" w:rsidP="00396E59">
      <w:pPr>
        <w:pStyle w:val="ImageCaption"/>
        <w:keepLines/>
        <w:jc w:val="both"/>
      </w:pPr>
      <w:r>
        <w:t>Figure 2. Vanishing coverage does not force a vanishing conditional read. Two complementary records have weights proportional to one and exp minus tau. The exact unregularised second coordinate stays at 7, while a declared coverage cutoff drops it to the prior value minus 2. A fixed positive prior curvature moves it continuously toward that prior. Analytic reads evaluated by the V3 script, not a memory-performance experiment.</w:t>
      </w:r>
    </w:p>
    <w:p w14:paraId="3E0FECB1" w14:textId="77777777" w:rsidR="007A6184" w:rsidRDefault="00000000" w:rsidP="00396E59">
      <w:pPr>
        <w:pStyle w:val="Heading11"/>
        <w:jc w:val="both"/>
      </w:pPr>
      <w:bookmarkStart w:id="14" w:name="what-can-be-proved-about-compression"/>
      <w:bookmarkEnd w:id="11"/>
      <w:bookmarkEnd w:id="13"/>
      <w:r>
        <w:t>6 What can be proved about compression</w:t>
      </w:r>
    </w:p>
    <w:p w14:paraId="03F80AAF" w14:textId="77777777" w:rsidR="007A6184" w:rsidRDefault="00000000" w:rsidP="00396E59">
      <w:pPr>
        <w:pStyle w:val="FirstParagraph"/>
        <w:jc w:val="both"/>
      </w:pPr>
      <w:r>
        <w:t xml:space="preserve">Let </w:t>
      </w:r>
      <m:oMath>
        <m:r>
          <w:rPr>
            <w:rFonts w:ascii="Cambria Math" w:hAnsi="Cambria Math"/>
          </w:rPr>
          <m:t>n</m:t>
        </m:r>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0</m:t>
            </m:r>
          </m:sup>
        </m:sSup>
        <m:r>
          <m:rPr>
            <m:nor/>
          </m:rPr>
          <m:t>,</m:t>
        </m:r>
      </m:oMath>
      <w:r>
        <w:t xml:space="preserve"> </w:t>
      </w:r>
      <m:oMath>
        <m:r>
          <w:rPr>
            <w:rFonts w:ascii="Cambria Math" w:hAnsi="Cambria Math"/>
          </w:rPr>
          <m:t>d</m:t>
        </m:r>
        <m:r>
          <m:rPr>
            <m:sty m:val="p"/>
          </m:rPr>
          <w:rPr>
            <w:rFonts w:ascii="Cambria Math" w:hAnsi="Cambria Math"/>
          </w:rPr>
          <m:t>=dimker</m:t>
        </m:r>
        <m:r>
          <w:rPr>
            <w:rFonts w:ascii="Cambria Math" w:hAnsi="Cambria Math"/>
          </w:rPr>
          <m:t>δ</m:t>
        </m:r>
        <m:r>
          <m:rPr>
            <m:nor/>
          </m:rPr>
          <m:t>,</m:t>
        </m:r>
      </m:oMath>
      <w:r>
        <w:t xml:space="preserve"> and use the normalised Euclidean vertex norm. Let </w:t>
      </w:r>
      <m:oMath>
        <m:r>
          <w:rPr>
            <w:rFonts w:ascii="Cambria Math" w:hAnsi="Cambria Math"/>
          </w:rPr>
          <m:t>U</m:t>
        </m:r>
      </m:oMath>
      <w:r>
        <w:t xml:space="preserve"> have orthonormal columns spanning </w:t>
      </w:r>
      <m:oMath>
        <m:r>
          <m:rPr>
            <m:sty m:val="p"/>
          </m:rPr>
          <w:rPr>
            <w:rFonts w:ascii="Cambria Math" w:hAnsi="Cambria Math"/>
          </w:rPr>
          <m:t>ker</m:t>
        </m:r>
        <m:r>
          <w:rPr>
            <w:rFonts w:ascii="Cambria Math" w:hAnsi="Cambria Math"/>
          </w:rPr>
          <m:t>δ</m:t>
        </m:r>
        <m:r>
          <m:rPr>
            <m:nor/>
          </m:rPr>
          <m:t>.</m:t>
        </m:r>
      </m:oMath>
      <w:r>
        <w:t xml:space="preserve"> These results concern a fixed linear model; a learner must still establish that this is the right model for the task.</w:t>
      </w:r>
    </w:p>
    <w:p w14:paraId="5DBEA0E2" w14:textId="77777777" w:rsidR="007A6184" w:rsidRDefault="00000000" w:rsidP="00396E59">
      <w:pPr>
        <w:pStyle w:val="BodyText"/>
        <w:keepNext/>
        <w:jc w:val="both"/>
      </w:pPr>
      <w:r>
        <w:rPr>
          <w:b/>
          <w:bCs/>
        </w:rPr>
        <w:t>Theorem 5 — Compatible coordinate compression.</w:t>
      </w:r>
      <w:r>
        <w:t xml:space="preserve"> Every compatible assignment </w:t>
      </w:r>
      <m:oMath>
        <m:r>
          <w:rPr>
            <w:rFonts w:ascii="Cambria Math" w:hAnsi="Cambria Math"/>
          </w:rPr>
          <m:t>z</m:t>
        </m:r>
        <m:r>
          <m:rPr>
            <m:sty m:val="p"/>
          </m:rPr>
          <w:rPr>
            <w:rFonts w:ascii="Cambria Math" w:hAnsi="Cambria Math"/>
          </w:rPr>
          <m:t>∈ker</m:t>
        </m:r>
        <m:r>
          <w:rPr>
            <w:rFonts w:ascii="Cambria Math" w:hAnsi="Cambria Math"/>
          </w:rPr>
          <m:t>δ</m:t>
        </m:r>
      </m:oMath>
      <w:r>
        <w:t xml:space="preserve"> has a unique representation </w:t>
      </w:r>
      <m:oMath>
        <m:r>
          <w:rPr>
            <w:rFonts w:ascii="Cambria Math" w:hAnsi="Cambria Math"/>
          </w:rPr>
          <m:t>z</m:t>
        </m:r>
        <m:r>
          <m:rPr>
            <m:sty m:val="p"/>
          </m:rPr>
          <w:rPr>
            <w:rFonts w:ascii="Cambria Math" w:hAnsi="Cambria Math"/>
          </w:rPr>
          <m:t>=</m:t>
        </m:r>
        <m:r>
          <w:rPr>
            <w:rFonts w:ascii="Cambria Math" w:hAnsi="Cambria Math"/>
          </w:rPr>
          <m:t>Ua</m:t>
        </m:r>
      </m:oMath>
      <w:r>
        <w:t xml:space="preserve"> with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nor/>
          </m:rPr>
          <m:t>.</m:t>
        </m:r>
      </m:oMath>
      <w:r>
        <w:t xml:space="preserve"> If </w:t>
      </w:r>
      <m:oMath>
        <m:r>
          <w:rPr>
            <w:rFonts w:ascii="Cambria Math" w:hAnsi="Cambria Math"/>
          </w:rPr>
          <m:t>δ</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is its smallest positive singular value, then for arbitrary </w:t>
      </w:r>
      <m:oMath>
        <m:r>
          <w:rPr>
            <w:rFonts w:ascii="Cambria Math" w:hAnsi="Cambria Math"/>
          </w:rPr>
          <m:t>z</m:t>
        </m:r>
        <m:r>
          <m:rPr>
            <m:nor/>
          </m:rPr>
          <m:t>,</m:t>
        </m:r>
      </m:oMath>
    </w:p>
    <w:p w14:paraId="752ED89D" w14:textId="77777777" w:rsidR="007A6184" w:rsidRDefault="00000000" w:rsidP="00396E59">
      <w:pPr>
        <w:pStyle w:val="Equation"/>
        <w:jc w:val="both"/>
      </w:pPr>
      <w:r>
        <w:tab/>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z</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Ua</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δz</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r</m:t>
                </m:r>
              </m:sub>
            </m:sSub>
          </m:den>
        </m:f>
        <m:r>
          <m:rPr>
            <m:sty m:val="p"/>
          </m:rPr>
          <w:rPr>
            <w:rFonts w:ascii="Cambria Math" w:hAnsi="Cambria Math"/>
          </w:rPr>
          <m:t>.</m:t>
        </m:r>
      </m:oMath>
      <w:r>
        <w:tab/>
        <w:t>(16)</w:t>
      </w:r>
    </w:p>
    <w:p w14:paraId="2138E910" w14:textId="77777777" w:rsidR="007A6184" w:rsidRDefault="00000000" w:rsidP="00396E59">
      <w:pPr>
        <w:pStyle w:val="BodyText"/>
        <w:jc w:val="both"/>
      </w:pPr>
      <w:r>
        <w:t xml:space="preserve">For an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-Lipschitz task decoder, the decoded change is at most </w:t>
      </w:r>
      <m:oMath>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δz</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m:rPr>
            <m:nor/>
          </m:rPr>
          <m:t>.</m:t>
        </m:r>
      </m:oMath>
    </w:p>
    <w:p w14:paraId="1F51BF31" w14:textId="77777777" w:rsidR="007A6184" w:rsidRDefault="00000000" w:rsidP="00396E59">
      <w:pPr>
        <w:pStyle w:val="BodyText"/>
        <w:jc w:val="both"/>
      </w:pPr>
      <w:r>
        <w:rPr>
          <w:i/>
          <w:iCs/>
        </w:rPr>
        <w:t>Proof.</w:t>
      </w:r>
      <w:r>
        <w:t xml:space="preserve"> Orthogonal decomposition gives </w:t>
      </w:r>
      <m:oMath>
        <m:r>
          <w:rPr>
            <w:rFonts w:ascii="Cambria Math" w:hAnsi="Cambria Math"/>
          </w:rPr>
          <m:t>z</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nor/>
          </m:rPr>
          <m:t>.</m:t>
        </m:r>
      </m:oMath>
      <w:r>
        <w:t xml:space="preserve"> The first term lies in the kernel. On its orthogonal complement, the singular-value bound gives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r>
          <m:rPr>
            <m:nor/>
          </m:rPr>
          <m:t>,</m:t>
        </m:r>
      </m:oMath>
      <w:r>
        <w:t xml:space="preserve"> proving (16). The decoder bound follows from its Lipschitz property. If </w:t>
      </w:r>
      <m:oMath>
        <m:r>
          <w:rPr>
            <w:rFonts w:ascii="Cambria Math" w:hAnsi="Cambria Math"/>
          </w:rPr>
          <m:t>δ</m:t>
        </m:r>
        <m:r>
          <m:rPr>
            <m:sty m:val="p"/>
          </m:rPr>
          <w:rPr>
            <w:rFonts w:ascii="Cambria Math" w:hAnsi="Cambria Math"/>
          </w:rPr>
          <m:t>=</m:t>
        </m:r>
        <m:r>
          <w:rPr>
            <w:rFonts w:ascii="Cambria Math" w:hAnsi="Cambria Math"/>
          </w:rPr>
          <m:t>0</m:t>
        </m:r>
        <m:r>
          <m:rPr>
            <m:nor/>
          </m:rPr>
          <m:t>,</m:t>
        </m:r>
      </m:oMath>
      <w:r>
        <w:t xml:space="preserve"> retain all coordinates and the projection error is zero. </w:t>
      </w:r>
      <m:oMath>
        <m:r>
          <m:rPr>
            <m:sty m:val="p"/>
          </m:rPr>
          <w:rPr>
            <w:rFonts w:ascii="Cambria Math" w:hAnsi="Cambria Math"/>
          </w:rPr>
          <m:t>▫</m:t>
        </m:r>
      </m:oMath>
    </w:p>
    <w:p w14:paraId="1E206D01" w14:textId="77777777" w:rsidR="007A6184" w:rsidRDefault="00000000" w:rsidP="00396E59">
      <w:pPr>
        <w:pStyle w:val="BodyText"/>
        <w:jc w:val="both"/>
      </w:pPr>
      <w:r>
        <w:t xml:space="preserve">The number of removable real coordinates is </w:t>
      </w:r>
      <m:oMath>
        <m:r>
          <m:rPr>
            <m:sty m:val="p"/>
          </m:rPr>
          <w:rPr>
            <w:rFonts w:ascii="Cambria Math" w:hAnsi="Cambria Math"/>
          </w:rPr>
          <m:t>rank</m:t>
        </m:r>
        <m:r>
          <w:rPr>
            <w:rFonts w:ascii="Cambria Math" w:hAnsi="Cambria Math"/>
          </w:rPr>
          <m:t>δ</m:t>
        </m:r>
        <m:r>
          <m:rPr>
            <m:nor/>
          </m:rPr>
          <m:t>.</m:t>
        </m:r>
      </m:oMath>
      <w:r>
        <w:t xml:space="preserve"> This is a dimension statement, not a universal bit-compression ratio. Quantisation, the basis </w:t>
      </w:r>
      <m:oMath>
        <m:r>
          <w:rPr>
            <w:rFonts w:ascii="Cambria Math" w:hAnsi="Cambria Math"/>
          </w:rPr>
          <m:t>U</m:t>
        </m:r>
        <m:r>
          <m:rPr>
            <m:nor/>
          </m:rPr>
          <m:t>,</m:t>
        </m:r>
      </m:oMath>
      <w:r>
        <w:t xml:space="preserve"> maps, indices and exceptions all have storage costs. A small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makes residual-based compression fragile. A large residual may reflect distinct contexts that should be separated rather than averaged.</w:t>
      </w:r>
    </w:p>
    <w:p w14:paraId="5D028DA9" w14:textId="77777777" w:rsidR="007A6184" w:rsidRDefault="00000000" w:rsidP="00396E59">
      <w:pPr>
        <w:pStyle w:val="BodyText"/>
        <w:jc w:val="both"/>
      </w:pPr>
      <w:r>
        <w:t xml:space="preserve">In the simple contexts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m:rPr>
            <m:nor/>
          </m:rPr>
          <m:t>,</m:t>
        </m:r>
      </m:oMath>
      <w:r>
        <w:t xml:space="preserve"> the local assignment has four coordinates </w:t>
      </w:r>
      <m:oMath>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r>
              <w:rPr>
                <w:rFonts w:ascii="Cambria Math" w:hAnsi="Cambria Math"/>
              </w:rPr>
              <m:t>c</m:t>
            </m:r>
          </m:e>
        </m:d>
      </m:oMath>
      <w:r>
        <w:t xml:space="preserve"> and one constraint </w:t>
      </w:r>
      <m:oMath>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r>
          <m:rPr>
            <m:nor/>
          </m:rPr>
          <m:t>.</m:t>
        </m:r>
      </m:oMath>
      <w:r>
        <w:t xml:space="preserve"> A compatible memory needs three shared coordinates. With an exact common quantisation grid, storing </w:t>
      </w:r>
      <w:r>
        <w:lastRenderedPageBreak/>
        <w:t xml:space="preserve">the duplicated </w:t>
      </w:r>
      <m:oMath>
        <m:r>
          <w:rPr>
            <w:rFonts w:ascii="Cambria Math" w:hAnsi="Cambria Math"/>
          </w:rPr>
          <m:t>b</m:t>
        </m:r>
      </m:oMath>
      <w:r>
        <w:t xml:space="preserve"> once saves one scalar payload, before accounting for the shared schema. Repeated episodes can amortise that schema cost. The result does not say that every episode can be discarded.</w:t>
      </w:r>
    </w:p>
    <w:p w14:paraId="4601857B" w14:textId="77777777" w:rsidR="007A6184" w:rsidRDefault="00000000" w:rsidP="00396E59">
      <w:pPr>
        <w:pStyle w:val="BodyText"/>
        <w:keepNext/>
        <w:jc w:val="both"/>
      </w:pPr>
      <w:r>
        <w:rPr>
          <w:b/>
          <w:bCs/>
        </w:rPr>
        <w:t>Theorem 6 — A task-dependent information floor.</w:t>
      </w:r>
      <w:r>
        <w:t xml:space="preserve"> Let </w:t>
      </w:r>
      <m:oMath>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W</m:t>
        </m:r>
      </m:oMath>
      <w:r>
        <w:t xml:space="preserve"> be discrete random variables with the relevant entropies finite. Suppose </w:t>
      </w:r>
      <m:oMath>
        <m:r>
          <w:rPr>
            <w:rFonts w:ascii="Cambria Math" w:hAnsi="Cambria Math"/>
          </w:rPr>
          <m:t>M</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W</m:t>
            </m:r>
          </m:e>
        </m:d>
      </m:oMath>
      <w:r>
        <w:t xml:space="preserve"> has at most </w:t>
      </w:r>
      <m:oMath>
        <m:sSup>
          <m:sSupPr>
            <m:ctrlPr>
              <w:rPr>
                <w:rFonts w:ascii="Cambria Math" w:hAnsi="Cambria Math"/>
              </w:rPr>
            </m:ctrlPr>
          </m:sSupPr>
          <m:e>
            <m:r>
              <w:rPr>
                <w:rFonts w:ascii="Cambria Math" w:hAnsi="Cambria Math"/>
              </w:rPr>
              <m:t>2</m:t>
            </m:r>
          </m:e>
          <m:sup>
            <m:r>
              <w:rPr>
                <w:rFonts w:ascii="Cambria Math" w:hAnsi="Cambria Math"/>
              </w:rPr>
              <m:t>B</m:t>
            </m:r>
          </m:sup>
        </m:sSup>
      </m:oMath>
      <w:r>
        <w:t xml:space="preserve"> possible values for every </w:t>
      </w:r>
      <m:oMath>
        <m:r>
          <w:rPr>
            <w:rFonts w:ascii="Cambria Math" w:hAnsi="Cambria Math"/>
          </w:rPr>
          <m:t>W</m:t>
        </m:r>
        <m:r>
          <m:rPr>
            <m:nor/>
          </m:rPr>
          <m:t>.</m:t>
        </m:r>
      </m:oMath>
      <w:r>
        <w:t xml:space="preserve"> For any decoder distribution </w:t>
      </w:r>
      <m:oMath>
        <m:r>
          <w:rPr>
            <w:rFonts w:ascii="Cambria Math" w:hAnsi="Cambria Math"/>
          </w:rPr>
          <m:t>q</m:t>
        </m:r>
        <m:r>
          <m:rPr>
            <m:nor/>
          </m:rPr>
          <m:t>,</m:t>
        </m:r>
      </m:oMath>
      <w:r>
        <w:t xml:space="preserve"> the expected log-loss distortion satisfies</w:t>
      </w:r>
    </w:p>
    <w:p w14:paraId="436A878A" w14:textId="77777777" w:rsidR="007A6184" w:rsidRDefault="00000000" w:rsidP="00396E59">
      <w:pPr>
        <w:pStyle w:val="Equation"/>
        <w:keepNext/>
        <w:jc w:val="both"/>
      </w:pPr>
      <w:r>
        <w:tab/>
      </w:r>
      <m:oMath>
        <m:r>
          <w:rPr>
            <w:rFonts w:ascii="Cambria Math" w:hAnsi="Cambria Math"/>
          </w:rPr>
          <m:t>D</m:t>
        </m:r>
        <m:r>
          <m:rPr>
            <m:scr m:val="double-struck"/>
            <m:sty m:val="p"/>
          </m:rPr>
          <w:rPr>
            <w:rFonts w:ascii="Cambria Math" w:hAnsi="Cambria Math"/>
          </w:rPr>
          <m:t>=E</m:t>
        </m:r>
        <m:r>
          <w:rPr>
            <w:rFonts w:ascii="Cambria Math" w:hAnsi="Cambria Math"/>
          </w:rPr>
          <m:t> </m:t>
        </m:r>
        <m:r>
          <m:rPr>
            <m:sty m:val="p"/>
          </m:rPr>
          <w:rPr>
            <w:rFonts w:ascii="Cambria Math" w:hAnsi="Cambria Math"/>
          </w:rPr>
          <m:t>KL</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e>
        </m:d>
      </m:oMath>
    </w:p>
    <w:p w14:paraId="68DE9A63" w14:textId="77777777" w:rsidR="007A6184" w:rsidRDefault="00000000" w:rsidP="00396E59">
      <w:pPr>
        <w:pStyle w:val="Equation"/>
        <w:jc w:val="both"/>
      </w:pPr>
      <w:r>
        <w:tab/>
      </w:r>
      <m:oMath>
        <m:r>
          <w:rPr>
            <w:rFonts w:ascii="Cambria Math" w:hAnsi="Cambria Math"/>
          </w:rPr>
          <m:t>D</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cr m:val="double-struck"/>
            <m:sty m:val="p"/>
          </m:rPr>
          <w:rPr>
            <w:rFonts w:ascii="Cambria Math" w:hAnsi="Cambria Math"/>
          </w:rPr>
          <m:t>+E</m:t>
        </m:r>
        <m:r>
          <w:rPr>
            <w:rFonts w:ascii="Cambria Math" w:hAnsi="Cambria Math"/>
          </w:rPr>
          <m:t> </m:t>
        </m:r>
        <m:r>
          <m:rPr>
            <m:sty m:val="p"/>
          </m:rPr>
          <w:rPr>
            <w:rFonts w:ascii="Cambria Math" w:hAnsi="Cambria Math"/>
          </w:rPr>
          <m:t>KL</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e>
        </m:d>
        <m:r>
          <m:rPr>
            <m:sty m:val="p"/>
          </m:rPr>
          <w:rPr>
            <w:rFonts w:ascii="Cambria Math" w:hAnsi="Cambria Math"/>
          </w:rPr>
          <m:t>.</m:t>
        </m:r>
      </m:oMath>
      <w:r>
        <w:tab/>
        <w:t>(17)</w:t>
      </w:r>
    </w:p>
    <w:p w14:paraId="3ED5BF53" w14:textId="77777777" w:rsidR="007A6184" w:rsidRDefault="00000000" w:rsidP="00396E59">
      <w:pPr>
        <w:pStyle w:val="BodyText"/>
        <w:jc w:val="both"/>
      </w:pPr>
      <w:r>
        <w:t xml:space="preserve">Consequently, </w:t>
      </w:r>
      <m:oMath>
        <m:r>
          <w:rPr>
            <w:rFonts w:ascii="Cambria Math" w:hAnsi="Cambria Math"/>
          </w:rPr>
          <m:t>D</m:t>
        </m:r>
        <m:r>
          <m:rPr>
            <m:sty m:val="p"/>
          </m:rPr>
          <w:rPr>
            <w:rFonts w:ascii="Cambria Math" w:hAnsi="Cambria Math"/>
          </w:rPr>
          <m:t>≤</m:t>
        </m:r>
        <m:r>
          <w:rPr>
            <w:rFonts w:ascii="Cambria Math" w:hAnsi="Cambria Math"/>
          </w:rPr>
          <m:t>ε</m:t>
        </m:r>
      </m:oMath>
      <w:r>
        <w:t xml:space="preserve"> implies</w:t>
      </w:r>
    </w:p>
    <w:p w14:paraId="2919BA8E" w14:textId="77777777" w:rsidR="007A6184" w:rsidRDefault="00000000" w:rsidP="00396E59">
      <w:pPr>
        <w:pStyle w:val="Equation"/>
        <w:jc w:val="both"/>
      </w:pPr>
      <w:r>
        <w:tab/>
      </w:r>
      <m:oMath>
        <m:r>
          <w:rPr>
            <w:rFonts w:ascii="Cambria Math" w:hAnsi="Cambria Math"/>
          </w:rPr>
          <m:t>B</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ε</m:t>
        </m:r>
        <m:r>
          <m:rPr>
            <m:sty m:val="p"/>
          </m:rPr>
          <w:rPr>
            <w:rFonts w:ascii="Cambria Math" w:hAnsi="Cambria Math"/>
          </w:rPr>
          <m:t>,</m:t>
        </m:r>
      </m:oMath>
      <w:r>
        <w:tab/>
        <w:t>(18)</w:t>
      </w:r>
    </w:p>
    <w:p w14:paraId="5B16A689" w14:textId="77777777" w:rsidR="007A6184" w:rsidRDefault="00000000" w:rsidP="00396E59">
      <w:pPr>
        <w:pStyle w:val="BodyText"/>
        <w:jc w:val="both"/>
      </w:pPr>
      <w:r>
        <w:t>when logarithms and the KL divergence use base two.</w:t>
      </w:r>
    </w:p>
    <w:p w14:paraId="0EFFC484" w14:textId="77777777" w:rsidR="007A6184" w:rsidRDefault="00000000" w:rsidP="00396E59">
      <w:pPr>
        <w:pStyle w:val="BodyText"/>
        <w:jc w:val="both"/>
      </w:pPr>
      <w:r>
        <w:rPr>
          <w:i/>
          <w:iCs/>
        </w:rPr>
        <w:t>Proof.</w:t>
      </w:r>
      <w:r>
        <w:t xml:space="preserve"> Add and subtract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oMath>
      <w:r>
        <w:t xml:space="preserve"> inside the expected log ratio. The first term is the conditional mutual information because </w:t>
      </w:r>
      <m:oMath>
        <m:r>
          <w:rPr>
            <w:rFonts w:ascii="Cambria Math" w:hAnsi="Cambria Math"/>
          </w:rPr>
          <m:t>M</m:t>
        </m:r>
      </m:oMath>
      <w:r>
        <w:t xml:space="preserve"> is determined by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W</m:t>
            </m:r>
          </m:e>
        </m:d>
        <m:r>
          <m:rPr>
            <m:nor/>
          </m:rPr>
          <m:t>.</m:t>
        </m:r>
      </m:oMath>
      <w:r>
        <w:t xml:space="preserve"> Also </w:t>
      </w: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nor/>
          </m:rPr>
          <m:t>,</m:t>
        </m:r>
      </m:oMath>
      <w:r>
        <w:t xml:space="preserve"> and </w:t>
      </w: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B</m:t>
        </m:r>
        <m:r>
          <m:rPr>
            <m:nor/>
          </m:rPr>
          <m:t>.</m:t>
        </m:r>
      </m:oMath>
      <w:r>
        <w:t xml:space="preserve"> Combining these facts gives (18). </w:t>
      </w:r>
      <m:oMath>
        <m:r>
          <m:rPr>
            <m:sty m:val="p"/>
          </m:rPr>
          <w:rPr>
            <w:rFonts w:ascii="Cambria Math" w:hAnsi="Cambria Math"/>
          </w:rPr>
          <m:t>▫</m:t>
        </m:r>
      </m:oMath>
    </w:p>
    <w:p w14:paraId="0522C144" w14:textId="77777777" w:rsidR="007A6184" w:rsidRDefault="00000000" w:rsidP="00396E59">
      <w:pPr>
        <w:pStyle w:val="BodyText"/>
        <w:jc w:val="both"/>
      </w:pPr>
      <w:r>
        <w:t xml:space="preserve">The encoder </w:t>
      </w:r>
      <m:oMath>
        <m:r>
          <w:rPr>
            <w:rFonts w:ascii="Cambria Math" w:hAnsi="Cambria Math"/>
          </w:rPr>
          <m:t>M</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W</m:t>
            </m:r>
          </m:e>
        </m:d>
      </m:oMath>
      <w:r>
        <w:t xml:space="preserve"> does not receive a future query as an additional storage channel. The bit budget includes every learned part of the durable update, including maps, adapters and metadata; pre-existing </w:t>
      </w:r>
      <m:oMath>
        <m:r>
          <w:rPr>
            <w:rFonts w:ascii="Cambria Math" w:hAnsi="Cambria Math"/>
          </w:rPr>
          <m:t>W</m:t>
        </m:r>
      </m:oMath>
      <w:r>
        <w:t xml:space="preserve"> is held fixed in the statement. This bounds the total durable update, including an external bank or parameter delta. Keeping the full original history available under a different name does not evade the bound. Existing knowledge </w:t>
      </w:r>
      <m:oMath>
        <m:r>
          <w:rPr>
            <w:rFonts w:ascii="Cambria Math" w:hAnsi="Cambria Math"/>
          </w:rPr>
          <m:t>W</m:t>
        </m:r>
      </m:oMath>
      <w:r>
        <w:t xml:space="preserve"> can make a new episode highly compressible; a query family that asks for every arbitrary detail can make it incompressible. Recombination can construct useful hypotheses, but cannot manufacture information about an unobserved fact.</w:t>
      </w:r>
    </w:p>
    <w:p w14:paraId="215D01DB" w14:textId="77777777" w:rsidR="007A6184" w:rsidRDefault="00000000" w:rsidP="00396E59">
      <w:pPr>
        <w:pStyle w:val="Heading11"/>
        <w:jc w:val="both"/>
      </w:pPr>
      <w:bookmarkStart w:id="15" w:name="an-admission-rule-for-durable-writes"/>
      <w:bookmarkEnd w:id="14"/>
      <w:r>
        <w:t>7 An admission rule for durable writes</w:t>
      </w:r>
    </w:p>
    <w:p w14:paraId="081CF239" w14:textId="77777777" w:rsidR="007A6184" w:rsidRDefault="00000000" w:rsidP="00396E59">
      <w:pPr>
        <w:pStyle w:val="FirstParagraph"/>
        <w:jc w:val="both"/>
      </w:pPr>
      <w:r>
        <w:t xml:space="preserve">Retention training and retention certification use separate examples. Training anchors can influence the search. A final holdout cannot repeatedly guide adaptive candidate construction while retaining the elementary guarantee below. Losses for this admission test are bounded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m:t>
        </m:r>
      </m:oMath>
      <w:r>
        <w:t xml:space="preserve"> an unbounded KL training loss must not be inserted into this bound without another assumption.</w:t>
      </w:r>
    </w:p>
    <w:p w14:paraId="59852901" w14:textId="77777777" w:rsidR="007A6184" w:rsidRDefault="00000000" w:rsidP="00396E59">
      <w:pPr>
        <w:pStyle w:val="BodyText"/>
        <w:keepNext/>
        <w:jc w:val="both"/>
      </w:pPr>
      <w:r>
        <w:rPr>
          <w:b/>
          <w:bCs/>
        </w:rPr>
        <w:t>Theorem 7 — Finite-candidate retention certificate.</w:t>
      </w:r>
      <w:r>
        <w:t xml:space="preserve"> Let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be frozen before an independent, identically distributed old-task holdout of size </w:t>
      </w:r>
      <m:oMath>
        <m:r>
          <w:rPr>
            <w:rFonts w:ascii="Cambria Math" w:hAnsi="Cambria Math"/>
          </w:rPr>
          <m:t>m</m:t>
        </m:r>
      </m:oMath>
      <w:r>
        <w:t xml:space="preserve"> is sampled or revealed. Let </w:t>
      </w:r>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x</m:t>
            </m:r>
          </m:e>
        </m:d>
        <m:r>
          <m:rPr>
            <m:scr m:val="script"/>
            <m:sty m:val="p"/>
          </m:rP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nor/>
          </m:rPr>
          <m:t>,</m:t>
        </m:r>
      </m:oMath>
      <w:r>
        <w:t xml:space="preserve"> and let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oMath>
      <w:r>
        <w:t xml:space="preserve"> be its sample mean.</w:t>
      </w:r>
    </w:p>
    <w:p w14:paraId="64830352" w14:textId="77777777" w:rsidR="007A6184" w:rsidRDefault="00000000" w:rsidP="00396E59">
      <w:pPr>
        <w:pStyle w:val="BodyText"/>
        <w:jc w:val="both"/>
      </w:pPr>
      <w:r>
        <w:t xml:space="preserve">Fix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&lt;</m:t>
        </m:r>
        <m:r>
          <w:rPr>
            <w:rFonts w:ascii="Cambria Math" w:hAnsi="Cambria Math"/>
          </w:rPr>
          <m:t>1</m:t>
        </m:r>
        <m:r>
          <m:rPr>
            <m:nor/>
          </m:rPr>
          <m:t>.</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η</m:t>
        </m:r>
        <m:r>
          <m:rPr>
            <m:nor/>
          </m:rPr>
          <m:t>,</m:t>
        </m:r>
      </m:oMath>
      <w:r>
        <w:t xml:space="preserve"> every candidate satisfies</w:t>
      </w:r>
    </w:p>
    <w:p w14:paraId="11235994"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η</m:t>
                    </m:r>
                  </m:e>
                </m:d>
              </m:num>
              <m:den>
                <m:r>
                  <w:rPr>
                    <w:rFonts w:ascii="Cambria Math" w:hAnsi="Cambria Math"/>
                  </w:rPr>
                  <m:t>m</m:t>
                </m:r>
              </m:den>
            </m:f>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j</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oMath>
      <w:r>
        <w:tab/>
        <w:t>(19)</w:t>
      </w:r>
    </w:p>
    <w:p w14:paraId="14302EC0" w14:textId="77777777" w:rsidR="007A6184" w:rsidRDefault="00000000" w:rsidP="00396E59">
      <w:pPr>
        <w:pStyle w:val="BodyText"/>
        <w:jc w:val="both"/>
      </w:pPr>
      <w:r>
        <w:t>The logarithm in (19) is natural.</w:t>
      </w:r>
    </w:p>
    <w:p w14:paraId="177E4721" w14:textId="77777777" w:rsidR="007A6184" w:rsidRDefault="00000000" w:rsidP="00396E59">
      <w:pPr>
        <w:pStyle w:val="BodyText"/>
        <w:jc w:val="both"/>
      </w:pPr>
      <w:r>
        <w:rPr>
          <w:i/>
          <w:iCs/>
        </w:rPr>
        <w:t>Proof.</w:t>
      </w:r>
      <w:r>
        <w:t xml:space="preserve"> Hoeffding’s inequality [13] for variables of range two gives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r>
              <m:rPr>
                <m:sty m:val="p"/>
              </m:rPr>
              <w:rPr>
                <w:rFonts w:ascii="Cambria Math" w:hAnsi="Cambria Math"/>
              </w:rPr>
              <m:t>&gt;</m:t>
            </m:r>
            <m:r>
              <w:rPr>
                <w:rFonts w:ascii="Cambria Math" w:hAnsi="Cambria Math"/>
              </w:rPr>
              <m:t>r</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e>
        </m:d>
        <m:r>
          <m:rPr>
            <m:nor/>
          </m:rPr>
          <m:t>.</m:t>
        </m:r>
      </m:oMath>
      <w:r>
        <w:t xml:space="preserve"> Apply a union bound to the </w:t>
      </w:r>
      <m:oMath>
        <m:r>
          <w:rPr>
            <w:rFonts w:ascii="Cambria Math" w:hAnsi="Cambria Math"/>
          </w:rPr>
          <m:t>N</m:t>
        </m:r>
      </m:oMath>
      <w:r>
        <w:t xml:space="preserve"> candidates and solve for </w:t>
      </w:r>
      <m:oMath>
        <m:r>
          <w:rPr>
            <w:rFonts w:ascii="Cambria Math" w:hAnsi="Cambria Math"/>
          </w:rPr>
          <m:t>r</m:t>
        </m:r>
        <m:r>
          <m:rPr>
            <m:nor/>
          </m:rPr>
          <m:t>.</m:t>
        </m:r>
      </m:oMath>
      <w:r>
        <w:t xml:space="preserve"> </w:t>
      </w:r>
      <m:oMath>
        <m:r>
          <m:rPr>
            <m:sty m:val="p"/>
          </m:rPr>
          <w:rPr>
            <w:rFonts w:ascii="Cambria Math" w:hAnsi="Cambria Math"/>
          </w:rPr>
          <m:t>▫</m:t>
        </m:r>
      </m:oMath>
    </w:p>
    <w:p w14:paraId="627B8C7C" w14:textId="77777777" w:rsidR="007A6184" w:rsidRDefault="00000000" w:rsidP="00396E59">
      <w:pPr>
        <w:pStyle w:val="BodyText"/>
        <w:jc w:val="both"/>
      </w:pPr>
      <w:r>
        <w:t xml:space="preserve">Accept a candidate only when its upper bound is no larger than a declared old-task degradation tolerance </w:t>
      </w:r>
      <m:oMath>
        <m:sSub>
          <m:sSubPr>
            <m:ctrlPr>
              <w:rPr>
                <w:rFonts w:ascii="Cambria Math" w:hAnsi="Cambria Math"/>
              </w:rPr>
            </m:ctrlPr>
          </m:sSubPr>
          <m:e>
            <m:r>
              <w:rPr>
                <w:rFonts w:ascii="Cambria Math" w:hAnsi="Cambria Math"/>
              </w:rPr>
              <m:t>ϵ</m:t>
            </m:r>
          </m:e>
          <m:sub>
            <m:r>
              <m:rPr>
                <m:sty m:val="p"/>
              </m:rPr>
              <w:rPr>
                <w:rFonts w:ascii="Cambria Math" w:hAnsi="Cambria Math"/>
              </w:rPr>
              <m:t>old</m:t>
            </m:r>
          </m:sub>
        </m:sSub>
        <m:r>
          <m:rPr>
            <m:nor/>
          </m:rPr>
          <m:t>,</m:t>
        </m:r>
      </m:oMath>
      <w:r>
        <w:t xml:space="preserve"> recent-task criteria are met, and constraints (3) hold. This is a distribution-specific, probabilistic mean-risk statement. It does not certify every future query, a shifted distribution or a rare unrepresented failure. Branch-level tests are needed when their individual protection matters; adjust the confidence allocation for multiple tests.</w:t>
      </w:r>
    </w:p>
    <w:p w14:paraId="38C96689" w14:textId="77777777" w:rsidR="007A6184" w:rsidRDefault="00000000" w:rsidP="00396E59">
      <w:pPr>
        <w:pStyle w:val="BodyText"/>
        <w:jc w:val="both"/>
      </w:pPr>
      <w:r>
        <w:lastRenderedPageBreak/>
        <w:t xml:space="preserve">The bound can be conservative. For five finalists, 95% confidence and zero measured old-task change, certifying a one-percentage-point degradation tolerance requires at least 92,104 independent holdout examples under (19). This is the ceiling of </w:t>
      </w:r>
      <m:oMath>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0.05</m:t>
            </m:r>
          </m:e>
        </m:d>
        <m:r>
          <m:rPr>
            <m:sty m:val="p"/>
          </m:rPr>
          <w:rPr>
            <w:rFonts w:ascii="Cambria Math" w:hAnsi="Cambria Math"/>
          </w:rPr>
          <m:t>/</m:t>
        </m:r>
        <m:sSup>
          <m:sSupPr>
            <m:ctrlPr>
              <w:rPr>
                <w:rFonts w:ascii="Cambria Math" w:hAnsi="Cambria Math"/>
              </w:rPr>
            </m:ctrlPr>
          </m:sSupPr>
          <m:e>
            <m:r>
              <w:rPr>
                <w:rFonts w:ascii="Cambria Math" w:hAnsi="Cambria Math"/>
              </w:rPr>
              <m:t>0.01</m:t>
            </m:r>
          </m:e>
          <m:sup>
            <m:r>
              <w:rPr>
                <w:rFonts w:ascii="Cambria Math" w:hAnsi="Cambria Math"/>
              </w:rPr>
              <m:t>2</m:t>
            </m:r>
          </m:sup>
        </m:sSup>
        <m:r>
          <m:rPr>
            <m:nor/>
          </m:rPr>
          <m:t>.</m:t>
        </m:r>
      </m:oMath>
      <w:r>
        <w:t xml:space="preserve"> With a small sample, the generic certificate may fail even for a useful update. The appropriate response is a larger independent test, a sharper justified bound, a smaller claim or no write. Reusing the same failed holdout to tune the next candidate invalidates the stated finite-candidate protocol.</w:t>
      </w:r>
    </w:p>
    <w:p w14:paraId="216F686B" w14:textId="77777777" w:rsidR="007A6184" w:rsidRDefault="00000000" w:rsidP="00396E59">
      <w:pPr>
        <w:pStyle w:val="BodyText"/>
        <w:jc w:val="both"/>
      </w:pPr>
      <w:r>
        <w:t xml:space="preserve">Most of that cost comes from the generic range of </w:t>
      </w:r>
      <m:oMath>
        <m:sSub>
          <m:sSubPr>
            <m:ctrlPr>
              <w:rPr>
                <w:rFonts w:ascii="Cambria Math" w:hAnsi="Cambria Math"/>
              </w:rPr>
            </m:ctrlPr>
          </m:sSubPr>
          <m:e>
            <m:r>
              <w:rPr>
                <w:rFonts w:ascii="Cambria Math" w:hAnsi="Cambria Math"/>
              </w:rPr>
              <m:t>g</m:t>
            </m:r>
          </m:e>
          <m:sub>
            <m:r>
              <w:rPr>
                <w:rFonts w:ascii="Cambria Math" w:hAnsi="Cambria Math"/>
              </w:rPr>
              <m:t>j</m:t>
            </m:r>
          </m:sub>
        </m:sSub>
        <m:r>
          <m:rPr>
            <m:nor/>
          </m:rPr>
          <m:t>.</m:t>
        </m:r>
      </m:oMath>
      <w:r>
        <w:t xml:space="preserve"> When the task loss is a 0–1 error, a sharper certificate counts regressions directly.</w:t>
      </w:r>
    </w:p>
    <w:p w14:paraId="4A0591C2" w14:textId="77777777" w:rsidR="007A6184" w:rsidRDefault="00000000" w:rsidP="00396E59">
      <w:pPr>
        <w:pStyle w:val="BodyText"/>
        <w:keepNext/>
        <w:jc w:val="both"/>
      </w:pPr>
      <w:r>
        <w:rPr>
          <w:b/>
          <w:bCs/>
        </w:rPr>
        <w:t>Proposition 8 — Regression-count certificate.</w:t>
      </w:r>
      <w:r>
        <w:t xml:space="preserve"> Let losses take values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nor/>
          </m:rPr>
          <m:t>.</m:t>
        </m:r>
      </m:oMath>
      <w:r>
        <w:t xml:space="preserve"> Then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e>
        </m:d>
        <m:r>
          <m:rPr>
            <m:nor/>
          </m:rPr>
          <m:t>,</m:t>
        </m:r>
      </m:oMath>
      <w:r>
        <w:t xml:space="preserve"> the regression rate. Let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be the number of holdout examples on which candidate </w:t>
      </w:r>
      <m:oMath>
        <m:r>
          <w:rPr>
            <w:rFonts w:ascii="Cambria Math" w:hAnsi="Cambria Math"/>
          </w:rPr>
          <m:t>j</m:t>
        </m:r>
      </m:oMath>
      <w:r>
        <w:t xml:space="preserve"> errs and the current state does not, and let </w:t>
      </w:r>
      <m:oMath>
        <m:r>
          <w:rPr>
            <w:rFonts w:ascii="Cambria Math" w:hAnsi="Cambria Math"/>
          </w:rPr>
          <m:t>U</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α</m:t>
            </m:r>
          </m:e>
        </m:d>
      </m:oMath>
      <w:r>
        <w:t xml:space="preserve"> be the one-sided Clopper–Pearson upper limit at level </w:t>
      </w:r>
      <m:oMath>
        <m:r>
          <w:rPr>
            <w:rFonts w:ascii="Cambria Math" w:hAnsi="Cambria Math"/>
          </w:rPr>
          <m:t>α</m:t>
        </m:r>
      </m:oMath>
      <w:r>
        <w:t xml:space="preserve"> [20]. With probability at least </w:t>
      </w:r>
      <m:oMath>
        <m:r>
          <w:rPr>
            <w:rFonts w:ascii="Cambria Math" w:hAnsi="Cambria Math"/>
          </w:rPr>
          <m:t>1</m:t>
        </m:r>
        <m:r>
          <m:rPr>
            <m:sty m:val="p"/>
          </m:rPr>
          <w:rPr>
            <w:rFonts w:ascii="Cambria Math" w:hAnsi="Cambria Math"/>
          </w:rPr>
          <m:t>-</m:t>
        </m:r>
        <m:r>
          <w:rPr>
            <w:rFonts w:ascii="Cambria Math" w:hAnsi="Cambria Math"/>
          </w:rPr>
          <m:t>η</m:t>
        </m:r>
        <m:r>
          <m:rPr>
            <m:nor/>
          </m:rPr>
          <m:t>,</m:t>
        </m:r>
      </m:oMath>
      <w:r>
        <w:t xml:space="preserve"> every candidate satisfies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N</m:t>
            </m:r>
          </m:e>
        </m:d>
        <m:r>
          <m:rPr>
            <m:nor/>
          </m:rPr>
          <m:t>.</m:t>
        </m:r>
      </m:oMath>
      <w:r>
        <w:t xml:space="preserve"> For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0</m:t>
        </m:r>
        <m:r>
          <m:rPr>
            <m:nor/>
          </m:rPr>
          <m:t>,</m:t>
        </m:r>
      </m:oMath>
    </w:p>
    <w:p w14:paraId="52B5A4DB" w14:textId="77777777" w:rsidR="007A6184" w:rsidRDefault="00000000" w:rsidP="00396E59">
      <w:pPr>
        <w:pStyle w:val="Equation"/>
        <w:jc w:val="both"/>
      </w:pPr>
      <w:r>
        <w:tab/>
      </w:r>
      <m:oMath>
        <m:r>
          <w:rPr>
            <w:rFonts w:ascii="Cambria Math" w:hAnsi="Cambria Math"/>
          </w:rPr>
          <m:t>U</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η</m:t>
                </m:r>
                <m:r>
                  <m:rPr>
                    <m:sty m:val="p"/>
                  </m:rPr>
                  <w:rPr>
                    <w:rFonts w:ascii="Cambria Math" w:hAnsi="Cambria Math"/>
                  </w:rPr>
                  <m:t>/</m:t>
                </m:r>
                <m:r>
                  <w:rPr>
                    <w:rFonts w:ascii="Cambria Math" w:hAnsi="Cambria Math"/>
                  </w:rPr>
                  <m:t>N</m:t>
                </m:r>
              </m:e>
            </m:d>
          </m:e>
          <m:sup>
            <m:r>
              <w:rPr>
                <w:rFonts w:ascii="Cambria Math" w:hAnsi="Cambria Math"/>
              </w:rPr>
              <m:t>1</m:t>
            </m:r>
            <m:r>
              <m:rPr>
                <m:sty m:val="p"/>
              </m:rPr>
              <w:rPr>
                <w:rFonts w:ascii="Cambria Math" w:hAnsi="Cambria Math"/>
              </w:rPr>
              <m:t>/</m:t>
            </m:r>
            <m:r>
              <w:rPr>
                <w:rFonts w:ascii="Cambria Math" w:hAnsi="Cambria Math"/>
              </w:rPr>
              <m:t>m</m:t>
            </m:r>
          </m:sup>
        </m:sSup>
        <m:r>
          <m:rPr>
            <m:sty m:val="p"/>
          </m:rPr>
          <w:rPr>
            <w:rFonts w:ascii="Cambria Math" w:hAnsi="Cambria Math"/>
          </w:rPr>
          <m:t>.</m:t>
        </m:r>
      </m:oMath>
      <w:r>
        <w:tab/>
        <w:t>(20)</w:t>
      </w:r>
    </w:p>
    <w:p w14:paraId="1D82362F" w14:textId="77777777" w:rsidR="007A6184" w:rsidRDefault="00000000" w:rsidP="00396E59">
      <w:pPr>
        <w:pStyle w:val="BodyText"/>
        <w:jc w:val="both"/>
      </w:pPr>
      <w:r>
        <w:rPr>
          <w:i/>
          <w:iCs/>
        </w:rPr>
        <w:t>Proof.</w:t>
      </w:r>
      <w:r>
        <w:t xml:space="preserve"> The Clopper–Pearson limit is an exact one-sided confidence bound for a binomial rate [20]. A union bound over the </w:t>
      </w:r>
      <m:oMath>
        <m:r>
          <w:rPr>
            <w:rFonts w:ascii="Cambria Math" w:hAnsi="Cambria Math"/>
          </w:rPr>
          <m:t>N</m:t>
        </m:r>
      </m:oMath>
      <w:r>
        <w:t xml:space="preserve"> frozen candidates gives simultaneous coverage, and </w:t>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nor/>
          </m:rPr>
          <m:t>.</m:t>
        </m:r>
      </m:oMath>
      <w:r>
        <w:t xml:space="preserve"> </w:t>
      </w:r>
      <m:oMath>
        <m:r>
          <m:rPr>
            <m:sty m:val="p"/>
          </m:rPr>
          <w:rPr>
            <w:rFonts w:ascii="Cambria Math" w:hAnsi="Cambria Math"/>
          </w:rPr>
          <m:t>▫</m:t>
        </m:r>
      </m:oMath>
    </w:p>
    <w:p w14:paraId="27656DA3" w14:textId="77777777" w:rsidR="007A6184" w:rsidRDefault="00000000" w:rsidP="00396E59">
      <w:pPr>
        <w:pStyle w:val="BodyText"/>
        <w:jc w:val="both"/>
      </w:pPr>
      <w:r>
        <w:t>For 5 finalists, 95% confidence, a one-percentage-point tolerance and no observed regression, (20) requires 459 independent holdout examples. The reproduced V2 simulation of 200,000 admissions, each with five independently simulated candidates at a true regression rate of 1.01%, has any false acceptance frequency 0.04628. This illustrates one setting, not proof of uniform coverage; the binomial argument supplies the guarantee. Improvements are ignored, so the regression certificate can be conservative.</w:t>
      </w:r>
    </w:p>
    <w:p w14:paraId="792BC168" w14:textId="77777777" w:rsidR="007A6184" w:rsidRDefault="00000000" w:rsidP="00396E59">
      <w:pPr>
        <w:pStyle w:val="BodyText"/>
        <w:jc w:val="both"/>
      </w:pPr>
      <w:r>
        <w:t xml:space="preserve">The sample-size comparison must state the observed event and the variable range. Hoeffding applied to a signed difference </w:t>
      </w:r>
      <m:oMath>
        <m:r>
          <w:rPr>
            <w:rFonts w:ascii="Cambria Math" w:hAnsi="Cambria Math"/>
          </w:rPr>
          <m:t>g</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with zero empirical mean requires 92,104 examples. The Maurer–Pontil empirical Bernstein bound [19], with unbiased sample variance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g</m:t>
            </m:r>
          </m:sub>
        </m:sSub>
        <m:r>
          <m:rPr>
            <m:nor/>
          </m:rPr>
          <m:t>,</m:t>
        </m:r>
      </m:oMath>
      <w:r>
        <w:t xml:space="preserve"> gives</w:t>
      </w:r>
    </w:p>
    <w:p w14:paraId="1EA79FA8"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g</m:t>
                    </m:r>
                  </m:sub>
                </m:sSub>
                <m:r>
                  <m:rPr>
                    <m:sty m:val="p"/>
                  </m:rPr>
                  <w:rPr>
                    <w:rFonts w:ascii="Cambria Math" w:hAnsi="Cambria Math"/>
                  </w:rPr>
                  <m:t>log</m:t>
                </m:r>
                <m:d>
                  <m:dPr>
                    <m:ctrlPr>
                      <w:rPr>
                        <w:rFonts w:ascii="Cambria Math" w:hAnsi="Cambria Math"/>
                      </w:rPr>
                    </m:ctrlPr>
                  </m:dPr>
                  <m:e>
                    <m:r>
                      <w:rPr>
                        <w:rFonts w:ascii="Cambria Math" w:hAnsi="Cambria Math"/>
                      </w:rPr>
                      <m:t>2N</m:t>
                    </m:r>
                    <m:r>
                      <m:rPr>
                        <m:sty m:val="p"/>
                      </m:rPr>
                      <w:rPr>
                        <w:rFonts w:ascii="Cambria Math" w:hAnsi="Cambria Math"/>
                      </w:rPr>
                      <m:t>/</m:t>
                    </m:r>
                    <m:r>
                      <w:rPr>
                        <w:rFonts w:ascii="Cambria Math" w:hAnsi="Cambria Math"/>
                      </w:rPr>
                      <m:t>η</m:t>
                    </m:r>
                  </m:e>
                </m:d>
              </m:num>
              <m:den>
                <m:r>
                  <w:rPr>
                    <w:rFonts w:ascii="Cambria Math" w:hAnsi="Cambria Math"/>
                  </w:rPr>
                  <m:t>m</m:t>
                </m:r>
              </m:den>
            </m:f>
          </m:e>
        </m:rad>
        <m:r>
          <m:rPr>
            <m:sty m:val="p"/>
          </m:rPr>
          <w:rPr>
            <w:rFonts w:ascii="Cambria Math" w:hAnsi="Cambria Math"/>
          </w:rPr>
          <m:t>+</m:t>
        </m:r>
        <m:f>
          <m:fPr>
            <m:ctrlPr>
              <w:rPr>
                <w:rFonts w:ascii="Cambria Math" w:hAnsi="Cambria Math"/>
              </w:rPr>
            </m:ctrlPr>
          </m:fPr>
          <m:num>
            <m:r>
              <w:rPr>
                <w:rFonts w:ascii="Cambria Math" w:hAnsi="Cambria Math"/>
              </w:rPr>
              <m:t>14</m:t>
            </m:r>
            <m:r>
              <m:rPr>
                <m:sty m:val="p"/>
              </m:rPr>
              <w:rPr>
                <w:rFonts w:ascii="Cambria Math" w:hAnsi="Cambria Math"/>
              </w:rPr>
              <m:t>log</m:t>
            </m:r>
            <m:d>
              <m:dPr>
                <m:ctrlPr>
                  <w:rPr>
                    <w:rFonts w:ascii="Cambria Math" w:hAnsi="Cambria Math"/>
                  </w:rPr>
                </m:ctrlPr>
              </m:dPr>
              <m:e>
                <m:r>
                  <w:rPr>
                    <w:rFonts w:ascii="Cambria Math" w:hAnsi="Cambria Math"/>
                  </w:rPr>
                  <m:t>2N</m:t>
                </m:r>
                <m:r>
                  <m:rPr>
                    <m:sty m:val="p"/>
                  </m:rPr>
                  <w:rPr>
                    <w:rFonts w:ascii="Cambria Math" w:hAnsi="Cambria Math"/>
                  </w:rPr>
                  <m:t>/</m:t>
                </m:r>
                <m:r>
                  <w:rPr>
                    <w:rFonts w:ascii="Cambria Math" w:hAnsi="Cambria Math"/>
                  </w:rPr>
                  <m:t>η</m:t>
                </m:r>
              </m:e>
            </m:d>
          </m:num>
          <m:den>
            <m:r>
              <w:rPr>
                <w:rFonts w:ascii="Cambria Math" w:hAnsi="Cambria Math"/>
              </w:rPr>
              <m:t>3</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den>
        </m:f>
        <m:r>
          <m:rPr>
            <m:sty m:val="p"/>
          </m:rPr>
          <w:rPr>
            <w:rFonts w:ascii="Cambria Math" w:hAnsi="Cambria Math"/>
          </w:rPr>
          <m:t>.</m:t>
        </m:r>
      </m:oMath>
      <w:r>
        <w:tab/>
        <w:t>(21)</w:t>
      </w:r>
    </w:p>
    <w:p w14:paraId="1FA4A0A9" w14:textId="77777777" w:rsidR="007A6184" w:rsidRDefault="00000000" w:rsidP="00396E59">
      <w:pPr>
        <w:pStyle w:val="BodyText"/>
        <w:jc w:val="both"/>
      </w:pPr>
      <w:r>
        <w:t xml:space="preserve">Its zero-mean, zero-variance requirement is 2,474 examples. Applying the same theorem to </w:t>
      </w:r>
      <m:oMath>
        <m:r>
          <w:rPr>
            <w:rFonts w:ascii="Cambria Math" w:hAnsi="Cambria Math"/>
          </w:rPr>
          <m:t>r</m:t>
        </m:r>
        <m:r>
          <m:rPr>
            <m:sty m:val="p"/>
          </m:rPr>
          <w:rPr>
            <w:rFonts w:ascii="Cambria Math" w:hAnsi="Cambria Math"/>
          </w:rPr>
          <m:t>=max</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0</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gives an upper bound on </w:t>
      </w:r>
      <m:oMath>
        <m:r>
          <m:rPr>
            <m:scr m:val="double-struck"/>
            <m:sty m:val="p"/>
          </m:rPr>
          <w:rPr>
            <w:rFonts w:ascii="Cambria Math" w:hAnsi="Cambria Math"/>
          </w:rPr>
          <m:t>E</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nor/>
          </m:rPr>
          <m:t>,</m:t>
        </m:r>
      </m:oMath>
      <w:r>
        <w:t xml:space="preserve"> and the final constant is 7 instead of 14. With zero observed positive loss, that requirement is 1,238, correcting V2. For binary losses, exact binomial inversion gives 459 when no regressions are observed. These are conditional sample requirements, not a promise that those favourable sample events will occur. Selecting among bounds after looking at the data requires a valid simultaneous guarantee or an allocated confidence budget.</w:t>
      </w:r>
    </w:p>
    <w:p w14:paraId="09B448D1" w14:textId="77777777" w:rsidR="007A6184" w:rsidRDefault="00000000" w:rsidP="00396E59">
      <w:pPr>
        <w:pStyle w:val="CaptionedFigure"/>
        <w:jc w:val="both"/>
      </w:pPr>
      <w:r>
        <w:rPr>
          <w:noProof/>
        </w:rPr>
        <w:lastRenderedPageBreak/>
        <w:drawing>
          <wp:inline distT="0" distB="0" distL="0" distR="0" wp14:anchorId="594B0278" wp14:editId="2DAAA84F">
            <wp:extent cx="6337300" cy="2721311"/>
            <wp:effectExtent l="0" t="0" r="0" b="0"/>
            <wp:docPr id="42" name="Picture" descr="Figure 3. Sample requirements for one batch with five frozen finalists, 95 percent confidence and one percentage point tolerance. Each bar assumes the indicated favourable observed event: zero signed mean for Hoeffding, zero mean and variance for empirical Bernstein, or zero regressions for binomial inversion. The positive-part and signed Bernstein bounds have different ranges. Analytic requirements, not measured consolidation performance."/>
            <wp:cNvGraphicFramePr/>
            <a:graphic xmlns:a="http://schemas.openxmlformats.org/drawingml/2006/main">
              <a:graphicData uri="http://schemas.openxmlformats.org/drawingml/2006/picture">
                <pic:pic xmlns:pic="http://schemas.openxmlformats.org/drawingml/2006/picture">
                  <pic:nvPicPr>
                    <pic:cNvPr id="43" name="Picture" descr="fig/admission_bounds.png"/>
                    <pic:cNvPicPr>
                      <a:picLocks noChangeAspect="1" noChangeArrowheads="1"/>
                    </pic:cNvPicPr>
                  </pic:nvPicPr>
                  <pic:blipFill>
                    <a:blip r:embed="rId9"/>
                    <a:stretch>
                      <a:fillRect/>
                    </a:stretch>
                  </pic:blipFill>
                  <pic:spPr bwMode="auto">
                    <a:xfrm>
                      <a:off x="0" y="0"/>
                      <a:ext cx="6337300" cy="2721311"/>
                    </a:xfrm>
                    <a:prstGeom prst="rect">
                      <a:avLst/>
                    </a:prstGeom>
                    <a:noFill/>
                    <a:ln w="9525">
                      <a:noFill/>
                      <a:headEnd/>
                      <a:tailEnd/>
                    </a:ln>
                  </pic:spPr>
                </pic:pic>
              </a:graphicData>
            </a:graphic>
          </wp:inline>
        </w:drawing>
      </w:r>
    </w:p>
    <w:p w14:paraId="645A3019" w14:textId="77777777" w:rsidR="007A6184" w:rsidRDefault="00000000" w:rsidP="00396E59">
      <w:pPr>
        <w:pStyle w:val="ImageCaption"/>
        <w:keepLines/>
        <w:jc w:val="both"/>
      </w:pPr>
      <w:r>
        <w:t>Figure 3. Sample requirements for one batch with five frozen finalists, 95 percent confidence and one percentage point tolerance. Each bar assumes the indicated favourable observed event: zero signed mean for Hoeffding, zero mean and variance for empirical Bernstein, or zero regressions for binomial inversion. The positive-part and signed Bernstein bounds have different ranges. Analytic requirements, not measured consolidation performance.</w:t>
      </w:r>
    </w:p>
    <w:p w14:paraId="72F4156E" w14:textId="77777777" w:rsidR="007A6184" w:rsidRDefault="00000000" w:rsidP="00396E59">
      <w:pPr>
        <w:pStyle w:val="Heading21"/>
        <w:jc w:val="both"/>
      </w:pPr>
      <w:bookmarkStart w:id="16" w:name="protecting-a-sequence-of-durable-writes"/>
      <w:r>
        <w:t>7.1 Protecting a sequence of durable writes</w:t>
      </w:r>
    </w:p>
    <w:p w14:paraId="18E721D0" w14:textId="77777777" w:rsidR="007A6184" w:rsidRDefault="00000000" w:rsidP="00396E59">
      <w:pPr>
        <w:pStyle w:val="FirstParagraph"/>
        <w:jc w:val="both"/>
      </w:pPr>
      <w:r>
        <w:t xml:space="preserve">A per-write tolerance does not bound lifetime forgetting by that same tolerance. Let </w:t>
      </w:r>
      <m:oMath>
        <m:r>
          <m:rPr>
            <m:scr m:val="script"/>
            <m:sty m:val="p"/>
          </m:rPr>
          <w:rPr>
            <w:rFonts w:ascii="Cambria Math" w:hAnsi="Cambria Math"/>
          </w:rPr>
          <m:t>R</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P</m:t>
                </m:r>
              </m:e>
              <m:sub>
                <m:r>
                  <m:rPr>
                    <m:sty m:val="p"/>
                  </m:rPr>
                  <w:rPr>
                    <w:rFonts w:ascii="Cambria Math" w:hAnsi="Cambria Math"/>
                  </w:rPr>
                  <m:t>old</m:t>
                </m:r>
              </m:sub>
            </m:sSub>
          </m:sub>
        </m:sSub>
        <m:r>
          <m:rPr>
            <m:scr m:val="script"/>
            <m:sty m:val="p"/>
          </m:rPr>
          <w:rPr>
            <w:rFonts w:ascii="Cambria Math" w:hAnsi="Cambria Math"/>
          </w:rPr>
          <m:t>l</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X</m:t>
            </m:r>
          </m:e>
        </m:d>
      </m:oMath>
      <w:r>
        <w:t xml:space="preserve"> refer to one fixed old-task distribution. At batch </w:t>
      </w:r>
      <m:oMath>
        <m:r>
          <w:rPr>
            <w:rFonts w:ascii="Cambria Math" w:hAnsi="Cambria Math"/>
          </w:rPr>
          <m:t>k</m:t>
        </m:r>
        <m:r>
          <m:rPr>
            <m:nor/>
          </m:rPr>
          <m:t>,</m:t>
        </m:r>
      </m:oMath>
      <w:r>
        <w:t xml:space="preserve"> use a fresh holdout independent of the frozen finalists conditional on all previous data and decisions. Allocate deterministic budgets </w:t>
      </w:r>
      <m:oMath>
        <m:sSub>
          <m:sSubPr>
            <m:ctrlPr>
              <w:rPr>
                <w:rFonts w:ascii="Cambria Math" w:hAnsi="Cambria Math"/>
              </w:rPr>
            </m:ctrlPr>
          </m:sSubPr>
          <m:e>
            <m:r>
              <w:rPr>
                <w:rFonts w:ascii="Cambria Math" w:hAnsi="Cambria Math"/>
              </w:rPr>
              <m:t>η</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k</m:t>
            </m:r>
          </m:sub>
        </m:sSub>
        <m:r>
          <m:rPr>
            <m:sty m:val="p"/>
          </m:rPr>
          <w:rPr>
            <w:rFonts w:ascii="Cambria Math" w:hAnsi="Cambria Math"/>
          </w:rPr>
          <m:t>≥</m:t>
        </m:r>
        <m:r>
          <w:rPr>
            <w:rFonts w:ascii="Cambria Math" w:hAnsi="Cambria Math"/>
          </w:rPr>
          <m:t>0</m:t>
        </m:r>
      </m:oMath>
      <w:r>
        <w:t xml:space="preserve"> with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k</m:t>
                </m:r>
              </m:sub>
            </m:sSub>
          </m:e>
        </m:nary>
        <m:r>
          <m:rPr>
            <m:sty m:val="p"/>
          </m:rPr>
          <w:rPr>
            <w:rFonts w:ascii="Cambria Math" w:hAnsi="Cambria Math"/>
          </w:rPr>
          <m:t>≤</m:t>
        </m:r>
        <m:r>
          <w:rPr>
            <w:rFonts w:ascii="Cambria Math" w:hAnsi="Cambria Math"/>
          </w:rPr>
          <m:t>η</m:t>
        </m:r>
      </m:oMath>
      <w:r>
        <w:t xml:space="preserve"> and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ϵ</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total</m:t>
            </m:r>
          </m:sub>
        </m:sSub>
        <m:r>
          <m:rPr>
            <m:nor/>
          </m:rPr>
          <m:t>.</m:t>
        </m:r>
      </m:oMath>
    </w:p>
    <w:p w14:paraId="7608DDFC" w14:textId="77777777" w:rsidR="007A6184" w:rsidRDefault="00000000" w:rsidP="00396E59">
      <w:pPr>
        <w:pStyle w:val="BodyText"/>
        <w:keepNext/>
        <w:jc w:val="both"/>
      </w:pPr>
      <w:r>
        <w:rPr>
          <w:b/>
          <w:bCs/>
        </w:rPr>
        <w:t>Theorem 8.1 — Sequential retention budget.</w:t>
      </w:r>
      <w:r>
        <w:t xml:space="preserve"> Suppose each batch uses a simultaneous certificate at failure level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and admits a state only if it certifies </w:t>
      </w:r>
      <m:oMath>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r>
          <m:rPr>
            <m:nor/>
          </m:rPr>
          <m:t>.</m:t>
        </m:r>
      </m:oMath>
      <w:r>
        <w:t xml:space="preserve"> A rejected batch keeps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nor/>
          </m:rPr>
          <m:t>.</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η</m:t>
        </m:r>
        <m:r>
          <m:rPr>
            <m:nor/>
          </m:rPr>
          <m:t>,</m:t>
        </m:r>
      </m:oMath>
      <w:r>
        <w:t xml:space="preserve"> for every finite </w:t>
      </w:r>
      <m:oMath>
        <m:r>
          <w:rPr>
            <w:rFonts w:ascii="Cambria Math" w:hAnsi="Cambria Math"/>
          </w:rPr>
          <m:t>K</m:t>
        </m:r>
        <m:r>
          <m:rPr>
            <m:nor/>
          </m:rPr>
          <m:t>,</m:t>
        </m:r>
      </m:oMath>
    </w:p>
    <w:p w14:paraId="4D38F9F1" w14:textId="77777777" w:rsidR="007A6184" w:rsidRDefault="00000000" w:rsidP="00396E59">
      <w:pPr>
        <w:pStyle w:val="Equation"/>
        <w:jc w:val="both"/>
      </w:pPr>
      <w:r>
        <w:tab/>
      </w:r>
      <m:oMath>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ϵ</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total</m:t>
            </m:r>
          </m:sub>
        </m:sSub>
        <m:r>
          <m:rPr>
            <m:sty m:val="p"/>
          </m:rPr>
          <w:rPr>
            <w:rFonts w:ascii="Cambria Math" w:hAnsi="Cambria Math"/>
          </w:rPr>
          <m:t>.</m:t>
        </m:r>
      </m:oMath>
      <w:r>
        <w:tab/>
        <w:t>(22)</w:t>
      </w:r>
    </w:p>
    <w:p w14:paraId="1DD973E3" w14:textId="77777777" w:rsidR="007A6184" w:rsidRDefault="00000000" w:rsidP="00396E59">
      <w:pPr>
        <w:pStyle w:val="BodyText"/>
        <w:jc w:val="both"/>
      </w:pPr>
      <w:r>
        <w:rPr>
          <w:i/>
          <w:iCs/>
        </w:rPr>
        <w:t>Proof.</w:t>
      </w:r>
      <w:r>
        <w:t xml:space="preserve"> Conditional validity bounds the probability of an erroneous batch certificate by </w:t>
      </w:r>
      <m:oMath>
        <m:sSub>
          <m:sSubPr>
            <m:ctrlPr>
              <w:rPr>
                <w:rFonts w:ascii="Cambria Math" w:hAnsi="Cambria Math"/>
              </w:rPr>
            </m:ctrlPr>
          </m:sSubPr>
          <m:e>
            <m:r>
              <w:rPr>
                <w:rFonts w:ascii="Cambria Math" w:hAnsi="Cambria Math"/>
              </w:rPr>
              <m:t>η</m:t>
            </m:r>
          </m:e>
          <m:sub>
            <m:r>
              <w:rPr>
                <w:rFonts w:ascii="Cambria Math" w:hAnsi="Cambria Math"/>
              </w:rPr>
              <m:t>k</m:t>
            </m:r>
          </m:sub>
        </m:sSub>
        <m:r>
          <m:rPr>
            <m:nor/>
          </m:rPr>
          <m:t>.</m:t>
        </m:r>
      </m:oMath>
      <w:r>
        <w:t xml:space="preserve"> A union bound over batches gives simultaneous validity with probability at least </w:t>
      </w:r>
      <m:oMath>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k</m:t>
                </m:r>
              </m:sub>
            </m:sSub>
          </m:e>
        </m:nary>
        <m:r>
          <m:rPr>
            <m:nor/>
          </m:rPr>
          <m:t>.</m:t>
        </m:r>
      </m:oMath>
      <w:r>
        <w:t xml:space="preserve"> On that event, telescope the certified risk increments. No independence between successive accepted states is needed. </w:t>
      </w:r>
      <m:oMath>
        <m:r>
          <m:rPr>
            <m:sty m:val="p"/>
          </m:rPr>
          <w:rPr>
            <w:rFonts w:ascii="Cambria Math" w:hAnsi="Cambria Math"/>
          </w:rPr>
          <m:t>▫</m:t>
        </m:r>
      </m:oMath>
    </w:p>
    <w:p w14:paraId="3A3F7D11" w14:textId="77777777" w:rsidR="007A6184" w:rsidRDefault="00000000" w:rsidP="00396E59">
      <w:pPr>
        <w:pStyle w:val="BodyText"/>
        <w:jc w:val="both"/>
      </w:pPr>
      <w:r>
        <w:t>For a fixed horizon of 20 batches, split a 0.05 failure budget and total 0.01 risk tolerance equally. With five finalists per batch and zero observed regressions, each batch needs 15,199 fresh examples, a total of 303,980. The examples can evaluate all five finalists in the batch. This is far more demanding than reusing a 459-example holdout. In an illustrative independent-binomial model with each true regression rate 1.01 times the per-batch tolerance, the probability of at least one false admission over this horizon is 0.0453. The calculation is not a simulation of a learning system.</w:t>
      </w:r>
    </w:p>
    <w:p w14:paraId="30ADD875" w14:textId="77777777" w:rsidR="007A6184" w:rsidRDefault="00000000" w:rsidP="00396E59">
      <w:pPr>
        <w:pStyle w:val="BodyText"/>
        <w:jc w:val="both"/>
      </w:pPr>
      <w:r>
        <w:t>For an unbounded horizon, summable confidence and tolerance allocations give the same theorem but can become expensive. A changing old-task distribution, repeated adaptive reuse of a holdout, or protection of individual rare branches requires a different protocol. The engineered guarantee should not be attributed to a biological circuit.</w:t>
      </w:r>
    </w:p>
    <w:p w14:paraId="1855CDD5" w14:textId="77777777" w:rsidR="007A6184" w:rsidRDefault="00000000" w:rsidP="00396E59">
      <w:pPr>
        <w:pStyle w:val="BodyText"/>
        <w:keepNext/>
        <w:jc w:val="both"/>
      </w:pPr>
      <w:r>
        <w:rPr>
          <w:b/>
          <w:bCs/>
        </w:rPr>
        <w:lastRenderedPageBreak/>
        <w:t>Proposition 9 — Monotonic accepted objective values.</w:t>
      </w:r>
      <w:r>
        <w:t xml:space="preserve"> Within one batch, suppose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oMath>
      <w:r>
        <w:t xml:space="preserve"> and its evaluation data are fixed,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r>
          <m:rPr>
            <m:sty m:val="p"/>
          </m:rPr>
          <w:rPr>
            <w:rFonts w:ascii="Cambria Math" w:hAnsi="Cambria Math"/>
          </w:rPr>
          <m:t>≥</m:t>
        </m:r>
        <m:r>
          <w:rPr>
            <w:rFonts w:ascii="Cambria Math" w:hAnsi="Cambria Math"/>
          </w:rPr>
          <m:t>0</m:t>
        </m:r>
        <m:r>
          <m:rPr>
            <m:nor/>
          </m:rPr>
          <m:t>,</m:t>
        </m:r>
      </m:oMath>
      <w:r>
        <w:t xml:space="preserve"> and each accepted transition satisfies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r</m:t>
                </m:r>
                <m:r>
                  <m:rPr>
                    <m:sty m:val="p"/>
                  </m:rPr>
                  <w:rPr>
                    <w:rFonts w:ascii="Cambria Math" w:hAnsi="Cambria Math"/>
                  </w:rPr>
                  <m:t>+</m:t>
                </m:r>
                <m:r>
                  <w:rPr>
                    <w:rFonts w:ascii="Cambria Math" w:hAnsi="Cambria Math"/>
                  </w:rPr>
                  <m:t>1</m:t>
                </m:r>
              </m:sup>
            </m:sSup>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J</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r</m:t>
                </m:r>
              </m:sup>
            </m:sSup>
          </m:e>
        </m:d>
        <m:r>
          <m:rPr>
            <m:nor/>
          </m:rPr>
          <m:t>.</m:t>
        </m:r>
      </m:oMath>
      <w:r>
        <w:t xml:space="preserve"> Then accepted objective values converge.</w:t>
      </w:r>
    </w:p>
    <w:p w14:paraId="2EC6293D" w14:textId="77777777" w:rsidR="007A6184" w:rsidRDefault="00000000" w:rsidP="00396E59">
      <w:pPr>
        <w:pStyle w:val="BodyText"/>
        <w:jc w:val="both"/>
      </w:pPr>
      <w:r>
        <w:rPr>
          <w:i/>
          <w:iCs/>
        </w:rPr>
        <w:t>Proof.</w:t>
      </w:r>
      <w:r>
        <w:t xml:space="preserve"> They form a nonincreasing sequence bounded below. </w:t>
      </w:r>
      <m:oMath>
        <m:r>
          <m:rPr>
            <m:sty m:val="p"/>
          </m:rPr>
          <w:rPr>
            <w:rFonts w:ascii="Cambria Math" w:hAnsi="Cambria Math"/>
          </w:rPr>
          <m:t>▫</m:t>
        </m:r>
      </m:oMath>
    </w:p>
    <w:p w14:paraId="0328E03B" w14:textId="77777777" w:rsidR="007A6184" w:rsidRDefault="00000000" w:rsidP="00396E59">
      <w:pPr>
        <w:pStyle w:val="BodyText"/>
        <w:jc w:val="both"/>
      </w:pPr>
      <w:r>
        <w:t>This elementary result supplies a practical acceptance contract, not convergence of parameters or a global optimum. A new consolidation batch changes the evidence and possibly the objective. No across-batch convergence follows. In biology, an engineered certificate is a functional design analogue; no cited study shows neurons calculating (19).</w:t>
      </w:r>
    </w:p>
    <w:p w14:paraId="522EED75" w14:textId="77777777" w:rsidR="007A6184" w:rsidRDefault="00000000" w:rsidP="00396E59">
      <w:pPr>
        <w:pStyle w:val="Heading11"/>
        <w:jc w:val="both"/>
      </w:pPr>
      <w:bookmarkStart w:id="17" w:name="a-worked-example-and-its-counterexample"/>
      <w:bookmarkEnd w:id="15"/>
      <w:bookmarkEnd w:id="16"/>
      <w:r>
        <w:t>8 A worked example and its counterexample</w:t>
      </w:r>
    </w:p>
    <w:p w14:paraId="6D5879EB" w14:textId="77777777" w:rsidR="007A6184" w:rsidRDefault="00000000" w:rsidP="00396E59">
      <w:pPr>
        <w:pStyle w:val="FirstParagraph"/>
        <w:jc w:val="both"/>
      </w:pPr>
      <w:r>
        <w:t>Consider two three-coordinate archived prototypes,</w:t>
      </w:r>
    </w:p>
    <w:p w14:paraId="764A2A19" w14:textId="77777777" w:rsidR="007A6184" w:rsidRDefault="00000000" w:rsidP="00396E59">
      <w:pPr>
        <w:pStyle w:val="BodyText"/>
        <w:jc w:val="both"/>
      </w:pPr>
      <m:oMathPara>
        <m:oMathParaPr>
          <m:jc m:val="center"/>
        </m:oMathParaP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1</m:t>
                  </m:r>
                </m:e>
              </m:d>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163DF97F" w14:textId="77777777" w:rsidR="007A6184" w:rsidRDefault="00000000" w:rsidP="00396E59">
      <w:pPr>
        <w:pStyle w:val="FirstParagraph"/>
        <w:jc w:val="both"/>
      </w:pPr>
      <w:r>
        <w:t xml:space="preserve">One retrieved context supplies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from the first prototype. Another supplies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from the second. The shared observable agrees: both report </w:t>
      </w:r>
      <m:oMath>
        <m:r>
          <w:rPr>
            <w:rFonts w:ascii="Cambria Math" w:hAnsi="Cambria Math"/>
          </w:rPr>
          <m:t>b</m:t>
        </m:r>
        <m:r>
          <m:rPr>
            <m:sty m:val="p"/>
          </m:rPr>
          <w:rPr>
            <w:rFonts w:ascii="Cambria Math" w:hAnsi="Cambria Math"/>
          </w:rPr>
          <m:t>=</m:t>
        </m:r>
        <m:r>
          <w:rPr>
            <w:rFonts w:ascii="Cambria Math" w:hAnsi="Cambria Math"/>
          </w:rPr>
          <m:t>1</m:t>
        </m:r>
        <m:r>
          <m:rPr>
            <m:nor/>
          </m:rPr>
          <m:t>.</m:t>
        </m:r>
      </m:oMath>
      <w:r>
        <w:t xml:space="preserve"> The identity restrictions on </w:t>
      </w:r>
      <m:oMath>
        <m:r>
          <w:rPr>
            <w:rFonts w:ascii="Cambria Math" w:hAnsi="Cambria Math"/>
          </w:rPr>
          <m:t>b</m:t>
        </m:r>
      </m:oMath>
      <w:r>
        <w:t xml:space="preserve"> define </w:t>
      </w:r>
      <m:oMath>
        <m:r>
          <w:rPr>
            <w:rFonts w:ascii="Cambria Math" w:hAnsi="Cambria Math"/>
          </w:rPr>
          <m:t>δ</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r>
          <m:rPr>
            <m:nor/>
          </m:rPr>
          <m:t>.</m:t>
        </m:r>
      </m:oMath>
    </w:p>
    <w:p w14:paraId="62992CB7" w14:textId="77777777" w:rsidR="007A6184" w:rsidRDefault="00000000" w:rsidP="00396E59">
      <w:pPr>
        <w:pStyle w:val="BodyText"/>
        <w:jc w:val="both"/>
      </w:pPr>
      <w:r>
        <w:t>The read minimising</w:t>
      </w:r>
    </w:p>
    <w:p w14:paraId="29554F6F" w14:textId="77777777" w:rsidR="007A6184" w:rsidRDefault="00000000" w:rsidP="00396E59">
      <w:pPr>
        <w:pStyle w:val="BodyText"/>
        <w:jc w:val="both"/>
      </w:pPr>
      <m:oMathPara>
        <m:oMathParaPr>
          <m:jc m:val="center"/>
        </m:oMathParaPr>
        <m:oMath>
          <m:f>
            <m:fPr>
              <m:type m:val="lin"/>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d>
          <m:r>
            <m:rPr>
              <m:sty m:val="p"/>
            </m:rPr>
            <w:rPr>
              <w:rFonts w:ascii="Cambria Math" w:hAnsi="Cambria Math"/>
            </w:rPr>
            <m:t>+</m:t>
          </m:r>
          <m:f>
            <m:fPr>
              <m:type m:val="lin"/>
              <m:ctrlPr>
                <w:rPr>
                  <w:rFonts w:ascii="Cambria Math" w:hAnsi="Cambria Math"/>
                </w:rPr>
              </m:ctrlPr>
            </m:fPr>
            <m:num>
              <m:r>
                <w:rPr>
                  <w:rFonts w:ascii="Cambria Math" w:hAnsi="Cambria Math"/>
                </w:rPr>
                <m:t>β</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e>
              </m:d>
            </m:e>
            <m:sup>
              <m:r>
                <w:rPr>
                  <w:rFonts w:ascii="Cambria Math" w:hAnsi="Cambria Math"/>
                </w:rPr>
                <m:t>2</m:t>
              </m:r>
            </m:sup>
          </m:sSup>
        </m:oMath>
      </m:oMathPara>
    </w:p>
    <w:p w14:paraId="48D51ED4" w14:textId="77777777" w:rsidR="007A6184" w:rsidRDefault="00000000" w:rsidP="00396E59">
      <w:pPr>
        <w:pStyle w:val="FirstParagraph"/>
        <w:jc w:val="both"/>
      </w:pPr>
      <w:r>
        <w:t xml:space="preserve">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for every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Its decoded shared-coordinate representation is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r>
          <m:rPr>
            <m:nor/>
          </m:rPr>
          <m:t>.</m:t>
        </m:r>
      </m:oMath>
      <w:r>
        <w:t xml:space="preserve"> All convex combinations of the two complete prototypes have </w:t>
      </w:r>
      <m:oMath>
        <m:r>
          <w:rPr>
            <w:rFonts w:ascii="Cambria Math" w:hAnsi="Cambria Math"/>
          </w:rPr>
          <m:t>a</m:t>
        </m:r>
        <m:r>
          <m:rPr>
            <m:sty m:val="p"/>
          </m:rPr>
          <w:rPr>
            <w:rFonts w:ascii="Cambria Math" w:hAnsi="Cambria Math"/>
          </w:rPr>
          <m:t>=</m:t>
        </m:r>
        <m:r>
          <w:rPr>
            <w:rFonts w:ascii="Cambria Math" w:hAnsi="Cambria Math"/>
          </w:rPr>
          <m:t>c</m:t>
        </m:r>
        <m:r>
          <m:rPr>
            <m:nor/>
          </m:rPr>
          <m:t>,</m:t>
        </m:r>
      </m:oMath>
      <w:r>
        <w:t xml:space="preserve"> so this read lies outside their convex hull. This is the opportunity for compositional memory: compatible parts can form a new answer without retrieving a complete earlier answer.</w:t>
      </w:r>
    </w:p>
    <w:p w14:paraId="330C8C20" w14:textId="77777777" w:rsidR="007A6184" w:rsidRDefault="00000000" w:rsidP="00396E59">
      <w:pPr>
        <w:pStyle w:val="CaptionedFigure"/>
        <w:jc w:val="both"/>
      </w:pPr>
      <w:r>
        <w:rPr>
          <w:noProof/>
        </w:rPr>
        <w:drawing>
          <wp:inline distT="0" distB="0" distL="0" distR="0" wp14:anchorId="0707BC10" wp14:editId="4EC671BA">
            <wp:extent cx="5943600" cy="2827020"/>
            <wp:effectExtent l="0" t="0" r="0" b="0"/>
            <wp:docPr id="47" name="Picture" descr="Figure 4. Gluing is not a factual validity test. In the slice b equals one, the complete archive occupies the diagonal a equals c. Local recombination produces the orange point outside that hull. Enforcing the omitted equality returns the continuous least-squares projection to the diagonal. All coordinates and points are analytic examples, not experimental performance results."/>
            <wp:cNvGraphicFramePr/>
            <a:graphic xmlns:a="http://schemas.openxmlformats.org/drawingml/2006/main">
              <a:graphicData uri="http://schemas.openxmlformats.org/drawingml/2006/picture">
                <pic:pic xmlns:pic="http://schemas.openxmlformats.org/drawingml/2006/picture">
                  <pic:nvPicPr>
                    <pic:cNvPr id="48" name="Picture" descr="fig/recombination.png"/>
                    <pic:cNvPicPr>
                      <a:picLocks noChangeAspect="1" noChangeArrowheads="1"/>
                    </pic:cNvPicPr>
                  </pic:nvPicPr>
                  <pic:blipFill>
                    <a:blip r:embed="rId10"/>
                    <a:stretch>
                      <a:fillRect/>
                    </a:stretch>
                  </pic:blipFill>
                  <pic:spPr bwMode="auto">
                    <a:xfrm>
                      <a:off x="0" y="0"/>
                      <a:ext cx="5943600" cy="2827020"/>
                    </a:xfrm>
                    <a:prstGeom prst="rect">
                      <a:avLst/>
                    </a:prstGeom>
                    <a:noFill/>
                    <a:ln w="9525">
                      <a:noFill/>
                      <a:headEnd/>
                      <a:tailEnd/>
                    </a:ln>
                  </pic:spPr>
                </pic:pic>
              </a:graphicData>
            </a:graphic>
          </wp:inline>
        </w:drawing>
      </w:r>
    </w:p>
    <w:p w14:paraId="03686AB1" w14:textId="77777777" w:rsidR="007A6184" w:rsidRDefault="00000000" w:rsidP="00396E59">
      <w:pPr>
        <w:pStyle w:val="ImageCaption"/>
        <w:keepLines/>
        <w:jc w:val="both"/>
      </w:pPr>
      <w:r>
        <w:t>Figure 4. Gluing is not a factual validity test. In the slice b equals one, the complete archive occupies the diagonal a equals c. Local recombination produces the orange point outside that hull. Enforcing the omitted equality returns the continuous least-squares projection to the diagonal. All coordinates and points are analytic examples, not experimental performance results.</w:t>
      </w:r>
    </w:p>
    <w:p w14:paraId="57D1AB37" w14:textId="77777777" w:rsidR="007A6184" w:rsidRDefault="00000000" w:rsidP="00396E59">
      <w:pPr>
        <w:pStyle w:val="BodyText"/>
        <w:jc w:val="both"/>
      </w:pPr>
      <w:r>
        <w:t xml:space="preserve">Now add a true but previously omitted dependency </w:t>
      </w:r>
      <m:oMath>
        <m:r>
          <w:rPr>
            <w:rFonts w:ascii="Cambria Math" w:hAnsi="Cambria Math"/>
          </w:rPr>
          <m:t>a</m:t>
        </m:r>
        <m:r>
          <m:rPr>
            <m:sty m:val="p"/>
          </m:rPr>
          <w:rPr>
            <w:rFonts w:ascii="Cambria Math" w:hAnsi="Cambria Math"/>
          </w:rPr>
          <m:t>=</m:t>
        </m:r>
        <m:r>
          <w:rPr>
            <w:rFonts w:ascii="Cambria Math" w:hAnsi="Cambria Math"/>
          </w:rPr>
          <m:t>c</m:t>
        </m:r>
        <m:r>
          <m:rPr>
            <m:nor/>
          </m:rPr>
          <m:t>.</m:t>
        </m:r>
      </m:oMath>
      <w:r>
        <w:t xml:space="preserve"> The new answer violates it. Adding that constraint to the same least-squares problem yields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m:rPr>
            <m:nor/>
          </m:rPr>
          <m:t>.</m:t>
        </m:r>
      </m:oMath>
      <w:r>
        <w:t xml:space="preserve"> If </w:t>
      </w:r>
      <m:oMath>
        <m:r>
          <w:rPr>
            <w:rFonts w:ascii="Cambria Math" w:hAnsi="Cambria Math"/>
          </w:rPr>
          <m:t>a</m:t>
        </m:r>
      </m:oMath>
      <w:r>
        <w:t xml:space="preserve"> and </w:t>
      </w:r>
      <m:oMath>
        <m:r>
          <w:rPr>
            <w:rFonts w:ascii="Cambria Math" w:hAnsi="Cambria Math"/>
          </w:rPr>
          <m:t>c</m:t>
        </m:r>
      </m:oMath>
      <w:r>
        <w:t xml:space="preserve"> are binary, this continuous relaxation </w:t>
      </w:r>
      <w:r>
        <w:lastRenderedPageBreak/>
        <w:t xml:space="preserve">must instead be decoded to an admissible discrete state and re-evaluated. Compatibility on </w:t>
      </w:r>
      <m:oMath>
        <m:r>
          <w:rPr>
            <w:rFonts w:ascii="Cambria Math" w:hAnsi="Cambria Math"/>
          </w:rPr>
          <m:t>b</m:t>
        </m:r>
      </m:oMath>
      <w:r>
        <w:t xml:space="preserve"> alone never established the validity of the new episode.</w:t>
      </w:r>
    </w:p>
    <w:p w14:paraId="21A24F8C" w14:textId="77777777" w:rsidR="007A6184" w:rsidRDefault="00000000" w:rsidP="00396E59">
      <w:pPr>
        <w:pStyle w:val="BodyText"/>
        <w:jc w:val="both"/>
      </w:pPr>
      <w:r>
        <w:t>The first experiment should therefore use known chain-structured tasks where the contexts contain the generating dependencies, followed by controlled omitted-factor tests. It should measure both useful new compositions and false combinations. For autobiographical recall, a synthetic combination is labelled an inference; it must not be presented as an observed episode merely because it glues.</w:t>
      </w:r>
    </w:p>
    <w:p w14:paraId="6AD27D48" w14:textId="77777777" w:rsidR="007A6184" w:rsidRDefault="00000000" w:rsidP="00396E59">
      <w:pPr>
        <w:pStyle w:val="Heading11"/>
        <w:jc w:val="both"/>
      </w:pPr>
      <w:bookmarkStart w:id="18" w:name="a-role-for-ase-in-the-neocortex"/>
      <w:bookmarkEnd w:id="17"/>
      <w:r>
        <w:t>9 A role for ASE in the neocortex</w:t>
      </w:r>
    </w:p>
    <w:p w14:paraId="281D21AD" w14:textId="77777777" w:rsidR="007A6184" w:rsidRDefault="00000000" w:rsidP="00396E59">
      <w:pPr>
        <w:pStyle w:val="FirstParagraph"/>
        <w:jc w:val="both"/>
      </w:pPr>
      <w:r>
        <w:t xml:space="preserve">The biological proposal is that </w:t>
      </w:r>
      <w:r>
        <w:rPr>
          <w:b/>
          <w:bCs/>
        </w:rPr>
        <w:t>recurrent cortical activity constructs locally compatible, task-conditioned representations, while replay and slow plasticity select which constructions become easier to produce later</w:t>
      </w:r>
      <w:r>
        <w:t>. ASE is a candidate algorithmic description of this process. It adds a proposal-and-evaluation mechanism to a complementary-learning-systems account [3]. It is not an established anatomical algorithm.</w:t>
      </w:r>
    </w:p>
    <w:p w14:paraId="00A1C0B2" w14:textId="77777777" w:rsidR="007A6184" w:rsidRDefault="00000000" w:rsidP="00396E59">
      <w:pPr>
        <w:pStyle w:val="Heading21"/>
        <w:jc w:val="both"/>
      </w:pPr>
      <w:bookmarkStart w:id="19" w:name="what-the-evidence-supports"/>
      <w:r>
        <w:t>9.1 What the evidence supports</w:t>
      </w:r>
    </w:p>
    <w:p w14:paraId="586A0DC8" w14:textId="77777777" w:rsidR="007A6184" w:rsidRDefault="00000000" w:rsidP="00396E59">
      <w:pPr>
        <w:pStyle w:val="FirstParagraph"/>
        <w:jc w:val="both"/>
      </w:pPr>
      <w:r>
        <w:t>In mice, Kitamura and colleagues found that prefrontal engram cells involved in remote contextual fear memory were generated during initial learning and subsequently matured with hippocampal support [4]. Cortical learning need not begin only after an episode has been copied out of the hippocampus. The proposed optimiser should therefore allow early cortical representations followed by later reorganisation.</w:t>
      </w:r>
    </w:p>
    <w:p w14:paraId="779F966F" w14:textId="77777777" w:rsidR="007A6184" w:rsidRDefault="00000000" w:rsidP="00396E59">
      <w:pPr>
        <w:pStyle w:val="BodyText"/>
        <w:jc w:val="both"/>
      </w:pPr>
      <w:r>
        <w:t>Schreiner and colleagues related spindle-locked medial-temporal ripples to decoded reactivation during human NREM sleep [7]. Their study included scalp EEG in healthy participants and intracranial recordings in epilepsy patients. Importantly, cueing in that experiment worsened associative retention relative to uncued material. Reactivation and a beneficial learning outcome must therefore be measured separately; more reactivation is not itself the proposed optimisation objective.</w:t>
      </w:r>
    </w:p>
    <w:p w14:paraId="405B1164" w14:textId="77777777" w:rsidR="007A6184" w:rsidRDefault="00000000" w:rsidP="00396E59">
      <w:pPr>
        <w:pStyle w:val="BodyText"/>
        <w:jc w:val="both"/>
      </w:pPr>
      <w:r>
        <w:t>The published 2026 study by Wodeyar and colleagues used simultaneous orbitofrontal, thalamic and hippocampal recordings in 19 patients with epilepsy [8]. Coupled rhythms predicted overnight motor performance changes, whereas rhythms coupled to epileptic spikes predicted worse changes. It supports a role for coordinated timing, but does not identify a specific update rule or establish a general causal sheaf mechanism.</w:t>
      </w:r>
    </w:p>
    <w:p w14:paraId="00B706EB" w14:textId="77777777" w:rsidR="007A6184" w:rsidRDefault="00000000" w:rsidP="00396E59">
      <w:pPr>
        <w:pStyle w:val="BodyText"/>
        <w:jc w:val="both"/>
      </w:pPr>
      <w:r>
        <w:t>Widloski and Foster reported replay without detected sharp-wave ripples in male rats performing a spatial memory task [9]. The paper, with a subsequent author correction, distinguishes replay content from ripple-associated broadcasting. An ASE interpretation should likewise distinguish candidate generation, communication and durable update, rather than treating a detected ripple as proof that a memory was written.</w:t>
      </w:r>
    </w:p>
    <w:p w14:paraId="089113D5" w14:textId="77777777" w:rsidR="007A6184" w:rsidRDefault="00000000" w:rsidP="00396E59">
      <w:pPr>
        <w:pStyle w:val="BodyText"/>
        <w:jc w:val="both"/>
      </w:pPr>
      <w:r>
        <w:t>Thompson and colleagues also provide a task-specific limit to universal hippocampal orchestration: procedural replay can arise independently in striatum [21]. The ASE functional mapping must therefore specify the memory system and evidence source before assigning anatomical roles.</w:t>
      </w:r>
    </w:p>
    <w:p w14:paraId="40B2772C" w14:textId="77777777" w:rsidR="007A6184" w:rsidRDefault="00000000" w:rsidP="00396E59">
      <w:pPr>
        <w:pStyle w:val="BodyText"/>
        <w:jc w:val="both"/>
      </w:pPr>
      <w:r>
        <w:t>At the synaptic scale, Benna and Fusi modelled memory retention using interacting variables with multiple timescales [6]. This motivates separating fast states from slow retention variables. It does not make the ASE layer order a measured sequence of synaptic compartments. Parameter protection also has established machine-learning precedents, including elastic weight consolidation [10]; neither replay nor protection of old parameters is new by itself.</w:t>
      </w:r>
    </w:p>
    <w:p w14:paraId="19929915" w14:textId="77777777" w:rsidR="007A6184" w:rsidRDefault="00000000" w:rsidP="00396E59">
      <w:pPr>
        <w:pStyle w:val="Heading21"/>
        <w:jc w:val="both"/>
      </w:pPr>
      <w:bookmarkStart w:id="20" w:name="the-proposed-functional-mapping"/>
      <w:bookmarkEnd w:id="19"/>
      <w:r>
        <w:t>9.2 The proposed functional mapping</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23"/>
        <w:gridCol w:w="4540"/>
        <w:gridCol w:w="3501"/>
      </w:tblGrid>
      <w:tr w:rsidR="007A6184" w14:paraId="3C487621" w14:textId="77777777">
        <w:trPr>
          <w:cnfStyle w:val="100000000000" w:firstRow="1" w:lastRow="0" w:firstColumn="0" w:lastColumn="0" w:oddVBand="0" w:evenVBand="0" w:oddHBand="0" w:evenHBand="0" w:firstRowFirstColumn="0" w:firstRowLastColumn="0" w:lastRowFirstColumn="0" w:lastRowLastColumn="0"/>
          <w:cantSplit/>
          <w:tblHeader/>
        </w:trPr>
        <w:tc>
          <w:tcPr>
            <w:tcW w:w="2088" w:type="dxa"/>
            <w:shd w:val="clear" w:color="auto" w:fill="E7EBEF"/>
            <w:tcMar>
              <w:top w:w="85" w:type="dxa"/>
              <w:left w:w="85" w:type="dxa"/>
              <w:bottom w:w="85" w:type="dxa"/>
              <w:right w:w="85" w:type="dxa"/>
            </w:tcMar>
            <w:vAlign w:val="center"/>
          </w:tcPr>
          <w:p w14:paraId="28077E5E" w14:textId="77777777" w:rsidR="007A6184" w:rsidRDefault="00000000" w:rsidP="00396E59">
            <w:pPr>
              <w:pStyle w:val="Compact"/>
              <w:spacing w:before="20" w:after="40" w:line="254" w:lineRule="auto"/>
              <w:jc w:val="both"/>
            </w:pPr>
            <w:r>
              <w:rPr>
                <w:sz w:val="20"/>
              </w:rPr>
              <w:t>ASE object</w:t>
            </w:r>
          </w:p>
        </w:tc>
        <w:tc>
          <w:tcPr>
            <w:tcW w:w="4464" w:type="dxa"/>
            <w:shd w:val="clear" w:color="auto" w:fill="E7EBEF"/>
            <w:tcMar>
              <w:top w:w="85" w:type="dxa"/>
              <w:left w:w="85" w:type="dxa"/>
              <w:bottom w:w="85" w:type="dxa"/>
              <w:right w:w="85" w:type="dxa"/>
            </w:tcMar>
            <w:vAlign w:val="center"/>
          </w:tcPr>
          <w:p w14:paraId="4287976B" w14:textId="77777777" w:rsidR="007A6184" w:rsidRDefault="00000000" w:rsidP="00396E59">
            <w:pPr>
              <w:pStyle w:val="Compact"/>
              <w:spacing w:before="20" w:after="40" w:line="254" w:lineRule="auto"/>
              <w:jc w:val="both"/>
            </w:pPr>
            <w:r>
              <w:rPr>
                <w:sz w:val="20"/>
              </w:rPr>
              <w:t>Candidate cortical interpretation</w:t>
            </w:r>
          </w:p>
        </w:tc>
        <w:tc>
          <w:tcPr>
            <w:tcW w:w="3442" w:type="dxa"/>
            <w:shd w:val="clear" w:color="auto" w:fill="E7EBEF"/>
            <w:tcMar>
              <w:top w:w="85" w:type="dxa"/>
              <w:left w:w="85" w:type="dxa"/>
              <w:bottom w:w="85" w:type="dxa"/>
              <w:right w:w="85" w:type="dxa"/>
            </w:tcMar>
            <w:vAlign w:val="center"/>
          </w:tcPr>
          <w:p w14:paraId="66C8B158" w14:textId="77777777" w:rsidR="007A6184" w:rsidRDefault="00000000" w:rsidP="00396E59">
            <w:pPr>
              <w:pStyle w:val="Compact"/>
              <w:spacing w:before="20" w:after="40" w:line="254" w:lineRule="auto"/>
              <w:jc w:val="both"/>
            </w:pPr>
            <w:r>
              <w:rPr>
                <w:sz w:val="20"/>
              </w:rPr>
              <w:t>Claim status</w:t>
            </w:r>
          </w:p>
        </w:tc>
      </w:tr>
      <w:tr w:rsidR="007A6184" w14:paraId="6E501F15" w14:textId="77777777">
        <w:trPr>
          <w:cantSplit/>
        </w:trPr>
        <w:tc>
          <w:tcPr>
            <w:tcW w:w="2088" w:type="dxa"/>
            <w:shd w:val="clear" w:color="auto" w:fill="FFFFFF"/>
            <w:tcMar>
              <w:top w:w="85" w:type="dxa"/>
              <w:left w:w="85" w:type="dxa"/>
              <w:bottom w:w="85" w:type="dxa"/>
              <w:right w:w="85" w:type="dxa"/>
            </w:tcMar>
            <w:vAlign w:val="center"/>
          </w:tcPr>
          <w:p w14:paraId="42E89ED0" w14:textId="77777777" w:rsidR="007A6184" w:rsidRDefault="00000000" w:rsidP="00396E59">
            <w:pPr>
              <w:pStyle w:val="Compact"/>
              <w:spacing w:before="20" w:after="40" w:line="254" w:lineRule="auto"/>
              <w:jc w:val="both"/>
            </w:pPr>
            <w:r>
              <w:rPr>
                <w:sz w:val="20"/>
              </w:rPr>
              <w:lastRenderedPageBreak/>
              <w:t xml:space="preserve">Local stalk </w:t>
            </w:r>
            <m:oMath>
              <m:r>
                <w:rPr>
                  <w:rFonts w:ascii="Cambria Math" w:hAnsi="Cambria Math"/>
                </w:rPr>
                <m:t>F</m:t>
              </m:r>
              <m:d>
                <m:dPr>
                  <m:ctrlPr>
                    <w:rPr>
                      <w:rFonts w:ascii="Cambria Math" w:hAnsi="Cambria Math"/>
                    </w:rPr>
                  </m:ctrlPr>
                </m:dPr>
                <m:e>
                  <m:r>
                    <w:rPr>
                      <w:rFonts w:ascii="Cambria Math" w:hAnsi="Cambria Math"/>
                    </w:rPr>
                    <m:t>v</m:t>
                  </m:r>
                </m:e>
              </m:d>
            </m:oMath>
          </w:p>
        </w:tc>
        <w:tc>
          <w:tcPr>
            <w:tcW w:w="4464" w:type="dxa"/>
            <w:shd w:val="clear" w:color="auto" w:fill="FFFFFF"/>
            <w:tcMar>
              <w:top w:w="85" w:type="dxa"/>
              <w:left w:w="85" w:type="dxa"/>
              <w:bottom w:w="85" w:type="dxa"/>
              <w:right w:w="85" w:type="dxa"/>
            </w:tcMar>
            <w:vAlign w:val="center"/>
          </w:tcPr>
          <w:p w14:paraId="71216EB2" w14:textId="77777777" w:rsidR="007A6184" w:rsidRDefault="00000000" w:rsidP="00396E59">
            <w:pPr>
              <w:pStyle w:val="Compact"/>
              <w:spacing w:before="20" w:after="40" w:line="254" w:lineRule="auto"/>
              <w:jc w:val="both"/>
            </w:pPr>
            <w:r>
              <w:rPr>
                <w:sz w:val="20"/>
              </w:rPr>
              <w:t>A calibrated space of features represented by an ensemble</w:t>
            </w:r>
          </w:p>
        </w:tc>
        <w:tc>
          <w:tcPr>
            <w:tcW w:w="3442" w:type="dxa"/>
            <w:shd w:val="clear" w:color="auto" w:fill="FFFFFF"/>
            <w:tcMar>
              <w:top w:w="85" w:type="dxa"/>
              <w:left w:w="85" w:type="dxa"/>
              <w:bottom w:w="85" w:type="dxa"/>
              <w:right w:w="85" w:type="dxa"/>
            </w:tcMar>
            <w:vAlign w:val="center"/>
          </w:tcPr>
          <w:p w14:paraId="2AA09A67" w14:textId="77777777" w:rsidR="007A6184" w:rsidRDefault="00000000" w:rsidP="00396E59">
            <w:pPr>
              <w:pStyle w:val="Compact"/>
              <w:spacing w:before="20" w:after="40" w:line="254" w:lineRule="auto"/>
              <w:jc w:val="both"/>
            </w:pPr>
            <w:r>
              <w:rPr>
                <w:sz w:val="20"/>
              </w:rPr>
              <w:t>Model choice; an ensemble is not literally a vector space</w:t>
            </w:r>
          </w:p>
        </w:tc>
      </w:tr>
      <w:tr w:rsidR="007A6184" w14:paraId="513CBE9E" w14:textId="77777777">
        <w:trPr>
          <w:cantSplit/>
        </w:trPr>
        <w:tc>
          <w:tcPr>
            <w:tcW w:w="2088" w:type="dxa"/>
            <w:shd w:val="clear" w:color="auto" w:fill="F7F8F9"/>
            <w:tcMar>
              <w:top w:w="85" w:type="dxa"/>
              <w:left w:w="85" w:type="dxa"/>
              <w:bottom w:w="85" w:type="dxa"/>
              <w:right w:w="85" w:type="dxa"/>
            </w:tcMar>
            <w:vAlign w:val="center"/>
          </w:tcPr>
          <w:p w14:paraId="12C55547" w14:textId="77777777" w:rsidR="007A6184" w:rsidRDefault="00000000" w:rsidP="00396E59">
            <w:pPr>
              <w:pStyle w:val="Compact"/>
              <w:spacing w:before="20" w:after="40" w:line="254" w:lineRule="auto"/>
              <w:jc w:val="both"/>
            </w:pPr>
            <w:r>
              <w:rPr>
                <w:sz w:val="20"/>
              </w:rPr>
              <w:t xml:space="preserve">Restriction </w:t>
            </w:r>
            <m:oMath>
              <m:sSub>
                <m:sSubPr>
                  <m:ctrlPr>
                    <w:rPr>
                      <w:rFonts w:ascii="Cambria Math" w:hAnsi="Cambria Math"/>
                    </w:rPr>
                  </m:ctrlPr>
                </m:sSubPr>
                <m:e>
                  <m:r>
                    <w:rPr>
                      <w:rFonts w:ascii="Cambria Math" w:hAnsi="Cambria Math"/>
                    </w:rPr>
                    <m:t>r</m:t>
                  </m:r>
                </m:e>
                <m:sub>
                  <m:r>
                    <w:rPr>
                      <w:rFonts w:ascii="Cambria Math" w:hAnsi="Cambria Math"/>
                    </w:rPr>
                    <m:t>ve</m:t>
                  </m:r>
                </m:sub>
              </m:sSub>
            </m:oMath>
          </w:p>
        </w:tc>
        <w:tc>
          <w:tcPr>
            <w:tcW w:w="4464" w:type="dxa"/>
            <w:shd w:val="clear" w:color="auto" w:fill="F7F8F9"/>
            <w:tcMar>
              <w:top w:w="85" w:type="dxa"/>
              <w:left w:w="85" w:type="dxa"/>
              <w:bottom w:w="85" w:type="dxa"/>
              <w:right w:w="85" w:type="dxa"/>
            </w:tcMar>
            <w:vAlign w:val="center"/>
          </w:tcPr>
          <w:p w14:paraId="376546F5" w14:textId="77777777" w:rsidR="007A6184" w:rsidRDefault="00000000" w:rsidP="00396E59">
            <w:pPr>
              <w:pStyle w:val="Compact"/>
              <w:spacing w:before="20" w:after="40" w:line="254" w:lineRule="auto"/>
              <w:jc w:val="both"/>
            </w:pPr>
            <w:r>
              <w:rPr>
                <w:sz w:val="20"/>
              </w:rPr>
              <w:t>A readout of an observable shared by two representations</w:t>
            </w:r>
          </w:p>
        </w:tc>
        <w:tc>
          <w:tcPr>
            <w:tcW w:w="3442" w:type="dxa"/>
            <w:shd w:val="clear" w:color="auto" w:fill="F7F8F9"/>
            <w:tcMar>
              <w:top w:w="85" w:type="dxa"/>
              <w:left w:w="85" w:type="dxa"/>
              <w:bottom w:w="85" w:type="dxa"/>
              <w:right w:w="85" w:type="dxa"/>
            </w:tcMar>
            <w:vAlign w:val="center"/>
          </w:tcPr>
          <w:p w14:paraId="435FE764" w14:textId="77777777" w:rsidR="007A6184" w:rsidRDefault="00000000" w:rsidP="00396E59">
            <w:pPr>
              <w:pStyle w:val="Compact"/>
              <w:spacing w:before="20" w:after="40" w:line="254" w:lineRule="auto"/>
              <w:jc w:val="both"/>
            </w:pPr>
            <w:r>
              <w:rPr>
                <w:sz w:val="20"/>
              </w:rPr>
              <w:t>Requires independent calibration and held-out testing</w:t>
            </w:r>
          </w:p>
        </w:tc>
      </w:tr>
      <w:tr w:rsidR="007A6184" w14:paraId="4629B542" w14:textId="77777777">
        <w:trPr>
          <w:cantSplit/>
        </w:trPr>
        <w:tc>
          <w:tcPr>
            <w:tcW w:w="2088" w:type="dxa"/>
            <w:shd w:val="clear" w:color="auto" w:fill="FFFFFF"/>
            <w:tcMar>
              <w:top w:w="85" w:type="dxa"/>
              <w:left w:w="85" w:type="dxa"/>
              <w:bottom w:w="85" w:type="dxa"/>
              <w:right w:w="85" w:type="dxa"/>
            </w:tcMar>
            <w:vAlign w:val="center"/>
          </w:tcPr>
          <w:p w14:paraId="2269A4B1" w14:textId="77777777" w:rsidR="007A6184" w:rsidRDefault="00000000" w:rsidP="00396E59">
            <w:pPr>
              <w:pStyle w:val="Compact"/>
              <w:spacing w:before="20" w:after="40" w:line="254" w:lineRule="auto"/>
              <w:jc w:val="both"/>
            </w:pPr>
            <w:r>
              <w:rPr>
                <w:sz w:val="20"/>
              </w:rPr>
              <w:t xml:space="preserve">Horizontal residual </w:t>
            </w:r>
            <m:oMath>
              <m:r>
                <w:rPr>
                  <w:rFonts w:ascii="Cambria Math" w:hAnsi="Cambria Math"/>
                </w:rPr>
                <m:t>δz</m:t>
              </m:r>
            </m:oMath>
          </w:p>
        </w:tc>
        <w:tc>
          <w:tcPr>
            <w:tcW w:w="4464" w:type="dxa"/>
            <w:shd w:val="clear" w:color="auto" w:fill="FFFFFF"/>
            <w:tcMar>
              <w:top w:w="85" w:type="dxa"/>
              <w:left w:w="85" w:type="dxa"/>
              <w:bottom w:w="85" w:type="dxa"/>
              <w:right w:w="85" w:type="dxa"/>
            </w:tcMar>
            <w:vAlign w:val="center"/>
          </w:tcPr>
          <w:p w14:paraId="49DFE65A" w14:textId="77777777" w:rsidR="007A6184" w:rsidRDefault="00000000" w:rsidP="00396E59">
            <w:pPr>
              <w:pStyle w:val="Compact"/>
              <w:spacing w:before="20" w:after="40" w:line="254" w:lineRule="auto"/>
              <w:jc w:val="both"/>
            </w:pPr>
            <w:r>
              <w:rPr>
                <w:sz w:val="20"/>
              </w:rPr>
              <w:t>Disagreement between those shared readouts</w:t>
            </w:r>
          </w:p>
        </w:tc>
        <w:tc>
          <w:tcPr>
            <w:tcW w:w="3442" w:type="dxa"/>
            <w:shd w:val="clear" w:color="auto" w:fill="FFFFFF"/>
            <w:tcMar>
              <w:top w:w="85" w:type="dxa"/>
              <w:left w:w="85" w:type="dxa"/>
              <w:bottom w:w="85" w:type="dxa"/>
              <w:right w:w="85" w:type="dxa"/>
            </w:tcMar>
            <w:vAlign w:val="center"/>
          </w:tcPr>
          <w:p w14:paraId="2D94F28C" w14:textId="77777777" w:rsidR="007A6184" w:rsidRDefault="00000000" w:rsidP="00396E59">
            <w:pPr>
              <w:pStyle w:val="Compact"/>
              <w:spacing w:before="20" w:after="40" w:line="254" w:lineRule="auto"/>
              <w:jc w:val="both"/>
            </w:pPr>
            <w:r>
              <w:rPr>
                <w:sz w:val="20"/>
              </w:rPr>
              <w:t>An operational measurement after units and bases are fixed</w:t>
            </w:r>
          </w:p>
        </w:tc>
      </w:tr>
      <w:tr w:rsidR="007A6184" w14:paraId="68D90357" w14:textId="77777777">
        <w:trPr>
          <w:cantSplit/>
        </w:trPr>
        <w:tc>
          <w:tcPr>
            <w:tcW w:w="2088" w:type="dxa"/>
            <w:shd w:val="clear" w:color="auto" w:fill="F7F8F9"/>
            <w:tcMar>
              <w:top w:w="85" w:type="dxa"/>
              <w:left w:w="85" w:type="dxa"/>
              <w:bottom w:w="85" w:type="dxa"/>
              <w:right w:w="85" w:type="dxa"/>
            </w:tcMar>
            <w:vAlign w:val="center"/>
          </w:tcPr>
          <w:p w14:paraId="491B7AFE" w14:textId="77777777" w:rsidR="007A6184" w:rsidRDefault="00000000" w:rsidP="00396E59">
            <w:pPr>
              <w:pStyle w:val="Compact"/>
              <w:spacing w:before="20" w:after="40" w:line="254" w:lineRule="auto"/>
              <w:jc w:val="both"/>
            </w:pPr>
            <w:r>
              <w:rPr>
                <w:sz w:val="20"/>
              </w:rPr>
              <w:t>Observation star</w:t>
            </w:r>
          </w:p>
        </w:tc>
        <w:tc>
          <w:tcPr>
            <w:tcW w:w="4464" w:type="dxa"/>
            <w:shd w:val="clear" w:color="auto" w:fill="F7F8F9"/>
            <w:tcMar>
              <w:top w:w="85" w:type="dxa"/>
              <w:left w:w="85" w:type="dxa"/>
              <w:bottom w:w="85" w:type="dxa"/>
              <w:right w:w="85" w:type="dxa"/>
            </w:tcMar>
            <w:vAlign w:val="center"/>
          </w:tcPr>
          <w:p w14:paraId="3E4A5032" w14:textId="77777777" w:rsidR="007A6184" w:rsidRDefault="00000000" w:rsidP="00396E59">
            <w:pPr>
              <w:pStyle w:val="Compact"/>
              <w:spacing w:before="20" w:after="40" w:line="254" w:lineRule="auto"/>
              <w:jc w:val="both"/>
            </w:pPr>
            <w:r>
              <w:rPr>
                <w:sz w:val="20"/>
              </w:rPr>
              <w:t>Selected replay or sensory evidence available to the current representation</w:t>
            </w:r>
          </w:p>
        </w:tc>
        <w:tc>
          <w:tcPr>
            <w:tcW w:w="3442" w:type="dxa"/>
            <w:shd w:val="clear" w:color="auto" w:fill="F7F8F9"/>
            <w:tcMar>
              <w:top w:w="85" w:type="dxa"/>
              <w:left w:w="85" w:type="dxa"/>
              <w:bottom w:w="85" w:type="dxa"/>
              <w:right w:w="85" w:type="dxa"/>
            </w:tcMar>
            <w:vAlign w:val="center"/>
          </w:tcPr>
          <w:p w14:paraId="43F3538C" w14:textId="77777777" w:rsidR="007A6184" w:rsidRDefault="00000000" w:rsidP="00396E59">
            <w:pPr>
              <w:pStyle w:val="Compact"/>
              <w:spacing w:before="20" w:after="40" w:line="254" w:lineRule="auto"/>
              <w:jc w:val="both"/>
            </w:pPr>
            <w:r>
              <w:rPr>
                <w:sz w:val="20"/>
              </w:rPr>
              <w:t>Computational analogy, not an anatomical star graph</w:t>
            </w:r>
          </w:p>
        </w:tc>
      </w:tr>
      <w:tr w:rsidR="007A6184" w14:paraId="42B4A079" w14:textId="77777777">
        <w:trPr>
          <w:cantSplit/>
        </w:trPr>
        <w:tc>
          <w:tcPr>
            <w:tcW w:w="2088" w:type="dxa"/>
            <w:shd w:val="clear" w:color="auto" w:fill="FFFFFF"/>
            <w:tcMar>
              <w:top w:w="85" w:type="dxa"/>
              <w:left w:w="85" w:type="dxa"/>
              <w:bottom w:w="85" w:type="dxa"/>
              <w:right w:w="85" w:type="dxa"/>
            </w:tcMar>
            <w:vAlign w:val="center"/>
          </w:tcPr>
          <w:p w14:paraId="68620681" w14:textId="77777777" w:rsidR="007A6184" w:rsidRDefault="00000000" w:rsidP="00396E59">
            <w:pPr>
              <w:pStyle w:val="Compact"/>
              <w:spacing w:before="20" w:after="40" w:line="254" w:lineRule="auto"/>
              <w:jc w:val="both"/>
            </w:pPr>
            <w:r>
              <w:rPr>
                <w:sz w:val="20"/>
              </w:rPr>
              <w:t xml:space="preserve">ASE trajectory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p>
        </w:tc>
        <w:tc>
          <w:tcPr>
            <w:tcW w:w="4464" w:type="dxa"/>
            <w:shd w:val="clear" w:color="auto" w:fill="FFFFFF"/>
            <w:tcMar>
              <w:top w:w="85" w:type="dxa"/>
              <w:left w:w="85" w:type="dxa"/>
              <w:bottom w:w="85" w:type="dxa"/>
              <w:right w:w="85" w:type="dxa"/>
            </w:tcMar>
            <w:vAlign w:val="center"/>
          </w:tcPr>
          <w:p w14:paraId="13A08444" w14:textId="77777777" w:rsidR="007A6184" w:rsidRDefault="00000000" w:rsidP="00396E59">
            <w:pPr>
              <w:pStyle w:val="Compact"/>
              <w:spacing w:before="20" w:after="40" w:line="254" w:lineRule="auto"/>
              <w:jc w:val="both"/>
            </w:pPr>
            <w:r>
              <w:rPr>
                <w:sz w:val="20"/>
              </w:rPr>
              <w:t>Successive recurrent transformations during one construction</w:t>
            </w:r>
          </w:p>
        </w:tc>
        <w:tc>
          <w:tcPr>
            <w:tcW w:w="3442" w:type="dxa"/>
            <w:shd w:val="clear" w:color="auto" w:fill="FFFFFF"/>
            <w:tcMar>
              <w:top w:w="85" w:type="dxa"/>
              <w:left w:w="85" w:type="dxa"/>
              <w:bottom w:w="85" w:type="dxa"/>
              <w:right w:w="85" w:type="dxa"/>
            </w:tcMar>
            <w:vAlign w:val="center"/>
          </w:tcPr>
          <w:p w14:paraId="0FFEF2C8" w14:textId="77777777" w:rsidR="007A6184" w:rsidRDefault="00000000" w:rsidP="00396E59">
            <w:pPr>
              <w:pStyle w:val="Compact"/>
              <w:spacing w:before="20" w:after="40" w:line="254" w:lineRule="auto"/>
              <w:jc w:val="both"/>
            </w:pPr>
            <w:r>
              <w:rPr>
                <w:sz w:val="20"/>
              </w:rPr>
              <w:t>Computational depth; not a fixed assignment to laminae</w:t>
            </w:r>
          </w:p>
        </w:tc>
      </w:tr>
      <w:tr w:rsidR="007A6184" w14:paraId="561EA760" w14:textId="77777777">
        <w:trPr>
          <w:cantSplit/>
        </w:trPr>
        <w:tc>
          <w:tcPr>
            <w:tcW w:w="2088" w:type="dxa"/>
            <w:shd w:val="clear" w:color="auto" w:fill="F7F8F9"/>
            <w:tcMar>
              <w:top w:w="85" w:type="dxa"/>
              <w:left w:w="85" w:type="dxa"/>
              <w:bottom w:w="85" w:type="dxa"/>
              <w:right w:w="85" w:type="dxa"/>
            </w:tcMar>
            <w:vAlign w:val="center"/>
          </w:tcPr>
          <w:p w14:paraId="267D162E" w14:textId="77777777" w:rsidR="007A6184" w:rsidRDefault="00000000" w:rsidP="00396E59">
            <w:pPr>
              <w:pStyle w:val="Compact"/>
              <w:spacing w:before="20" w:after="40" w:line="254" w:lineRule="auto"/>
              <w:jc w:val="both"/>
            </w:pPr>
            <w:r>
              <w:rPr>
                <w:sz w:val="20"/>
              </w:rPr>
              <w:t>Replay selection and schedule</w:t>
            </w:r>
          </w:p>
        </w:tc>
        <w:tc>
          <w:tcPr>
            <w:tcW w:w="4464" w:type="dxa"/>
            <w:shd w:val="clear" w:color="auto" w:fill="F7F8F9"/>
            <w:tcMar>
              <w:top w:w="85" w:type="dxa"/>
              <w:left w:w="85" w:type="dxa"/>
              <w:bottom w:w="85" w:type="dxa"/>
              <w:right w:w="85" w:type="dxa"/>
            </w:tcMar>
            <w:vAlign w:val="center"/>
          </w:tcPr>
          <w:p w14:paraId="27C89C7C" w14:textId="77777777" w:rsidR="007A6184" w:rsidRDefault="00000000" w:rsidP="00396E59">
            <w:pPr>
              <w:pStyle w:val="Compact"/>
              <w:spacing w:before="20" w:after="40" w:line="254" w:lineRule="auto"/>
              <w:jc w:val="both"/>
            </w:pPr>
            <w:r>
              <w:rPr>
                <w:sz w:val="20"/>
              </w:rPr>
              <w:t>Which experiences are communicated, when, and at what strength</w:t>
            </w:r>
          </w:p>
        </w:tc>
        <w:tc>
          <w:tcPr>
            <w:tcW w:w="3442" w:type="dxa"/>
            <w:shd w:val="clear" w:color="auto" w:fill="F7F8F9"/>
            <w:tcMar>
              <w:top w:w="85" w:type="dxa"/>
              <w:left w:w="85" w:type="dxa"/>
              <w:bottom w:w="85" w:type="dxa"/>
              <w:right w:w="85" w:type="dxa"/>
            </w:tcMar>
            <w:vAlign w:val="center"/>
          </w:tcPr>
          <w:p w14:paraId="5627F63F" w14:textId="77777777" w:rsidR="007A6184" w:rsidRDefault="00000000" w:rsidP="00396E59">
            <w:pPr>
              <w:pStyle w:val="Compact"/>
              <w:spacing w:before="20" w:after="40" w:line="254" w:lineRule="auto"/>
              <w:jc w:val="both"/>
            </w:pPr>
            <w:r>
              <w:rPr>
                <w:sz w:val="20"/>
              </w:rPr>
              <w:t>A functional hypothesis motivated by replay studies</w:t>
            </w:r>
          </w:p>
        </w:tc>
      </w:tr>
      <w:tr w:rsidR="007A6184" w14:paraId="32329FC8" w14:textId="77777777">
        <w:trPr>
          <w:cantSplit/>
        </w:trPr>
        <w:tc>
          <w:tcPr>
            <w:tcW w:w="2088" w:type="dxa"/>
            <w:shd w:val="clear" w:color="auto" w:fill="FFFFFF"/>
            <w:tcMar>
              <w:top w:w="85" w:type="dxa"/>
              <w:left w:w="85" w:type="dxa"/>
              <w:bottom w:w="85" w:type="dxa"/>
              <w:right w:w="85" w:type="dxa"/>
            </w:tcMar>
            <w:vAlign w:val="center"/>
          </w:tcPr>
          <w:p w14:paraId="7107FB91" w14:textId="77777777" w:rsidR="007A6184" w:rsidRDefault="00000000" w:rsidP="00396E59">
            <w:pPr>
              <w:pStyle w:val="Compact"/>
              <w:spacing w:before="20" w:after="40" w:line="254" w:lineRule="auto"/>
              <w:jc w:val="both"/>
            </w:pPr>
            <w:r>
              <w:rPr>
                <w:sz w:val="20"/>
              </w:rPr>
              <w:t xml:space="preserve">Update of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θ</m:t>
                  </m:r>
                </m:e>
              </m:d>
            </m:oMath>
          </w:p>
        </w:tc>
        <w:tc>
          <w:tcPr>
            <w:tcW w:w="4464" w:type="dxa"/>
            <w:shd w:val="clear" w:color="auto" w:fill="FFFFFF"/>
            <w:tcMar>
              <w:top w:w="85" w:type="dxa"/>
              <w:left w:w="85" w:type="dxa"/>
              <w:bottom w:w="85" w:type="dxa"/>
              <w:right w:w="85" w:type="dxa"/>
            </w:tcMar>
            <w:vAlign w:val="center"/>
          </w:tcPr>
          <w:p w14:paraId="5A4AE6E1" w14:textId="77777777" w:rsidR="007A6184" w:rsidRDefault="00000000" w:rsidP="00396E59">
            <w:pPr>
              <w:pStyle w:val="Compact"/>
              <w:spacing w:before="20" w:after="40" w:line="254" w:lineRule="auto"/>
              <w:jc w:val="both"/>
            </w:pPr>
            <w:r>
              <w:rPr>
                <w:sz w:val="20"/>
              </w:rPr>
              <w:t>Durable change in recall or prediction after consolidation</w:t>
            </w:r>
          </w:p>
        </w:tc>
        <w:tc>
          <w:tcPr>
            <w:tcW w:w="3442" w:type="dxa"/>
            <w:shd w:val="clear" w:color="auto" w:fill="FFFFFF"/>
            <w:tcMar>
              <w:top w:w="85" w:type="dxa"/>
              <w:left w:w="85" w:type="dxa"/>
              <w:bottom w:w="85" w:type="dxa"/>
              <w:right w:w="85" w:type="dxa"/>
            </w:tcMar>
            <w:vAlign w:val="center"/>
          </w:tcPr>
          <w:p w14:paraId="068833A9" w14:textId="77777777" w:rsidR="007A6184" w:rsidRDefault="00000000" w:rsidP="00396E59">
            <w:pPr>
              <w:pStyle w:val="Compact"/>
              <w:spacing w:before="20" w:after="40" w:line="254" w:lineRule="auto"/>
              <w:jc w:val="both"/>
            </w:pPr>
            <w:r>
              <w:rPr>
                <w:sz w:val="20"/>
              </w:rPr>
              <w:t>Must be demonstrated behaviourally and by appropriate neural measures</w:t>
            </w:r>
          </w:p>
        </w:tc>
      </w:tr>
      <w:tr w:rsidR="007A6184" w14:paraId="3637EBF3" w14:textId="77777777">
        <w:trPr>
          <w:cantSplit/>
        </w:trPr>
        <w:tc>
          <w:tcPr>
            <w:tcW w:w="2088" w:type="dxa"/>
            <w:shd w:val="clear" w:color="auto" w:fill="F7F8F9"/>
            <w:tcMar>
              <w:top w:w="85" w:type="dxa"/>
              <w:left w:w="85" w:type="dxa"/>
              <w:bottom w:w="85" w:type="dxa"/>
              <w:right w:w="85" w:type="dxa"/>
            </w:tcMar>
            <w:vAlign w:val="center"/>
          </w:tcPr>
          <w:p w14:paraId="5B2876C6" w14:textId="77777777" w:rsidR="007A6184" w:rsidRDefault="00000000" w:rsidP="00396E59">
            <w:pPr>
              <w:pStyle w:val="Compact"/>
              <w:spacing w:before="20" w:after="40" w:line="254" w:lineRule="auto"/>
              <w:jc w:val="both"/>
            </w:pPr>
            <w:r>
              <w:rPr>
                <w:sz w:val="20"/>
              </w:rPr>
              <w:t xml:space="preserve">Residual </w:t>
            </w:r>
            <m:oMath>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z</m:t>
                  </m:r>
                </m:e>
              </m:d>
            </m:oMath>
          </w:p>
        </w:tc>
        <w:tc>
          <w:tcPr>
            <w:tcW w:w="4464" w:type="dxa"/>
            <w:shd w:val="clear" w:color="auto" w:fill="F7F8F9"/>
            <w:tcMar>
              <w:top w:w="85" w:type="dxa"/>
              <w:left w:w="85" w:type="dxa"/>
              <w:bottom w:w="85" w:type="dxa"/>
              <w:right w:w="85" w:type="dxa"/>
            </w:tcMar>
            <w:vAlign w:val="center"/>
          </w:tcPr>
          <w:p w14:paraId="3A616FD5" w14:textId="77777777" w:rsidR="007A6184" w:rsidRDefault="00000000" w:rsidP="00396E59">
            <w:pPr>
              <w:pStyle w:val="Compact"/>
              <w:spacing w:before="20" w:after="40" w:line="254" w:lineRule="auto"/>
              <w:jc w:val="both"/>
            </w:pPr>
            <w:r>
              <w:rPr>
                <w:sz w:val="20"/>
              </w:rPr>
              <w:t>Activity of prediction-error units for one input stream</w:t>
            </w:r>
          </w:p>
        </w:tc>
        <w:tc>
          <w:tcPr>
            <w:tcW w:w="3442" w:type="dxa"/>
            <w:shd w:val="clear" w:color="auto" w:fill="F7F8F9"/>
            <w:tcMar>
              <w:top w:w="85" w:type="dxa"/>
              <w:left w:w="85" w:type="dxa"/>
              <w:bottom w:w="85" w:type="dxa"/>
              <w:right w:w="85" w:type="dxa"/>
            </w:tcMar>
            <w:vAlign w:val="center"/>
          </w:tcPr>
          <w:p w14:paraId="470C196B" w14:textId="77777777" w:rsidR="007A6184" w:rsidRDefault="00000000" w:rsidP="00396E59">
            <w:pPr>
              <w:pStyle w:val="Compact"/>
              <w:spacing w:before="20" w:after="40" w:line="254" w:lineRule="auto"/>
              <w:jc w:val="both"/>
            </w:pPr>
            <w:r>
              <w:rPr>
                <w:sz w:val="20"/>
              </w:rPr>
              <w:t>Proposition 10; a model of predictive coding, not a measured cell class</w:t>
            </w:r>
          </w:p>
        </w:tc>
      </w:tr>
      <w:tr w:rsidR="007A6184" w14:paraId="39CBAF6D" w14:textId="77777777">
        <w:trPr>
          <w:cantSplit/>
        </w:trPr>
        <w:tc>
          <w:tcPr>
            <w:tcW w:w="2088" w:type="dxa"/>
            <w:shd w:val="clear" w:color="auto" w:fill="FFFFFF"/>
            <w:tcMar>
              <w:top w:w="85" w:type="dxa"/>
              <w:left w:w="85" w:type="dxa"/>
              <w:bottom w:w="85" w:type="dxa"/>
              <w:right w:w="85" w:type="dxa"/>
            </w:tcMar>
            <w:vAlign w:val="center"/>
          </w:tcPr>
          <w:p w14:paraId="1A638719" w14:textId="77777777" w:rsidR="007A6184" w:rsidRDefault="00000000" w:rsidP="00396E59">
            <w:pPr>
              <w:pStyle w:val="Compact"/>
              <w:spacing w:before="20" w:after="40" w:line="254" w:lineRule="auto"/>
              <w:jc w:val="both"/>
            </w:pPr>
            <w:r>
              <w:rPr>
                <w:sz w:val="20"/>
              </w:rPr>
              <w:t xml:space="preserve">Read weight </w:t>
            </w:r>
            <m:oMath>
              <m:sSub>
                <m:sSubPr>
                  <m:ctrlPr>
                    <w:rPr>
                      <w:rFonts w:ascii="Cambria Math" w:hAnsi="Cambria Math"/>
                    </w:rPr>
                  </m:ctrlPr>
                </m:sSubPr>
                <m:e>
                  <m:r>
                    <w:rPr>
                      <w:rFonts w:ascii="Cambria Math" w:hAnsi="Cambria Math"/>
                    </w:rPr>
                    <m:t>ω</m:t>
                  </m:r>
                </m:e>
                <m:sub>
                  <m:r>
                    <w:rPr>
                      <w:rFonts w:ascii="Cambria Math" w:hAnsi="Cambria Math"/>
                    </w:rPr>
                    <m:t>i</m:t>
                  </m:r>
                </m:sub>
              </m:sSub>
            </m:oMath>
          </w:p>
        </w:tc>
        <w:tc>
          <w:tcPr>
            <w:tcW w:w="4464" w:type="dxa"/>
            <w:shd w:val="clear" w:color="auto" w:fill="FFFFFF"/>
            <w:tcMar>
              <w:top w:w="85" w:type="dxa"/>
              <w:left w:w="85" w:type="dxa"/>
              <w:bottom w:w="85" w:type="dxa"/>
              <w:right w:w="85" w:type="dxa"/>
            </w:tcMar>
            <w:vAlign w:val="center"/>
          </w:tcPr>
          <w:p w14:paraId="774277EF" w14:textId="77777777" w:rsidR="007A6184" w:rsidRDefault="00000000" w:rsidP="00396E59">
            <w:pPr>
              <w:pStyle w:val="Compact"/>
              <w:spacing w:before="20" w:after="40" w:line="254" w:lineRule="auto"/>
              <w:jc w:val="both"/>
            </w:pPr>
            <w:r>
              <w:rPr>
                <w:sz w:val="20"/>
              </w:rPr>
              <w:t>Gain on that stream, set by attention, neuromodulation or replay strength</w:t>
            </w:r>
          </w:p>
        </w:tc>
        <w:tc>
          <w:tcPr>
            <w:tcW w:w="3442" w:type="dxa"/>
            <w:shd w:val="clear" w:color="auto" w:fill="FFFFFF"/>
            <w:tcMar>
              <w:top w:w="85" w:type="dxa"/>
              <w:left w:w="85" w:type="dxa"/>
              <w:bottom w:w="85" w:type="dxa"/>
              <w:right w:w="85" w:type="dxa"/>
            </w:tcMar>
            <w:vAlign w:val="center"/>
          </w:tcPr>
          <w:p w14:paraId="4C001252" w14:textId="77777777" w:rsidR="007A6184" w:rsidRDefault="00000000" w:rsidP="00396E59">
            <w:pPr>
              <w:pStyle w:val="Compact"/>
              <w:spacing w:before="20" w:after="40" w:line="254" w:lineRule="auto"/>
              <w:jc w:val="both"/>
            </w:pPr>
            <w:r>
              <w:rPr>
                <w:sz w:val="20"/>
              </w:rPr>
              <w:t xml:space="preserve">Hypothesis; gains are measurable, their equality to </w:t>
            </w:r>
            <m:oMath>
              <m:sSub>
                <m:sSubPr>
                  <m:ctrlPr>
                    <w:rPr>
                      <w:rFonts w:ascii="Cambria Math" w:hAnsi="Cambria Math"/>
                    </w:rPr>
                  </m:ctrlPr>
                </m:sSubPr>
                <m:e>
                  <m:r>
                    <w:rPr>
                      <w:rFonts w:ascii="Cambria Math" w:hAnsi="Cambria Math"/>
                    </w:rPr>
                    <m:t>ω</m:t>
                  </m:r>
                </m:e>
                <m:sub>
                  <m:r>
                    <w:rPr>
                      <w:rFonts w:ascii="Cambria Math" w:hAnsi="Cambria Math"/>
                    </w:rPr>
                    <m:t>i</m:t>
                  </m:r>
                </m:sub>
              </m:sSub>
            </m:oMath>
            <w:r>
              <w:rPr>
                <w:sz w:val="20"/>
              </w:rPr>
              <w:t xml:space="preserve"> is not given</w:t>
            </w:r>
          </w:p>
        </w:tc>
      </w:tr>
      <w:tr w:rsidR="007A6184" w14:paraId="7E2D06FE" w14:textId="77777777">
        <w:trPr>
          <w:cantSplit/>
        </w:trPr>
        <w:tc>
          <w:tcPr>
            <w:tcW w:w="2088" w:type="dxa"/>
            <w:shd w:val="clear" w:color="auto" w:fill="F7F8F9"/>
            <w:tcMar>
              <w:top w:w="85" w:type="dxa"/>
              <w:left w:w="85" w:type="dxa"/>
              <w:bottom w:w="85" w:type="dxa"/>
              <w:right w:w="85" w:type="dxa"/>
            </w:tcMar>
            <w:vAlign w:val="center"/>
          </w:tcPr>
          <w:p w14:paraId="5615C80E" w14:textId="77777777" w:rsidR="007A6184" w:rsidRDefault="00000000" w:rsidP="00396E59">
            <w:pPr>
              <w:pStyle w:val="Compact"/>
              <w:spacing w:before="20" w:after="40" w:line="254" w:lineRule="auto"/>
              <w:jc w:val="both"/>
            </w:pPr>
            <w:r>
              <w:rPr>
                <w:sz w:val="20"/>
              </w:rPr>
              <w:t xml:space="preserve">Metric </w:t>
            </w:r>
            <m:oMath>
              <m:sSub>
                <m:sSubPr>
                  <m:ctrlPr>
                    <w:rPr>
                      <w:rFonts w:ascii="Cambria Math" w:hAnsi="Cambria Math"/>
                    </w:rPr>
                  </m:ctrlPr>
                </m:sSubPr>
                <m:e>
                  <m:r>
                    <w:rPr>
                      <w:rFonts w:ascii="Cambria Math" w:hAnsi="Cambria Math"/>
                    </w:rPr>
                    <m:t>Λ</m:t>
                  </m:r>
                </m:e>
                <m:sub>
                  <m:r>
                    <w:rPr>
                      <w:rFonts w:ascii="Cambria Math" w:hAnsi="Cambria Math"/>
                    </w:rPr>
                    <m:t>i</m:t>
                  </m:r>
                </m:sub>
              </m:sSub>
            </m:oMath>
          </w:p>
        </w:tc>
        <w:tc>
          <w:tcPr>
            <w:tcW w:w="4464" w:type="dxa"/>
            <w:shd w:val="clear" w:color="auto" w:fill="F7F8F9"/>
            <w:tcMar>
              <w:top w:w="85" w:type="dxa"/>
              <w:left w:w="85" w:type="dxa"/>
              <w:bottom w:w="85" w:type="dxa"/>
              <w:right w:w="85" w:type="dxa"/>
            </w:tcMar>
            <w:vAlign w:val="center"/>
          </w:tcPr>
          <w:p w14:paraId="1CA8AAAA" w14:textId="77777777" w:rsidR="007A6184" w:rsidRDefault="00000000" w:rsidP="00396E59">
            <w:pPr>
              <w:pStyle w:val="Compact"/>
              <w:spacing w:before="20" w:after="40" w:line="254" w:lineRule="auto"/>
              <w:jc w:val="both"/>
            </w:pPr>
            <w:r>
              <w:rPr>
                <w:sz w:val="20"/>
              </w:rPr>
              <w:t>A precision or a tolerance metric for the stream</w:t>
            </w:r>
          </w:p>
        </w:tc>
        <w:tc>
          <w:tcPr>
            <w:tcW w:w="3442" w:type="dxa"/>
            <w:shd w:val="clear" w:color="auto" w:fill="F7F8F9"/>
            <w:tcMar>
              <w:top w:w="85" w:type="dxa"/>
              <w:left w:w="85" w:type="dxa"/>
              <w:bottom w:w="85" w:type="dxa"/>
              <w:right w:w="85" w:type="dxa"/>
            </w:tcMar>
            <w:vAlign w:val="center"/>
          </w:tcPr>
          <w:p w14:paraId="0DA7EC9D" w14:textId="77777777" w:rsidR="007A6184" w:rsidRDefault="00000000" w:rsidP="00396E59">
            <w:pPr>
              <w:pStyle w:val="Compact"/>
              <w:spacing w:before="20" w:after="40" w:line="254" w:lineRule="auto"/>
              <w:jc w:val="both"/>
            </w:pPr>
            <w:r>
              <w:rPr>
                <w:sz w:val="20"/>
              </w:rPr>
              <w:t>An inverse noise covariance only under a specified calibrated noise model</w:t>
            </w:r>
          </w:p>
        </w:tc>
      </w:tr>
      <w:tr w:rsidR="007A6184" w14:paraId="22DE2D9C" w14:textId="77777777">
        <w:trPr>
          <w:cantSplit/>
        </w:trPr>
        <w:tc>
          <w:tcPr>
            <w:tcW w:w="2088" w:type="dxa"/>
            <w:shd w:val="clear" w:color="auto" w:fill="FFFFFF"/>
            <w:tcMar>
              <w:top w:w="85" w:type="dxa"/>
              <w:left w:w="85" w:type="dxa"/>
              <w:bottom w:w="85" w:type="dxa"/>
              <w:right w:w="85" w:type="dxa"/>
            </w:tcMar>
            <w:vAlign w:val="center"/>
          </w:tcPr>
          <w:p w14:paraId="207234D0" w14:textId="77777777" w:rsidR="007A6184" w:rsidRDefault="00000000" w:rsidP="00396E59">
            <w:pPr>
              <w:pStyle w:val="Compact"/>
              <w:spacing w:before="20" w:after="40" w:line="254" w:lineRule="auto"/>
              <w:jc w:val="both"/>
            </w:pPr>
            <w:r>
              <w:rPr>
                <w:sz w:val="20"/>
              </w:rPr>
              <w:t>Episodic selection of star leaves</w:t>
            </w:r>
          </w:p>
        </w:tc>
        <w:tc>
          <w:tcPr>
            <w:tcW w:w="4464" w:type="dxa"/>
            <w:shd w:val="clear" w:color="auto" w:fill="FFFFFF"/>
            <w:tcMar>
              <w:top w:w="85" w:type="dxa"/>
              <w:left w:w="85" w:type="dxa"/>
              <w:bottom w:w="85" w:type="dxa"/>
              <w:right w:w="85" w:type="dxa"/>
            </w:tcMar>
            <w:vAlign w:val="center"/>
          </w:tcPr>
          <w:p w14:paraId="5860D0D3" w14:textId="77777777" w:rsidR="007A6184" w:rsidRDefault="00000000" w:rsidP="00396E59">
            <w:pPr>
              <w:pStyle w:val="Compact"/>
              <w:spacing w:before="20" w:after="40" w:line="254" w:lineRule="auto"/>
              <w:jc w:val="both"/>
            </w:pPr>
            <w:r>
              <w:rPr>
                <w:sz w:val="20"/>
              </w:rPr>
              <w:t>Hippocampal indexing can help reinstate selected cortical patterns</w:t>
            </w:r>
          </w:p>
        </w:tc>
        <w:tc>
          <w:tcPr>
            <w:tcW w:w="3442" w:type="dxa"/>
            <w:shd w:val="clear" w:color="auto" w:fill="FFFFFF"/>
            <w:tcMar>
              <w:top w:w="85" w:type="dxa"/>
              <w:left w:w="85" w:type="dxa"/>
              <w:bottom w:w="85" w:type="dxa"/>
              <w:right w:w="85" w:type="dxa"/>
            </w:tcMar>
            <w:vAlign w:val="center"/>
          </w:tcPr>
          <w:p w14:paraId="15381083" w14:textId="77777777" w:rsidR="007A6184" w:rsidRDefault="00000000" w:rsidP="00396E59">
            <w:pPr>
              <w:pStyle w:val="Compact"/>
              <w:spacing w:before="20" w:after="40" w:line="254" w:lineRule="auto"/>
              <w:jc w:val="both"/>
            </w:pPr>
            <w:r>
              <w:rPr>
                <w:sz w:val="20"/>
              </w:rPr>
              <w:t>One task-dependent source; procedural circuits can replay independently [21]</w:t>
            </w:r>
          </w:p>
        </w:tc>
      </w:tr>
    </w:tbl>
    <w:p w14:paraId="4088801B" w14:textId="77777777" w:rsidR="007A6184" w:rsidRDefault="00000000" w:rsidP="00396E59">
      <w:pPr>
        <w:pStyle w:val="BodyText"/>
        <w:spacing w:before="140"/>
        <w:jc w:val="both"/>
      </w:pPr>
      <w:r>
        <w:t>For a literal cortical-sheet model, cover the sheet by overlapping physical patches and calibrate shared local observables. For a multimodal memory model, a functional context space may be the more useful base. Long-range association edges are not automatically intersections of physical patches. These are alternative base constructions and must not silently replace one another.</w:t>
      </w:r>
    </w:p>
    <w:p w14:paraId="4FA75BC2" w14:textId="77777777" w:rsidR="007A6184" w:rsidRDefault="00000000" w:rsidP="00396E59">
      <w:pPr>
        <w:pStyle w:val="BodyText"/>
        <w:jc w:val="both"/>
      </w:pPr>
      <w:r>
        <w:t>A laminar hypothesis can place incoming evidence, recurrent integration and output-dependent feedback in different measured circuits. It must account for area-specific circuitry, reciprocal connections and state dependence. The proposal does not assume that every area implements a uniform L4-to-L2/3-to-L5-to-L6 chain. A first neural test should target one task and one recorded circuit, rather than infer a universal cortical architecture from the notation.</w:t>
      </w:r>
    </w:p>
    <w:p w14:paraId="6277F40C" w14:textId="77777777" w:rsidR="007A6184" w:rsidRDefault="00000000" w:rsidP="00396E59">
      <w:pPr>
        <w:pStyle w:val="Heading21"/>
        <w:jc w:val="both"/>
      </w:pPr>
      <w:bookmarkStart w:id="21" w:name="the-read-as-a-prediction-error-circuit"/>
      <w:bookmarkEnd w:id="20"/>
      <w:r>
        <w:t>9.3 The read as a prediction error circuit</w:t>
      </w:r>
    </w:p>
    <w:p w14:paraId="2EDA50A5" w14:textId="77777777" w:rsidR="007A6184" w:rsidRDefault="00000000" w:rsidP="00396E59">
      <w:pPr>
        <w:pStyle w:val="FirstParagraph"/>
        <w:jc w:val="both"/>
      </w:pPr>
      <w:r>
        <w:t>Predictive-coding models distinguish representations from prediction errors [15–17]. Here that distinction gives a precise implementation candidate for one frozen harmonic read. It is not a derivation of cortical anatomy.</w:t>
      </w:r>
    </w:p>
    <w:p w14:paraId="08548D15" w14:textId="77777777" w:rsidR="007A6184" w:rsidRDefault="00000000" w:rsidP="00396E59">
      <w:pPr>
        <w:pStyle w:val="BodyText"/>
        <w:keepNext/>
        <w:jc w:val="both"/>
      </w:pPr>
      <w:r>
        <w:rPr>
          <w:b/>
          <w:bCs/>
        </w:rPr>
        <w:t>Proposition 10 — Instantaneous error feedback.</w:t>
      </w:r>
      <w:r>
        <w:t xml:space="preserve"> Let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e>
        </m:d>
      </m:oMath>
      <w:r>
        <w:t xml:space="preserve"> and freeze the gains. The update</w:t>
      </w:r>
    </w:p>
    <w:p w14:paraId="2EB50884" w14:textId="77777777" w:rsidR="007A6184" w:rsidRDefault="00000000" w:rsidP="00396E59">
      <w:pPr>
        <w:pStyle w:val="Equation"/>
        <w:jc w:val="both"/>
      </w:pPr>
      <w:r>
        <w:tab/>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η</m:t>
        </m:r>
        <m:d>
          <m:dPr>
            <m:ctrlPr>
              <w:rPr>
                <w:rFonts w:ascii="Cambria Math" w:hAnsi="Cambria Math"/>
              </w:rPr>
            </m:ctrlPr>
          </m:dPr>
          <m:e>
            <m:r>
              <w:rPr>
                <w:rFonts w:ascii="Cambria Math" w:hAnsi="Cambria Math"/>
              </w:rPr>
              <m:t>γ</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Wδx</m:t>
            </m:r>
          </m:e>
        </m:d>
      </m:oMath>
      <w:r>
        <w:tab/>
        <w:t>(23)</w:t>
      </w:r>
    </w:p>
    <w:p w14:paraId="72147808" w14:textId="77777777" w:rsidR="007A6184" w:rsidRDefault="00000000" w:rsidP="00396E59">
      <w:pPr>
        <w:pStyle w:val="BodyText"/>
        <w:jc w:val="both"/>
      </w:pPr>
      <w:r>
        <w:lastRenderedPageBreak/>
        <w:t xml:space="preserve">is gradient descent on (5), with fixed point </w:t>
      </w:r>
      <m:oMath>
        <m:r>
          <w:rPr>
            <w:rFonts w:ascii="Cambria Math" w:hAnsi="Cambria Math"/>
          </w:rPr>
          <m:t>R</m:t>
        </m:r>
      </m:oMath>
      <w:r>
        <w:t xml:space="preserve"> and linear convergence for </w:t>
      </w:r>
      <m:oMath>
        <m:r>
          <w:rPr>
            <w:rFonts w:ascii="Cambria Math" w:hAnsi="Cambria Math"/>
          </w:rPr>
          <m:t>0</m:t>
        </m:r>
        <m:r>
          <m:rPr>
            <m:sty m:val="p"/>
          </m:rPr>
          <w:rPr>
            <w:rFonts w:ascii="Cambria Math" w:hAnsi="Cambria Math"/>
          </w:rPr>
          <m:t>&lt;</m:t>
        </m:r>
        <m:r>
          <w:rPr>
            <w:rFonts w:ascii="Cambria Math" w:hAnsi="Cambria Math"/>
          </w:rPr>
          <m:t>η</m:t>
        </m:r>
        <m:r>
          <m:rPr>
            <m:sty m:val="p"/>
          </m:rPr>
          <w:rPr>
            <w:rFonts w:ascii="Cambria Math" w:hAnsi="Cambria Math"/>
          </w:rPr>
          <m:t>&lt;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d>
          <m:dPr>
            <m:ctrlPr>
              <w:rPr>
                <w:rFonts w:ascii="Cambria Math" w:hAnsi="Cambria Math"/>
              </w:rPr>
            </m:ctrlPr>
          </m:dPr>
          <m:e>
            <m:r>
              <w:rPr>
                <w:rFonts w:ascii="Cambria Math" w:hAnsi="Cambria Math"/>
              </w:rPr>
              <m:t>A</m:t>
            </m:r>
          </m:e>
        </m:d>
      </m:oMath>
      <w:r>
        <w:t xml:space="preserve"> when </w:t>
      </w:r>
      <m:oMath>
        <m:r>
          <w:rPr>
            <w:rFonts w:ascii="Cambria Math" w:hAnsi="Cambria Math"/>
          </w:rPr>
          <m:t>A</m:t>
        </m:r>
        <m:r>
          <m:rPr>
            <m:sty m:val="p"/>
          </m:rPr>
          <w:rPr>
            <w:rFonts w:ascii="Cambria Math" w:hAnsi="Cambria Math"/>
          </w:rPr>
          <m:t>≻</m:t>
        </m:r>
        <m:r>
          <w:rPr>
            <w:rFonts w:ascii="Cambria Math" w:hAnsi="Cambria Math"/>
          </w:rPr>
          <m:t>0</m:t>
        </m:r>
        <m:r>
          <m:rPr>
            <m:nor/>
          </m:rPr>
          <m:t>.</m:t>
        </m:r>
      </m:oMath>
    </w:p>
    <w:p w14:paraId="164DC112" w14:textId="77777777" w:rsidR="007A6184" w:rsidRDefault="00000000" w:rsidP="00396E59">
      <w:pPr>
        <w:pStyle w:val="BodyText"/>
        <w:jc w:val="both"/>
      </w:pPr>
      <w:r>
        <w:rPr>
          <w:i/>
          <w:iCs/>
        </w:rPr>
        <w:t>Proof.</w:t>
      </w:r>
      <w:r>
        <w:t xml:space="preserve"> The bracket is </w:t>
      </w:r>
      <m:oMath>
        <m:r>
          <m:rPr>
            <m:sty m:val="p"/>
          </m:rPr>
          <w:rPr>
            <w:rFonts w:ascii="Cambria Math" w:hAnsi="Cambria Math"/>
          </w:rPr>
          <m:t>-</m:t>
        </m:r>
        <m:d>
          <m:dPr>
            <m:ctrlPr>
              <w:rPr>
                <w:rFonts w:ascii="Cambria Math" w:hAnsi="Cambria Math"/>
              </w:rPr>
            </m:ctrlPr>
          </m:dPr>
          <m:e>
            <m:r>
              <w:rPr>
                <w:rFonts w:ascii="Cambria Math" w:hAnsi="Cambria Math"/>
              </w:rPr>
              <m:t>Ax</m:t>
            </m:r>
            <m:r>
              <m:rPr>
                <m:sty m:val="p"/>
              </m:rPr>
              <w:rPr>
                <w:rFonts w:ascii="Cambria Math" w:hAnsi="Cambria Math"/>
              </w:rPr>
              <m:t>-</m:t>
            </m:r>
            <m:r>
              <w:rPr>
                <w:rFonts w:ascii="Cambria Math" w:hAnsi="Cambria Math"/>
              </w:rPr>
              <m:t>b</m:t>
            </m:r>
          </m:e>
        </m:d>
        <m:r>
          <m:rPr>
            <m:nor/>
          </m:rPr>
          <m:t>,</m:t>
        </m:r>
      </m:oMath>
      <w:r>
        <w:t xml:space="preserve"> and the iteration matrix is </w:t>
      </w:r>
      <m:oMath>
        <m:r>
          <w:rPr>
            <w:rFonts w:ascii="Cambria Math" w:hAnsi="Cambria Math"/>
          </w:rPr>
          <m:t>I</m:t>
        </m:r>
        <m:r>
          <m:rPr>
            <m:sty m:val="p"/>
          </m:rPr>
          <w:rPr>
            <w:rFonts w:ascii="Cambria Math" w:hAnsi="Cambria Math"/>
          </w:rPr>
          <m:t>-</m:t>
        </m:r>
        <m:r>
          <w:rPr>
            <w:rFonts w:ascii="Cambria Math" w:hAnsi="Cambria Math"/>
          </w:rPr>
          <m:t>ηA</m:t>
        </m:r>
        <m:r>
          <m:rPr>
            <m:nor/>
          </m:rPr>
          <m:t>.</m:t>
        </m:r>
      </m:oMath>
      <w:r>
        <w:t xml:space="preserve"> </w:t>
      </w:r>
      <m:oMath>
        <m:r>
          <m:rPr>
            <m:sty m:val="p"/>
          </m:rPr>
          <w:rPr>
            <w:rFonts w:ascii="Cambria Math" w:hAnsi="Cambria Math"/>
          </w:rPr>
          <m:t>▫</m:t>
        </m:r>
      </m:oMath>
    </w:p>
    <w:p w14:paraId="3FF49440" w14:textId="77777777" w:rsidR="007A6184" w:rsidRDefault="00000000" w:rsidP="00396E59">
      <w:pPr>
        <w:pStyle w:val="BodyText"/>
        <w:jc w:val="both"/>
      </w:pPr>
      <w:r>
        <w:t xml:space="preserve">The reproduced V2 circuit check has maximum relative solve discrepancy </w:t>
      </w:r>
      <m:oMath>
        <m:r>
          <w:rPr>
            <w:rFonts w:ascii="Cambria Math" w:hAnsi="Cambria Math"/>
          </w:rPr>
          <m:t>2.97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r>
          <m:rPr>
            <m:nor/>
          </m:rPr>
          <m:t>.</m:t>
        </m:r>
      </m:oMath>
      <w:r>
        <w:t xml:space="preserve"> Its errors were evaluated instantaneously at each step. This is not yet a dynamical two-population model. It also presumes calibrated transpose feedback: an arbitrary feedback connection does not satisfy this identity. Gains and precisions enter as products unless separately calibrated. The signed linear variables are not a Dale-compliant neuronal circuit, and the proof does not identify a cell type or lamina.</w:t>
      </w:r>
    </w:p>
    <w:p w14:paraId="24E82462" w14:textId="77777777" w:rsidR="007A6184" w:rsidRDefault="00000000" w:rsidP="00396E59">
      <w:pPr>
        <w:pStyle w:val="Heading31"/>
        <w:jc w:val="both"/>
      </w:pPr>
      <w:bookmarkStart w:id="22" w:name="finite-dynamics-of-the-error-population"/>
      <w:r>
        <w:t>9.3.1 Finite dynamics of the error population</w:t>
      </w:r>
    </w:p>
    <w:p w14:paraId="78C881DD" w14:textId="77777777" w:rsidR="007A6184" w:rsidRDefault="00000000" w:rsidP="00396E59">
      <w:pPr>
        <w:pStyle w:val="FirstParagraph"/>
        <w:jc w:val="both"/>
      </w:pPr>
      <w:r>
        <w:t xml:space="preserve">Freeze the maps and gains. Set </w:t>
      </w:r>
      <m:oMath>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r>
          <m:rPr>
            <m:sty m:val="p"/>
          </m:rPr>
          <w:rPr>
            <w:rFonts w:ascii="Cambria Math" w:hAnsi="Cambria Math"/>
          </w:rPr>
          <m:t>≽</m:t>
        </m:r>
        <m:r>
          <w:rPr>
            <w:rFonts w:ascii="Cambria Math" w:hAnsi="Cambria Math"/>
          </w:rPr>
          <m:t>0</m:t>
        </m:r>
      </m:oMath>
      <w:r>
        <w:t xml:space="preserve"> and </w:t>
      </w:r>
      <m:oMath>
        <m:r>
          <w:rPr>
            <w:rFonts w:ascii="Cambria Math" w:hAnsi="Cambria Math"/>
          </w:rPr>
          <m:t>h</m:t>
        </m:r>
        <m:r>
          <m:rPr>
            <m:sty m:val="p"/>
          </m:rPr>
          <w:rPr>
            <w:rFonts w:ascii="Cambria Math" w:hAnsi="Cambria Math"/>
          </w:rPr>
          <m:t>=</m:t>
        </m:r>
        <m:r>
          <w:rPr>
            <w:rFonts w:ascii="Cambria Math" w:hAnsi="Cambria Math"/>
          </w:rPr>
          <m:t>Pq</m:t>
        </m:r>
        <m:r>
          <m:rPr>
            <m:nor/>
          </m:rPr>
          <m:t>.</m:t>
        </m:r>
      </m:oMath>
      <w:r>
        <w:t xml:space="preserve"> Stack the whitened observation operators into </w:t>
      </w:r>
      <m:oMath>
        <m:r>
          <w:rPr>
            <w:rFonts w:ascii="Cambria Math" w:hAnsi="Cambria Math"/>
          </w:rPr>
          <m:t>B</m:t>
        </m:r>
        <m:r>
          <m:rPr>
            <m:nor/>
          </m:rPr>
          <m:t>,</m:t>
        </m:r>
      </m:oMath>
      <w:r>
        <w:t xml:space="preserve"> with blocks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γ</m:t>
            </m:r>
            <m:sSub>
              <m:sSubPr>
                <m:ctrlPr>
                  <w:rPr>
                    <w:rFonts w:ascii="Cambria Math" w:hAnsi="Cambria Math"/>
                  </w:rPr>
                </m:ctrlPr>
              </m:sSubPr>
              <m:e>
                <m:r>
                  <w:rPr>
                    <w:rFonts w:ascii="Cambria Math" w:hAnsi="Cambria Math"/>
                  </w:rPr>
                  <m:t>ω</m:t>
                </m:r>
              </m:e>
              <m:sub>
                <m:r>
                  <w:rPr>
                    <w:rFonts w:ascii="Cambria Math" w:hAnsi="Cambria Math"/>
                  </w:rPr>
                  <m:t>i</m:t>
                </m:r>
              </m:sub>
            </m:sSub>
          </m:e>
        </m:rad>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1</m:t>
            </m:r>
            <m:r>
              <m:rPr>
                <m:sty m:val="p"/>
              </m:rPr>
              <w:rPr>
                <w:rFonts w:ascii="Cambria Math" w:hAnsi="Cambria Math"/>
              </w:rPr>
              <m:t>/</m:t>
            </m:r>
            <m:r>
              <w:rPr>
                <w:rFonts w:ascii="Cambria Math" w:hAnsi="Cambria Math"/>
              </w:rPr>
              <m:t>2</m:t>
            </m:r>
          </m:sup>
        </m:sSubSup>
        <m:sSub>
          <m:sSubPr>
            <m:ctrlPr>
              <w:rPr>
                <w:rFonts w:ascii="Cambria Math" w:hAnsi="Cambria Math"/>
              </w:rPr>
            </m:ctrlPr>
          </m:sSubPr>
          <m:e>
            <m:r>
              <w:rPr>
                <w:rFonts w:ascii="Cambria Math" w:hAnsi="Cambria Math"/>
              </w:rPr>
              <m:t>H</m:t>
            </m:r>
          </m:e>
          <m:sub>
            <m:r>
              <w:rPr>
                <w:rFonts w:ascii="Cambria Math" w:hAnsi="Cambria Math"/>
              </w:rPr>
              <m:t>i</m:t>
            </m:r>
          </m:sub>
        </m:sSub>
        <m:r>
          <m:rPr>
            <m:nor/>
          </m:rPr>
          <m:t>,</m:t>
        </m:r>
      </m:oMath>
      <w:r>
        <w:t xml:space="preserve"> and targets into </w:t>
      </w:r>
      <m:oMath>
        <m:r>
          <w:rPr>
            <w:rFonts w:ascii="Cambria Math" w:hAnsi="Cambria Math"/>
          </w:rPr>
          <m:t>c</m:t>
        </m:r>
        <m:r>
          <m:rPr>
            <m:nor/>
          </m:rPr>
          <m:t>,</m:t>
        </m:r>
      </m:oMath>
      <w:r>
        <w:t xml:space="preserve"> with blocks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γ</m:t>
            </m:r>
            <m:sSub>
              <m:sSubPr>
                <m:ctrlPr>
                  <w:rPr>
                    <w:rFonts w:ascii="Cambria Math" w:hAnsi="Cambria Math"/>
                  </w:rPr>
                </m:ctrlPr>
              </m:sSubPr>
              <m:e>
                <m:r>
                  <w:rPr>
                    <w:rFonts w:ascii="Cambria Math" w:hAnsi="Cambria Math"/>
                  </w:rPr>
                  <m:t>ω</m:t>
                </m:r>
              </m:e>
              <m:sub>
                <m:r>
                  <w:rPr>
                    <w:rFonts w:ascii="Cambria Math" w:hAnsi="Cambria Math"/>
                  </w:rPr>
                  <m:t>i</m:t>
                </m:r>
              </m:sub>
            </m:sSub>
          </m:e>
        </m:rad>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1</m:t>
            </m:r>
            <m:r>
              <m:rPr>
                <m:sty m:val="p"/>
              </m:rPr>
              <w:rPr>
                <w:rFonts w:ascii="Cambria Math" w:hAnsi="Cambria Math"/>
              </w:rPr>
              <m:t>/</m:t>
            </m:r>
            <m:r>
              <w:rPr>
                <w:rFonts w:ascii="Cambria Math" w:hAnsi="Cambria Math"/>
              </w:rPr>
              <m:t>2</m:t>
            </m:r>
          </m:sup>
        </m:sSubSup>
        <m:sSub>
          <m:sSubPr>
            <m:ctrlPr>
              <w:rPr>
                <w:rFonts w:ascii="Cambria Math" w:hAnsi="Cambria Math"/>
              </w:rPr>
            </m:ctrlPr>
          </m:sSubPr>
          <m:e>
            <m:r>
              <w:rPr>
                <w:rFonts w:ascii="Cambria Math" w:hAnsi="Cambria Math"/>
              </w:rPr>
              <m:t>y</m:t>
            </m:r>
          </m:e>
          <m:sub>
            <m:r>
              <w:rPr>
                <w:rFonts w:ascii="Cambria Math" w:hAnsi="Cambria Math"/>
              </w:rPr>
              <m:t>i</m:t>
            </m:r>
          </m:sub>
        </m:sSub>
        <m:r>
          <m:rPr>
            <m:nor/>
          </m:rPr>
          <m:t>.</m:t>
        </m:r>
      </m:oMath>
      <w:r>
        <w:t xml:space="preserve"> Then </w:t>
      </w:r>
      <m:oMath>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oMath>
      <w:r>
        <w:t xml:space="preserve"> and the read solves </w:t>
      </w:r>
      <m:oMath>
        <m:r>
          <w:rPr>
            <w:rFonts w:ascii="Cambria Math" w:hAnsi="Cambria Math"/>
          </w:rPr>
          <m:t>Ax</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c</m:t>
        </m:r>
        <m:r>
          <m:rPr>
            <m:nor/>
          </m:rPr>
          <m:t>.</m:t>
        </m:r>
      </m:oMath>
    </w:p>
    <w:p w14:paraId="3F2AF951" w14:textId="77777777" w:rsidR="007A6184" w:rsidRDefault="00000000" w:rsidP="00396E59">
      <w:pPr>
        <w:pStyle w:val="BodyText"/>
        <w:keepNext/>
        <w:jc w:val="both"/>
      </w:pPr>
      <w:r>
        <w:rPr>
          <w:b/>
          <w:bCs/>
        </w:rPr>
        <w:t>Theorem 10.1 — A stable finite error circuit.</w:t>
      </w:r>
      <w:r>
        <w:t xml:space="preserve"> If </w:t>
      </w:r>
      <m:oMath>
        <m:r>
          <w:rPr>
            <w:rFonts w:ascii="Cambria Math" w:hAnsi="Cambria Math"/>
          </w:rPr>
          <m:t>A</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&gt;</m:t>
        </m:r>
        <m:r>
          <w:rPr>
            <w:rFonts w:ascii="Cambria Math" w:hAnsi="Cambria Math"/>
          </w:rPr>
          <m:t>0</m:t>
        </m:r>
        <m:r>
          <m:rPr>
            <m:nor/>
          </m:rPr>
          <m:t>,</m:t>
        </m:r>
      </m:oMath>
      <w:r>
        <w:t xml:space="preserve"> consider</w:t>
      </w:r>
    </w:p>
    <w:p w14:paraId="6EAB5FFB"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τ</m:t>
            </m:r>
          </m:e>
          <m:sub>
            <m:r>
              <w:rPr>
                <w:rFonts w:ascii="Cambria Math" w:hAnsi="Cambria Math"/>
              </w:rPr>
              <m:t>x</m:t>
            </m:r>
          </m:sub>
        </m:sSub>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Kx</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e</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e</m:t>
            </m:r>
          </m:sub>
        </m:sSub>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e</m:t>
        </m:r>
        <m:r>
          <m:rPr>
            <m:sty m:val="p"/>
          </m:rPr>
          <w:rPr>
            <w:rFonts w:ascii="Cambria Math" w:hAnsi="Cambria Math"/>
          </w:rPr>
          <m:t>.</m:t>
        </m:r>
      </m:oMath>
      <w:r>
        <w:tab/>
        <w:t>(24)</w:t>
      </w:r>
    </w:p>
    <w:p w14:paraId="3F8E0BEE" w14:textId="77777777" w:rsidR="007A6184" w:rsidRDefault="00000000" w:rsidP="00396E59">
      <w:pPr>
        <w:pStyle w:val="BodyText"/>
        <w:jc w:val="both"/>
      </w:pPr>
      <w:r>
        <w:t xml:space="preserve">The unique equilibrium is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R</m:t>
        </m:r>
        <m:r>
          <m:rPr>
            <m:nor/>
          </m:rPr>
          <m:t>,</m:t>
        </m:r>
      </m:oMath>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BR</m:t>
        </m:r>
        <m:r>
          <m:rPr>
            <m:nor/>
          </m:rPr>
          <m:t>,</m:t>
        </m:r>
      </m:oMath>
      <w:r>
        <w:t xml:space="preserve"> and every trajectory converges exponentially to it. For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oMath>
      <w:r>
        <w:t xml:space="preserve"> and </w:t>
      </w:r>
      <m:oMath>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nor/>
          </m:rPr>
          <m:t>,</m:t>
        </m:r>
      </m:oMath>
    </w:p>
    <w:p w14:paraId="476C8B18" w14:textId="77777777" w:rsidR="007A6184" w:rsidRDefault="00000000" w:rsidP="00396E59">
      <w:pPr>
        <w:pStyle w:val="Equation"/>
        <w:jc w:val="both"/>
      </w:pPr>
      <w:r>
        <w:tab/>
      </w:r>
      <m:oMath>
        <m:r>
          <w:rPr>
            <w:rFonts w:ascii="Cambria Math" w:hAnsi="Cambria Math"/>
          </w:rPr>
          <m:t>V</m:t>
        </m:r>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x</m:t>
                </m:r>
              </m:sub>
            </m:sSub>
          </m:num>
          <m:den>
            <m:r>
              <w:rPr>
                <w:rFonts w:ascii="Cambria Math" w:hAnsi="Cambria Math"/>
              </w:rPr>
              <m:t>2</m:t>
            </m:r>
          </m:den>
        </m:f>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e</m:t>
                </m:r>
              </m:sub>
            </m:sSub>
          </m:num>
          <m:den>
            <m:r>
              <w:rPr>
                <w:rFonts w:ascii="Cambria Math" w:hAnsi="Cambria Math"/>
              </w:rPr>
              <m:t>2</m:t>
            </m:r>
          </m:den>
        </m:f>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V</m:t>
            </m:r>
          </m:e>
        </m:acc>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Ku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oMath>
      <w:r>
        <w:tab/>
        <w:t>(25)</w:t>
      </w:r>
    </w:p>
    <w:p w14:paraId="2A20E532" w14:textId="77777777" w:rsidR="007A6184" w:rsidRDefault="00000000" w:rsidP="00396E59">
      <w:pPr>
        <w:pStyle w:val="BodyText"/>
        <w:jc w:val="both"/>
      </w:pPr>
      <w:r>
        <w:rPr>
          <w:i/>
          <w:iCs/>
        </w:rPr>
        <w:t>Proof.</w:t>
      </w:r>
      <w:r>
        <w:t xml:space="preserve"> Substitution gives the equilibrium and cancels the cross terms in </w:t>
      </w:r>
      <m:oMath>
        <m:acc>
          <m:accPr>
            <m:chr m:val="̇"/>
            <m:ctrlPr>
              <w:rPr>
                <w:rFonts w:ascii="Cambria Math" w:hAnsi="Cambria Math"/>
              </w:rPr>
            </m:ctrlPr>
          </m:accPr>
          <m:e>
            <m:r>
              <w:rPr>
                <w:rFonts w:ascii="Cambria Math" w:hAnsi="Cambria Math"/>
              </w:rPr>
              <m:t>V</m:t>
            </m:r>
          </m:e>
        </m:acc>
        <m:r>
          <m:rPr>
            <m:nor/>
          </m:rPr>
          <m:t>.</m:t>
        </m:r>
      </m:oMath>
      <w:r>
        <w:t xml:space="preserve"> The zero-derivative set has </w:t>
      </w:r>
      <m:oMath>
        <m:r>
          <w:rPr>
            <w:rFonts w:ascii="Cambria Math" w:hAnsi="Cambria Math"/>
          </w:rPr>
          <m:t>Ku</m:t>
        </m:r>
        <m:r>
          <m:rPr>
            <m:sty m:val="p"/>
          </m:rPr>
          <w:rPr>
            <w:rFonts w:ascii="Cambria Math" w:hAnsi="Cambria Math"/>
          </w:rPr>
          <m:t>=</m:t>
        </m:r>
        <m:r>
          <w:rPr>
            <w:rFonts w:ascii="Cambria Math" w:hAnsi="Cambria Math"/>
          </w:rPr>
          <m:t>0</m:t>
        </m:r>
      </m:oMath>
      <w:r>
        <w:t xml:space="preserve"> and </w:t>
      </w:r>
      <m:oMath>
        <m:r>
          <w:rPr>
            <w:rFonts w:ascii="Cambria Math" w:hAnsi="Cambria Math"/>
          </w:rPr>
          <m:t>v</m:t>
        </m:r>
        <m:r>
          <m:rPr>
            <m:sty m:val="p"/>
          </m:rPr>
          <w:rPr>
            <w:rFonts w:ascii="Cambria Math" w:hAnsi="Cambria Math"/>
          </w:rPr>
          <m:t>=</m:t>
        </m:r>
        <m:r>
          <w:rPr>
            <w:rFonts w:ascii="Cambria Math" w:hAnsi="Cambria Math"/>
          </w:rPr>
          <m:t>0</m:t>
        </m:r>
        <m:r>
          <m:rPr>
            <m:nor/>
          </m:rPr>
          <m:t>.</m:t>
        </m:r>
      </m:oMath>
      <w:r>
        <w:t xml:space="preserve"> Remaining in it requires </w:t>
      </w:r>
      <m:oMath>
        <m:r>
          <w:rPr>
            <w:rFonts w:ascii="Cambria Math" w:hAnsi="Cambria Math"/>
          </w:rPr>
          <m:t>Bu</m:t>
        </m:r>
        <m:r>
          <m:rPr>
            <m:sty m:val="p"/>
          </m:rPr>
          <w:rPr>
            <w:rFonts w:ascii="Cambria Math" w:hAnsi="Cambria Math"/>
          </w:rPr>
          <m:t>=</m:t>
        </m:r>
        <m:r>
          <w:rPr>
            <w:rFonts w:ascii="Cambria Math" w:hAnsi="Cambria Math"/>
          </w:rPr>
          <m:t>0</m:t>
        </m:r>
      </m:oMath>
      <w:r>
        <w:t xml:space="preserve"> from the error equation, hence </w:t>
      </w:r>
      <m:oMath>
        <m:r>
          <w:rPr>
            <w:rFonts w:ascii="Cambria Math" w:hAnsi="Cambria Math"/>
          </w:rPr>
          <m:t>u</m:t>
        </m:r>
        <m:r>
          <m:rPr>
            <m:sty m:val="p"/>
          </m:rPr>
          <w:rPr>
            <w:rFonts w:ascii="Cambria Math" w:hAnsi="Cambria Math"/>
          </w:rPr>
          <m:t>=</m:t>
        </m:r>
        <m:r>
          <w:rPr>
            <w:rFonts w:ascii="Cambria Math" w:hAnsi="Cambria Math"/>
          </w:rPr>
          <m:t>0</m:t>
        </m:r>
      </m:oMath>
      <w:r>
        <w:t xml:space="preserve"> because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r>
          <m:rPr>
            <m:sty m:val="p"/>
          </m:rPr>
          <w:rPr>
            <w:rFonts w:ascii="Cambria Math" w:hAnsi="Cambria Math"/>
          </w:rPr>
          <m:t>≻</m:t>
        </m:r>
        <m:r>
          <w:rPr>
            <w:rFonts w:ascii="Cambria Math" w:hAnsi="Cambria Math"/>
          </w:rPr>
          <m:t>0</m:t>
        </m:r>
        <m:r>
          <m:rPr>
            <m:nor/>
          </m:rPr>
          <m:t>.</m:t>
        </m:r>
      </m:oMath>
      <w:r>
        <w:t xml:space="preserve"> Bounded quadratic sublevels and the invariance principle give global asymptotic stability. For this finite-dimensional linear time-invariant system, asymptotic stability implies that all poles have negative real part and convergence is exponential. </w:t>
      </w:r>
      <m:oMath>
        <m:r>
          <m:rPr>
            <m:sty m:val="p"/>
          </m:rPr>
          <w:rPr>
            <w:rFonts w:ascii="Cambria Math" w:hAnsi="Cambria Math"/>
          </w:rPr>
          <m:t>▫</m:t>
        </m:r>
      </m:oMath>
    </w:p>
    <w:p w14:paraId="4B0581F6" w14:textId="77777777" w:rsidR="007A6184" w:rsidRDefault="00000000" w:rsidP="00396E59">
      <w:pPr>
        <w:pStyle w:val="BodyText"/>
        <w:jc w:val="both"/>
      </w:pPr>
      <w:r>
        <w:t xml:space="preserve">The V3 test checks 250 random circuits with positive time constants and possibly singular </w:t>
      </w:r>
      <m:oMath>
        <m:r>
          <w:rPr>
            <w:rFonts w:ascii="Cambria Math" w:hAnsi="Cambria Math"/>
          </w:rPr>
          <m:t>K</m:t>
        </m:r>
        <m:r>
          <m:rPr>
            <m:nor/>
          </m:rPr>
          <m:t>.</m:t>
        </m:r>
      </m:oMath>
      <w:r>
        <w:t xml:space="preserve"> All poles are strictly stable. The maximum equilibrium residual relative to the forcing is </w:t>
      </w:r>
      <m:oMath>
        <m:r>
          <w:rPr>
            <w:rFonts w:ascii="Cambria Math" w:hAnsi="Cambria Math"/>
          </w:rPr>
          <m:t>1.92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r>
          <m:rPr>
            <m:nor/>
          </m:rPr>
          <m:t>,</m:t>
        </m:r>
      </m:oMath>
      <w:r>
        <w:t xml:space="preserve"> and the Lyapunov identity discrepancy is </w:t>
      </w:r>
      <m:oMath>
        <m:r>
          <w:rPr>
            <w:rFonts w:ascii="Cambria Math" w:hAnsi="Cambria Math"/>
          </w:rPr>
          <m:t>6.11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Independently computed matrix-exponential trajectories approach the equilibrium. These are checks of the stated linear system, not measurements of cortical dynamics.</w:t>
      </w:r>
    </w:p>
    <w:p w14:paraId="2D578931" w14:textId="77777777" w:rsidR="007A6184" w:rsidRDefault="00000000" w:rsidP="00396E59">
      <w:pPr>
        <w:pStyle w:val="BodyText"/>
        <w:keepNext/>
        <w:jc w:val="both"/>
      </w:pPr>
      <w:r>
        <w:rPr>
          <w:b/>
          <w:bCs/>
        </w:rPr>
        <w:t>Corollary 10.2 — Rates depend on both populations.</w:t>
      </w:r>
      <w:r>
        <w:t xml:space="preserve"> If </w:t>
      </w:r>
      <m:oMath>
        <m:r>
          <w:rPr>
            <w:rFonts w:ascii="Cambria Math" w:hAnsi="Cambria Math"/>
          </w:rPr>
          <m:t>K</m:t>
        </m:r>
        <m:r>
          <m:rPr>
            <m:sty m:val="p"/>
          </m:rPr>
          <w:rPr>
            <w:rFonts w:ascii="Cambria Math" w:hAnsi="Cambria Math"/>
          </w:rPr>
          <m:t>=</m:t>
        </m:r>
        <m:r>
          <w:rPr>
            <w:rFonts w:ascii="Cambria Math" w:hAnsi="Cambria Math"/>
          </w:rPr>
          <m:t>kI</m:t>
        </m:r>
        <m:r>
          <m:rPr>
            <m:nor/>
          </m:rPr>
          <m:t>,</m:t>
        </m:r>
      </m:oMath>
      <w:r>
        <w:t xml:space="preserve"> a mode of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oMath>
      <w:r>
        <w:t xml:space="preserve"> with eigenvalue </w:t>
      </w:r>
      <m:oMath>
        <m:r>
          <w:rPr>
            <w:rFonts w:ascii="Cambria Math" w:hAnsi="Cambria Math"/>
          </w:rPr>
          <m:t>a</m:t>
        </m:r>
        <m:r>
          <m:rPr>
            <m:sty m:val="p"/>
          </m:rPr>
          <w:rPr>
            <w:rFonts w:ascii="Cambria Math" w:hAnsi="Cambria Math"/>
          </w:rPr>
          <m:t>&gt;</m:t>
        </m:r>
        <m:r>
          <w:rPr>
            <w:rFonts w:ascii="Cambria Math" w:hAnsi="Cambria Math"/>
          </w:rPr>
          <m:t>0</m:t>
        </m:r>
      </m:oMath>
      <w:r>
        <w:t xml:space="preserve"> has characteristic equation</w:t>
      </w:r>
    </w:p>
    <w:p w14:paraId="1236F9F1"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τ</m:t>
            </m:r>
          </m:e>
          <m:sub>
            <m:r>
              <w:rPr>
                <w:rFonts w:ascii="Cambria Math" w:hAnsi="Cambria Math"/>
              </w:rPr>
              <m:t>x</m:t>
            </m:r>
          </m:sub>
        </m:sSub>
        <m:sSub>
          <m:sSubPr>
            <m:ctrlPr>
              <w:rPr>
                <w:rFonts w:ascii="Cambria Math" w:hAnsi="Cambria Math"/>
              </w:rPr>
            </m:ctrlPr>
          </m:sSubPr>
          <m:e>
            <m:r>
              <w:rPr>
                <w:rFonts w:ascii="Cambria Math" w:hAnsi="Cambria Math"/>
              </w:rPr>
              <m:t>τ</m:t>
            </m:r>
          </m:e>
          <m:sub>
            <m:r>
              <w:rPr>
                <w:rFonts w:ascii="Cambria Math" w:hAnsi="Cambria Math"/>
              </w:rPr>
              <m:t>e</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k</m:t>
            </m:r>
          </m:e>
        </m:d>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0</m:t>
        </m:r>
        <m:r>
          <m:rPr>
            <m:sty m:val="p"/>
          </m:rPr>
          <w:rPr>
            <w:rFonts w:ascii="Cambria Math" w:hAnsi="Cambria Math"/>
          </w:rPr>
          <m:t>.</m:t>
        </m:r>
      </m:oMath>
      <w:r>
        <w:tab/>
        <w:t>(26)</w:t>
      </w:r>
    </w:p>
    <w:p w14:paraId="621F3D8F" w14:textId="77777777" w:rsidR="007A6184" w:rsidRDefault="00000000" w:rsidP="00396E59">
      <w:pPr>
        <w:pStyle w:val="BodyText"/>
        <w:jc w:val="both"/>
      </w:pPr>
      <w:r>
        <w:rPr>
          <w:i/>
          <w:iCs/>
        </w:rPr>
        <w:t>Proof.</w:t>
      </w:r>
      <w:r>
        <w:t xml:space="preserve"> Use a right singular vector of </w:t>
      </w:r>
      <m:oMath>
        <m:r>
          <w:rPr>
            <w:rFonts w:ascii="Cambria Math" w:hAnsi="Cambria Math"/>
          </w:rPr>
          <m:t>B</m:t>
        </m:r>
      </m:oMath>
      <w:r>
        <w:t xml:space="preserve"> for the representation mode and its left singular vector for the error mode, then take the determinant of their two-by-two dynamics. </w:t>
      </w:r>
      <m:oMath>
        <m:r>
          <m:rPr>
            <m:sty m:val="p"/>
          </m:rPr>
          <w:rPr>
            <w:rFonts w:ascii="Cambria Math" w:hAnsi="Cambria Math"/>
          </w:rPr>
          <m:t>▫</m:t>
        </m:r>
      </m:oMath>
    </w:p>
    <w:p w14:paraId="63897AD4" w14:textId="77777777" w:rsidR="007A6184" w:rsidRDefault="00000000" w:rsidP="00396E59">
      <w:pPr>
        <w:pStyle w:val="BodyText"/>
        <w:jc w:val="both"/>
      </w:pPr>
      <w:r>
        <w:t xml:space="preserve">For </w:t>
      </w:r>
      <m:oMath>
        <m:r>
          <w:rPr>
            <w:rFonts w:ascii="Cambria Math" w:hAnsi="Cambria Math"/>
          </w:rPr>
          <m:t>k</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m:t>
        </m:r>
        <m:r>
          <w:rPr>
            <w:rFonts w:ascii="Cambria Math" w:hAnsi="Cambria Math"/>
          </w:rPr>
          <m:t>1</m:t>
        </m:r>
        <m:r>
          <m:rPr>
            <m:nor/>
          </m:rPr>
          <m:t>,</m:t>
        </m:r>
      </m:oMath>
      <w:r>
        <w:t xml:space="preserve"> small </w:t>
      </w:r>
      <m:oMath>
        <m:r>
          <w:rPr>
            <w:rFonts w:ascii="Cambria Math" w:hAnsi="Cambria Math"/>
          </w:rPr>
          <m:t>a</m:t>
        </m:r>
      </m:oMath>
      <w:r>
        <w:t xml:space="preserve"> gives a slow pole near </w:t>
      </w:r>
      <m:oMath>
        <m:r>
          <m:rPr>
            <m:sty m:val="p"/>
          </m:rPr>
          <w:rPr>
            <w:rFonts w:ascii="Cambria Math" w:hAnsi="Cambria Math"/>
          </w:rPr>
          <m:t>-</m:t>
        </m:r>
        <m:r>
          <w:rPr>
            <w:rFonts w:ascii="Cambria Math" w:hAnsi="Cambria Math"/>
          </w:rPr>
          <m:t>a</m:t>
        </m:r>
        <m:r>
          <m:rPr>
            <m:nor/>
          </m:rPr>
          <m:t>.</m:t>
        </m:r>
      </m:oMath>
      <w:r>
        <w:t xml:space="preserve"> Above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nor/>
          </m:rPr>
          <m:t>,</m:t>
        </m:r>
      </m:oMath>
      <w:r>
        <w:t xml:space="preserve"> the poles are complex with real part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m:t>
        </m:r>
      </m:oMath>
      <w:r>
        <w:t xml:space="preserve"> Increasing curvature then raises oscillation frequency while leaving that decay envelope fixed. The recorded examples at </w:t>
      </w:r>
      <m:oMath>
        <m:r>
          <w:rPr>
            <w:rFonts w:ascii="Cambria Math" w:hAnsi="Cambria Math"/>
          </w:rPr>
          <m:t>a</m:t>
        </m:r>
        <m:r>
          <m:rPr>
            <m:sty m:val="p"/>
          </m:rPr>
          <w:rPr>
            <w:rFonts w:ascii="Cambria Math" w:hAnsi="Cambria Math"/>
          </w:rPr>
          <m:t>=</m:t>
        </m:r>
        <m:r>
          <w:rPr>
            <w:rFonts w:ascii="Cambria Math" w:hAnsi="Cambria Math"/>
          </w:rPr>
          <m:t>0.02</m:t>
        </m:r>
      </m:oMath>
      <w:r>
        <w:t xml:space="preserve"> have slow pole -0.0204; at </w:t>
      </w:r>
      <m:oMath>
        <m:r>
          <w:rPr>
            <w:rFonts w:ascii="Cambria Math" w:hAnsi="Cambria Math"/>
          </w:rPr>
          <m:t>a</m:t>
        </m:r>
        <m:r>
          <m:rPr>
            <m:sty m:val="p"/>
          </m:rPr>
          <w:rPr>
            <w:rFonts w:ascii="Cambria Math" w:hAnsi="Cambria Math"/>
          </w:rPr>
          <m:t>=</m:t>
        </m:r>
        <m:r>
          <w:rPr>
            <w:rFonts w:ascii="Cambria Math" w:hAnsi="Cambria Math"/>
          </w:rPr>
          <m:t>20</m:t>
        </m:r>
      </m:oMath>
      <w:r>
        <w:t xml:space="preserve"> the poles are </w:t>
      </w:r>
      <m:oMath>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4.4441 </m:t>
        </m:r>
        <m:r>
          <m:rPr>
            <m:sty m:val="p"/>
          </m:rPr>
          <w:rPr>
            <w:rFonts w:ascii="Cambria Math" w:hAnsi="Cambria Math"/>
          </w:rPr>
          <m:t>i</m:t>
        </m:r>
        <m:r>
          <m:rPr>
            <m:nor/>
          </m:rPr>
          <m:t>.</m:t>
        </m:r>
      </m:oMath>
      <w:r>
        <w:t xml:space="preserve"> A raw count of incoming streams does not determine these rates.</w:t>
      </w:r>
    </w:p>
    <w:p w14:paraId="2C39F5BA" w14:textId="77777777" w:rsidR="007A6184" w:rsidRDefault="00000000" w:rsidP="00396E59">
      <w:pPr>
        <w:pStyle w:val="CaptionedFigure"/>
        <w:jc w:val="both"/>
      </w:pPr>
      <w:r>
        <w:rPr>
          <w:noProof/>
        </w:rPr>
        <w:lastRenderedPageBreak/>
        <w:drawing>
          <wp:inline distT="0" distB="0" distL="0" distR="0" wp14:anchorId="2E05C417" wp14:editId="2E405FD4">
            <wp:extent cx="6337300" cy="2393342"/>
            <wp:effectExtent l="0" t="0" r="0" b="0"/>
            <wp:docPr id="53" name="Picture" descr="Figure 5. Finite error dynamics change the timing prediction. With both time constants one and no prior curvature, weak observation curvature yields a slow real pole. Stronger curvature produces damped oscillations with a fixed exponential envelope. The displayed trajectories solve the full two-population system from the same representation displacement and zero error displacement. These are dimensionless circuit examples, not neural recordings."/>
            <wp:cNvGraphicFramePr/>
            <a:graphic xmlns:a="http://schemas.openxmlformats.org/drawingml/2006/main">
              <a:graphicData uri="http://schemas.openxmlformats.org/drawingml/2006/picture">
                <pic:pic xmlns:pic="http://schemas.openxmlformats.org/drawingml/2006/picture">
                  <pic:nvPicPr>
                    <pic:cNvPr id="54" name="Picture" descr="fig/finite_error_circuit.png"/>
                    <pic:cNvPicPr>
                      <a:picLocks noChangeAspect="1" noChangeArrowheads="1"/>
                    </pic:cNvPicPr>
                  </pic:nvPicPr>
                  <pic:blipFill>
                    <a:blip r:embed="rId11"/>
                    <a:stretch>
                      <a:fillRect/>
                    </a:stretch>
                  </pic:blipFill>
                  <pic:spPr bwMode="auto">
                    <a:xfrm>
                      <a:off x="0" y="0"/>
                      <a:ext cx="6337300" cy="2393342"/>
                    </a:xfrm>
                    <a:prstGeom prst="rect">
                      <a:avLst/>
                    </a:prstGeom>
                    <a:noFill/>
                    <a:ln w="9525">
                      <a:noFill/>
                      <a:headEnd/>
                      <a:tailEnd/>
                    </a:ln>
                  </pic:spPr>
                </pic:pic>
              </a:graphicData>
            </a:graphic>
          </wp:inline>
        </w:drawing>
      </w:r>
    </w:p>
    <w:p w14:paraId="4694AAD3" w14:textId="77777777" w:rsidR="007A6184" w:rsidRDefault="00000000" w:rsidP="00396E59">
      <w:pPr>
        <w:pStyle w:val="ImageCaption"/>
        <w:keepLines/>
        <w:jc w:val="both"/>
      </w:pPr>
      <w:r>
        <w:t>Figure 5. Finite error dynamics change the timing prediction. With both time constants one and no prior curvature, weak observation curvature yields a slow real pole. Stronger curvature produces damped oscillations with a fixed exponential envelope. The displayed trajectories solve the full two-population system from the same representation displacement and zero error displacement. These are dimensionless circuit examples, not neural recordings.</w:t>
      </w:r>
    </w:p>
    <w:p w14:paraId="506A3AB7" w14:textId="77777777" w:rsidR="007A6184" w:rsidRDefault="00000000" w:rsidP="00396E59">
      <w:pPr>
        <w:pStyle w:val="BodyText"/>
        <w:jc w:val="both"/>
      </w:pPr>
      <w:r>
        <w:t xml:space="preserve">The combined Lyapunov energy in (25) decreases, but the representation energy alone can rise temporarily while errors lag. Starting at the optimal representation with a non-equilibrium error population already provides a counterexample. Forward Euler discretisation also needs a step-size test: for every pole </w:t>
      </w:r>
      <m:oMath>
        <m:r>
          <w:rPr>
            <w:rFonts w:ascii="Cambria Math" w:hAnsi="Cambria Math"/>
          </w:rPr>
          <m:t>r</m:t>
        </m:r>
        <m:r>
          <m:rPr>
            <m:nor/>
          </m:rPr>
          <m:t>,</m:t>
        </m:r>
      </m:oMath>
      <w:r>
        <w:t xml:space="preserve"> require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Δt r</m:t>
            </m:r>
          </m:e>
        </m:d>
        <m:r>
          <m:rPr>
            <m:sty m:val="p"/>
          </m:rPr>
          <w:rPr>
            <w:rFonts w:ascii="Cambria Math" w:hAnsi="Cambria Math"/>
          </w:rPr>
          <m:t>&lt;</m:t>
        </m:r>
        <m:r>
          <w:rPr>
            <w:rFonts w:ascii="Cambria Math" w:hAnsi="Cambria Math"/>
          </w:rPr>
          <m:t>1</m:t>
        </m:r>
        <m:r>
          <m:rPr>
            <m:nor/>
          </m:rPr>
          <m:t>.</m:t>
        </m:r>
      </m:oMath>
      <w:r>
        <w:t xml:space="preserve"> In the </w:t>
      </w:r>
      <m:oMath>
        <m:r>
          <w:rPr>
            <w:rFonts w:ascii="Cambria Math" w:hAnsi="Cambria Math"/>
          </w:rPr>
          <m:t>a</m:t>
        </m:r>
        <m:r>
          <m:rPr>
            <m:sty m:val="p"/>
          </m:rPr>
          <w:rPr>
            <w:rFonts w:ascii="Cambria Math" w:hAnsi="Cambria Math"/>
          </w:rPr>
          <m:t>=</m:t>
        </m:r>
        <m:r>
          <w:rPr>
            <w:rFonts w:ascii="Cambria Math" w:hAnsi="Cambria Math"/>
          </w:rPr>
          <m:t>20</m:t>
        </m:r>
      </m:oMath>
      <w:r>
        <w:t xml:space="preserve"> example, steps 0.02 and 0.10 give spectral radii 0.9940 and 1.0488 respectively. The latter diverges despite continuous-time stability. Backward Euler is stable for every positive step on this frozen linear system, since </w:t>
      </w:r>
      <m:oMath>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Δt r</m:t>
                    </m:r>
                  </m:e>
                </m:d>
              </m:e>
              <m:sup>
                <m:r>
                  <m:rPr>
                    <m:sty m:val="p"/>
                  </m:rPr>
                  <w:rPr>
                    <w:rFonts w:ascii="Cambria Math" w:hAnsi="Cambria Math"/>
                  </w:rPr>
                  <m:t>-</m:t>
                </m:r>
                <m:r>
                  <w:rPr>
                    <w:rFonts w:ascii="Cambria Math" w:hAnsi="Cambria Math"/>
                  </w:rPr>
                  <m:t>1</m:t>
                </m:r>
              </m:sup>
            </m:sSup>
          </m:e>
        </m:d>
        <m:r>
          <m:rPr>
            <m:sty m:val="p"/>
          </m:rPr>
          <w:rPr>
            <w:rFonts w:ascii="Cambria Math" w:hAnsi="Cambria Math"/>
          </w:rPr>
          <m:t>&lt;</m:t>
        </m:r>
        <m:r>
          <w:rPr>
            <w:rFonts w:ascii="Cambria Math" w:hAnsi="Cambria Math"/>
          </w:rPr>
          <m:t>1</m:t>
        </m:r>
        <m:r>
          <m:rPr>
            <m:nor/>
          </m:rPr>
          <m:t>.</m:t>
        </m:r>
      </m:oMath>
    </w:p>
    <w:p w14:paraId="165B650F" w14:textId="77777777" w:rsidR="007A6184" w:rsidRDefault="00000000" w:rsidP="00396E59">
      <w:pPr>
        <w:pStyle w:val="BodyText"/>
        <w:jc w:val="both"/>
      </w:pPr>
      <w:r>
        <w:t>The soft-energy theorem applies when a quadratic read is solved before the next weight update. Finite error dynamics with continuously changing attention, learned feedback, delays or noise require additional analysis. Theorem 10.1 does not transfer its guarantee to those systems.</w:t>
      </w:r>
    </w:p>
    <w:p w14:paraId="4B40BD7A" w14:textId="77777777" w:rsidR="007A6184" w:rsidRDefault="00000000" w:rsidP="00396E59">
      <w:pPr>
        <w:pStyle w:val="Heading31"/>
        <w:jc w:val="both"/>
      </w:pPr>
      <w:bookmarkStart w:id="23" w:name="Xb0a62918df343cd903d333c32f73ca1b094fec0"/>
      <w:bookmarkEnd w:id="22"/>
      <w:r>
        <w:t>9.3.2 What coverage says about coordinate overwrites</w:t>
      </w:r>
    </w:p>
    <w:p w14:paraId="0DB1C0AC" w14:textId="77777777" w:rsidR="007A6184" w:rsidRDefault="00000000" w:rsidP="00396E59">
      <w:pPr>
        <w:pStyle w:val="FirstParagraph"/>
        <w:keepNext/>
        <w:jc w:val="both"/>
      </w:pPr>
      <w:r>
        <w:rPr>
          <w:b/>
          <w:bCs/>
        </w:rPr>
        <w:t>Proposition 11 — A worst case settling bound.</w:t>
      </w:r>
      <w:r>
        <w:t xml:space="preserve"> With coordinate masks, no prior or compatibility penalty, identity observation metrics and frozen normalised gains, repeatedly overwrite observed coordinates and retain missing coordinates. If all </w:t>
      </w:r>
      <m:oMath>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&gt;</m:t>
        </m:r>
        <m:r>
          <w:rPr>
            <w:rFonts w:ascii="Cambria Math" w:hAnsi="Cambria Math"/>
          </w:rPr>
          <m:t>0</m:t>
        </m:r>
        <m:r>
          <m:rPr>
            <m:nor/>
          </m:rPr>
          <m:t>,</m:t>
        </m:r>
      </m:oMath>
      <w:r>
        <w:t xml:space="preserve"> the target is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and</w:t>
      </w:r>
    </w:p>
    <w:p w14:paraId="773947AB" w14:textId="77777777" w:rsidR="007A6184" w:rsidRDefault="00000000" w:rsidP="00396E59">
      <w:pPr>
        <w:pStyle w:val="Equation"/>
        <w:jc w:val="both"/>
      </w:pPr>
      <w:r>
        <w:tab/>
      </w:r>
      <m:oMath>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e>
            </m:d>
          </m:e>
          <m:sup>
            <m:r>
              <w:rPr>
                <w:rFonts w:ascii="Cambria Math" w:hAnsi="Cambria Math"/>
              </w:rPr>
              <m:t>k</m:t>
            </m:r>
          </m:sup>
        </m:sSup>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e>
        </m:d>
        <m:r>
          <m:rPr>
            <m:sty m:val="p"/>
          </m:rPr>
          <w:rPr>
            <w:rFonts w:ascii="Cambria Math" w:hAnsi="Cambria Math"/>
          </w:rPr>
          <m:t>.</m:t>
        </m:r>
      </m:oMath>
      <w:r>
        <w:tab/>
        <w:t>(27)</w:t>
      </w:r>
    </w:p>
    <w:p w14:paraId="6B7F6C5F" w14:textId="77777777" w:rsidR="007A6184" w:rsidRDefault="00000000" w:rsidP="00396E59">
      <w:pPr>
        <w:pStyle w:val="BodyText"/>
        <w:jc w:val="both"/>
      </w:pPr>
      <w:r>
        <w:t xml:space="preserve">For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κ</m:t>
            </m:r>
          </m:e>
          <m:sub>
            <m:r>
              <m:rPr>
                <m:sty m:val="p"/>
              </m:rPr>
              <w:rPr>
                <w:rFonts w:ascii="Cambria Math" w:hAnsi="Cambria Math"/>
              </w:rPr>
              <m:t>min</m:t>
            </m:r>
          </m:sub>
        </m:sSub>
        <m:r>
          <m:rPr>
            <m:sty m:val="p"/>
          </m:rPr>
          <w:rPr>
            <w:rFonts w:ascii="Cambria Math" w:hAnsi="Cambria Math"/>
          </w:rPr>
          <m:t>&lt;</m:t>
        </m:r>
        <m:r>
          <w:rPr>
            <w:rFonts w:ascii="Cambria Math" w:hAnsi="Cambria Math"/>
          </w:rPr>
          <m:t>1</m:t>
        </m:r>
      </m:oMath>
      <w:r>
        <w:t xml:space="preserve"> and </w:t>
      </w:r>
      <m:oMath>
        <m:r>
          <w:rPr>
            <w:rFonts w:ascii="Cambria Math" w:hAnsi="Cambria Math"/>
          </w:rPr>
          <m:t>0</m:t>
        </m:r>
        <m:r>
          <m:rPr>
            <m:sty m:val="p"/>
          </m:rPr>
          <w:rPr>
            <w:rFonts w:ascii="Cambria Math" w:hAnsi="Cambria Math"/>
          </w:rPr>
          <m:t>&lt;</m:t>
        </m:r>
        <m:r>
          <w:rPr>
            <w:rFonts w:ascii="Cambria Math" w:hAnsi="Cambria Math"/>
          </w:rPr>
          <m:t>ϵ</m:t>
        </m:r>
        <m:r>
          <m:rPr>
            <m:sty m:val="p"/>
          </m:rPr>
          <w:rPr>
            <w:rFonts w:ascii="Cambria Math" w:hAnsi="Cambria Math"/>
          </w:rPr>
          <m:t>&lt;</m:t>
        </m:r>
        <m:r>
          <w:rPr>
            <w:rFonts w:ascii="Cambria Math" w:hAnsi="Cambria Math"/>
          </w:rPr>
          <m:t>1</m:t>
        </m:r>
        <m:r>
          <m:rPr>
            <m:nor/>
          </m:rPr>
          <m:t>,</m:t>
        </m:r>
      </m:oMath>
      <w:r>
        <w:t xml:space="preserve"> reducing the infinity norm error to at most </w:t>
      </w:r>
      <m:oMath>
        <m:r>
          <w:rPr>
            <w:rFonts w:ascii="Cambria Math" w:hAnsi="Cambria Math"/>
          </w:rPr>
          <m:t>ϵ</m:t>
        </m:r>
      </m:oMath>
      <w:r>
        <w:t xml:space="preserve"> times its initial value takes no more than</w:t>
      </w:r>
    </w:p>
    <w:p w14:paraId="126D5F17"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K</m:t>
            </m:r>
          </m:e>
          <m:sub>
            <m:r>
              <w:rPr>
                <w:rFonts w:ascii="Cambria Math" w:hAnsi="Cambria Math"/>
              </w:rPr>
              <m:t>ϵ</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log</m:t>
                </m:r>
                <m:r>
                  <w:rPr>
                    <w:rFonts w:ascii="Cambria Math" w:hAnsi="Cambria Math"/>
                  </w:rPr>
                  <m:t>ϵ</m:t>
                </m:r>
              </m:num>
              <m:den>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min</m:t>
                        </m:r>
                      </m:sub>
                    </m:sSub>
                  </m:e>
                </m:d>
              </m:den>
            </m:f>
          </m:e>
        </m:d>
        <m:r>
          <m:rPr>
            <m:sty m:val="p"/>
          </m:rPr>
          <w:rPr>
            <w:rFonts w:ascii="Cambria Math" w:hAnsi="Cambria Math"/>
          </w:rPr>
          <m:t>.</m:t>
        </m:r>
      </m:oMath>
      <w:r>
        <w:tab/>
        <w:t>(28)</w:t>
      </w:r>
    </w:p>
    <w:p w14:paraId="08E5C276" w14:textId="77777777" w:rsidR="007A6184" w:rsidRDefault="00000000" w:rsidP="00396E59">
      <w:pPr>
        <w:pStyle w:val="BodyText"/>
        <w:jc w:val="both"/>
      </w:pPr>
      <w:r>
        <w:rPr>
          <w:i/>
          <w:iCs/>
        </w:rPr>
        <w:t>Proof.</w:t>
      </w:r>
      <w:r>
        <w:t xml:space="preserve"> The averaged overwrite gives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e>
        </m:d>
        <m:sSub>
          <m:sSubPr>
            <m:ctrlPr>
              <w:rPr>
                <w:rFonts w:ascii="Cambria Math" w:hAnsi="Cambria Math"/>
              </w:rPr>
            </m:ctrlPr>
          </m:sSubPr>
          <m:e>
            <m:r>
              <w:rPr>
                <w:rFonts w:ascii="Cambria Math" w:hAnsi="Cambria Math"/>
              </w:rPr>
              <m:t>x</m:t>
            </m:r>
          </m:e>
          <m:sub>
            <m:r>
              <w:rPr>
                <w:rFonts w:ascii="Cambria Math" w:hAnsi="Cambria Math"/>
              </w:rPr>
              <m:t>j</m:t>
            </m:r>
          </m:sub>
        </m:sSub>
        <m:r>
          <m:rPr>
            <m:nor/>
          </m:rPr>
          <m:t>.</m:t>
        </m:r>
      </m:oMath>
      <w:r>
        <w:t xml:space="preserve"> Iterate and take the maximum coordinate error. </w:t>
      </w:r>
      <m:oMath>
        <m:r>
          <m:rPr>
            <m:sty m:val="p"/>
          </m:rPr>
          <w:rPr>
            <w:rFonts w:ascii="Cambria Math" w:hAnsi="Cambria Math"/>
          </w:rPr>
          <m:t>▫</m:t>
        </m:r>
      </m:oMath>
    </w:p>
    <w:p w14:paraId="7161D8D2" w14:textId="77777777" w:rsidR="007A6184" w:rsidRDefault="00000000" w:rsidP="00396E59">
      <w:pPr>
        <w:pStyle w:val="BodyText"/>
        <w:jc w:val="both"/>
      </w:pPr>
      <w:r>
        <w:t xml:space="preserve">The bound is sharp if a least-covered coordinate starts with the largest error. In general, initial mode amplitudes matter. Put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e>
        </m:d>
      </m:oMath>
      <w:r>
        <w:t xml:space="preserve"> and </w:t>
      </w:r>
      <m:oMath>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&gt;</m:t>
        </m:r>
        <m:r>
          <w:rPr>
            <w:rFonts w:ascii="Cambria Math" w:hAnsi="Cambria Math"/>
          </w:rPr>
          <m:t>0</m:t>
        </m:r>
        <m:r>
          <m:rPr>
            <m:nor/>
          </m:rPr>
          <m:t>.</m:t>
        </m:r>
      </m:oMath>
      <w:r>
        <w:t xml:space="preserve"> For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&lt;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&gt;</m:t>
        </m:r>
        <m:r>
          <w:rPr>
            <w:rFonts w:ascii="Cambria Math" w:hAnsi="Cambria Math"/>
          </w:rPr>
          <m:t>ϵb</m:t>
        </m:r>
        <m:r>
          <m:rPr>
            <m:nor/>
          </m:rPr>
          <m:t>,</m:t>
        </m:r>
      </m:oMath>
      <w:r>
        <w:t xml:space="preserve"> its exact required sweep count is </w:t>
      </w:r>
      <m:oMath>
        <m:r>
          <m:rPr>
            <m:sty m:val="p"/>
          </m:rPr>
          <w:rPr>
            <w:rFonts w:ascii="Cambria Math" w:hAnsi="Cambria Math"/>
          </w:rPr>
          <m:t>⌈log</m:t>
        </m:r>
        <m:d>
          <m:dPr>
            <m:ctrlPr>
              <w:rPr>
                <w:rFonts w:ascii="Cambria Math" w:hAnsi="Cambria Math"/>
              </w:rPr>
            </m:ctrlPr>
          </m:dPr>
          <m:e>
            <m:r>
              <w:rPr>
                <w:rFonts w:ascii="Cambria Math" w:hAnsi="Cambria Math"/>
              </w:rPr>
              <m:t>ϵb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e>
        </m:d>
        <m:r>
          <m:rPr>
            <m:sty m:val="p"/>
          </m:rPr>
          <w:rPr>
            <w:rFonts w:ascii="Cambria Math" w:hAnsi="Cambria Math"/>
          </w:rPr>
          <m:t>⌉</m:t>
        </m:r>
        <m:r>
          <m:rPr>
            <m:nor/>
          </m:rPr>
          <m:t>;</m:t>
        </m:r>
      </m:oMath>
      <w:r>
        <w:t xml:space="preserve"> take the maximum over coordinates. Already small errors require zero sweeps. Coverage one requires one sweep if needed. Coverage zero cannot recover an unknown target and must be treated as unresolved, not as slow recall.</w:t>
      </w:r>
    </w:p>
    <w:p w14:paraId="51C7D3B8" w14:textId="77777777" w:rsidR="007A6184" w:rsidRDefault="00000000" w:rsidP="00396E59">
      <w:pPr>
        <w:pStyle w:val="BodyText"/>
        <w:jc w:val="both"/>
      </w:pPr>
      <w:r>
        <w:lastRenderedPageBreak/>
        <w:t>The original 277 cases satisfied the tested upper bound, but the code only checked whether the measured count was no larger than the rounded bound plus one. It did not test closeness within one sweep. In the new 300 fully covered problems, the amplitude formula matches every measured count, the worst-case bound has 0 violations, and its maximum slack is 222 sweeps. This rules out interpreting it as a general point prediction. The finite-error circuit has the different rate law (26); the overwrite result is not a universal cortical latency law.</w:t>
      </w:r>
    </w:p>
    <w:p w14:paraId="7A12152E" w14:textId="77777777" w:rsidR="007A6184" w:rsidRDefault="00000000" w:rsidP="00396E59">
      <w:pPr>
        <w:pStyle w:val="Heading21"/>
        <w:jc w:val="both"/>
      </w:pPr>
      <w:bookmarkStart w:id="24" w:name="X6e6e197bcc453eb63409b447248971fda217fb6"/>
      <w:bookmarkEnd w:id="21"/>
      <w:bookmarkEnd w:id="23"/>
      <w:r>
        <w:t>9.4 Task dependent sources of the observation star</w:t>
      </w:r>
    </w:p>
    <w:p w14:paraId="22C36FA9" w14:textId="77777777" w:rsidR="007A6184" w:rsidRDefault="00000000" w:rsidP="00396E59">
      <w:pPr>
        <w:pStyle w:val="FirstParagraph"/>
        <w:jc w:val="both"/>
      </w:pPr>
      <w:r>
        <w:t>Hippocampal indexing theory proposes that the hippocampus stores an index to neocortical activity patterns rather than the patterns themselves, and that reactivating the index reinstates them [18]. This motivates one possible assignment of the ASE objects; it is not an equivalence between indexing theory and a sheaf algorithm. The auxiliary observation star specifies which records are read and with what weight. In an episodic indexing model, reinstated cortical feature spaces can supply its record content [2]. Sensory, cortical and subcortical inputs can also instantiate a star. Consolidation in this reading has two parts that can fail separately. Decoded reactivation can accompany worse associative recall, as in the cueing result of Schreiner and colleagues [7]; that experiment does not measure an ASE read or its improvement. The cortical read can also become self-sufficient, so that a cue reaches the stored code without the index, as the systems-consolidation results suggest for remote memories [4]. Proposition 10 gives a recurrent implementation candidate; it contains no anatomical requirement for a hippocampus. Thompson and colleagues found that procedural replay in mouse dorsal striatum and the tested consolidation process persisted despite complete bilateral hippocampal lesions [21]. This constrains a universal hippocampal-star claim. It does not imply that episodic consolidation in cortex is generally hippocampus-independent.</w:t>
      </w:r>
    </w:p>
    <w:p w14:paraId="3E9F7A3D" w14:textId="77777777" w:rsidR="007A6184" w:rsidRDefault="00000000" w:rsidP="00396E59">
      <w:pPr>
        <w:pStyle w:val="Heading21"/>
        <w:jc w:val="both"/>
      </w:pPr>
      <w:bookmarkStart w:id="25" w:name="what-this-neocortical-role-predicts"/>
      <w:bookmarkEnd w:id="24"/>
      <w:r>
        <w:t>9.5 What this neocortical role predicts</w:t>
      </w:r>
    </w:p>
    <w:p w14:paraId="072159D2" w14:textId="77777777" w:rsidR="007A6184" w:rsidRDefault="00000000" w:rsidP="00396E59">
      <w:pPr>
        <w:pStyle w:val="Compact"/>
        <w:numPr>
          <w:ilvl w:val="0"/>
          <w:numId w:val="4"/>
        </w:numPr>
        <w:jc w:val="both"/>
      </w:pPr>
      <w:r>
        <w:rPr>
          <w:b/>
          <w:bCs/>
        </w:rPr>
        <w:t>Effective observation strength affects timing under a declared circuit.</w:t>
      </w:r>
      <w:r>
        <w:t xml:space="preserve"> Calibrated gains, precisions and maps determine the eigenvalues in (26). Low-curvature modes are slow in the stated regime; sufficiently strong modes can oscillate. This is the revised H6.</w:t>
      </w:r>
    </w:p>
    <w:p w14:paraId="257F70BB" w14:textId="77777777" w:rsidR="007A6184" w:rsidRDefault="00000000" w:rsidP="00396E59">
      <w:pPr>
        <w:pStyle w:val="Compact"/>
        <w:numPr>
          <w:ilvl w:val="0"/>
          <w:numId w:val="4"/>
        </w:numPr>
        <w:jc w:val="both"/>
      </w:pPr>
      <w:r>
        <w:rPr>
          <w:b/>
          <w:bCs/>
        </w:rPr>
        <w:t>Priority affects composition under a declared read policy.</w:t>
      </w:r>
      <w:r>
        <w:t xml:space="preserve"> With a fixed positive prior or an observation cutoff, suppressing coverage of a required feature can impair its transfer. Exact unregularised conditional reads are a required control. This is H7.</w:t>
      </w:r>
    </w:p>
    <w:p w14:paraId="25148C8D" w14:textId="77777777" w:rsidR="007A6184" w:rsidRDefault="00000000" w:rsidP="00396E59">
      <w:pPr>
        <w:pStyle w:val="Compact"/>
        <w:numPr>
          <w:ilvl w:val="0"/>
          <w:numId w:val="4"/>
        </w:numPr>
        <w:jc w:val="both"/>
      </w:pPr>
      <w:r>
        <w:rPr>
          <w:b/>
          <w:bCs/>
        </w:rPr>
        <w:t>Unobserved directions retain an explicit prior.</w:t>
      </w:r>
      <w:r>
        <w:t xml:space="preserve"> This statement concerns the joint nullspace of observations, compatibility and prior precision. A coordinate missing from direct records may still be constrained by shared relations. Synthetic completions retain their inferred status.</w:t>
      </w:r>
    </w:p>
    <w:p w14:paraId="2060D62A" w14:textId="77777777" w:rsidR="007A6184" w:rsidRDefault="00000000" w:rsidP="00396E59">
      <w:pPr>
        <w:pStyle w:val="Compact"/>
        <w:numPr>
          <w:ilvl w:val="0"/>
          <w:numId w:val="4"/>
        </w:numPr>
        <w:jc w:val="both"/>
      </w:pPr>
      <w:r>
        <w:rPr>
          <w:b/>
          <w:bCs/>
        </w:rPr>
        <w:t>Noisy priorities have a bounded safe gain.</w:t>
      </w:r>
      <w:r>
        <w:t xml:space="preserve"> Under the assumptions of Part II’s scalar bounded-score perturbation result, read displacement as a fraction of the relevant record diameter is at most </w:t>
      </w:r>
      <m:oMath>
        <m:r>
          <m:rPr>
            <m:sty m:val="p"/>
          </m:rPr>
          <w:rPr>
            <w:rFonts w:ascii="Cambria Math" w:hAnsi="Cambria Math"/>
          </w:rPr>
          <m:t>tanh</m:t>
        </m:r>
        <m:d>
          <m:dPr>
            <m:ctrlPr>
              <w:rPr>
                <w:rFonts w:ascii="Cambria Math" w:hAnsi="Cambria Math"/>
              </w:rPr>
            </m:ctrlPr>
          </m:dPr>
          <m:e>
            <m:r>
              <w:rPr>
                <w:rFonts w:ascii="Cambria Math" w:hAnsi="Cambria Math"/>
              </w:rPr>
              <m:t>τε</m:t>
            </m:r>
            <m:r>
              <m:rPr>
                <m:sty m:val="p"/>
              </m:rPr>
              <w:rPr>
                <w:rFonts w:ascii="Cambria Math" w:hAnsi="Cambria Math"/>
              </w:rPr>
              <m:t>/</m:t>
            </m:r>
            <m:r>
              <w:rPr>
                <w:rFonts w:ascii="Cambria Math" w:hAnsi="Cambria Math"/>
              </w:rPr>
              <m:t>2</m:t>
            </m:r>
          </m:e>
        </m:d>
      </m:oMath>
      <w:r>
        <w:t xml:space="preserve"> [14]. Taking </w:t>
      </w:r>
      <m:oMath>
        <m:r>
          <w:rPr>
            <w:rFonts w:ascii="Cambria Math" w:hAnsi="Cambria Math"/>
          </w:rPr>
          <m:t>τ</m:t>
        </m:r>
        <m:r>
          <m:rPr>
            <m:sty m:val="p"/>
          </m:rPr>
          <w:rPr>
            <w:rFonts w:ascii="Cambria Math" w:hAnsi="Cambria Math"/>
          </w:rPr>
          <m:t>≤</m:t>
        </m:r>
        <m:r>
          <w:rPr>
            <w:rFonts w:ascii="Cambria Math" w:hAnsi="Cambria Math"/>
          </w:rPr>
          <m:t>2</m:t>
        </m:r>
        <m:r>
          <m:rPr>
            <m:sty m:val="p"/>
          </m:rPr>
          <w:rPr>
            <w:rFonts w:ascii="Cambria Math" w:hAnsi="Cambria Math"/>
          </w:rPr>
          <m:t>arctanh</m:t>
        </m:r>
        <m:d>
          <m:dPr>
            <m:ctrlPr>
              <w:rPr>
                <w:rFonts w:ascii="Cambria Math" w:hAnsi="Cambria Math"/>
              </w:rPr>
            </m:ctrlPr>
          </m:dPr>
          <m:e>
            <m:r>
              <w:rPr>
                <w:rFonts w:ascii="Cambria Math" w:hAnsi="Cambria Math"/>
              </w:rPr>
              <m:t>ν</m:t>
            </m:r>
          </m:e>
        </m:d>
        <m:r>
          <m:rPr>
            <m:sty m:val="p"/>
          </m:rPr>
          <w:rPr>
            <w:rFonts w:ascii="Cambria Math" w:hAnsi="Cambria Math"/>
          </w:rPr>
          <m:t>/</m:t>
        </m:r>
        <m:r>
          <w:rPr>
            <w:rFonts w:ascii="Cambria Math" w:hAnsi="Cambria Math"/>
          </w:rPr>
          <m:t>ε</m:t>
        </m:r>
      </m:oMath>
      <w:r>
        <w:t xml:space="preserve"> guarantees a bound of </w:t>
      </w:r>
      <m:oMath>
        <m:r>
          <w:rPr>
            <w:rFonts w:ascii="Cambria Math" w:hAnsi="Cambria Math"/>
          </w:rPr>
          <m:t>ν</m:t>
        </m:r>
        <m:r>
          <m:rPr>
            <m:nor/>
          </m:rPr>
          <m:t>.</m:t>
        </m:r>
      </m:oMath>
      <w:r>
        <w:t xml:space="preserve"> A larger gain loses this guarantee; it does not prove that actual displacement exceeds </w:t>
      </w:r>
      <m:oMath>
        <m:r>
          <w:rPr>
            <w:rFonts w:ascii="Cambria Math" w:hAnsi="Cambria Math"/>
          </w:rPr>
          <m:t>ν</m:t>
        </m:r>
        <m:r>
          <m:rPr>
            <m:nor/>
          </m:rPr>
          <m:t>.</m:t>
        </m:r>
      </m:oMath>
      <w:r>
        <w:t xml:space="preserve"> The scalar bound is not automatically a bound for ill-conditioned rectangular reads.</w:t>
      </w:r>
    </w:p>
    <w:p w14:paraId="3E04D409" w14:textId="77777777" w:rsidR="007A6184" w:rsidRDefault="00000000" w:rsidP="00396E59">
      <w:pPr>
        <w:pStyle w:val="Heading11"/>
        <w:jc w:val="both"/>
      </w:pPr>
      <w:bookmarkStart w:id="26" w:name="X839cd54161316c5a6d1c72841027b636b7e94b4"/>
      <w:bookmarkEnd w:id="18"/>
      <w:bookmarkEnd w:id="25"/>
      <w:r>
        <w:t>10 What vertical algebra can and cannot establish</w:t>
      </w:r>
    </w:p>
    <w:p w14:paraId="5A4741BF" w14:textId="77777777" w:rsidR="007A6184" w:rsidRDefault="00000000" w:rsidP="00396E59">
      <w:pPr>
        <w:pStyle w:val="FirstParagraph"/>
        <w:jc w:val="both"/>
      </w:pPr>
      <w:r>
        <w:t>During one realised computation, a specified transport diagram or the Jacobians of differentiable updates gives a linear representation of the layer order. Along a moving token path, a tower is typed as</w:t>
      </w:r>
    </w:p>
    <w:p w14:paraId="7AB22C7A" w14:textId="77777777" w:rsidR="007A6184" w:rsidRDefault="00000000" w:rsidP="00396E59">
      <w:pPr>
        <w:pStyle w:val="Equation"/>
        <w:jc w:val="both"/>
      </w:pPr>
      <w:r>
        <w:tab/>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sub>
        </m:sSub>
        <m:r>
          <m:rPr>
            <m:sty m:val="p"/>
          </m:rPr>
          <w:rPr>
            <w:rFonts w:ascii="Cambria Math" w:hAnsi="Cambria Math"/>
          </w:rPr>
          <m:t>.</m:t>
        </m:r>
      </m:oMath>
      <w:r>
        <w:tab/>
        <w:t>(29)</w:t>
      </w:r>
    </w:p>
    <w:p w14:paraId="20613A56" w14:textId="77777777" w:rsidR="007A6184" w:rsidRDefault="00000000" w:rsidP="00396E59">
      <w:pPr>
        <w:pStyle w:val="BodyText"/>
        <w:jc w:val="both"/>
      </w:pPr>
      <w:r>
        <w:t xml:space="preserve">The stalk spaces and these maps form the token’s vertical fibre diagram. On a common fixed base, horizontal restrictions and vertical maps must commute on every relevant square [2]. An arbitrary collection of fitted layer </w:t>
      </w:r>
      <w:r>
        <w:lastRenderedPageBreak/>
        <w:t>maps is not automatically a sheaf on the product. Discrete branch switches and exemplar insertion require an additional comparison construction before they can be assigned a barcode.</w:t>
      </w:r>
    </w:p>
    <w:p w14:paraId="4D07AC04" w14:textId="77777777" w:rsidR="007A6184" w:rsidRDefault="00000000" w:rsidP="00396E59">
      <w:pPr>
        <w:pStyle w:val="BodyText"/>
        <w:jc w:val="both"/>
      </w:pPr>
      <w:r>
        <w:t>Part I’s vertical acyclicity theorem says that ordinary cohomology of a fixed-base product with a least layer is determined by the bottom layer alone [2]. Therefore unchanged product cohomology cannot establish that consolidation has preserved a task, improved abstraction or successfully written upper-layer information. Barcodes of specified layerwise diagrams can distinguish some changes that this cohomology discards; they are not complete invariants of the entire learning system.</w:t>
      </w:r>
    </w:p>
    <w:p w14:paraId="3A5EE6D3" w14:textId="77777777" w:rsidR="007A6184" w:rsidRDefault="00000000" w:rsidP="00396E59">
      <w:pPr>
        <w:pStyle w:val="BodyText"/>
        <w:jc w:val="both"/>
      </w:pPr>
      <w:r>
        <w:t>Exact rank is especially weak as a forgetting measure. Smooth, full-rank transformations can make task-relevant sensitivity extremely small while every exact bar survives. Report singular values, numerical cutoffs and task-conditioned reconstruction alongside barcodes. A rank-deficient readout can also discard irrelevant nuisance directions without harming the task. Neither long bars nor short bars determine what should be retained.</w:t>
      </w:r>
    </w:p>
    <w:p w14:paraId="65CA1088" w14:textId="77777777" w:rsidR="007A6184" w:rsidRDefault="00000000" w:rsidP="00396E59">
      <w:pPr>
        <w:pStyle w:val="BodyText"/>
        <w:jc w:val="both"/>
      </w:pPr>
      <w:r>
        <w:t xml:space="preserve">When learned covers require zigzag comparisons, the linear-order acyclicity theorem need not apply. Use explicit comparison maps and the appropriate algebra [12]. A birth in a cover-based cohomology barcode can be caused by a changed region, coefficients, comparison construction, failed Leray conditions or numerical error; it is not automatically the birth of a semantic concept. Across consolidation events </w:t>
      </w:r>
      <m:oMath>
        <m:r>
          <w:rPr>
            <w:rFonts w:ascii="Cambria Math" w:hAnsi="Cambria Math"/>
          </w:rPr>
          <m:t>k</m:t>
        </m:r>
        <m:r>
          <m:rPr>
            <m:nor/>
          </m:rPr>
          <m:t>,</m:t>
        </m:r>
      </m:oMath>
      <w:r>
        <w:t xml:space="preserve"> both the coefficients and the bottom representation may themselves change.</w:t>
      </w:r>
    </w:p>
    <w:p w14:paraId="13E9101E" w14:textId="77777777" w:rsidR="007A6184" w:rsidRDefault="00000000" w:rsidP="00396E59">
      <w:pPr>
        <w:pStyle w:val="Heading11"/>
        <w:jc w:val="both"/>
      </w:pPr>
      <w:bookmarkStart w:id="27" w:name="X262febccf0c3e96c79f9fdaf4f5fcbee94beadb"/>
      <w:bookmarkEnd w:id="26"/>
      <w:r>
        <w:t>11 Seven hypotheses with refutation criteria</w:t>
      </w:r>
    </w:p>
    <w:p w14:paraId="6F1C1926" w14:textId="77777777" w:rsidR="007A6184" w:rsidRDefault="00000000" w:rsidP="00396E59">
      <w:pPr>
        <w:pStyle w:val="FirstParagraph"/>
        <w:jc w:val="both"/>
      </w:pPr>
      <w:r>
        <w:t>These are proposed tests, not reported outcomes. Freeze tasks, splits, budgets, encodings, stopping rules and primary metrics before the confirmatory runs. Use independent streams as experimental units; report paired effects and confidence intervals. Tune all competing methods on the same development budget.</w:t>
      </w:r>
    </w:p>
    <w:p w14:paraId="23FDC73C" w14:textId="77777777" w:rsidR="007A6184" w:rsidRDefault="00000000" w:rsidP="00396E59">
      <w:pPr>
        <w:pStyle w:val="BodyText"/>
        <w:jc w:val="both"/>
      </w:pPr>
      <w:r>
        <w:rPr>
          <w:b/>
          <w:bCs/>
        </w:rPr>
        <w:t>H1 — Compositional consolidation.</w:t>
      </w:r>
      <w:r>
        <w:t xml:space="preserve"> On a generated chain-factor task with partial observations and correctly specified contexts, ASE achieves lower post-buffer task loss than identity-map ADE at the same total persisted bytes and total consolidation compute. The primary endpoint is loss on held-out combinations, with old-task degradation constrained to at most one percentage point of bounded task error. Refute the predicted advantage if the paired 95% confidence interval for ADE loss minus ASE loss does not lie above zero. A null interval is a failed confirmatory prediction, not proof that every possible ASE variant fails.</w:t>
      </w:r>
    </w:p>
    <w:p w14:paraId="59D10929" w14:textId="77777777" w:rsidR="007A6184" w:rsidRDefault="00000000" w:rsidP="00396E59">
      <w:pPr>
        <w:pStyle w:val="BodyText"/>
        <w:jc w:val="both"/>
      </w:pPr>
      <w:r>
        <w:rPr>
          <w:b/>
          <w:bCs/>
        </w:rPr>
        <w:t>H2 — Robustness requires the right dependencies.</w:t>
      </w:r>
      <w:r>
        <w:t xml:space="preserve"> Introducing a known omitted cross-context factor increases false recombinations in the version that uses overlap compatibility alone. Adding the correct factor reduces that error under the same budget. Refute this mechanism prediction if the preregistered interaction is absent. Compare to a matched generic graph regulariser and a factor-graph solver: a benefit explained completely by correct factor specification is not evidence for a special ASE search advantage.</w:t>
      </w:r>
    </w:p>
    <w:p w14:paraId="435944DC" w14:textId="77777777" w:rsidR="007A6184" w:rsidRDefault="00000000" w:rsidP="00396E59">
      <w:pPr>
        <w:pStyle w:val="BodyText"/>
        <w:jc w:val="both"/>
      </w:pPr>
      <w:r>
        <w:rPr>
          <w:b/>
          <w:bCs/>
        </w:rPr>
        <w:t>H3 — Parametric transfer outlives source access.</w:t>
      </w:r>
      <w:r>
        <w:t xml:space="preserve"> After accepted consolidation, a trained adapter preserves new-task performance within one percentage point of its buffer-assisted teacher when the original recent buffer is removed, while meeting the old-task tolerance. Test external-code retrieval and adapter-only operation separately. Refute the stronger parametric claim if it holds only while the new episodic records remain accessible. A smaller persistent bank may still satisfy the external-consolidation claim.</w:t>
      </w:r>
    </w:p>
    <w:p w14:paraId="52B37307" w14:textId="77777777" w:rsidR="007A6184" w:rsidRDefault="00000000" w:rsidP="00396E59">
      <w:pPr>
        <w:pStyle w:val="BodyText"/>
        <w:jc w:val="both"/>
      </w:pPr>
      <w:r>
        <w:rPr>
          <w:b/>
          <w:bCs/>
        </w:rPr>
        <w:t>H4 — Reweighting and geometry dissociate.</w:t>
      </w:r>
      <w:r>
        <w:t xml:space="preserve"> In a task where reward priorities change while shared feature relations are fixed, changing replay allocation and read priors should adapt behaviour while calibrated restriction maps remain transferable. Against a matched control, quantify loss recovered with maps frozen and out-of-sample shared-feature prediction. Refute the model prediction if successful adaptation requires equally large relearning of the shared maps, or if frozen-map performance is no better than independently shuffled-map controls. Shuffles must break cross-context alignment, not merely perform a gauge-equivalent change of coordinates.</w:t>
      </w:r>
    </w:p>
    <w:p w14:paraId="4950BBD8" w14:textId="77777777" w:rsidR="007A6184" w:rsidRDefault="00000000" w:rsidP="00396E59">
      <w:pPr>
        <w:pStyle w:val="BodyText"/>
        <w:jc w:val="both"/>
      </w:pPr>
      <w:r>
        <w:rPr>
          <w:b/>
          <w:bCs/>
        </w:rPr>
        <w:lastRenderedPageBreak/>
        <w:t>H5 — Independently calibrated compatibility predicts cortical transfer.</w:t>
      </w:r>
      <w:r>
        <w:t xml:space="preserve"> Calibrate neural feature readouts on one data split, then predict recall and cross-context generalisation after learning from their overlap residuals and, where observable, independent multi-route comparison defects. Require incremental predictive value beyond firing-rate changes, pairwise connectivity, replay amount and model complexity in held-out subjects or sessions. Refute this neural instantiation if the added predictive value is absent in the powered preregistered test. Maps fitted jointly to commute by construction cannot supply this test; they would make the proposed signature unfalsifiable.</w:t>
      </w:r>
    </w:p>
    <w:p w14:paraId="39432150" w14:textId="77777777" w:rsidR="007A6184" w:rsidRDefault="00000000" w:rsidP="00396E59">
      <w:pPr>
        <w:pStyle w:val="BodyText"/>
        <w:jc w:val="both"/>
      </w:pPr>
      <w:r>
        <w:rPr>
          <w:b/>
          <w:bCs/>
        </w:rPr>
        <w:t>H6 — Calibrated observation curvature predicts settling.</w:t>
      </w:r>
      <w:r>
        <w:t xml:space="preserve"> First fit the frozen two-population model to a specified circuit or controlled recurrent network, with </w:t>
      </w:r>
      <m:oMath>
        <m:r>
          <w:rPr>
            <w:rFonts w:ascii="Cambria Math" w:hAnsi="Cambria Math"/>
          </w:rPr>
          <m:t>K</m:t>
        </m:r>
        <m:r>
          <m:rPr>
            <m:sty m:val="p"/>
          </m:rPr>
          <w:rPr>
            <w:rFonts w:ascii="Cambria Math" w:hAnsi="Cambria Math"/>
          </w:rPr>
          <m:t>≈</m:t>
        </m:r>
        <m:r>
          <w:rPr>
            <w:rFonts w:ascii="Cambria Math" w:hAnsi="Cambria Math"/>
          </w:rPr>
          <m:t>kI</m:t>
        </m:r>
      </m:oMath>
      <w:r>
        <w:t xml:space="preserve"> as a declared approximation. Estimate gains, precisions, maps and both time constants on training sessions. Predict held-out mode decay and any oscillation frequency using (26), comparing against a latency model based only on signal-to-noise and a matched unconstrained dynamical model. The primary prediction is lower held-out trajectory error for the constrained circuit than the signal-to-noise model, with pole locations calibrated in advance. Refute this circuit instantiation if its paired 95% confidence interval for that improvement does not lie above zero, or if its preregistered pole predictions fail. A count of input streams is not an estimator of effective curvature without equal-gain, equal-precision assumptions. Neural evidence is separate from validation in an engineered recurrent network.</w:t>
      </w:r>
    </w:p>
    <w:p w14:paraId="5F61DDB7" w14:textId="77777777" w:rsidR="007A6184" w:rsidRDefault="00000000" w:rsidP="00396E59">
      <w:pPr>
        <w:pStyle w:val="BodyText"/>
        <w:jc w:val="both"/>
      </w:pPr>
      <w:r>
        <w:rPr>
          <w:b/>
          <w:bCs/>
        </w:rPr>
        <w:t>H7 — Priority and the read policy interact.</w:t>
      </w:r>
      <w:r>
        <w:t xml:space="preserve"> In the H1 task, predeclare a fixed positive prior curvature and a high priority strength that makes the required off-elite coverage much smaller than that curvature. Hold total replay fixed and compare uniform replay, high priority with that prior, and high priority with an exact unregularised conditional read. Predict increased held-out composition error in the prior-regularised condition relative to its uniform baseline, and a smaller increase in the exact-read control. Refute the computational prediction if the preregistered priority-by-policy interaction has no positive paired 95% confidence interval. Also test a numerical cutoff as a separate policy. A behavioural replay analogue is exploratory until gain, prior and observation strength can be independently estimated; a null biological result cannot be rescued by relabelling an unspecified prior.</w:t>
      </w:r>
    </w:p>
    <w:p w14:paraId="4883A5A6" w14:textId="77777777" w:rsidR="007A6184" w:rsidRDefault="00000000" w:rsidP="00396E59">
      <w:pPr>
        <w:pStyle w:val="BodyText"/>
        <w:jc w:val="both"/>
      </w:pPr>
      <w:r>
        <w:t>H4 is the principal dissociation claim. H5 asks whether the sheaf structure earns its place beyond a general account of coordinated replay. H6 tests a specified circuit; H7 tests how priority interacts with a specified computational read policy. All of them require reliable estimators and prospective power analysis. Results in a synthetic task cannot establish the cortical hypothesis, and a neural correlation cannot establish the optimiser’s computational advantage.</w:t>
      </w:r>
    </w:p>
    <w:p w14:paraId="7D76A7EB" w14:textId="77777777" w:rsidR="007A6184" w:rsidRDefault="00000000" w:rsidP="00396E59">
      <w:pPr>
        <w:pStyle w:val="Heading11"/>
        <w:jc w:val="both"/>
      </w:pPr>
      <w:bookmarkStart w:id="28" w:name="Xf19c28f5cfbcbc79355e38368d8c301c6672ab8"/>
      <w:bookmarkEnd w:id="27"/>
      <w:r>
        <w:t>12 A staged implementation and decision rule</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952"/>
        <w:gridCol w:w="4686"/>
        <w:gridCol w:w="4526"/>
      </w:tblGrid>
      <w:tr w:rsidR="007A6184" w14:paraId="0D7427EF" w14:textId="77777777">
        <w:trPr>
          <w:cnfStyle w:val="100000000000" w:firstRow="1" w:lastRow="0" w:firstColumn="0" w:lastColumn="0" w:oddVBand="0" w:evenVBand="0" w:oddHBand="0" w:evenHBand="0" w:firstRowFirstColumn="0" w:firstRowLastColumn="0" w:lastRowFirstColumn="0" w:lastRowLastColumn="0"/>
          <w:cantSplit/>
          <w:tblHeader/>
        </w:trPr>
        <w:tc>
          <w:tcPr>
            <w:tcW w:w="936" w:type="dxa"/>
            <w:shd w:val="clear" w:color="auto" w:fill="E7EBEF"/>
            <w:tcMar>
              <w:top w:w="85" w:type="dxa"/>
              <w:left w:w="85" w:type="dxa"/>
              <w:bottom w:w="85" w:type="dxa"/>
              <w:right w:w="85" w:type="dxa"/>
            </w:tcMar>
            <w:vAlign w:val="center"/>
          </w:tcPr>
          <w:p w14:paraId="4C14E1AD" w14:textId="77777777" w:rsidR="007A6184" w:rsidRDefault="00000000" w:rsidP="00396E59">
            <w:pPr>
              <w:pStyle w:val="Compact"/>
              <w:spacing w:before="20" w:after="40" w:line="254" w:lineRule="auto"/>
              <w:jc w:val="both"/>
            </w:pPr>
            <w:r>
              <w:rPr>
                <w:sz w:val="20"/>
              </w:rPr>
              <w:t>Stage</w:t>
            </w:r>
          </w:p>
        </w:tc>
        <w:tc>
          <w:tcPr>
            <w:tcW w:w="4608" w:type="dxa"/>
            <w:shd w:val="clear" w:color="auto" w:fill="E7EBEF"/>
            <w:tcMar>
              <w:top w:w="85" w:type="dxa"/>
              <w:left w:w="85" w:type="dxa"/>
              <w:bottom w:w="85" w:type="dxa"/>
              <w:right w:w="85" w:type="dxa"/>
            </w:tcMar>
            <w:vAlign w:val="center"/>
          </w:tcPr>
          <w:p w14:paraId="582274B3" w14:textId="77777777" w:rsidR="007A6184" w:rsidRDefault="00000000" w:rsidP="00396E59">
            <w:pPr>
              <w:pStyle w:val="Compact"/>
              <w:spacing w:before="20" w:after="40" w:line="254" w:lineRule="auto"/>
              <w:jc w:val="both"/>
            </w:pPr>
            <w:r>
              <w:rPr>
                <w:sz w:val="20"/>
              </w:rPr>
              <w:t>Deliverable</w:t>
            </w:r>
          </w:p>
        </w:tc>
        <w:tc>
          <w:tcPr>
            <w:tcW w:w="4450" w:type="dxa"/>
            <w:shd w:val="clear" w:color="auto" w:fill="E7EBEF"/>
            <w:tcMar>
              <w:top w:w="85" w:type="dxa"/>
              <w:left w:w="85" w:type="dxa"/>
              <w:bottom w:w="85" w:type="dxa"/>
              <w:right w:w="85" w:type="dxa"/>
            </w:tcMar>
            <w:vAlign w:val="center"/>
          </w:tcPr>
          <w:p w14:paraId="3CE3E27A" w14:textId="77777777" w:rsidR="007A6184" w:rsidRDefault="00000000" w:rsidP="00396E59">
            <w:pPr>
              <w:pStyle w:val="Compact"/>
              <w:spacing w:before="20" w:after="40" w:line="254" w:lineRule="auto"/>
              <w:jc w:val="both"/>
            </w:pPr>
            <w:r>
              <w:rPr>
                <w:sz w:val="20"/>
              </w:rPr>
              <w:t>Advance when</w:t>
            </w:r>
          </w:p>
        </w:tc>
      </w:tr>
      <w:tr w:rsidR="007A6184" w14:paraId="546AC58A" w14:textId="77777777">
        <w:trPr>
          <w:cantSplit/>
        </w:trPr>
        <w:tc>
          <w:tcPr>
            <w:tcW w:w="936" w:type="dxa"/>
            <w:shd w:val="clear" w:color="auto" w:fill="FFFFFF"/>
            <w:tcMar>
              <w:top w:w="85" w:type="dxa"/>
              <w:left w:w="85" w:type="dxa"/>
              <w:bottom w:w="85" w:type="dxa"/>
              <w:right w:w="85" w:type="dxa"/>
            </w:tcMar>
            <w:vAlign w:val="center"/>
          </w:tcPr>
          <w:p w14:paraId="3C2CA57C" w14:textId="77777777" w:rsidR="007A6184" w:rsidRDefault="00000000" w:rsidP="00396E59">
            <w:pPr>
              <w:pStyle w:val="Compact"/>
              <w:spacing w:before="20" w:after="40" w:line="254" w:lineRule="auto"/>
              <w:jc w:val="both"/>
            </w:pPr>
            <w:r>
              <w:rPr>
                <w:sz w:val="20"/>
              </w:rPr>
              <w:t>M0</w:t>
            </w:r>
          </w:p>
        </w:tc>
        <w:tc>
          <w:tcPr>
            <w:tcW w:w="4608" w:type="dxa"/>
            <w:shd w:val="clear" w:color="auto" w:fill="FFFFFF"/>
            <w:tcMar>
              <w:top w:w="85" w:type="dxa"/>
              <w:left w:w="85" w:type="dxa"/>
              <w:bottom w:w="85" w:type="dxa"/>
              <w:right w:w="85" w:type="dxa"/>
            </w:tcMar>
            <w:vAlign w:val="center"/>
          </w:tcPr>
          <w:p w14:paraId="17D55F97" w14:textId="77777777" w:rsidR="007A6184" w:rsidRDefault="00000000" w:rsidP="00396E59">
            <w:pPr>
              <w:pStyle w:val="Compact"/>
              <w:spacing w:before="20" w:after="40" w:line="254" w:lineRule="auto"/>
              <w:jc w:val="both"/>
            </w:pPr>
            <w:r>
              <w:rPr>
                <w:sz w:val="20"/>
              </w:rPr>
              <w:t>A typed evidence buffer, candidate archive, persistent store and exact byte accounting</w:t>
            </w:r>
          </w:p>
        </w:tc>
        <w:tc>
          <w:tcPr>
            <w:tcW w:w="4450" w:type="dxa"/>
            <w:shd w:val="clear" w:color="auto" w:fill="FFFFFF"/>
            <w:tcMar>
              <w:top w:w="85" w:type="dxa"/>
              <w:left w:w="85" w:type="dxa"/>
              <w:bottom w:w="85" w:type="dxa"/>
              <w:right w:w="85" w:type="dxa"/>
            </w:tcMar>
            <w:vAlign w:val="center"/>
          </w:tcPr>
          <w:p w14:paraId="6FC0D9A7" w14:textId="77777777" w:rsidR="007A6184" w:rsidRDefault="00000000" w:rsidP="00396E59">
            <w:pPr>
              <w:pStyle w:val="Compact"/>
              <w:spacing w:before="20" w:after="40" w:line="254" w:lineRule="auto"/>
              <w:jc w:val="both"/>
            </w:pPr>
            <w:r>
              <w:rPr>
                <w:sz w:val="20"/>
              </w:rPr>
              <w:t>Detaching a buffer actually removes access to its records</w:t>
            </w:r>
          </w:p>
        </w:tc>
      </w:tr>
      <w:tr w:rsidR="007A6184" w14:paraId="297A2500" w14:textId="77777777">
        <w:trPr>
          <w:cantSplit/>
        </w:trPr>
        <w:tc>
          <w:tcPr>
            <w:tcW w:w="936" w:type="dxa"/>
            <w:shd w:val="clear" w:color="auto" w:fill="F7F8F9"/>
            <w:tcMar>
              <w:top w:w="85" w:type="dxa"/>
              <w:left w:w="85" w:type="dxa"/>
              <w:bottom w:w="85" w:type="dxa"/>
              <w:right w:w="85" w:type="dxa"/>
            </w:tcMar>
            <w:vAlign w:val="center"/>
          </w:tcPr>
          <w:p w14:paraId="1F29324D" w14:textId="77777777" w:rsidR="007A6184" w:rsidRDefault="00000000" w:rsidP="00396E59">
            <w:pPr>
              <w:pStyle w:val="Compact"/>
              <w:spacing w:before="20" w:after="40" w:line="254" w:lineRule="auto"/>
              <w:jc w:val="both"/>
            </w:pPr>
            <w:r>
              <w:rPr>
                <w:sz w:val="20"/>
              </w:rPr>
              <w:t>M1</w:t>
            </w:r>
          </w:p>
        </w:tc>
        <w:tc>
          <w:tcPr>
            <w:tcW w:w="4608" w:type="dxa"/>
            <w:shd w:val="clear" w:color="auto" w:fill="F7F8F9"/>
            <w:tcMar>
              <w:top w:w="85" w:type="dxa"/>
              <w:left w:w="85" w:type="dxa"/>
              <w:bottom w:w="85" w:type="dxa"/>
              <w:right w:w="85" w:type="dxa"/>
            </w:tcMar>
            <w:vAlign w:val="center"/>
          </w:tcPr>
          <w:p w14:paraId="0A7B6E6C" w14:textId="77777777" w:rsidR="007A6184" w:rsidRDefault="00000000" w:rsidP="00396E59">
            <w:pPr>
              <w:pStyle w:val="Compact"/>
              <w:spacing w:before="20" w:after="40" w:line="254" w:lineRule="auto"/>
              <w:jc w:val="both"/>
            </w:pPr>
            <w:r>
              <w:rPr>
                <w:sz w:val="20"/>
              </w:rPr>
              <w:t>A fixed-map harmonic read, its soft-weight iteration and a shared-coordinate encoder on small chain tasks</w:t>
            </w:r>
          </w:p>
        </w:tc>
        <w:tc>
          <w:tcPr>
            <w:tcW w:w="4450" w:type="dxa"/>
            <w:shd w:val="clear" w:color="auto" w:fill="F7F8F9"/>
            <w:tcMar>
              <w:top w:w="85" w:type="dxa"/>
              <w:left w:w="85" w:type="dxa"/>
              <w:bottom w:w="85" w:type="dxa"/>
              <w:right w:w="85" w:type="dxa"/>
            </w:tcMar>
            <w:vAlign w:val="center"/>
          </w:tcPr>
          <w:p w14:paraId="3C47CC6C" w14:textId="77777777" w:rsidR="007A6184" w:rsidRDefault="00000000" w:rsidP="00396E59">
            <w:pPr>
              <w:pStyle w:val="Compact"/>
              <w:spacing w:before="20" w:after="40" w:line="254" w:lineRule="auto"/>
              <w:jc w:val="both"/>
            </w:pPr>
            <w:r>
              <w:rPr>
                <w:sz w:val="20"/>
              </w:rPr>
              <w:t>Direct solves agree with the algebra, and the descent inequality of Theorem 2 holds along every run</w:t>
            </w:r>
          </w:p>
        </w:tc>
      </w:tr>
      <w:tr w:rsidR="007A6184" w14:paraId="0F3660D8" w14:textId="77777777">
        <w:trPr>
          <w:cantSplit/>
        </w:trPr>
        <w:tc>
          <w:tcPr>
            <w:tcW w:w="936" w:type="dxa"/>
            <w:shd w:val="clear" w:color="auto" w:fill="FFFFFF"/>
            <w:tcMar>
              <w:top w:w="85" w:type="dxa"/>
              <w:left w:w="85" w:type="dxa"/>
              <w:bottom w:w="85" w:type="dxa"/>
              <w:right w:w="85" w:type="dxa"/>
            </w:tcMar>
            <w:vAlign w:val="center"/>
          </w:tcPr>
          <w:p w14:paraId="4DEA3BB4" w14:textId="77777777" w:rsidR="007A6184" w:rsidRDefault="00000000" w:rsidP="00396E59">
            <w:pPr>
              <w:pStyle w:val="Compact"/>
              <w:spacing w:before="20" w:after="40" w:line="254" w:lineRule="auto"/>
              <w:jc w:val="both"/>
            </w:pPr>
            <w:r>
              <w:rPr>
                <w:sz w:val="20"/>
              </w:rPr>
              <w:t>M2</w:t>
            </w:r>
          </w:p>
        </w:tc>
        <w:tc>
          <w:tcPr>
            <w:tcW w:w="4608" w:type="dxa"/>
            <w:shd w:val="clear" w:color="auto" w:fill="FFFFFF"/>
            <w:tcMar>
              <w:top w:w="85" w:type="dxa"/>
              <w:left w:w="85" w:type="dxa"/>
              <w:bottom w:w="85" w:type="dxa"/>
              <w:right w:w="85" w:type="dxa"/>
            </w:tcMar>
            <w:vAlign w:val="center"/>
          </w:tcPr>
          <w:p w14:paraId="2E0145E7" w14:textId="77777777" w:rsidR="007A6184" w:rsidRDefault="00000000" w:rsidP="00396E59">
            <w:pPr>
              <w:pStyle w:val="Compact"/>
              <w:spacing w:before="20" w:after="40" w:line="254" w:lineRule="auto"/>
              <w:jc w:val="both"/>
            </w:pPr>
            <w:r>
              <w:rPr>
                <w:sz w:val="20"/>
              </w:rPr>
              <w:t>Branch-specific ASE search with the unchanged state as fallback</w:t>
            </w:r>
          </w:p>
        </w:tc>
        <w:tc>
          <w:tcPr>
            <w:tcW w:w="4450" w:type="dxa"/>
            <w:shd w:val="clear" w:color="auto" w:fill="FFFFFF"/>
            <w:tcMar>
              <w:top w:w="85" w:type="dxa"/>
              <w:left w:w="85" w:type="dxa"/>
              <w:bottom w:w="85" w:type="dxa"/>
              <w:right w:w="85" w:type="dxa"/>
            </w:tcMar>
            <w:vAlign w:val="center"/>
          </w:tcPr>
          <w:p w14:paraId="01E37CC6" w14:textId="77777777" w:rsidR="007A6184" w:rsidRDefault="00000000" w:rsidP="00396E59">
            <w:pPr>
              <w:pStyle w:val="Compact"/>
              <w:spacing w:before="20" w:after="40" w:line="254" w:lineRule="auto"/>
              <w:jc w:val="both"/>
            </w:pPr>
            <w:r>
              <w:rPr>
                <w:sz w:val="20"/>
              </w:rPr>
              <w:t>Candidate evaluations are reproducible and the archive contains no unevaluated fitness claims</w:t>
            </w:r>
          </w:p>
        </w:tc>
      </w:tr>
      <w:tr w:rsidR="007A6184" w14:paraId="69D33402" w14:textId="77777777">
        <w:trPr>
          <w:cantSplit/>
        </w:trPr>
        <w:tc>
          <w:tcPr>
            <w:tcW w:w="936" w:type="dxa"/>
            <w:shd w:val="clear" w:color="auto" w:fill="F7F8F9"/>
            <w:tcMar>
              <w:top w:w="85" w:type="dxa"/>
              <w:left w:w="85" w:type="dxa"/>
              <w:bottom w:w="85" w:type="dxa"/>
              <w:right w:w="85" w:type="dxa"/>
            </w:tcMar>
            <w:vAlign w:val="center"/>
          </w:tcPr>
          <w:p w14:paraId="342DF8B1" w14:textId="77777777" w:rsidR="007A6184" w:rsidRDefault="00000000" w:rsidP="00396E59">
            <w:pPr>
              <w:pStyle w:val="Compact"/>
              <w:spacing w:before="20" w:after="40" w:line="254" w:lineRule="auto"/>
              <w:jc w:val="both"/>
            </w:pPr>
            <w:r>
              <w:rPr>
                <w:sz w:val="20"/>
              </w:rPr>
              <w:t>M3</w:t>
            </w:r>
          </w:p>
        </w:tc>
        <w:tc>
          <w:tcPr>
            <w:tcW w:w="4608" w:type="dxa"/>
            <w:shd w:val="clear" w:color="auto" w:fill="F7F8F9"/>
            <w:tcMar>
              <w:top w:w="85" w:type="dxa"/>
              <w:left w:w="85" w:type="dxa"/>
              <w:bottom w:w="85" w:type="dxa"/>
              <w:right w:w="85" w:type="dxa"/>
            </w:tcMar>
            <w:vAlign w:val="center"/>
          </w:tcPr>
          <w:p w14:paraId="62AA6DF3" w14:textId="77777777" w:rsidR="007A6184" w:rsidRDefault="00000000" w:rsidP="00396E59">
            <w:pPr>
              <w:pStyle w:val="Compact"/>
              <w:spacing w:before="20" w:after="40" w:line="254" w:lineRule="auto"/>
              <w:jc w:val="both"/>
            </w:pPr>
            <w:r>
              <w:rPr>
                <w:sz w:val="20"/>
              </w:rPr>
              <w:t>External memory consolidation with independent admission data</w:t>
            </w:r>
          </w:p>
        </w:tc>
        <w:tc>
          <w:tcPr>
            <w:tcW w:w="4450" w:type="dxa"/>
            <w:shd w:val="clear" w:color="auto" w:fill="F7F8F9"/>
            <w:tcMar>
              <w:top w:w="85" w:type="dxa"/>
              <w:left w:w="85" w:type="dxa"/>
              <w:bottom w:w="85" w:type="dxa"/>
              <w:right w:w="85" w:type="dxa"/>
            </w:tcMar>
            <w:vAlign w:val="center"/>
          </w:tcPr>
          <w:p w14:paraId="3F48E057" w14:textId="77777777" w:rsidR="007A6184" w:rsidRDefault="00000000" w:rsidP="00396E59">
            <w:pPr>
              <w:pStyle w:val="Compact"/>
              <w:spacing w:before="20" w:after="40" w:line="254" w:lineRule="auto"/>
              <w:jc w:val="both"/>
            </w:pPr>
            <w:r>
              <w:rPr>
                <w:sz w:val="20"/>
              </w:rPr>
              <w:t>Retention, compression and inference-cost criteria hold together</w:t>
            </w:r>
          </w:p>
        </w:tc>
      </w:tr>
      <w:tr w:rsidR="007A6184" w14:paraId="07C3EEC2" w14:textId="77777777">
        <w:trPr>
          <w:cantSplit/>
        </w:trPr>
        <w:tc>
          <w:tcPr>
            <w:tcW w:w="936" w:type="dxa"/>
            <w:shd w:val="clear" w:color="auto" w:fill="FFFFFF"/>
            <w:tcMar>
              <w:top w:w="85" w:type="dxa"/>
              <w:left w:w="85" w:type="dxa"/>
              <w:bottom w:w="85" w:type="dxa"/>
              <w:right w:w="85" w:type="dxa"/>
            </w:tcMar>
            <w:vAlign w:val="center"/>
          </w:tcPr>
          <w:p w14:paraId="667F18BA" w14:textId="77777777" w:rsidR="007A6184" w:rsidRDefault="00000000" w:rsidP="00396E59">
            <w:pPr>
              <w:pStyle w:val="Compact"/>
              <w:spacing w:before="20" w:after="40" w:line="254" w:lineRule="auto"/>
              <w:jc w:val="both"/>
            </w:pPr>
            <w:r>
              <w:rPr>
                <w:sz w:val="20"/>
              </w:rPr>
              <w:lastRenderedPageBreak/>
              <w:t>M4</w:t>
            </w:r>
          </w:p>
        </w:tc>
        <w:tc>
          <w:tcPr>
            <w:tcW w:w="4608" w:type="dxa"/>
            <w:shd w:val="clear" w:color="auto" w:fill="FFFFFF"/>
            <w:tcMar>
              <w:top w:w="85" w:type="dxa"/>
              <w:left w:w="85" w:type="dxa"/>
              <w:bottom w:w="85" w:type="dxa"/>
              <w:right w:w="85" w:type="dxa"/>
            </w:tcMar>
            <w:vAlign w:val="center"/>
          </w:tcPr>
          <w:p w14:paraId="34E475E8" w14:textId="77777777" w:rsidR="007A6184" w:rsidRDefault="00000000" w:rsidP="00396E59">
            <w:pPr>
              <w:pStyle w:val="Compact"/>
              <w:spacing w:before="20" w:after="40" w:line="254" w:lineRule="auto"/>
              <w:jc w:val="both"/>
            </w:pPr>
            <w:r>
              <w:rPr>
                <w:sz w:val="20"/>
              </w:rPr>
              <w:t>A small slow adapter with old-task protection and rollback</w:t>
            </w:r>
          </w:p>
        </w:tc>
        <w:tc>
          <w:tcPr>
            <w:tcW w:w="4450" w:type="dxa"/>
            <w:shd w:val="clear" w:color="auto" w:fill="FFFFFF"/>
            <w:tcMar>
              <w:top w:w="85" w:type="dxa"/>
              <w:left w:w="85" w:type="dxa"/>
              <w:bottom w:w="85" w:type="dxa"/>
              <w:right w:w="85" w:type="dxa"/>
            </w:tcMar>
            <w:vAlign w:val="center"/>
          </w:tcPr>
          <w:p w14:paraId="3B8C130F" w14:textId="77777777" w:rsidR="007A6184" w:rsidRDefault="00000000" w:rsidP="00396E59">
            <w:pPr>
              <w:pStyle w:val="Compact"/>
              <w:spacing w:before="20" w:after="40" w:line="254" w:lineRule="auto"/>
              <w:jc w:val="both"/>
            </w:pPr>
            <w:r>
              <w:rPr>
                <w:sz w:val="20"/>
              </w:rPr>
              <w:t>Parametric transfer survives the source-access ablation</w:t>
            </w:r>
          </w:p>
        </w:tc>
      </w:tr>
      <w:tr w:rsidR="007A6184" w14:paraId="62B18BD8" w14:textId="77777777">
        <w:trPr>
          <w:cantSplit/>
        </w:trPr>
        <w:tc>
          <w:tcPr>
            <w:tcW w:w="936" w:type="dxa"/>
            <w:shd w:val="clear" w:color="auto" w:fill="F7F8F9"/>
            <w:tcMar>
              <w:top w:w="85" w:type="dxa"/>
              <w:left w:w="85" w:type="dxa"/>
              <w:bottom w:w="85" w:type="dxa"/>
              <w:right w:w="85" w:type="dxa"/>
            </w:tcMar>
            <w:vAlign w:val="center"/>
          </w:tcPr>
          <w:p w14:paraId="02AB46D2" w14:textId="77777777" w:rsidR="007A6184" w:rsidRDefault="00000000" w:rsidP="00396E59">
            <w:pPr>
              <w:pStyle w:val="Compact"/>
              <w:spacing w:before="20" w:after="40" w:line="254" w:lineRule="auto"/>
              <w:jc w:val="both"/>
            </w:pPr>
            <w:r>
              <w:rPr>
                <w:sz w:val="20"/>
              </w:rPr>
              <w:t>M5</w:t>
            </w:r>
          </w:p>
        </w:tc>
        <w:tc>
          <w:tcPr>
            <w:tcW w:w="4608" w:type="dxa"/>
            <w:shd w:val="clear" w:color="auto" w:fill="F7F8F9"/>
            <w:tcMar>
              <w:top w:w="85" w:type="dxa"/>
              <w:left w:w="85" w:type="dxa"/>
              <w:bottom w:w="85" w:type="dxa"/>
              <w:right w:w="85" w:type="dxa"/>
            </w:tcMar>
            <w:vAlign w:val="center"/>
          </w:tcPr>
          <w:p w14:paraId="7FC89E8F" w14:textId="77777777" w:rsidR="007A6184" w:rsidRDefault="00000000" w:rsidP="00396E59">
            <w:pPr>
              <w:pStyle w:val="Compact"/>
              <w:spacing w:before="20" w:after="40" w:line="254" w:lineRule="auto"/>
              <w:jc w:val="both"/>
            </w:pPr>
            <w:r>
              <w:rPr>
                <w:sz w:val="20"/>
              </w:rPr>
              <w:t>A preregistered computational comparison and calibrated neural model</w:t>
            </w:r>
          </w:p>
        </w:tc>
        <w:tc>
          <w:tcPr>
            <w:tcW w:w="4450" w:type="dxa"/>
            <w:shd w:val="clear" w:color="auto" w:fill="F7F8F9"/>
            <w:tcMar>
              <w:top w:w="85" w:type="dxa"/>
              <w:left w:w="85" w:type="dxa"/>
              <w:bottom w:w="85" w:type="dxa"/>
              <w:right w:w="85" w:type="dxa"/>
            </w:tcMar>
            <w:vAlign w:val="center"/>
          </w:tcPr>
          <w:p w14:paraId="4E77BD9A" w14:textId="77777777" w:rsidR="007A6184" w:rsidRDefault="00000000" w:rsidP="00396E59">
            <w:pPr>
              <w:pStyle w:val="Compact"/>
              <w:spacing w:before="20" w:after="40" w:line="254" w:lineRule="auto"/>
              <w:jc w:val="both"/>
            </w:pPr>
            <w:r>
              <w:rPr>
                <w:sz w:val="20"/>
              </w:rPr>
              <w:t>H1 to H4, H7 and the engineered H6 circuit are resolved before interpreting H5 or neural H6 as biological evidence</w:t>
            </w:r>
          </w:p>
        </w:tc>
      </w:tr>
    </w:tbl>
    <w:p w14:paraId="504EC193" w14:textId="77777777" w:rsidR="007A6184" w:rsidRDefault="00000000" w:rsidP="00396E59">
      <w:pPr>
        <w:pStyle w:val="Heading21"/>
        <w:jc w:val="both"/>
      </w:pPr>
      <w:bookmarkStart w:id="29" w:name="required-comparisons-and-costs"/>
      <w:r>
        <w:t>12.1 Required comparisons and costs</w:t>
      </w:r>
    </w:p>
    <w:p w14:paraId="7864F1A6" w14:textId="77777777" w:rsidR="007A6184" w:rsidRDefault="00000000" w:rsidP="00396E59">
      <w:pPr>
        <w:pStyle w:val="FirstParagraph"/>
        <w:jc w:val="both"/>
      </w:pPr>
      <w:r>
        <w:t>The confirmatory comparison includes identity-map ADE; replay plus ordinary adapter training; a coreset or prototype memory; a matched graph-regularised learner; and a direct factor-aware or convex solver wherever applicable. Include oracle complete observations only as a ceiling. An unconstrained learner supplies a forgetting control. Give each method equal access to labels, contexts, tuning trials and stored auxiliary information.</w:t>
      </w:r>
    </w:p>
    <w:p w14:paraId="539777EC" w14:textId="77777777" w:rsidR="007A6184" w:rsidRDefault="00000000" w:rsidP="00396E59">
      <w:pPr>
        <w:pStyle w:val="BodyText"/>
        <w:jc w:val="both"/>
      </w:pPr>
      <w:r>
        <w:t>Report retained bytes, query latency or operations, total consolidation compute, old and new task errors, false recombination rate, performance with original evidence detached, and calibration or abstention on unobserved directions. Report the cost of fitting restrictions and encoding the cover. Equal numbers of archive evaluations alone do not establish equal compute if one method performs much more inner training or larger linear solves.</w:t>
      </w:r>
    </w:p>
    <w:p w14:paraId="74E07412" w14:textId="77777777" w:rsidR="007A6184" w:rsidRDefault="00000000" w:rsidP="00396E59">
      <w:pPr>
        <w:pStyle w:val="BodyText"/>
        <w:jc w:val="both"/>
      </w:pPr>
      <w:r>
        <w:t>For linear reads, form (6) sparsely and solve using the chain or graph structure. Do not materialise a dense global matrix merely to advertise local computation. Changes to the cover require comparison maps and new validation; cache reuse is allowed only when its dependencies remain valid. A C# implementation can use immutable episode, candidate and memory-version records, pure read functions and an atomic version replacement. Mutable numerical workspaces can remain private to a solver. The Part II kernel already implements the retention read, the guaranteed decrease of each relaxed step and the scalar truncation certificate, validated against NumPy [14]; M1 extends it with the prior and compatibility terms of (6). The V3 circuit and admission calculations are supplied in Python; they have not been independently compiled into a new C# kernel.</w:t>
      </w:r>
    </w:p>
    <w:p w14:paraId="61D1C07C" w14:textId="77777777" w:rsidR="007A6184" w:rsidRDefault="00000000" w:rsidP="00396E59">
      <w:pPr>
        <w:pStyle w:val="Heading21"/>
        <w:jc w:val="both"/>
      </w:pPr>
      <w:bookmarkStart w:id="30" w:name="related-optimisation-proposals"/>
      <w:bookmarkEnd w:id="29"/>
      <w:r>
        <w:t>12.2 Related optimisation proposals</w:t>
      </w:r>
    </w:p>
    <w:p w14:paraId="46D24F41" w14:textId="77777777" w:rsidR="007A6184" w:rsidRDefault="00000000" w:rsidP="00396E59">
      <w:pPr>
        <w:pStyle w:val="FirstParagraph"/>
        <w:jc w:val="both"/>
      </w:pPr>
      <w:r>
        <w:t>Fountas and colleagues propose predictive forgetting: retaining information useful for future outcomes while compressing incidental input detail [22]. Their 2026 preprint studies iterative refinement in several model families. This is relevant prior work on why consolidation might optimise generalisation. Our compatibility and information statements do not make task-conditioned compression a new principle, nor does a smaller compatible coordinate space by itself prove a tighter statistical generalisation error.</w:t>
      </w:r>
    </w:p>
    <w:p w14:paraId="0D375445" w14:textId="77777777" w:rsidR="007A6184" w:rsidRDefault="00000000" w:rsidP="00396E59">
      <w:pPr>
        <w:pStyle w:val="BodyText"/>
        <w:jc w:val="both"/>
      </w:pPr>
      <w:r>
        <w:t xml:space="preserve">Zhang and colleagues’ </w:t>
      </w:r>
      <w:r>
        <w:rPr>
          <w:i/>
          <w:iCs/>
        </w:rPr>
        <w:t>Cortex</w:t>
      </w:r>
      <w:r>
        <w:t xml:space="preserve"> technical report, submitted 14 October 2026, distils context-conditioned responses to prospective queries into mergeable low-rank or structural parameter updates [23]. It directly addresses preserving context-induced capability after context removal while retaining non-target behaviour. It is a required direct baseline for the parametric claim, where a reproducible implementation and matched task access are available. Its reported results are the authors’ preprint results, not measurements reproduced here.</w:t>
      </w:r>
    </w:p>
    <w:p w14:paraId="1EA8A4E0" w14:textId="77777777" w:rsidR="007A6184" w:rsidRDefault="00000000" w:rsidP="00396E59">
      <w:pPr>
        <w:pStyle w:val="BodyText"/>
        <w:jc w:val="both"/>
      </w:pPr>
      <w:r>
        <w:t>ASE’s proposed distinction is the partial-observation construction of candidates with calibrated compatibility, coupled to a tested archive search and a separately justified admission protocol. A direct factor-aware solver can use the same partial information without ASE. The central ablation must keep that information and its storage cost fixed while changing the proposal mechanism. Otherwise a win could be explained by better task specification alone.</w:t>
      </w:r>
    </w:p>
    <w:p w14:paraId="46C9D5A1" w14:textId="77777777" w:rsidR="007A6184" w:rsidRDefault="00000000" w:rsidP="00396E59">
      <w:pPr>
        <w:pStyle w:val="Heading21"/>
        <w:jc w:val="both"/>
      </w:pPr>
      <w:bookmarkStart w:id="31" w:name="scope-of-the-proposed-contribution"/>
      <w:bookmarkEnd w:id="30"/>
      <w:r>
        <w:lastRenderedPageBreak/>
        <w:t>12.3 Scope of the proposed contribution</w:t>
      </w:r>
    </w:p>
    <w:p w14:paraId="48155A6E" w14:textId="77777777" w:rsidR="007A6184" w:rsidRDefault="00000000" w:rsidP="00396E59">
      <w:pPr>
        <w:pStyle w:val="FirstParagraph"/>
        <w:jc w:val="both"/>
      </w:pPr>
      <w:r>
        <w:t xml:space="preserve">The contribution to test is the combination of </w:t>
      </w:r>
      <w:r>
        <w:rPr>
          <w:b/>
          <w:bCs/>
        </w:rPr>
        <w:t>typed partial-memory recombination, archive-based optimisation, and an independently evaluated durable write</w:t>
      </w:r>
      <w:r>
        <w:t>. Horizontal sheaf algebra supplies compatibility and compression tools; vertical algebra describes how a proposal is constructed; slow learning gives it persistence. None of these alone proves that cortex runs ASE or that ASE searches better than established methods.</w:t>
      </w:r>
    </w:p>
    <w:p w14:paraId="763AF8BD" w14:textId="77777777" w:rsidR="007A6184" w:rsidRDefault="00000000" w:rsidP="00396E59">
      <w:pPr>
        <w:pStyle w:val="BodyText"/>
        <w:jc w:val="both"/>
      </w:pPr>
      <w:r>
        <w:t>The recommended first study is M1 to M3 on chain-structured objectives, extending the recombination test C2 of the conversion proposal [1]. This isolates the proposed advantage before neural interpretation or full-backbone training. The critical endpoint is better future-task performance per durable byte, after original evidence is unavailable, while respecting the declared retention budget. Construction checks cannot establish that endpoint.</w:t>
      </w:r>
    </w:p>
    <w:p w14:paraId="4F654F23" w14:textId="77777777" w:rsidR="007A6184" w:rsidRDefault="00000000" w:rsidP="00396E59">
      <w:pPr>
        <w:pStyle w:val="Heading21"/>
        <w:jc w:val="both"/>
      </w:pPr>
      <w:bookmarkStart w:id="32" w:name="Xca2689fcd83224936832a83cd6883297ed74c76"/>
      <w:bookmarkEnd w:id="31"/>
      <w:r>
        <w:t>12.4 Reproducibility and status of the evidence</w:t>
      </w:r>
    </w:p>
    <w:p w14:paraId="7C99E1E1" w14:textId="77777777" w:rsidR="007A6184" w:rsidRDefault="00000000" w:rsidP="00396E59">
      <w:pPr>
        <w:pStyle w:val="FirstParagraph"/>
        <w:jc w:val="both"/>
      </w:pPr>
      <w:r>
        <w:t xml:space="preserve">The source package preserves the supplied V1 and V2 manuscripts and scripts. Re-running the original checks reproduces their numerical fields; the V2 runtime version strings differ from those in the supplied file. The corrected interpretation of those fields is given at Propositions 4 and 11 and in Section 7. The new script </w:t>
      </w:r>
      <w:r>
        <w:rPr>
          <w:rStyle w:val="VerbatimChar"/>
        </w:rPr>
        <w:t>checks_v3.py</w:t>
      </w:r>
      <w:r>
        <w:t xml:space="preserve"> records 29 individually named checks; all pass. It checks proximal descent, priority policies, admission constants, sequential budget arithmetic, amplitude-dependent settling, finite-error stability and numerical discretisation. Re-running the new script from scratch reproduces its result file byte for byte in the recorded environment.</w:t>
      </w:r>
    </w:p>
    <w:p w14:paraId="367B71B8" w14:textId="77777777" w:rsidR="007A6184" w:rsidRDefault="00000000" w:rsidP="00396E59">
      <w:pPr>
        <w:pStyle w:val="BodyText"/>
        <w:jc w:val="both"/>
      </w:pPr>
      <w:r>
        <w:t>All new numerical statements and figure values are populated from the result files. The supplied C# style remains an implementation direction, with no fresh C# compilation claimed. The Word paper contains editable native equations and is checked by XML/package inspection and rendered-page review. These checks are not a full OOXML schema validation. No behavioural data, neural recordings, large-model consolidation run or confirmatory comparison is newly reported. The proposed performance and anatomical claims remain the seven tests in Section 11.</w:t>
      </w:r>
    </w:p>
    <w:p w14:paraId="38C678C9" w14:textId="77777777" w:rsidR="007A6184" w:rsidRDefault="00000000" w:rsidP="00396E59">
      <w:pPr>
        <w:pStyle w:val="Heading11"/>
        <w:pageBreakBefore/>
        <w:jc w:val="both"/>
      </w:pPr>
      <w:bookmarkStart w:id="33" w:name="references"/>
      <w:bookmarkEnd w:id="28"/>
      <w:bookmarkEnd w:id="32"/>
      <w:r>
        <w:lastRenderedPageBreak/>
        <w:t>References</w:t>
      </w:r>
    </w:p>
    <w:p w14:paraId="6F9F0959" w14:textId="3B7BA2E4" w:rsidR="005C71E5" w:rsidRDefault="005C71E5" w:rsidP="005C71E5">
      <w:pPr>
        <w:pStyle w:val="Bibliography"/>
        <w:jc w:val="center"/>
      </w:pPr>
      <w:r w:rsidRPr="005C71E5">
        <w:t>https://github.com/debiprasadghosh/ResearchOverFlow/tree/main/October2026/SheafConsolidation</w:t>
      </w:r>
    </w:p>
    <w:p w14:paraId="311481CD" w14:textId="734D1802" w:rsidR="007A6184" w:rsidRPr="0069184B" w:rsidRDefault="00000000" w:rsidP="00396E59">
      <w:pPr>
        <w:pStyle w:val="Bibliography"/>
        <w:jc w:val="both"/>
        <w:rPr>
          <w:sz w:val="18"/>
          <w:szCs w:val="22"/>
        </w:rPr>
      </w:pPr>
      <w:r w:rsidRPr="0069184B">
        <w:rPr>
          <w:sz w:val="18"/>
          <w:szCs w:val="22"/>
        </w:rPr>
        <w:t xml:space="preserve">[1] Ghosh, D. P. (2026). </w:t>
      </w:r>
      <w:r w:rsidRPr="0069184B">
        <w:rPr>
          <w:i/>
          <w:iCs/>
          <w:sz w:val="18"/>
          <w:szCs w:val="22"/>
        </w:rPr>
        <w:t>Autoregressive Sheaf Evolution</w:t>
      </w:r>
      <w:r w:rsidRPr="0069184B">
        <w:rPr>
          <w:sz w:val="18"/>
          <w:szCs w:val="22"/>
        </w:rPr>
        <w:t>. Conversion proposal, revised 18 October 2026. Project manuscript.</w:t>
      </w:r>
    </w:p>
    <w:p w14:paraId="7AC45396" w14:textId="77777777" w:rsidR="007A6184" w:rsidRPr="0069184B" w:rsidRDefault="00000000" w:rsidP="00396E59">
      <w:pPr>
        <w:pStyle w:val="Bibliography"/>
        <w:jc w:val="both"/>
        <w:rPr>
          <w:sz w:val="18"/>
          <w:szCs w:val="22"/>
        </w:rPr>
      </w:pPr>
      <w:r w:rsidRPr="0069184B">
        <w:rPr>
          <w:sz w:val="18"/>
          <w:szCs w:val="22"/>
        </w:rPr>
        <w:t xml:space="preserve">[2] Ghosh, D. P. (2026). </w:t>
      </w:r>
      <w:r w:rsidRPr="0069184B">
        <w:rPr>
          <w:i/>
          <w:iCs/>
          <w:sz w:val="18"/>
          <w:szCs w:val="22"/>
        </w:rPr>
        <w:t>Horizontally Topological, Vertically Algebraic</w:t>
      </w:r>
      <w:r w:rsidRPr="0069184B">
        <w:rPr>
          <w:sz w:val="18"/>
          <w:szCs w:val="22"/>
        </w:rPr>
        <w:t>. Autoregressive Sheaf Evolution Part I, revised 18 October 2026. Project manuscript.</w:t>
      </w:r>
    </w:p>
    <w:p w14:paraId="58C79195" w14:textId="77777777" w:rsidR="007A6184" w:rsidRPr="0069184B" w:rsidRDefault="00000000" w:rsidP="00396E59">
      <w:pPr>
        <w:pStyle w:val="Bibliography"/>
        <w:jc w:val="both"/>
        <w:rPr>
          <w:sz w:val="18"/>
          <w:szCs w:val="22"/>
        </w:rPr>
      </w:pPr>
      <w:r w:rsidRPr="0069184B">
        <w:rPr>
          <w:sz w:val="18"/>
          <w:szCs w:val="22"/>
        </w:rPr>
        <w:t xml:space="preserve">[3] McClelland, J. L., McNaughton, B. L. and O’Reilly, R. C. (1995). Why there are complementary learning systems in the hippocampus and neocortex: insights from the successes and failures of connectionist models of learning and memory. </w:t>
      </w:r>
      <w:r w:rsidRPr="0069184B">
        <w:rPr>
          <w:i/>
          <w:iCs/>
          <w:sz w:val="18"/>
          <w:szCs w:val="22"/>
        </w:rPr>
        <w:t>Psychological Review</w:t>
      </w:r>
      <w:r w:rsidRPr="0069184B">
        <w:rPr>
          <w:sz w:val="18"/>
          <w:szCs w:val="22"/>
        </w:rPr>
        <w:t xml:space="preserve"> 102(3), 419–457. https://doi.org/10.1037/0033-295X.102.3.419</w:t>
      </w:r>
    </w:p>
    <w:p w14:paraId="7B28F723" w14:textId="77777777" w:rsidR="007A6184" w:rsidRPr="0069184B" w:rsidRDefault="00000000" w:rsidP="00396E59">
      <w:pPr>
        <w:pStyle w:val="Bibliography"/>
        <w:jc w:val="both"/>
        <w:rPr>
          <w:sz w:val="18"/>
          <w:szCs w:val="22"/>
        </w:rPr>
      </w:pPr>
      <w:r w:rsidRPr="0069184B">
        <w:rPr>
          <w:sz w:val="18"/>
          <w:szCs w:val="22"/>
        </w:rPr>
        <w:t xml:space="preserve">[4] Kitamura, T. et al. (2017). Engrams and circuits crucial for systems consolidation of a memory. </w:t>
      </w:r>
      <w:r w:rsidRPr="0069184B">
        <w:rPr>
          <w:i/>
          <w:iCs/>
          <w:sz w:val="18"/>
          <w:szCs w:val="22"/>
        </w:rPr>
        <w:t>Science</w:t>
      </w:r>
      <w:r w:rsidRPr="0069184B">
        <w:rPr>
          <w:sz w:val="18"/>
          <w:szCs w:val="22"/>
        </w:rPr>
        <w:t xml:space="preserve"> 356(6333), 73–78. https://doi.org/10.1126/science.aam6808</w:t>
      </w:r>
    </w:p>
    <w:p w14:paraId="6D9DFD23" w14:textId="77777777" w:rsidR="007A6184" w:rsidRPr="0069184B" w:rsidRDefault="00000000" w:rsidP="00396E59">
      <w:pPr>
        <w:pStyle w:val="Bibliography"/>
        <w:jc w:val="both"/>
        <w:rPr>
          <w:sz w:val="18"/>
          <w:szCs w:val="22"/>
        </w:rPr>
      </w:pPr>
      <w:r w:rsidRPr="0069184B">
        <w:rPr>
          <w:sz w:val="18"/>
          <w:szCs w:val="22"/>
        </w:rPr>
        <w:t xml:space="preserve">[5] Rose, N. S. et al. (2016). Reactivation of latent working memories with transcranial magnetic stimulation. </w:t>
      </w:r>
      <w:r w:rsidRPr="0069184B">
        <w:rPr>
          <w:i/>
          <w:iCs/>
          <w:sz w:val="18"/>
          <w:szCs w:val="22"/>
        </w:rPr>
        <w:t>Science</w:t>
      </w:r>
      <w:r w:rsidRPr="0069184B">
        <w:rPr>
          <w:sz w:val="18"/>
          <w:szCs w:val="22"/>
        </w:rPr>
        <w:t xml:space="preserve"> 354(6316), 1136–1139. https://doi.org/10.1126/science.aah7011</w:t>
      </w:r>
    </w:p>
    <w:p w14:paraId="610518A1" w14:textId="77777777" w:rsidR="007A6184" w:rsidRPr="0069184B" w:rsidRDefault="00000000" w:rsidP="00396E59">
      <w:pPr>
        <w:pStyle w:val="Bibliography"/>
        <w:jc w:val="both"/>
        <w:rPr>
          <w:sz w:val="18"/>
          <w:szCs w:val="22"/>
        </w:rPr>
      </w:pPr>
      <w:r w:rsidRPr="0069184B">
        <w:rPr>
          <w:sz w:val="18"/>
          <w:szCs w:val="22"/>
        </w:rPr>
        <w:t xml:space="preserve">[6] Benna, M. K. and Fusi, S. (2016). Computational principles of synaptic memory consolidation. </w:t>
      </w:r>
      <w:r w:rsidRPr="0069184B">
        <w:rPr>
          <w:i/>
          <w:iCs/>
          <w:sz w:val="18"/>
          <w:szCs w:val="22"/>
        </w:rPr>
        <w:t>Nature Neuroscience</w:t>
      </w:r>
      <w:r w:rsidRPr="0069184B">
        <w:rPr>
          <w:sz w:val="18"/>
          <w:szCs w:val="22"/>
        </w:rPr>
        <w:t xml:space="preserve"> 19, 1697–1706. https://doi.org/10.1038/nn.4401</w:t>
      </w:r>
    </w:p>
    <w:p w14:paraId="1B8ECE81" w14:textId="77777777" w:rsidR="007A6184" w:rsidRPr="0069184B" w:rsidRDefault="00000000" w:rsidP="00396E59">
      <w:pPr>
        <w:pStyle w:val="Bibliography"/>
        <w:jc w:val="both"/>
        <w:rPr>
          <w:sz w:val="18"/>
          <w:szCs w:val="22"/>
        </w:rPr>
      </w:pPr>
      <w:r w:rsidRPr="0069184B">
        <w:rPr>
          <w:sz w:val="18"/>
          <w:szCs w:val="22"/>
        </w:rPr>
        <w:t xml:space="preserve">[7] Schreiner, T. et al. (2024). Spindle-locked ripples mediate memory reactivation during human NREM sleep. </w:t>
      </w:r>
      <w:r w:rsidRPr="0069184B">
        <w:rPr>
          <w:i/>
          <w:iCs/>
          <w:sz w:val="18"/>
          <w:szCs w:val="22"/>
        </w:rPr>
        <w:t>Nature Communications</w:t>
      </w:r>
      <w:r w:rsidRPr="0069184B">
        <w:rPr>
          <w:sz w:val="18"/>
          <w:szCs w:val="22"/>
        </w:rPr>
        <w:t xml:space="preserve"> 15, 5249. https://doi.org/10.1038/s41467-024-49572-8</w:t>
      </w:r>
    </w:p>
    <w:p w14:paraId="5094E18F" w14:textId="77777777" w:rsidR="007A6184" w:rsidRPr="0069184B" w:rsidRDefault="00000000" w:rsidP="00396E59">
      <w:pPr>
        <w:pStyle w:val="Bibliography"/>
        <w:jc w:val="both"/>
        <w:rPr>
          <w:sz w:val="18"/>
          <w:szCs w:val="22"/>
        </w:rPr>
      </w:pPr>
      <w:r w:rsidRPr="0069184B">
        <w:rPr>
          <w:sz w:val="18"/>
          <w:szCs w:val="22"/>
        </w:rPr>
        <w:t xml:space="preserve">[8] Wodeyar, A. et al. (2026). A hierarchical cascade of sleep rhythms supports motor memory and is hijacked by epileptic spikes in human epilepsy. </w:t>
      </w:r>
      <w:r w:rsidRPr="0069184B">
        <w:rPr>
          <w:i/>
          <w:iCs/>
          <w:sz w:val="18"/>
          <w:szCs w:val="22"/>
        </w:rPr>
        <w:t>Proceedings of the National Academy of Sciences</w:t>
      </w:r>
      <w:r w:rsidRPr="0069184B">
        <w:rPr>
          <w:sz w:val="18"/>
          <w:szCs w:val="22"/>
        </w:rPr>
        <w:t xml:space="preserve"> 123(27), e2517454123. https://doi.org/10.1073/pnas.2517454123</w:t>
      </w:r>
    </w:p>
    <w:p w14:paraId="7A9E1BB7" w14:textId="77777777" w:rsidR="007A6184" w:rsidRPr="0069184B" w:rsidRDefault="00000000" w:rsidP="00396E59">
      <w:pPr>
        <w:pStyle w:val="Bibliography"/>
        <w:jc w:val="both"/>
        <w:rPr>
          <w:sz w:val="18"/>
          <w:szCs w:val="22"/>
        </w:rPr>
      </w:pPr>
      <w:r w:rsidRPr="0069184B">
        <w:rPr>
          <w:sz w:val="18"/>
          <w:szCs w:val="22"/>
        </w:rPr>
        <w:t xml:space="preserve">[9] Widloski, J. and Foster, D. J. (2025). Replay without sharp wave ripples in a spatial memory task. </w:t>
      </w:r>
      <w:r w:rsidRPr="0069184B">
        <w:rPr>
          <w:i/>
          <w:iCs/>
          <w:sz w:val="18"/>
          <w:szCs w:val="22"/>
        </w:rPr>
        <w:t>Nature Communications</w:t>
      </w:r>
      <w:r w:rsidRPr="0069184B">
        <w:rPr>
          <w:sz w:val="18"/>
          <w:szCs w:val="22"/>
        </w:rPr>
        <w:t xml:space="preserve"> 16, 10287. https://doi.org/10.1038/s41467-025-65181-5. Author correction (2026), </w:t>
      </w:r>
      <w:r w:rsidRPr="0069184B">
        <w:rPr>
          <w:i/>
          <w:iCs/>
          <w:sz w:val="18"/>
          <w:szCs w:val="22"/>
        </w:rPr>
        <w:t>Nature Communications</w:t>
      </w:r>
      <w:r w:rsidRPr="0069184B">
        <w:rPr>
          <w:sz w:val="18"/>
          <w:szCs w:val="22"/>
        </w:rPr>
        <w:t xml:space="preserve"> 17, 3581. https://doi.org/10.1038/s41467-026-72252-8</w:t>
      </w:r>
    </w:p>
    <w:p w14:paraId="1E9A237C" w14:textId="77777777" w:rsidR="007A6184" w:rsidRPr="0069184B" w:rsidRDefault="00000000" w:rsidP="00396E59">
      <w:pPr>
        <w:pStyle w:val="Bibliography"/>
        <w:jc w:val="both"/>
        <w:rPr>
          <w:sz w:val="18"/>
          <w:szCs w:val="22"/>
        </w:rPr>
      </w:pPr>
      <w:r w:rsidRPr="0069184B">
        <w:rPr>
          <w:sz w:val="18"/>
          <w:szCs w:val="22"/>
        </w:rPr>
        <w:t xml:space="preserve">[10] Kirkpatrick, J. et al. (2017). Overcoming catastrophic forgetting in neural networks. </w:t>
      </w:r>
      <w:r w:rsidRPr="0069184B">
        <w:rPr>
          <w:i/>
          <w:iCs/>
          <w:sz w:val="18"/>
          <w:szCs w:val="22"/>
        </w:rPr>
        <w:t>Proceedings of the National Academy of Sciences</w:t>
      </w:r>
      <w:r w:rsidRPr="0069184B">
        <w:rPr>
          <w:sz w:val="18"/>
          <w:szCs w:val="22"/>
        </w:rPr>
        <w:t xml:space="preserve"> 114(13), 3521–3526. https://doi.org/10.1073/pnas.1611835114</w:t>
      </w:r>
    </w:p>
    <w:p w14:paraId="1A500405" w14:textId="77777777" w:rsidR="007A6184" w:rsidRPr="0069184B" w:rsidRDefault="00000000" w:rsidP="00396E59">
      <w:pPr>
        <w:pStyle w:val="Bibliography"/>
        <w:jc w:val="both"/>
        <w:rPr>
          <w:sz w:val="18"/>
          <w:szCs w:val="22"/>
        </w:rPr>
      </w:pPr>
      <w:r w:rsidRPr="0069184B">
        <w:rPr>
          <w:sz w:val="18"/>
          <w:szCs w:val="22"/>
        </w:rPr>
        <w:t xml:space="preserve">[11] Hansen, J. and Ghrist, R. (2019). Toward a spectral theory of cellular sheaves. </w:t>
      </w:r>
      <w:r w:rsidRPr="0069184B">
        <w:rPr>
          <w:i/>
          <w:iCs/>
          <w:sz w:val="18"/>
          <w:szCs w:val="22"/>
        </w:rPr>
        <w:t>Journal of Applied and Computational Topology</w:t>
      </w:r>
      <w:r w:rsidRPr="0069184B">
        <w:rPr>
          <w:sz w:val="18"/>
          <w:szCs w:val="22"/>
        </w:rPr>
        <w:t xml:space="preserve"> 3, 315–358. https://doi.org/10.1007/s41468-019-00038-7</w:t>
      </w:r>
    </w:p>
    <w:p w14:paraId="0AB70198" w14:textId="77777777" w:rsidR="007A6184" w:rsidRPr="0069184B" w:rsidRDefault="00000000" w:rsidP="00396E59">
      <w:pPr>
        <w:pStyle w:val="Bibliography"/>
        <w:jc w:val="both"/>
        <w:rPr>
          <w:sz w:val="18"/>
          <w:szCs w:val="22"/>
        </w:rPr>
      </w:pPr>
      <w:r w:rsidRPr="0069184B">
        <w:rPr>
          <w:sz w:val="18"/>
          <w:szCs w:val="22"/>
        </w:rPr>
        <w:t>[12] Russold, F. (2022). Persistent sheaf cohomology. arXiv:2204.13446. https://arxiv.org/abs/2204.13446</w:t>
      </w:r>
    </w:p>
    <w:p w14:paraId="29C4EC87" w14:textId="77777777" w:rsidR="007A6184" w:rsidRPr="0069184B" w:rsidRDefault="00000000" w:rsidP="00396E59">
      <w:pPr>
        <w:pStyle w:val="Bibliography"/>
        <w:jc w:val="both"/>
        <w:rPr>
          <w:sz w:val="18"/>
          <w:szCs w:val="22"/>
        </w:rPr>
      </w:pPr>
      <w:r w:rsidRPr="0069184B">
        <w:rPr>
          <w:sz w:val="18"/>
          <w:szCs w:val="22"/>
        </w:rPr>
        <w:t xml:space="preserve">[13] Hoeffding, W. (1963). Probability inequalities for sums of bounded random variables. </w:t>
      </w:r>
      <w:r w:rsidRPr="0069184B">
        <w:rPr>
          <w:i/>
          <w:iCs/>
          <w:sz w:val="18"/>
          <w:szCs w:val="22"/>
        </w:rPr>
        <w:t>Journal of the American Statistical Association</w:t>
      </w:r>
      <w:r w:rsidRPr="0069184B">
        <w:rPr>
          <w:sz w:val="18"/>
          <w:szCs w:val="22"/>
        </w:rPr>
        <w:t xml:space="preserve"> 58(301), 13–30. https://doi.org/10.1080/01621459.1963.10500830</w:t>
      </w:r>
    </w:p>
    <w:p w14:paraId="02B2B563" w14:textId="77777777" w:rsidR="007A6184" w:rsidRPr="0069184B" w:rsidRDefault="00000000" w:rsidP="00396E59">
      <w:pPr>
        <w:pStyle w:val="Bibliography"/>
        <w:jc w:val="both"/>
        <w:rPr>
          <w:sz w:val="18"/>
          <w:szCs w:val="22"/>
        </w:rPr>
      </w:pPr>
      <w:r w:rsidRPr="0069184B">
        <w:rPr>
          <w:sz w:val="18"/>
          <w:szCs w:val="22"/>
        </w:rPr>
        <w:t xml:space="preserve">[14] Ghosh, D. P. (2026). </w:t>
      </w:r>
      <w:r w:rsidRPr="0069184B">
        <w:rPr>
          <w:i/>
          <w:iCs/>
          <w:sz w:val="18"/>
          <w:szCs w:val="22"/>
        </w:rPr>
        <w:t>The Horizontal Layer</w:t>
      </w:r>
      <w:r w:rsidRPr="0069184B">
        <w:rPr>
          <w:sz w:val="18"/>
          <w:szCs w:val="22"/>
        </w:rPr>
        <w:t>. Autoregressive Sheaf Evolution Part II, 18 October 2026. Project manuscript.</w:t>
      </w:r>
    </w:p>
    <w:p w14:paraId="1CE54F3D" w14:textId="77777777" w:rsidR="007A6184" w:rsidRPr="0069184B" w:rsidRDefault="00000000" w:rsidP="00396E59">
      <w:pPr>
        <w:pStyle w:val="Bibliography"/>
        <w:jc w:val="both"/>
        <w:rPr>
          <w:sz w:val="18"/>
          <w:szCs w:val="22"/>
        </w:rPr>
      </w:pPr>
      <w:r w:rsidRPr="0069184B">
        <w:rPr>
          <w:sz w:val="18"/>
          <w:szCs w:val="22"/>
        </w:rPr>
        <w:t xml:space="preserve">[15] Rao, R. P. N. and Ballard, D. H. (1999). Predictive coding in the visual cortex: a functional interpretation of some extra-classical receptive-field effects. </w:t>
      </w:r>
      <w:r w:rsidRPr="0069184B">
        <w:rPr>
          <w:i/>
          <w:iCs/>
          <w:sz w:val="18"/>
          <w:szCs w:val="22"/>
        </w:rPr>
        <w:t>Nature Neuroscience</w:t>
      </w:r>
      <w:r w:rsidRPr="0069184B">
        <w:rPr>
          <w:sz w:val="18"/>
          <w:szCs w:val="22"/>
        </w:rPr>
        <w:t xml:space="preserve"> 2(1), 79–87. https://doi.org/10.1038/4580</w:t>
      </w:r>
    </w:p>
    <w:p w14:paraId="241D9A73" w14:textId="77777777" w:rsidR="007A6184" w:rsidRPr="0069184B" w:rsidRDefault="00000000" w:rsidP="00396E59">
      <w:pPr>
        <w:pStyle w:val="Bibliography"/>
        <w:jc w:val="both"/>
        <w:rPr>
          <w:sz w:val="18"/>
          <w:szCs w:val="22"/>
        </w:rPr>
      </w:pPr>
      <w:r w:rsidRPr="0069184B">
        <w:rPr>
          <w:sz w:val="18"/>
          <w:szCs w:val="22"/>
        </w:rPr>
        <w:t xml:space="preserve">[16] Friston, K. (2005). A theory of cortical responses. </w:t>
      </w:r>
      <w:r w:rsidRPr="0069184B">
        <w:rPr>
          <w:i/>
          <w:iCs/>
          <w:sz w:val="18"/>
          <w:szCs w:val="22"/>
        </w:rPr>
        <w:t>Philosophical Transactions of the Royal Society B</w:t>
      </w:r>
      <w:r w:rsidRPr="0069184B">
        <w:rPr>
          <w:sz w:val="18"/>
          <w:szCs w:val="22"/>
        </w:rPr>
        <w:t xml:space="preserve"> 360(1456), 815–836. https://doi.org/10.1098/rstb.2005.1622</w:t>
      </w:r>
    </w:p>
    <w:p w14:paraId="1EBAFC9B" w14:textId="77777777" w:rsidR="007A6184" w:rsidRPr="0069184B" w:rsidRDefault="00000000" w:rsidP="00396E59">
      <w:pPr>
        <w:pStyle w:val="Bibliography"/>
        <w:jc w:val="both"/>
        <w:rPr>
          <w:sz w:val="18"/>
          <w:szCs w:val="22"/>
        </w:rPr>
      </w:pPr>
      <w:r w:rsidRPr="0069184B">
        <w:rPr>
          <w:sz w:val="18"/>
          <w:szCs w:val="22"/>
        </w:rPr>
        <w:t xml:space="preserve">[17] Bastos, A. M., Usrey, W. M., Adams, R. A., Mangun, G. R., Fries, P. and Friston, K. J. (2012). Canonical microcircuits for predictive coding. </w:t>
      </w:r>
      <w:r w:rsidRPr="0069184B">
        <w:rPr>
          <w:i/>
          <w:iCs/>
          <w:sz w:val="18"/>
          <w:szCs w:val="22"/>
        </w:rPr>
        <w:t>Neuron</w:t>
      </w:r>
      <w:r w:rsidRPr="0069184B">
        <w:rPr>
          <w:sz w:val="18"/>
          <w:szCs w:val="22"/>
        </w:rPr>
        <w:t xml:space="preserve"> 76(4), 695–711. https://doi.org/10.1016/j.neuron.2012.10.038</w:t>
      </w:r>
    </w:p>
    <w:p w14:paraId="06797D16" w14:textId="77777777" w:rsidR="007A6184" w:rsidRPr="0069184B" w:rsidRDefault="00000000" w:rsidP="00396E59">
      <w:pPr>
        <w:pStyle w:val="Bibliography"/>
        <w:jc w:val="both"/>
        <w:rPr>
          <w:sz w:val="18"/>
          <w:szCs w:val="22"/>
        </w:rPr>
      </w:pPr>
      <w:r w:rsidRPr="0069184B">
        <w:rPr>
          <w:sz w:val="18"/>
          <w:szCs w:val="22"/>
        </w:rPr>
        <w:t xml:space="preserve">[18] Teyler, T. J. and DiScenna, P. (1986). The hippocampal memory indexing theory. </w:t>
      </w:r>
      <w:r w:rsidRPr="0069184B">
        <w:rPr>
          <w:i/>
          <w:iCs/>
          <w:sz w:val="18"/>
          <w:szCs w:val="22"/>
        </w:rPr>
        <w:t>Behavioral Neuroscience</w:t>
      </w:r>
      <w:r w:rsidRPr="0069184B">
        <w:rPr>
          <w:sz w:val="18"/>
          <w:szCs w:val="22"/>
        </w:rPr>
        <w:t xml:space="preserve"> 100(2), 147–154. https://doi.org/10.1037/0735-7044.100.2.147</w:t>
      </w:r>
    </w:p>
    <w:p w14:paraId="7DC05FFF" w14:textId="77777777" w:rsidR="007A6184" w:rsidRPr="0069184B" w:rsidRDefault="00000000" w:rsidP="00396E59">
      <w:pPr>
        <w:pStyle w:val="Bibliography"/>
        <w:jc w:val="both"/>
        <w:rPr>
          <w:sz w:val="18"/>
          <w:szCs w:val="22"/>
        </w:rPr>
      </w:pPr>
      <w:r w:rsidRPr="0069184B">
        <w:rPr>
          <w:sz w:val="18"/>
          <w:szCs w:val="22"/>
        </w:rPr>
        <w:t xml:space="preserve">[19] Maurer, A. and Pontil, M. (2009). Empirical Bernstein bounds and sample variance penalization. </w:t>
      </w:r>
      <w:r w:rsidRPr="0069184B">
        <w:rPr>
          <w:i/>
          <w:iCs/>
          <w:sz w:val="18"/>
          <w:szCs w:val="22"/>
        </w:rPr>
        <w:t>Proceedings of the 22nd Conference on Learning Theory (COLT)</w:t>
      </w:r>
      <w:r w:rsidRPr="0069184B">
        <w:rPr>
          <w:sz w:val="18"/>
          <w:szCs w:val="22"/>
        </w:rPr>
        <w:t>. arXiv:0907.3740</w:t>
      </w:r>
    </w:p>
    <w:p w14:paraId="582FC3E1" w14:textId="77777777" w:rsidR="007A6184" w:rsidRPr="0069184B" w:rsidRDefault="00000000" w:rsidP="00396E59">
      <w:pPr>
        <w:pStyle w:val="Bibliography"/>
        <w:jc w:val="both"/>
        <w:rPr>
          <w:sz w:val="18"/>
          <w:szCs w:val="22"/>
        </w:rPr>
      </w:pPr>
      <w:r w:rsidRPr="0069184B">
        <w:rPr>
          <w:sz w:val="18"/>
          <w:szCs w:val="22"/>
        </w:rPr>
        <w:t xml:space="preserve">[20] Clopper, C. J. and Pearson, E. S. (1934). The use of confidence or fiducial limits illustrated in the case of the binomial. </w:t>
      </w:r>
      <w:r w:rsidRPr="0069184B">
        <w:rPr>
          <w:i/>
          <w:iCs/>
          <w:sz w:val="18"/>
          <w:szCs w:val="22"/>
        </w:rPr>
        <w:t>Biometrika</w:t>
      </w:r>
      <w:r w:rsidRPr="0069184B">
        <w:rPr>
          <w:sz w:val="18"/>
          <w:szCs w:val="22"/>
        </w:rPr>
        <w:t xml:space="preserve"> 26(4), 404–413. https://doi.org/10.1093/biomet/26.4.404</w:t>
      </w:r>
    </w:p>
    <w:p w14:paraId="3B7A6D86" w14:textId="77777777" w:rsidR="007A6184" w:rsidRPr="0069184B" w:rsidRDefault="00000000" w:rsidP="00396E59">
      <w:pPr>
        <w:pStyle w:val="Bibliography"/>
        <w:jc w:val="both"/>
        <w:rPr>
          <w:sz w:val="18"/>
          <w:szCs w:val="22"/>
        </w:rPr>
      </w:pPr>
      <w:r w:rsidRPr="0069184B">
        <w:rPr>
          <w:sz w:val="18"/>
          <w:szCs w:val="22"/>
        </w:rPr>
        <w:t xml:space="preserve">[21] Thompson, E. J., Rollik, L. B., Waked, B. et al. (2026). Replay of procedural memory is independent of the hippocampus. </w:t>
      </w:r>
      <w:r w:rsidRPr="0069184B">
        <w:rPr>
          <w:i/>
          <w:iCs/>
          <w:sz w:val="18"/>
          <w:szCs w:val="22"/>
        </w:rPr>
        <w:t>Nature Neuroscience</w:t>
      </w:r>
      <w:r w:rsidRPr="0069184B">
        <w:rPr>
          <w:sz w:val="18"/>
          <w:szCs w:val="22"/>
        </w:rPr>
        <w:t xml:space="preserve"> 29, 2237–2248. Published 23 July 2026. https://doi.org/10.1038/s41593-026-02362-5</w:t>
      </w:r>
    </w:p>
    <w:p w14:paraId="62C87EE6" w14:textId="77777777" w:rsidR="007A6184" w:rsidRPr="0069184B" w:rsidRDefault="00000000" w:rsidP="00396E59">
      <w:pPr>
        <w:pStyle w:val="Bibliography"/>
        <w:jc w:val="both"/>
        <w:rPr>
          <w:sz w:val="18"/>
          <w:szCs w:val="22"/>
        </w:rPr>
      </w:pPr>
      <w:r w:rsidRPr="0069184B">
        <w:rPr>
          <w:sz w:val="18"/>
          <w:szCs w:val="22"/>
        </w:rPr>
        <w:t>[22] Fountas, Z., Oomerjee, A., Bou-Ammar, H., Wang, J. and Burgess, N. (2026). Why the Brain Consolidates: Predictive Forgetting for Optimal Generalisation. Preprint, arXiv:2603.04688v1, 5 March 2026. https://arxiv.org/abs/2603.04688v1</w:t>
      </w:r>
    </w:p>
    <w:p w14:paraId="40B939DC" w14:textId="77777777" w:rsidR="007A6184" w:rsidRPr="0069184B" w:rsidRDefault="00000000" w:rsidP="00396E59">
      <w:pPr>
        <w:pStyle w:val="Bibliography"/>
        <w:jc w:val="both"/>
        <w:rPr>
          <w:sz w:val="18"/>
          <w:szCs w:val="22"/>
        </w:rPr>
      </w:pPr>
      <w:r w:rsidRPr="0069184B">
        <w:rPr>
          <w:sz w:val="18"/>
          <w:szCs w:val="22"/>
        </w:rPr>
        <w:t>[23] Zhang, J., He, F., Liang, X., Xu, Z., Xu, H., Huang, H., Wu, S. and Zhang, N. (2026). Cortex: Consolidating Context into Parametric Memory. Technical report, arXiv:2610.20399v1, 14 October 2026. https://arxiv.org/abs/2610.20399v1</w:t>
      </w:r>
      <w:bookmarkEnd w:id="33"/>
    </w:p>
    <w:sectPr w:rsidR="007A6184" w:rsidRPr="0069184B">
      <w:headerReference w:type="even" r:id="rId12"/>
      <w:headerReference w:type="default" r:id="rId13"/>
      <w:footerReference w:type="even" r:id="rId14"/>
      <w:footerReference w:type="default" r:id="rId15"/>
      <w:headerReference w:type="first" r:id="rId16"/>
      <w:footerReference w:type="first" r:id="rId17"/>
      <w:pgSz w:w="12240" w:h="15840"/>
      <w:pgMar w:top="1008" w:right="1123" w:bottom="1008"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83154" w14:textId="77777777" w:rsidR="00052C1E" w:rsidRDefault="00052C1E">
      <w:pPr>
        <w:spacing w:after="0" w:line="240" w:lineRule="auto"/>
      </w:pPr>
      <w:r>
        <w:separator/>
      </w:r>
    </w:p>
  </w:endnote>
  <w:endnote w:type="continuationSeparator" w:id="0">
    <w:p w14:paraId="49B80971" w14:textId="77777777" w:rsidR="00052C1E" w:rsidRDefault="00052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D8E6" w14:textId="77777777" w:rsidR="007A6184" w:rsidRDefault="007A61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E48E" w14:textId="77777777" w:rsidR="007A6184" w:rsidRDefault="00000000">
    <w:pPr>
      <w:jc w:val="center"/>
    </w:pPr>
    <w:r>
      <w:fldChar w:fldCharType="begin"/>
    </w:r>
    <w:r>
      <w:instrText>PAGE</w:instrText>
    </w:r>
    <w:r>
      <w:fldChar w:fldCharType="separate"/>
    </w:r>
    <w:r w:rsidR="0001539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48D5" w14:textId="77777777" w:rsidR="007A6184" w:rsidRDefault="007A6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85265" w14:textId="77777777" w:rsidR="00052C1E" w:rsidRDefault="00052C1E">
      <w:r>
        <w:separator/>
      </w:r>
    </w:p>
  </w:footnote>
  <w:footnote w:type="continuationSeparator" w:id="0">
    <w:p w14:paraId="252DFDD9" w14:textId="77777777" w:rsidR="00052C1E" w:rsidRDefault="00052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9DFA" w14:textId="77777777" w:rsidR="007A6184" w:rsidRDefault="007A61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FFB3" w14:textId="77777777" w:rsidR="007A6184" w:rsidRDefault="007A6184">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6ED9" w14:textId="77777777" w:rsidR="007A6184" w:rsidRDefault="007A6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6ABB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B7494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58057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73289158">
    <w:abstractNumId w:val="0"/>
  </w:num>
  <w:num w:numId="2" w16cid:durableId="523790071">
    <w:abstractNumId w:val="1"/>
  </w:num>
  <w:num w:numId="3" w16cid:durableId="1685132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7557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6184"/>
    <w:rsid w:val="00015399"/>
    <w:rsid w:val="00052C1E"/>
    <w:rsid w:val="0006271A"/>
    <w:rsid w:val="00110894"/>
    <w:rsid w:val="0015641B"/>
    <w:rsid w:val="001F3295"/>
    <w:rsid w:val="003928F7"/>
    <w:rsid w:val="00396E59"/>
    <w:rsid w:val="003F496C"/>
    <w:rsid w:val="005C71E5"/>
    <w:rsid w:val="0069184B"/>
    <w:rsid w:val="00741DF1"/>
    <w:rsid w:val="007A6184"/>
    <w:rsid w:val="00875072"/>
    <w:rsid w:val="0099552F"/>
    <w:rsid w:val="00BE0017"/>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FFDAB"/>
  <w15:docId w15:val="{CA3C191B-B198-45C7-80EA-481AE0FE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74"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jc w:val="center"/>
    </w:pPr>
    <w:rPr>
      <w:rFonts w:ascii="Liberation Sans" w:hAnsi="Liberation Sans"/>
      <w:b/>
      <w:bCs/>
      <w:sz w:val="48"/>
      <w:szCs w:val="36"/>
    </w:rPr>
  </w:style>
  <w:style w:type="paragraph" w:styleId="Subtitle">
    <w:name w:val="Subtitle"/>
    <w:basedOn w:val="Title"/>
    <w:next w:val="BodyText"/>
    <w:qFormat/>
    <w:rPr>
      <w:rFonts w:ascii="Liberation Serif" w:hAnsi="Liberation Serif"/>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spacing w:after="300"/>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line="269" w:lineRule="auto"/>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line="250" w:lineRule="auto"/>
    </w:pPr>
    <w:rPr>
      <w:sz w:val="20"/>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00" w:line="252" w:lineRule="auto"/>
    </w:pPr>
    <w:rPr>
      <w:sz w:val="19"/>
    </w:rPr>
  </w:style>
  <w:style w:type="paragraph" w:customStyle="1" w:styleId="TableCaption">
    <w:name w:val="Table Caption"/>
    <w:basedOn w:val="Caption"/>
    <w:pPr>
      <w:keepNext/>
      <w:spacing w:after="180"/>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Heading11">
    <w:name w:val="Heading 11"/>
    <w:pPr>
      <w:keepNext/>
      <w:spacing w:before="260" w:after="120"/>
    </w:pPr>
    <w:rPr>
      <w:rFonts w:ascii="Liberation Sans" w:eastAsia="Liberation Serif" w:hAnsi="Liberation Sans" w:cs="Liberation Serif"/>
      <w:b/>
      <w:color w:val="000000"/>
      <w:sz w:val="30"/>
    </w:rPr>
  </w:style>
  <w:style w:type="paragraph" w:customStyle="1" w:styleId="Heading21">
    <w:name w:val="Heading 21"/>
    <w:pPr>
      <w:keepNext/>
      <w:spacing w:before="200" w:after="120"/>
    </w:pPr>
    <w:rPr>
      <w:rFonts w:ascii="Liberation Sans" w:eastAsia="Liberation Serif" w:hAnsi="Liberation Sans"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80" w:after="180" w:line="240" w:lineRule="auto"/>
    </w:pPr>
    <w:rPr>
      <w:sz w:val="21"/>
    </w:rPr>
  </w:style>
  <w:style w:type="paragraph" w:customStyle="1" w:styleId="StatementEquation">
    <w:name w:val="Statement Equation"/>
    <w:basedOn w:val="Statement"/>
    <w:pPr>
      <w:keepLines/>
      <w:tabs>
        <w:tab w:val="center" w:pos="4997"/>
        <w:tab w:val="right" w:pos="9994"/>
      </w:tabs>
      <w:spacing w:before="80" w:after="180" w:line="240" w:lineRule="auto"/>
    </w:pPr>
    <w:rPr>
      <w:sz w:val="21"/>
    </w:r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Liberation Serif" w:eastAsia="Liberation Serif" w:hAnsi="Liberation Serif" w:cs="Liberation Serif"/>
      <w:color w:val="000000"/>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22</Pages>
  <Words>10601</Words>
  <Characters>60428</Characters>
  <Application>Microsoft Office Word</Application>
  <DocSecurity>0</DocSecurity>
  <Lines>503</Lines>
  <Paragraphs>141</Paragraphs>
  <ScaleCrop>false</ScaleCrop>
  <Company/>
  <LinksUpToDate>false</LinksUpToDate>
  <CharactersWithSpaces>70888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Sheaf Evolution for Memory Consolidation</dc:title>
  <dc:subject>Optimisation proposal and a testable neocortical interpretation</dc:subject>
  <dc:creator>Debi Prasad Ghosh</dc:creator>
  <cp:keywords>ASE; memory consolidation; neocortex; sheaf; replay; continual learning</cp:keywords>
  <cp:lastModifiedBy>Debiprasad Ghosh</cp:lastModifiedBy>
  <cp:revision>9</cp:revision>
  <cp:lastPrinted>2026-10-21T03:46:00Z</cp:lastPrinted>
  <dcterms:created xsi:type="dcterms:W3CDTF">2026-10-18T17:44:00Z</dcterms:created>
  <dcterms:modified xsi:type="dcterms:W3CDTF">2026-10-21T03:48:00Z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3 · 18 October 2026</vt:lpwstr>
  </property>
  <property fmtid="{D5CDD505-2E9C-101B-9397-08002B2CF9AE}" pid="3" name="subtitle">
    <vt:lpwstr>An optimisation proposal and a testable neocortical interpretation</vt:lpwstr>
  </property>
</Properties>
</file>